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3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分；3人的计2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分；3人以下的计1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月-2020年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月）其他经营业绩，招标代理项目单项合同金额为500万元（含）以上1000万元（含）以下的计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分，1000万元-5000万元（含）的计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分，5000万元以上的计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</w:rPr>
            </w:pPr>
          </w:p>
        </w:tc>
      </w:tr>
    </w:tbl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49C4"/>
    <w:rsid w:val="00103070"/>
    <w:rsid w:val="00885E63"/>
    <w:rsid w:val="00931109"/>
    <w:rsid w:val="00A623FC"/>
    <w:rsid w:val="00B256FB"/>
    <w:rsid w:val="00CD49C4"/>
    <w:rsid w:val="0F2412C6"/>
    <w:rsid w:val="2EAB1352"/>
    <w:rsid w:val="38FF1793"/>
    <w:rsid w:val="5A0A2BDA"/>
    <w:rsid w:val="62A575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NTKO</cp:lastModifiedBy>
  <dcterms:modified xsi:type="dcterms:W3CDTF">2020-09-22T03:42:49Z</dcterms:modified>
  <dc:title>附件4：代理机构评分标准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