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附件4：代理机构评分标准</w:t>
      </w:r>
    </w:p>
    <w:tbl>
      <w:tblPr>
        <w:tblStyle w:val="2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86"/>
        <w:gridCol w:w="680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办公场所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企业注册成立一年以上，在衡阳市市区内有固定的办公场所，提供地址、租赁合同（或产权证明或租赁证明）、场所照片；并要求在湖南省建设工程招标投标动态监管平台认证通过 (提供网站查询结果)、衡阳市发展和改革委员会和衡阳市本级财政部门登记备案（提供查询网址及结果）的计10分。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企业履约能力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（35分）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企业具有政府采购相关培训合格证书的专业工作人员3人以上的计3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分；3人的计2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分；3人以下的计1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分，提供工作人员证书以及企业近三个月为其缴纳的社会保险证明资料（含养老、医疗、失业、工伤、生育）复印件。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实施经验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（45分）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企业具有类似项目经营业绩的计10分。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企业近三年（2017年3月-2020年3月）其他经营业绩，招标代理项目单项合同金额为500万元（含）以上1000万元（含）以下的计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分，1000万元-5000万元（含）的计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分，5000万元以上的计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5分，最多计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投标报价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同意参照国家计委计价格[2002]1980号文件规定计取招标代理费的计10分，不同意参照国家计委计价格[2002]1980号文件规定计取招标代理费的计0分。</w:t>
            </w:r>
          </w:p>
          <w:p>
            <w:pPr>
              <w:widowControl/>
              <w:spacing w:line="360" w:lineRule="exact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9C4"/>
    <w:rsid w:val="00103070"/>
    <w:rsid w:val="003079DA"/>
    <w:rsid w:val="00931109"/>
    <w:rsid w:val="00A05369"/>
    <w:rsid w:val="00A623FC"/>
    <w:rsid w:val="00AE5702"/>
    <w:rsid w:val="00CD49C4"/>
    <w:rsid w:val="00EA1CCE"/>
    <w:rsid w:val="00F21983"/>
    <w:rsid w:val="10C02EE6"/>
    <w:rsid w:val="38B15165"/>
    <w:rsid w:val="7F0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462</Characters>
  <Lines>3</Lines>
  <Paragraphs>1</Paragraphs>
  <TotalTime>12</TotalTime>
  <ScaleCrop>false</ScaleCrop>
  <LinksUpToDate>false</LinksUpToDate>
  <CharactersWithSpaces>542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2020-01-18T08:42:00Z</dcterms:created>
  <dc:creator>dreamsummit</dc:creator>
  <cp:lastModifiedBy>Administrator</cp:lastModifiedBy>
  <dcterms:modified xsi:type="dcterms:W3CDTF">2020-03-20T07:25:43Z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