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rPr>
          <w:rFonts w:hint="eastAsia" w:ascii="Times New Roman" w:hAnsi="Times New Roman" w:eastAsia="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p>
    <w:p>
      <w:pPr>
        <w:spacing w:afterLines="100"/>
        <w:rPr>
          <w:rFonts w:ascii="Times New Roman" w:hAnsi="Times New Roman" w:eastAsia="仿宋_GB2312"/>
          <w:kern w:val="0"/>
          <w:sz w:val="32"/>
          <w:szCs w:val="32"/>
        </w:rPr>
      </w:pPr>
    </w:p>
    <w:p>
      <w:pPr>
        <w:spacing w:afterLines="100"/>
        <w:rPr>
          <w:rFonts w:ascii="Times New Roman" w:hAnsi="Times New Roman" w:eastAsia="仿宋_GB2312"/>
          <w:kern w:val="0"/>
          <w:sz w:val="32"/>
          <w:szCs w:val="32"/>
        </w:rPr>
      </w:pPr>
    </w:p>
    <w:p>
      <w:pPr>
        <w:rPr>
          <w:rFonts w:ascii="Times New Roman" w:hAnsi="Times New Roman" w:eastAsia="方正小标宋简体"/>
          <w:sz w:val="48"/>
          <w:szCs w:val="48"/>
        </w:rPr>
      </w:pPr>
    </w:p>
    <w:p>
      <w:pPr>
        <w:rPr>
          <w:rFonts w:ascii="Times New Roman" w:hAnsi="Times New Roman" w:eastAsia="方正小标宋简体"/>
          <w:sz w:val="48"/>
          <w:szCs w:val="48"/>
        </w:rPr>
      </w:pPr>
    </w:p>
    <w:p>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hint="eastAsia" w:ascii="Times New Roman" w:hAnsi="Times New Roman" w:eastAsia="方正小标宋简体"/>
          <w:sz w:val="36"/>
          <w:szCs w:val="36"/>
          <w:lang w:eastAsia="zh-CN"/>
        </w:rPr>
        <w:t>2024</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：（盖章）</w:t>
      </w:r>
    </w:p>
    <w:p>
      <w:pPr>
        <w:jc w:val="center"/>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p>
    <w:p>
      <w:pPr>
        <w:jc w:val="center"/>
        <w:rPr>
          <w:rFonts w:ascii="Times New Roman" w:hAnsi="Times New Roman" w:eastAsia="黑体"/>
          <w:sz w:val="36"/>
          <w:szCs w:val="36"/>
        </w:rPr>
      </w:pPr>
    </w:p>
    <w:p>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2025年 02 月 28 日</w:t>
      </w:r>
    </w:p>
    <w:p>
      <w:pPr>
        <w:jc w:val="center"/>
        <w:rPr>
          <w:rFonts w:ascii="Times New Roman" w:hAnsi="Times New Roman" w:eastAsia="黑体"/>
          <w:sz w:val="32"/>
          <w:szCs w:val="32"/>
        </w:rPr>
      </w:pPr>
    </w:p>
    <w:p>
      <w:pPr>
        <w:spacing w:line="600" w:lineRule="exact"/>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hint="eastAsia" w:ascii="Times New Roman" w:hAnsi="Times New Roman" w:eastAsia="方正小标宋简体"/>
          <w:sz w:val="44"/>
          <w:szCs w:val="44"/>
        </w:rPr>
      </w:pPr>
      <w:r>
        <w:rPr>
          <w:rFonts w:hint="eastAsia" w:ascii="Times New Roman" w:hAnsi="Times New Roman" w:eastAsia="方正小标宋_GBK"/>
          <w:sz w:val="44"/>
          <w:szCs w:val="44"/>
          <w:lang w:eastAsia="zh-CN"/>
        </w:rPr>
        <w:t>2024</w:t>
      </w:r>
      <w:r>
        <w:rPr>
          <w:rFonts w:ascii="Times New Roman" w:hAnsi="Times New Roman" w:eastAsia="方正小标宋_GBK"/>
          <w:sz w:val="44"/>
          <w:szCs w:val="44"/>
        </w:rPr>
        <w:t>年</w:t>
      </w:r>
      <w:r>
        <w:rPr>
          <w:rFonts w:hint="eastAsia" w:ascii="Times New Roman" w:hAnsi="Times New Roman" w:eastAsia="方正小标宋_GBK"/>
          <w:sz w:val="44"/>
          <w:szCs w:val="44"/>
        </w:rPr>
        <w:t>度</w:t>
      </w:r>
      <w:r>
        <w:rPr>
          <w:rFonts w:hint="eastAsia" w:ascii="Times New Roman" w:hAnsi="Times New Roman" w:eastAsia="方正小标宋简体"/>
          <w:sz w:val="44"/>
          <w:szCs w:val="44"/>
        </w:rPr>
        <w:t>衡阳市生态环境局南岳分局</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pPr>
        <w:rPr>
          <w:rFonts w:ascii="Times New Roman" w:hAnsi="Times New Roman" w:eastAsia="方正小标宋_GBK"/>
          <w:sz w:val="32"/>
          <w:szCs w:val="32"/>
        </w:rPr>
      </w:pPr>
    </w:p>
    <w:p>
      <w:pPr>
        <w:pStyle w:val="5"/>
        <w:widowControl/>
        <w:numPr>
          <w:ilvl w:val="0"/>
          <w:numId w:val="1"/>
        </w:numPr>
        <w:ind w:firstLine="640"/>
        <w:rPr>
          <w:rFonts w:eastAsia="黑体"/>
          <w:sz w:val="32"/>
          <w:szCs w:val="32"/>
        </w:rPr>
      </w:pPr>
      <w:r>
        <w:rPr>
          <w:rFonts w:eastAsia="黑体"/>
          <w:sz w:val="32"/>
          <w:szCs w:val="32"/>
        </w:rPr>
        <w:t>部门、单位基本情况</w:t>
      </w:r>
    </w:p>
    <w:p>
      <w:pPr>
        <w:snapToGrid w:val="0"/>
        <w:spacing w:line="540" w:lineRule="exact"/>
        <w:ind w:firstLine="627" w:firstLineChars="196"/>
        <w:rPr>
          <w:rFonts w:eastAsia="仿宋_GB2312"/>
          <w:b/>
          <w:sz w:val="32"/>
          <w:szCs w:val="32"/>
        </w:rPr>
      </w:pPr>
      <w:r>
        <w:rPr>
          <w:rFonts w:hint="eastAsia" w:ascii="Times New Roman" w:hAnsi="Times New Roman" w:eastAsia="仿宋"/>
          <w:sz w:val="32"/>
          <w:szCs w:val="32"/>
        </w:rPr>
        <w:t>（一）</w:t>
      </w:r>
      <w:r>
        <w:rPr>
          <w:rFonts w:eastAsia="仿宋_GB2312"/>
          <w:b/>
          <w:sz w:val="32"/>
          <w:szCs w:val="32"/>
        </w:rPr>
        <w:t>主要职能。</w:t>
      </w:r>
    </w:p>
    <w:p>
      <w:pPr>
        <w:pStyle w:val="2"/>
        <w:shd w:val="clear" w:color="auto" w:fill="FFFFFF"/>
        <w:snapToGrid w:val="0"/>
        <w:spacing w:before="0" w:beforeAutospacing="0" w:after="0" w:afterAutospacing="0" w:line="540" w:lineRule="exact"/>
        <w:ind w:firstLine="640" w:firstLineChars="200"/>
        <w:rPr>
          <w:rFonts w:eastAsia="仿宋_GB2312"/>
          <w:kern w:val="2"/>
          <w:sz w:val="32"/>
          <w:szCs w:val="32"/>
        </w:rPr>
      </w:pPr>
      <w:r>
        <w:rPr>
          <w:rFonts w:eastAsia="仿宋_GB2312"/>
          <w:kern w:val="2"/>
          <w:sz w:val="32"/>
          <w:szCs w:val="32"/>
        </w:rPr>
        <w:t>（1）负责建立健全生态环境基本制度。</w:t>
      </w:r>
    </w:p>
    <w:p>
      <w:pPr>
        <w:pStyle w:val="2"/>
        <w:shd w:val="clear" w:color="auto" w:fill="FFFFFF"/>
        <w:snapToGrid w:val="0"/>
        <w:spacing w:before="0" w:beforeAutospacing="0" w:after="0" w:afterAutospacing="0" w:line="540" w:lineRule="exact"/>
        <w:ind w:firstLine="640" w:firstLineChars="200"/>
        <w:rPr>
          <w:rFonts w:eastAsia="仿宋_GB2312"/>
          <w:kern w:val="2"/>
          <w:sz w:val="32"/>
          <w:szCs w:val="32"/>
        </w:rPr>
      </w:pPr>
      <w:r>
        <w:rPr>
          <w:rFonts w:eastAsia="仿宋_GB2312"/>
          <w:kern w:val="2"/>
          <w:sz w:val="32"/>
          <w:szCs w:val="32"/>
        </w:rPr>
        <w:t>（2）负责重大生态环境问题的统筹协调和监督管理。</w:t>
      </w:r>
    </w:p>
    <w:p>
      <w:pPr>
        <w:pStyle w:val="2"/>
        <w:shd w:val="clear" w:color="auto" w:fill="FFFFFF"/>
        <w:snapToGrid w:val="0"/>
        <w:spacing w:before="0" w:beforeAutospacing="0" w:after="0" w:afterAutospacing="0" w:line="540" w:lineRule="exact"/>
        <w:ind w:firstLine="640" w:firstLineChars="200"/>
        <w:rPr>
          <w:rFonts w:eastAsia="仿宋_GB2312"/>
          <w:kern w:val="2"/>
          <w:sz w:val="32"/>
          <w:szCs w:val="32"/>
        </w:rPr>
      </w:pPr>
      <w:r>
        <w:rPr>
          <w:rFonts w:eastAsia="仿宋_GB2312"/>
          <w:kern w:val="2"/>
          <w:sz w:val="32"/>
          <w:szCs w:val="32"/>
        </w:rPr>
        <w:t>（3）负责监督管理减排目标的落实。</w:t>
      </w:r>
    </w:p>
    <w:p>
      <w:pPr>
        <w:pStyle w:val="2"/>
        <w:shd w:val="clear" w:color="auto" w:fill="FFFFFF"/>
        <w:snapToGrid w:val="0"/>
        <w:spacing w:before="0" w:beforeAutospacing="0" w:after="0" w:afterAutospacing="0" w:line="540" w:lineRule="exact"/>
        <w:ind w:firstLine="640" w:firstLineChars="200"/>
        <w:rPr>
          <w:rFonts w:eastAsia="仿宋_GB2312"/>
          <w:kern w:val="2"/>
          <w:sz w:val="32"/>
          <w:szCs w:val="32"/>
        </w:rPr>
      </w:pPr>
      <w:r>
        <w:rPr>
          <w:rFonts w:eastAsia="仿宋_GB2312"/>
          <w:kern w:val="2"/>
          <w:sz w:val="32"/>
          <w:szCs w:val="32"/>
        </w:rPr>
        <w:t>（4）负责提出生态环境领域固定资产投资规模和方向、财政性资金安排的意见。</w:t>
      </w:r>
    </w:p>
    <w:p>
      <w:pPr>
        <w:pStyle w:val="2"/>
        <w:shd w:val="clear" w:color="auto" w:fill="FFFFFF"/>
        <w:snapToGrid w:val="0"/>
        <w:spacing w:before="0" w:beforeAutospacing="0" w:after="0" w:afterAutospacing="0" w:line="540" w:lineRule="exact"/>
        <w:ind w:firstLine="640" w:firstLineChars="200"/>
        <w:rPr>
          <w:rFonts w:eastAsia="仿宋_GB2312"/>
          <w:kern w:val="2"/>
          <w:sz w:val="32"/>
          <w:szCs w:val="32"/>
        </w:rPr>
      </w:pPr>
      <w:r>
        <w:rPr>
          <w:rFonts w:eastAsia="仿宋_GB2312"/>
          <w:kern w:val="2"/>
          <w:sz w:val="32"/>
          <w:szCs w:val="32"/>
        </w:rPr>
        <w:t>（5）负责环境污染防治的监督管理。</w:t>
      </w:r>
    </w:p>
    <w:p>
      <w:pPr>
        <w:pStyle w:val="2"/>
        <w:shd w:val="clear" w:color="auto" w:fill="FFFFFF"/>
        <w:snapToGrid w:val="0"/>
        <w:spacing w:before="0" w:beforeAutospacing="0" w:after="0" w:afterAutospacing="0" w:line="540" w:lineRule="exact"/>
        <w:ind w:firstLine="640" w:firstLineChars="200"/>
        <w:rPr>
          <w:rFonts w:eastAsia="仿宋_GB2312"/>
          <w:kern w:val="2"/>
          <w:sz w:val="32"/>
          <w:szCs w:val="32"/>
        </w:rPr>
      </w:pPr>
      <w:r>
        <w:rPr>
          <w:rFonts w:eastAsia="仿宋_GB2312"/>
          <w:kern w:val="2"/>
          <w:sz w:val="32"/>
          <w:szCs w:val="32"/>
        </w:rPr>
        <w:t>（6）指导协调和监督生态保护修复工作。</w:t>
      </w:r>
    </w:p>
    <w:p>
      <w:pPr>
        <w:pStyle w:val="2"/>
        <w:shd w:val="clear" w:color="auto" w:fill="FFFFFF"/>
        <w:snapToGrid w:val="0"/>
        <w:spacing w:before="0" w:beforeAutospacing="0" w:after="0" w:afterAutospacing="0" w:line="540" w:lineRule="exact"/>
        <w:ind w:firstLine="640" w:firstLineChars="200"/>
        <w:rPr>
          <w:rFonts w:eastAsia="仿宋_GB2312"/>
          <w:kern w:val="2"/>
          <w:sz w:val="32"/>
          <w:szCs w:val="32"/>
        </w:rPr>
      </w:pPr>
      <w:r>
        <w:rPr>
          <w:rFonts w:eastAsia="仿宋_GB2312"/>
          <w:kern w:val="2"/>
          <w:sz w:val="32"/>
          <w:szCs w:val="32"/>
        </w:rPr>
        <w:t>（7）负责核与辐射安全的监督管理。</w:t>
      </w:r>
    </w:p>
    <w:p>
      <w:pPr>
        <w:pStyle w:val="2"/>
        <w:shd w:val="clear" w:color="auto" w:fill="FFFFFF"/>
        <w:snapToGrid w:val="0"/>
        <w:spacing w:before="0" w:beforeAutospacing="0" w:after="0" w:afterAutospacing="0" w:line="540" w:lineRule="exact"/>
        <w:ind w:firstLine="640" w:firstLineChars="200"/>
        <w:rPr>
          <w:rFonts w:eastAsia="仿宋_GB2312"/>
          <w:kern w:val="2"/>
          <w:sz w:val="32"/>
          <w:szCs w:val="32"/>
        </w:rPr>
      </w:pPr>
      <w:r>
        <w:rPr>
          <w:rFonts w:eastAsia="仿宋_GB2312"/>
          <w:kern w:val="2"/>
          <w:sz w:val="32"/>
          <w:szCs w:val="32"/>
        </w:rPr>
        <w:t>（8）负责生态环境准入的监督管理。</w:t>
      </w:r>
    </w:p>
    <w:p>
      <w:pPr>
        <w:pStyle w:val="2"/>
        <w:shd w:val="clear" w:color="auto" w:fill="FFFFFF"/>
        <w:snapToGrid w:val="0"/>
        <w:spacing w:before="0" w:beforeAutospacing="0" w:after="0" w:afterAutospacing="0" w:line="540" w:lineRule="exact"/>
        <w:ind w:firstLine="640" w:firstLineChars="200"/>
        <w:rPr>
          <w:rFonts w:eastAsia="仿宋_GB2312"/>
          <w:kern w:val="2"/>
          <w:sz w:val="32"/>
          <w:szCs w:val="32"/>
        </w:rPr>
      </w:pPr>
      <w:r>
        <w:rPr>
          <w:rFonts w:eastAsia="仿宋_GB2312"/>
          <w:kern w:val="2"/>
          <w:sz w:val="32"/>
          <w:szCs w:val="32"/>
        </w:rPr>
        <w:t>（9）负责生态环境监测工作。</w:t>
      </w:r>
    </w:p>
    <w:p>
      <w:pPr>
        <w:pStyle w:val="2"/>
        <w:shd w:val="clear" w:color="auto" w:fill="FFFFFF"/>
        <w:snapToGrid w:val="0"/>
        <w:spacing w:before="0" w:beforeAutospacing="0" w:after="0" w:afterAutospacing="0" w:line="540" w:lineRule="exact"/>
        <w:ind w:firstLine="640" w:firstLineChars="200"/>
        <w:rPr>
          <w:rFonts w:eastAsia="仿宋_GB2312"/>
          <w:kern w:val="2"/>
          <w:sz w:val="32"/>
          <w:szCs w:val="32"/>
        </w:rPr>
      </w:pPr>
      <w:r>
        <w:rPr>
          <w:rFonts w:eastAsia="仿宋_GB2312"/>
          <w:kern w:val="2"/>
          <w:sz w:val="32"/>
          <w:szCs w:val="32"/>
        </w:rPr>
        <w:t>（10）负责应对气候变化工作。组织拟订应对气候变化及温室气体减排重大战略、规划和政策。</w:t>
      </w:r>
    </w:p>
    <w:p>
      <w:pPr>
        <w:pStyle w:val="2"/>
        <w:shd w:val="clear" w:color="auto" w:fill="FFFFFF"/>
        <w:snapToGrid w:val="0"/>
        <w:spacing w:before="0" w:beforeAutospacing="0" w:after="0" w:afterAutospacing="0" w:line="540" w:lineRule="exact"/>
        <w:ind w:firstLine="640" w:firstLineChars="200"/>
        <w:rPr>
          <w:rFonts w:eastAsia="仿宋_GB2312"/>
          <w:kern w:val="2"/>
          <w:sz w:val="32"/>
          <w:szCs w:val="32"/>
        </w:rPr>
      </w:pPr>
      <w:r>
        <w:rPr>
          <w:rFonts w:eastAsia="仿宋_GB2312"/>
          <w:kern w:val="2"/>
          <w:sz w:val="32"/>
          <w:szCs w:val="32"/>
        </w:rPr>
        <w:t>（11）组织开展生态环境保护督察。</w:t>
      </w:r>
    </w:p>
    <w:p>
      <w:pPr>
        <w:pStyle w:val="2"/>
        <w:shd w:val="clear" w:color="auto" w:fill="FFFFFF"/>
        <w:snapToGrid w:val="0"/>
        <w:spacing w:before="0" w:beforeAutospacing="0" w:after="0" w:afterAutospacing="0" w:line="540" w:lineRule="exact"/>
        <w:ind w:firstLine="640" w:firstLineChars="200"/>
        <w:rPr>
          <w:rFonts w:eastAsia="仿宋_GB2312"/>
          <w:kern w:val="2"/>
          <w:sz w:val="32"/>
          <w:szCs w:val="32"/>
        </w:rPr>
      </w:pPr>
      <w:r>
        <w:rPr>
          <w:rFonts w:eastAsia="仿宋_GB2312"/>
          <w:kern w:val="2"/>
          <w:sz w:val="32"/>
          <w:szCs w:val="32"/>
        </w:rPr>
        <w:t>（12）统一负责生态环境监督执法。组织开展生态环境保护执法检查活动。</w:t>
      </w:r>
    </w:p>
    <w:p>
      <w:pPr>
        <w:pStyle w:val="2"/>
        <w:shd w:val="clear" w:color="auto" w:fill="FFFFFF"/>
        <w:snapToGrid w:val="0"/>
        <w:spacing w:before="0" w:beforeAutospacing="0" w:after="0" w:afterAutospacing="0" w:line="540" w:lineRule="exact"/>
        <w:ind w:firstLine="640" w:firstLineChars="200"/>
        <w:rPr>
          <w:rFonts w:eastAsia="仿宋_GB2312"/>
          <w:kern w:val="2"/>
          <w:sz w:val="32"/>
          <w:szCs w:val="32"/>
        </w:rPr>
      </w:pPr>
      <w:r>
        <w:rPr>
          <w:rFonts w:eastAsia="仿宋_GB2312"/>
          <w:kern w:val="2"/>
          <w:sz w:val="32"/>
          <w:szCs w:val="32"/>
        </w:rPr>
        <w:t>（13）组织指导和协调生态环境宣传教育工作。</w:t>
      </w:r>
    </w:p>
    <w:p>
      <w:pPr>
        <w:pStyle w:val="2"/>
        <w:shd w:val="clear" w:color="auto" w:fill="FFFFFF"/>
        <w:snapToGrid w:val="0"/>
        <w:spacing w:before="0" w:beforeAutospacing="0" w:after="0" w:afterAutospacing="0" w:line="540" w:lineRule="exact"/>
        <w:ind w:firstLine="640" w:firstLineChars="200"/>
        <w:rPr>
          <w:rFonts w:eastAsia="仿宋_GB2312"/>
          <w:kern w:val="2"/>
          <w:sz w:val="32"/>
          <w:szCs w:val="32"/>
        </w:rPr>
      </w:pPr>
      <w:r>
        <w:rPr>
          <w:rFonts w:eastAsia="仿宋_GB2312"/>
          <w:kern w:val="2"/>
          <w:sz w:val="32"/>
          <w:szCs w:val="32"/>
        </w:rPr>
        <w:t>（14）开展生态环境合作交流，研究提出生态环境合作中有关问题的建议。</w:t>
      </w:r>
    </w:p>
    <w:p>
      <w:pPr>
        <w:pStyle w:val="2"/>
        <w:shd w:val="clear" w:color="auto" w:fill="FFFFFF"/>
        <w:snapToGrid w:val="0"/>
        <w:spacing w:before="0" w:beforeAutospacing="0" w:after="0" w:afterAutospacing="0" w:line="540" w:lineRule="exact"/>
        <w:ind w:firstLine="640" w:firstLineChars="200"/>
        <w:rPr>
          <w:rFonts w:eastAsia="仿宋_GB2312"/>
          <w:kern w:val="2"/>
          <w:sz w:val="32"/>
          <w:szCs w:val="32"/>
        </w:rPr>
      </w:pPr>
      <w:r>
        <w:rPr>
          <w:rFonts w:eastAsia="仿宋_GB2312"/>
          <w:kern w:val="2"/>
          <w:sz w:val="32"/>
          <w:szCs w:val="32"/>
        </w:rPr>
        <w:t>（15）统一行使生态和城乡各类污染排放监管与行政执法职责，切实履行监管责任，全面落实大气、水、土壤污染防治行动计划，全面禁止洋垃圾入境。构建政府为主导、企业为主体、社会组织和公众共同参与的生态环境治理体系，实行最严格的生态环境保护制度，严守生态保护红线和环境质量底线，坚决打好污染防治攻坚战。</w:t>
      </w:r>
    </w:p>
    <w:p>
      <w:pPr>
        <w:pStyle w:val="2"/>
        <w:shd w:val="clear" w:color="auto" w:fill="FFFFFF"/>
        <w:snapToGrid w:val="0"/>
        <w:spacing w:before="0" w:beforeAutospacing="0" w:after="0" w:afterAutospacing="0" w:line="540" w:lineRule="exact"/>
        <w:ind w:firstLine="640" w:firstLineChars="200"/>
        <w:rPr>
          <w:rFonts w:eastAsia="仿宋_GB2312"/>
          <w:kern w:val="2"/>
          <w:sz w:val="32"/>
          <w:szCs w:val="32"/>
        </w:rPr>
      </w:pPr>
      <w:r>
        <w:rPr>
          <w:rFonts w:eastAsia="仿宋_GB2312"/>
          <w:kern w:val="2"/>
          <w:sz w:val="32"/>
          <w:szCs w:val="32"/>
        </w:rPr>
        <w:t>（16）完成上级部门的其他任务。</w:t>
      </w:r>
    </w:p>
    <w:p>
      <w:pPr>
        <w:snapToGrid w:val="0"/>
        <w:spacing w:line="540" w:lineRule="exact"/>
        <w:ind w:firstLine="627" w:firstLineChars="196"/>
        <w:rPr>
          <w:rFonts w:eastAsia="仿宋_GB2312"/>
          <w:b/>
          <w:sz w:val="32"/>
          <w:szCs w:val="32"/>
        </w:rPr>
      </w:pPr>
      <w:r>
        <w:rPr>
          <w:rFonts w:hint="eastAsia" w:ascii="Times New Roman" w:hAnsi="Times New Roman" w:eastAsia="仿宋"/>
          <w:sz w:val="32"/>
          <w:szCs w:val="32"/>
        </w:rPr>
        <w:t>（</w:t>
      </w:r>
      <w:r>
        <w:rPr>
          <w:rFonts w:hint="eastAsia" w:ascii="Times New Roman" w:hAnsi="Times New Roman" w:eastAsia="仿宋"/>
          <w:sz w:val="32"/>
          <w:szCs w:val="32"/>
          <w:lang w:eastAsia="zh-CN"/>
        </w:rPr>
        <w:t>二</w:t>
      </w:r>
      <w:r>
        <w:rPr>
          <w:rFonts w:hint="eastAsia" w:ascii="Times New Roman" w:hAnsi="Times New Roman" w:eastAsia="仿宋"/>
          <w:sz w:val="32"/>
          <w:szCs w:val="32"/>
        </w:rPr>
        <w:t>）</w:t>
      </w:r>
      <w:r>
        <w:rPr>
          <w:rFonts w:eastAsia="仿宋_GB2312"/>
          <w:b/>
          <w:sz w:val="32"/>
          <w:szCs w:val="32"/>
        </w:rPr>
        <w:t>机构情况。</w:t>
      </w:r>
    </w:p>
    <w:p>
      <w:pPr>
        <w:keepNext w:val="0"/>
        <w:keepLines w:val="0"/>
        <w:pageBreakBefore w:val="0"/>
        <w:kinsoku/>
        <w:wordWrap/>
        <w:overflowPunct/>
        <w:topLinePunct w:val="0"/>
        <w:bidi w:val="0"/>
        <w:snapToGrid w:val="0"/>
        <w:spacing w:line="360" w:lineRule="auto"/>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衡阳市生态环境局内南岳分局设机构有：办公室、综合股、污染防治股、土壤与固废管理监测股、环境影响评价与自然生态股、党建办。</w:t>
      </w:r>
    </w:p>
    <w:p>
      <w:pPr>
        <w:keepNext w:val="0"/>
        <w:keepLines w:val="0"/>
        <w:pageBreakBefore w:val="0"/>
        <w:kinsoku/>
        <w:wordWrap/>
        <w:overflowPunct/>
        <w:topLinePunct w:val="0"/>
        <w:bidi w:val="0"/>
        <w:snapToGrid w:val="0"/>
        <w:spacing w:line="360" w:lineRule="auto"/>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其中非独立核算的二级机构有：南岳生态环境保护综合行 政执法大队、南岳生态环境事务中心。</w:t>
      </w:r>
    </w:p>
    <w:p>
      <w:pPr>
        <w:pStyle w:val="2"/>
        <w:shd w:val="clear" w:color="auto" w:fill="FFFFFF"/>
        <w:snapToGrid w:val="0"/>
        <w:spacing w:before="0" w:beforeAutospacing="0" w:after="0" w:afterAutospacing="0" w:line="540" w:lineRule="exact"/>
        <w:ind w:firstLine="627" w:firstLineChars="196"/>
        <w:rPr>
          <w:rFonts w:eastAsia="仿宋_GB2312"/>
          <w:b/>
          <w:kern w:val="2"/>
          <w:sz w:val="32"/>
          <w:szCs w:val="32"/>
        </w:rPr>
      </w:pPr>
      <w:r>
        <w:rPr>
          <w:rFonts w:hint="eastAsia" w:ascii="Times New Roman" w:hAnsi="Times New Roman" w:eastAsia="仿宋"/>
          <w:sz w:val="32"/>
          <w:szCs w:val="32"/>
        </w:rPr>
        <w:t>（</w:t>
      </w:r>
      <w:r>
        <w:rPr>
          <w:rFonts w:hint="eastAsia" w:ascii="Times New Roman" w:hAnsi="Times New Roman" w:eastAsia="仿宋"/>
          <w:sz w:val="32"/>
          <w:szCs w:val="32"/>
          <w:lang w:eastAsia="zh-CN"/>
        </w:rPr>
        <w:t>三</w:t>
      </w:r>
      <w:r>
        <w:rPr>
          <w:rFonts w:hint="eastAsia" w:ascii="Times New Roman" w:hAnsi="Times New Roman" w:eastAsia="仿宋"/>
          <w:sz w:val="32"/>
          <w:szCs w:val="32"/>
        </w:rPr>
        <w:t>）</w:t>
      </w:r>
      <w:r>
        <w:rPr>
          <w:rFonts w:eastAsia="仿宋_GB2312"/>
          <w:b/>
          <w:kern w:val="2"/>
          <w:sz w:val="32"/>
          <w:szCs w:val="32"/>
        </w:rPr>
        <w:t>人员情况。</w:t>
      </w:r>
    </w:p>
    <w:p>
      <w:pPr>
        <w:pStyle w:val="2"/>
        <w:shd w:val="clear" w:color="auto" w:fill="FFFFFF"/>
        <w:snapToGrid w:val="0"/>
        <w:spacing w:before="0" w:beforeAutospacing="0" w:after="0" w:afterAutospacing="0" w:line="540" w:lineRule="exact"/>
        <w:ind w:firstLine="640" w:firstLineChars="200"/>
        <w:rPr>
          <w:rFonts w:eastAsia="仿宋_GB2312"/>
          <w:kern w:val="2"/>
          <w:sz w:val="32"/>
          <w:szCs w:val="32"/>
        </w:rPr>
      </w:pPr>
      <w:bookmarkStart w:id="0" w:name="_GoBack"/>
      <w:r>
        <w:rPr>
          <w:rFonts w:eastAsia="仿宋_GB2312"/>
          <w:kern w:val="2"/>
          <w:sz w:val="32"/>
          <w:szCs w:val="32"/>
        </w:rPr>
        <w:t>年末实有编制人员</w:t>
      </w:r>
      <w:r>
        <w:rPr>
          <w:rFonts w:hint="eastAsia" w:eastAsia="仿宋_GB2312"/>
          <w:kern w:val="2"/>
          <w:sz w:val="32"/>
          <w:szCs w:val="32"/>
          <w:lang w:val="en-US" w:eastAsia="zh-CN"/>
        </w:rPr>
        <w:t>14</w:t>
      </w:r>
      <w:r>
        <w:rPr>
          <w:rFonts w:eastAsia="仿宋_GB2312"/>
          <w:kern w:val="2"/>
          <w:sz w:val="32"/>
          <w:szCs w:val="32"/>
        </w:rPr>
        <w:t>名</w:t>
      </w:r>
      <w:r>
        <w:rPr>
          <w:rFonts w:hint="eastAsia" w:eastAsia="仿宋_GB2312"/>
          <w:kern w:val="2"/>
          <w:sz w:val="32"/>
          <w:szCs w:val="32"/>
          <w:lang w:eastAsia="zh-CN"/>
        </w:rPr>
        <w:t>，</w:t>
      </w:r>
      <w:r>
        <w:rPr>
          <w:rFonts w:hint="eastAsia" w:eastAsia="仿宋_GB2312"/>
          <w:kern w:val="2"/>
          <w:sz w:val="32"/>
          <w:szCs w:val="32"/>
          <w:lang w:val="en-US" w:eastAsia="zh-CN"/>
        </w:rPr>
        <w:t>与上年持平</w:t>
      </w:r>
      <w:r>
        <w:rPr>
          <w:rFonts w:eastAsia="仿宋_GB2312"/>
          <w:kern w:val="2"/>
          <w:sz w:val="32"/>
          <w:szCs w:val="32"/>
        </w:rPr>
        <w:t>，其中行政编制5名。</w:t>
      </w:r>
    </w:p>
    <w:bookmarkEnd w:id="0"/>
    <w:p>
      <w:pPr>
        <w:pStyle w:val="5"/>
        <w:widowControl/>
        <w:ind w:firstLine="640"/>
        <w:rPr>
          <w:rFonts w:eastAsia="黑体"/>
          <w:sz w:val="32"/>
          <w:szCs w:val="32"/>
        </w:rPr>
      </w:pPr>
      <w:r>
        <w:rPr>
          <w:rFonts w:eastAsia="黑体"/>
          <w:sz w:val="32"/>
          <w:szCs w:val="32"/>
        </w:rPr>
        <w:t>二、一般公共预算支出情况</w:t>
      </w:r>
    </w:p>
    <w:p>
      <w:pPr>
        <w:pStyle w:val="5"/>
        <w:widowControl/>
        <w:ind w:firstLine="643"/>
        <w:rPr>
          <w:rFonts w:eastAsia="楷体"/>
          <w:b/>
          <w:sz w:val="32"/>
          <w:szCs w:val="32"/>
        </w:rPr>
      </w:pPr>
      <w:r>
        <w:rPr>
          <w:rFonts w:eastAsia="楷体"/>
          <w:b/>
          <w:sz w:val="32"/>
          <w:szCs w:val="32"/>
        </w:rPr>
        <w:t>（一）基本支出情况</w:t>
      </w:r>
    </w:p>
    <w:p>
      <w:pPr>
        <w:adjustRightInd w:val="0"/>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基本支出系保障我局正常运转、完成日常工作任务而发生的各项支出，包括用于在职和离退休人员基本工资、津贴补贴等人员经费以及办公费、印刷费、水电费、办公设备购置等日常公用经费。</w:t>
      </w:r>
    </w:p>
    <w:p>
      <w:pPr>
        <w:adjustRightInd w:val="0"/>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ascii="Times New Roman" w:hAnsi="Times New Roman" w:eastAsia="仿宋_GB2312"/>
          <w:sz w:val="32"/>
          <w:szCs w:val="32"/>
        </w:rPr>
        <w:t>年基本支出</w:t>
      </w:r>
      <w:r>
        <w:rPr>
          <w:rFonts w:hint="eastAsia" w:ascii="Times New Roman" w:hAnsi="Times New Roman" w:eastAsia="仿宋_GB2312"/>
          <w:sz w:val="32"/>
          <w:szCs w:val="32"/>
        </w:rPr>
        <w:t>170.15</w:t>
      </w:r>
      <w:r>
        <w:rPr>
          <w:rFonts w:ascii="Times New Roman" w:hAnsi="Times New Roman" w:eastAsia="仿宋_GB2312"/>
          <w:sz w:val="32"/>
          <w:szCs w:val="32"/>
        </w:rPr>
        <w:t>万元。</w:t>
      </w:r>
      <w:r>
        <w:rPr>
          <w:rFonts w:hint="eastAsia" w:ascii="Times New Roman" w:hAnsi="Times New Roman" w:eastAsia="仿宋_GB2312"/>
          <w:sz w:val="32"/>
          <w:szCs w:val="32"/>
          <w:lang w:eastAsia="zh-CN"/>
        </w:rPr>
        <w:t>其中：</w:t>
      </w:r>
      <w:r>
        <w:rPr>
          <w:rFonts w:ascii="Times New Roman" w:hAnsi="Times New Roman" w:eastAsia="仿宋_GB2312"/>
          <w:color w:val="000000"/>
          <w:sz w:val="32"/>
          <w:szCs w:val="32"/>
        </w:rPr>
        <w:t>人员经费</w:t>
      </w:r>
      <w:r>
        <w:rPr>
          <w:rFonts w:hint="eastAsia" w:ascii="Times New Roman" w:hAnsi="Times New Roman" w:eastAsia="仿宋_GB2312"/>
          <w:color w:val="000000"/>
          <w:sz w:val="32"/>
          <w:szCs w:val="32"/>
          <w:lang w:val="en-US" w:eastAsia="zh-CN"/>
        </w:rPr>
        <w:t>143.86</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lang w:eastAsia="zh-CN"/>
        </w:rPr>
        <w:t>（工资福利费用支出</w:t>
      </w:r>
      <w:r>
        <w:rPr>
          <w:rFonts w:hint="eastAsia" w:ascii="Times New Roman" w:hAnsi="Times New Roman" w:eastAsia="仿宋_GB2312"/>
          <w:color w:val="000000"/>
          <w:sz w:val="32"/>
          <w:szCs w:val="32"/>
          <w:lang w:val="en-US" w:eastAsia="zh-CN"/>
        </w:rPr>
        <w:t>143.85万元）</w:t>
      </w:r>
      <w:r>
        <w:rPr>
          <w:rFonts w:ascii="Times New Roman" w:eastAsia="仿宋_GB2312"/>
          <w:sz w:val="32"/>
          <w:szCs w:val="32"/>
        </w:rPr>
        <w:t>；</w:t>
      </w:r>
      <w:r>
        <w:rPr>
          <w:rFonts w:ascii="Times New Roman" w:hAnsi="Times New Roman" w:eastAsia="仿宋_GB2312"/>
          <w:color w:val="000000"/>
          <w:sz w:val="32"/>
          <w:szCs w:val="32"/>
        </w:rPr>
        <w:t>日常公用经费</w:t>
      </w:r>
      <w:r>
        <w:rPr>
          <w:rFonts w:hint="eastAsia" w:ascii="Times New Roman" w:hAnsi="Times New Roman" w:eastAsia="仿宋_GB2312"/>
          <w:color w:val="000000"/>
          <w:sz w:val="32"/>
          <w:szCs w:val="32"/>
          <w:lang w:val="en-US" w:eastAsia="zh-CN"/>
        </w:rPr>
        <w:t>26.30</w:t>
      </w:r>
      <w:r>
        <w:rPr>
          <w:rFonts w:ascii="Times New Roman" w:hAnsi="Times New Roman" w:eastAsia="仿宋_GB2312"/>
          <w:color w:val="000000"/>
          <w:sz w:val="32"/>
          <w:szCs w:val="32"/>
        </w:rPr>
        <w:t>万元。</w:t>
      </w:r>
    </w:p>
    <w:p>
      <w:pPr>
        <w:pStyle w:val="5"/>
        <w:widowControl/>
        <w:ind w:firstLine="643"/>
        <w:rPr>
          <w:rFonts w:eastAsia="楷体"/>
          <w:b/>
          <w:sz w:val="32"/>
          <w:szCs w:val="32"/>
        </w:rPr>
      </w:pPr>
      <w:r>
        <w:rPr>
          <w:rFonts w:eastAsia="楷体"/>
          <w:b/>
          <w:sz w:val="32"/>
          <w:szCs w:val="32"/>
        </w:rPr>
        <w:t>（二）项目支出情况</w:t>
      </w:r>
    </w:p>
    <w:p>
      <w:pPr>
        <w:adjustRightInd w:val="0"/>
        <w:snapToGrid w:val="0"/>
        <w:spacing w:line="540" w:lineRule="exact"/>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eastAsia="zh-CN"/>
        </w:rPr>
        <w:t>2024</w:t>
      </w:r>
      <w:r>
        <w:rPr>
          <w:rFonts w:hint="eastAsia" w:ascii="Times New Roman" w:hAnsi="Times New Roman" w:eastAsia="仿宋"/>
          <w:sz w:val="32"/>
          <w:szCs w:val="32"/>
        </w:rPr>
        <w:t>年度</w:t>
      </w:r>
      <w:r>
        <w:rPr>
          <w:rFonts w:hint="eastAsia" w:ascii="Times New Roman" w:hAnsi="Times New Roman" w:eastAsia="仿宋"/>
          <w:sz w:val="32"/>
          <w:szCs w:val="32"/>
          <w:lang w:val="en-US" w:eastAsia="zh-CN"/>
        </w:rPr>
        <w:t>市级项目年初预算84.67万元，</w:t>
      </w:r>
      <w:r>
        <w:rPr>
          <w:rFonts w:hint="eastAsia" w:ascii="Times New Roman" w:hAnsi="Times New Roman" w:eastAsia="仿宋"/>
          <w:sz w:val="32"/>
          <w:szCs w:val="32"/>
        </w:rPr>
        <w:t>实际发生支出</w:t>
      </w:r>
      <w:r>
        <w:rPr>
          <w:rFonts w:hint="eastAsia" w:ascii="Times New Roman" w:hAnsi="Times New Roman" w:eastAsia="仿宋"/>
          <w:sz w:val="32"/>
          <w:szCs w:val="32"/>
          <w:lang w:val="en-US" w:eastAsia="zh-CN"/>
        </w:rPr>
        <w:t>84.51</w:t>
      </w:r>
      <w:r>
        <w:rPr>
          <w:rFonts w:hint="eastAsia" w:ascii="Times New Roman" w:hAnsi="Times New Roman" w:eastAsia="仿宋"/>
          <w:sz w:val="32"/>
          <w:szCs w:val="32"/>
        </w:rPr>
        <w:t>万元</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其中：</w:t>
      </w:r>
    </w:p>
    <w:p>
      <w:pPr>
        <w:numPr>
          <w:ilvl w:val="0"/>
          <w:numId w:val="2"/>
        </w:numPr>
        <w:adjustRightInd w:val="0"/>
        <w:snapToGrid w:val="0"/>
        <w:spacing w:line="540" w:lineRule="exact"/>
        <w:ind w:firstLine="320" w:firstLineChars="1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 xml:space="preserve"> </w:t>
      </w:r>
      <w:r>
        <w:rPr>
          <w:rFonts w:hint="default" w:ascii="Times New Roman" w:hAnsi="Times New Roman" w:eastAsia="仿宋"/>
          <w:sz w:val="32"/>
          <w:szCs w:val="32"/>
          <w:lang w:val="en-US" w:eastAsia="zh-CN"/>
        </w:rPr>
        <w:t>202</w:t>
      </w:r>
      <w:r>
        <w:rPr>
          <w:rFonts w:hint="eastAsia" w:ascii="Times New Roman" w:hAnsi="Times New Roman" w:eastAsia="仿宋"/>
          <w:sz w:val="32"/>
          <w:szCs w:val="32"/>
          <w:lang w:val="en-US" w:eastAsia="zh-CN"/>
        </w:rPr>
        <w:t>4</w:t>
      </w:r>
      <w:r>
        <w:rPr>
          <w:rFonts w:hint="default" w:ascii="Times New Roman" w:hAnsi="Times New Roman" w:eastAsia="仿宋"/>
          <w:sz w:val="32"/>
          <w:szCs w:val="32"/>
          <w:lang w:val="en-US" w:eastAsia="zh-CN"/>
        </w:rPr>
        <w:t>年增人增资</w:t>
      </w:r>
      <w:r>
        <w:rPr>
          <w:rFonts w:hint="eastAsia" w:ascii="Times New Roman" w:hAnsi="Times New Roman" w:eastAsia="仿宋"/>
          <w:sz w:val="32"/>
          <w:szCs w:val="32"/>
          <w:lang w:val="en-US" w:eastAsia="zh-CN"/>
        </w:rPr>
        <w:t>，2024年年初预算0万元，实际支出0.97万元。</w:t>
      </w:r>
    </w:p>
    <w:p>
      <w:pPr>
        <w:numPr>
          <w:ilvl w:val="0"/>
          <w:numId w:val="2"/>
        </w:numPr>
        <w:adjustRightInd w:val="0"/>
        <w:snapToGrid w:val="0"/>
        <w:spacing w:line="540" w:lineRule="exact"/>
        <w:ind w:firstLine="320" w:firstLineChars="1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生态红线保护经费，2024年年初预算9.00万元，实际支出9.00万元。</w:t>
      </w:r>
    </w:p>
    <w:p>
      <w:pPr>
        <w:numPr>
          <w:ilvl w:val="0"/>
          <w:numId w:val="2"/>
        </w:numPr>
        <w:adjustRightInd w:val="0"/>
        <w:snapToGrid w:val="0"/>
        <w:spacing w:line="540" w:lineRule="exact"/>
        <w:ind w:firstLine="320" w:firstLineChars="1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日常环境监测与监察，2024年年初预算9.40万元，实际支出9.40万元。</w:t>
      </w:r>
    </w:p>
    <w:p>
      <w:pPr>
        <w:numPr>
          <w:ilvl w:val="0"/>
          <w:numId w:val="2"/>
        </w:numPr>
        <w:adjustRightInd w:val="0"/>
        <w:snapToGrid w:val="0"/>
        <w:spacing w:line="540" w:lineRule="exact"/>
        <w:ind w:firstLine="320" w:firstLineChars="1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开展环保专项整治行动工作经费，2024年年初预算9.00万元，实际支出9.00万元。</w:t>
      </w:r>
    </w:p>
    <w:p>
      <w:pPr>
        <w:numPr>
          <w:ilvl w:val="0"/>
          <w:numId w:val="2"/>
        </w:numPr>
        <w:adjustRightInd w:val="0"/>
        <w:snapToGrid w:val="0"/>
        <w:spacing w:line="540" w:lineRule="exact"/>
        <w:ind w:firstLine="320" w:firstLineChars="1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环保宣传费，2024年年初预算9.00万元，实际支出7.62万元。</w:t>
      </w:r>
    </w:p>
    <w:p>
      <w:pPr>
        <w:numPr>
          <w:ilvl w:val="0"/>
          <w:numId w:val="2"/>
        </w:numPr>
        <w:adjustRightInd w:val="0"/>
        <w:snapToGrid w:val="0"/>
        <w:spacing w:line="540" w:lineRule="exact"/>
        <w:ind w:firstLine="320" w:firstLineChars="1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环保执法补助费，2024年年初预算24.00万元，实际支出24.00万元。</w:t>
      </w:r>
    </w:p>
    <w:p>
      <w:pPr>
        <w:numPr>
          <w:ilvl w:val="0"/>
          <w:numId w:val="2"/>
        </w:numPr>
        <w:adjustRightInd w:val="0"/>
        <w:snapToGrid w:val="0"/>
        <w:spacing w:line="540" w:lineRule="exact"/>
        <w:ind w:firstLine="320" w:firstLineChars="1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监测实验室建设及维护，2024年年初预算7.00万元，实际支出4.77万元。</w:t>
      </w:r>
    </w:p>
    <w:p>
      <w:pPr>
        <w:numPr>
          <w:ilvl w:val="0"/>
          <w:numId w:val="2"/>
        </w:numPr>
        <w:adjustRightInd w:val="0"/>
        <w:snapToGrid w:val="0"/>
        <w:spacing w:line="540" w:lineRule="exact"/>
        <w:ind w:firstLine="320" w:firstLineChars="1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汽车尾气污染治理工作经费，2024年年初预算3.00万元，实际支出2.75万元。</w:t>
      </w:r>
    </w:p>
    <w:p>
      <w:pPr>
        <w:numPr>
          <w:ilvl w:val="0"/>
          <w:numId w:val="2"/>
        </w:numPr>
        <w:adjustRightInd w:val="0"/>
        <w:snapToGrid w:val="0"/>
        <w:spacing w:line="540" w:lineRule="exact"/>
        <w:ind w:firstLine="320" w:firstLineChars="1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扬尘污染治理，2024年年初预算6.00万元，实际支出6.00万元。</w:t>
      </w:r>
    </w:p>
    <w:p>
      <w:pPr>
        <w:numPr>
          <w:ilvl w:val="0"/>
          <w:numId w:val="2"/>
        </w:numPr>
        <w:adjustRightInd w:val="0"/>
        <w:snapToGrid w:val="0"/>
        <w:spacing w:line="540" w:lineRule="exact"/>
        <w:ind w:firstLine="320" w:firstLineChars="1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主要污染物总量减排工作经费，2024年年初预算5.00万元，实际支出5.00万元。</w:t>
      </w:r>
    </w:p>
    <w:p>
      <w:pPr>
        <w:numPr>
          <w:ilvl w:val="0"/>
          <w:numId w:val="2"/>
        </w:numPr>
        <w:adjustRightInd w:val="0"/>
        <w:snapToGrid w:val="0"/>
        <w:spacing w:line="540" w:lineRule="exact"/>
        <w:ind w:firstLine="320" w:firstLineChars="1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自然保护地监管工作经费，2024年年初预算5.00万元，实际支出5.00万元。</w:t>
      </w:r>
    </w:p>
    <w:p>
      <w:pPr>
        <w:numPr>
          <w:ilvl w:val="0"/>
          <w:numId w:val="2"/>
        </w:numPr>
        <w:adjustRightInd w:val="0"/>
        <w:snapToGrid w:val="0"/>
        <w:spacing w:line="540" w:lineRule="exact"/>
        <w:ind w:firstLine="320" w:firstLineChars="1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非税返还，2024年年初预算0万元，实际支出1.00万元。</w:t>
      </w:r>
    </w:p>
    <w:p>
      <w:pPr>
        <w:pStyle w:val="5"/>
        <w:widowControl/>
        <w:ind w:firstLine="640"/>
        <w:rPr>
          <w:rFonts w:eastAsia="黑体"/>
          <w:sz w:val="32"/>
          <w:szCs w:val="32"/>
        </w:rPr>
      </w:pPr>
      <w:r>
        <w:rPr>
          <w:rFonts w:eastAsia="黑体"/>
          <w:sz w:val="32"/>
          <w:szCs w:val="32"/>
        </w:rPr>
        <w:t>三、政府性基金预算支出情况</w:t>
      </w:r>
    </w:p>
    <w:p>
      <w:pPr>
        <w:pStyle w:val="5"/>
        <w:widowControl/>
        <w:spacing w:line="600" w:lineRule="exact"/>
        <w:ind w:firstLine="640"/>
        <w:jc w:val="left"/>
        <w:rPr>
          <w:rFonts w:ascii="Times New Roman" w:hAnsi="Times New Roman" w:eastAsia="黑体"/>
          <w:sz w:val="32"/>
          <w:szCs w:val="32"/>
        </w:rPr>
      </w:pPr>
      <w:r>
        <w:rPr>
          <w:rFonts w:hint="eastAsia" w:ascii="Times New Roman" w:hAnsi="Times New Roman" w:eastAsia="黑体"/>
          <w:sz w:val="32"/>
          <w:szCs w:val="32"/>
        </w:rPr>
        <w:t>无</w:t>
      </w:r>
    </w:p>
    <w:p>
      <w:pPr>
        <w:pStyle w:val="5"/>
        <w:widowControl/>
        <w:numPr>
          <w:ilvl w:val="0"/>
          <w:numId w:val="3"/>
        </w:numPr>
        <w:ind w:firstLine="640"/>
        <w:rPr>
          <w:rFonts w:eastAsia="黑体"/>
          <w:sz w:val="32"/>
          <w:szCs w:val="32"/>
        </w:rPr>
      </w:pPr>
      <w:r>
        <w:rPr>
          <w:rFonts w:eastAsia="黑体"/>
          <w:sz w:val="32"/>
          <w:szCs w:val="32"/>
        </w:rPr>
        <w:t>国有资本经营预算支出情况</w:t>
      </w:r>
    </w:p>
    <w:p>
      <w:pPr>
        <w:pStyle w:val="5"/>
        <w:widowControl/>
        <w:spacing w:line="600" w:lineRule="exact"/>
        <w:ind w:firstLine="640"/>
        <w:jc w:val="left"/>
        <w:rPr>
          <w:rFonts w:ascii="Times New Roman" w:hAnsi="Times New Roman" w:eastAsia="黑体"/>
          <w:sz w:val="32"/>
          <w:szCs w:val="32"/>
        </w:rPr>
      </w:pPr>
      <w:r>
        <w:rPr>
          <w:rFonts w:hint="eastAsia" w:ascii="Times New Roman" w:hAnsi="Times New Roman" w:eastAsia="黑体"/>
          <w:sz w:val="32"/>
          <w:szCs w:val="32"/>
        </w:rPr>
        <w:t>无</w:t>
      </w:r>
    </w:p>
    <w:p>
      <w:pPr>
        <w:pStyle w:val="5"/>
        <w:widowControl/>
        <w:ind w:firstLine="640"/>
        <w:rPr>
          <w:rFonts w:eastAsia="黑体"/>
          <w:sz w:val="32"/>
          <w:szCs w:val="32"/>
        </w:rPr>
      </w:pPr>
      <w:r>
        <w:rPr>
          <w:rFonts w:eastAsia="黑体"/>
          <w:sz w:val="32"/>
          <w:szCs w:val="32"/>
        </w:rPr>
        <w:t>五、社会保险基金预算支出情况</w:t>
      </w:r>
    </w:p>
    <w:p>
      <w:pPr>
        <w:pStyle w:val="5"/>
        <w:widowControl/>
        <w:spacing w:line="600" w:lineRule="exact"/>
        <w:ind w:firstLine="640"/>
        <w:jc w:val="left"/>
        <w:rPr>
          <w:rFonts w:ascii="Times New Roman" w:hAnsi="Times New Roman" w:eastAsia="黑体"/>
          <w:sz w:val="32"/>
          <w:szCs w:val="32"/>
        </w:rPr>
      </w:pPr>
      <w:r>
        <w:rPr>
          <w:rFonts w:hint="eastAsia" w:ascii="Times New Roman" w:hAnsi="Times New Roman" w:eastAsia="黑体"/>
          <w:sz w:val="32"/>
          <w:szCs w:val="32"/>
        </w:rPr>
        <w:t>无</w:t>
      </w:r>
    </w:p>
    <w:p>
      <w:pPr>
        <w:widowControl/>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pPr>
        <w:pStyle w:val="5"/>
        <w:widowControl/>
        <w:ind w:firstLine="640"/>
        <w:rPr>
          <w:rFonts w:ascii="Times New Roman" w:hAnsi="Times New Roman" w:eastAsia="仿宋"/>
          <w:sz w:val="32"/>
          <w:szCs w:val="32"/>
        </w:rPr>
      </w:pPr>
      <w:r>
        <w:rPr>
          <w:rFonts w:hint="eastAsia" w:ascii="Times New Roman" w:hAnsi="Times New Roman" w:eastAsia="仿宋"/>
          <w:sz w:val="32"/>
          <w:szCs w:val="32"/>
        </w:rPr>
        <w:t>（一）产出指标完成情况分析。包括数量指标、质量指标、时效指标和成本指标。</w:t>
      </w:r>
    </w:p>
    <w:p>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 xml:space="preserve">1、数量指标：基本完成 </w:t>
      </w:r>
      <w:r>
        <w:rPr>
          <w:rFonts w:hint="eastAsia" w:ascii="Times New Roman" w:hAnsi="Times New Roman" w:eastAsia="仿宋"/>
          <w:sz w:val="32"/>
          <w:szCs w:val="32"/>
          <w:lang w:eastAsia="zh-CN"/>
        </w:rPr>
        <w:t>2024</w:t>
      </w:r>
      <w:r>
        <w:rPr>
          <w:rFonts w:hint="eastAsia" w:ascii="Times New Roman" w:hAnsi="Times New Roman" w:eastAsia="仿宋"/>
          <w:sz w:val="32"/>
          <w:szCs w:val="32"/>
        </w:rPr>
        <w:t>年的工作任务。</w:t>
      </w:r>
    </w:p>
    <w:p>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 xml:space="preserve">2、质量指标：基本按要求完成 </w:t>
      </w:r>
      <w:r>
        <w:rPr>
          <w:rFonts w:hint="eastAsia" w:ascii="Times New Roman" w:hAnsi="Times New Roman" w:eastAsia="仿宋"/>
          <w:sz w:val="32"/>
          <w:szCs w:val="32"/>
          <w:lang w:eastAsia="zh-CN"/>
        </w:rPr>
        <w:t>2024</w:t>
      </w:r>
      <w:r>
        <w:rPr>
          <w:rFonts w:hint="eastAsia" w:ascii="Times New Roman" w:hAnsi="Times New Roman" w:eastAsia="仿宋"/>
          <w:sz w:val="32"/>
          <w:szCs w:val="32"/>
        </w:rPr>
        <w:t>年工作任务。</w:t>
      </w:r>
    </w:p>
    <w:p>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3、时效指标：基本在绩效目标确定的时限内完成了各项工作。</w:t>
      </w:r>
    </w:p>
    <w:p>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4、成本指标：工作成本控制良好。</w:t>
      </w:r>
    </w:p>
    <w:p>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（二）效益指标完成情况分析。包括经济效益、社会效益、生态效益和可持续影响。</w:t>
      </w:r>
    </w:p>
    <w:p>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2024</w:t>
      </w:r>
      <w:r>
        <w:rPr>
          <w:rFonts w:hint="eastAsia" w:ascii="Times New Roman" w:hAnsi="Times New Roman" w:eastAsia="仿宋"/>
          <w:sz w:val="32"/>
          <w:szCs w:val="32"/>
        </w:rPr>
        <w:t>年，我单位较好地完成了年初制定的工作目标任务，各个项目有序开展，整体支出平稳，较好地实现社会效益和可持续效益目标。</w:t>
      </w:r>
    </w:p>
    <w:p>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（三）满意度指标完成情况分析。</w:t>
      </w:r>
    </w:p>
    <w:p>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我单位对所有项目实施和整体社会效益及满意度等各项指标进行调查，</w:t>
      </w:r>
      <w:r>
        <w:rPr>
          <w:rFonts w:hint="eastAsia" w:ascii="Times New Roman" w:hAnsi="Times New Roman" w:eastAsia="仿宋"/>
          <w:sz w:val="32"/>
          <w:szCs w:val="32"/>
          <w:lang w:val="en-US" w:eastAsia="zh-CN"/>
        </w:rPr>
        <w:t>群</w:t>
      </w:r>
      <w:r>
        <w:rPr>
          <w:rFonts w:hint="eastAsia" w:ascii="Times New Roman" w:hAnsi="Times New Roman" w:eastAsia="仿宋"/>
          <w:sz w:val="32"/>
          <w:szCs w:val="32"/>
        </w:rPr>
        <w:t>众对项目实施满意度达9</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%，达到了预期效果。</w:t>
      </w:r>
    </w:p>
    <w:p>
      <w:pPr>
        <w:adjustRightInd w:val="0"/>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总结归纳本部门“四本预算”支出的绩效目标完成情况，实现产出和取得效益的情况。围绕部门职责、行业发展规划，以预算资金管理为主线，总结部门资产管理和开展业务情况，从运行成本、管理效率、履职效能、社会效应、可持续发展能力和服务对象满意度等方面，衡量部门整体及核心业务实施效果。</w:t>
      </w:r>
    </w:p>
    <w:p>
      <w:pPr>
        <w:pStyle w:val="5"/>
        <w:widowControl/>
        <w:ind w:firstLine="640"/>
        <w:rPr>
          <w:rFonts w:eastAsia="黑体"/>
          <w:sz w:val="32"/>
          <w:szCs w:val="32"/>
        </w:rPr>
      </w:pPr>
      <w:r>
        <w:rPr>
          <w:rFonts w:eastAsia="黑体"/>
          <w:sz w:val="32"/>
          <w:szCs w:val="32"/>
        </w:rPr>
        <w:t>七、存在的问题及原因分析</w:t>
      </w:r>
    </w:p>
    <w:p>
      <w:pPr>
        <w:widowControl/>
        <w:ind w:firstLine="640" w:firstLineChars="200"/>
        <w:rPr>
          <w:rFonts w:hint="eastAsia" w:eastAsia="仿宋"/>
          <w:sz w:val="32"/>
          <w:szCs w:val="32"/>
          <w:lang w:val="en-US" w:eastAsia="zh-CN"/>
        </w:rPr>
      </w:pPr>
      <w:r>
        <w:rPr>
          <w:rFonts w:hint="eastAsia" w:eastAsia="仿宋"/>
          <w:sz w:val="32"/>
          <w:szCs w:val="32"/>
          <w:lang w:val="en-US" w:eastAsia="zh-CN"/>
        </w:rPr>
        <w:t>无</w:t>
      </w:r>
    </w:p>
    <w:p>
      <w:pPr>
        <w:widowControl/>
        <w:numPr>
          <w:ilvl w:val="0"/>
          <w:numId w:val="4"/>
        </w:numPr>
        <w:ind w:firstLine="640" w:firstLineChars="200"/>
        <w:rPr>
          <w:rFonts w:ascii="Times New Roman" w:hAnsi="Times New Roman" w:eastAsia="黑体"/>
          <w:sz w:val="32"/>
          <w:szCs w:val="32"/>
        </w:rPr>
      </w:pPr>
      <w:r>
        <w:rPr>
          <w:rFonts w:ascii="Times New Roman" w:hAnsi="Times New Roman" w:eastAsia="黑体"/>
          <w:sz w:val="32"/>
          <w:szCs w:val="32"/>
        </w:rPr>
        <w:t>下一步改进措施</w:t>
      </w:r>
    </w:p>
    <w:p>
      <w:pPr>
        <w:adjustRightInd w:val="0"/>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snapToGrid w:val="0"/>
          <w:sz w:val="32"/>
          <w:szCs w:val="32"/>
        </w:rPr>
        <w:t>继续加强专项资金的规范使用应完善措施，安排专职会计人员建立对项目单位专项资金使用管理的定期检查制度，完善内部控制制度、费用支出报账程序，杜绝挪用、虚列支出现象的发生。保证项目执行进度与计划相符，确保项目目标的实现，提高资金使用效益。</w:t>
      </w:r>
    </w:p>
    <w:p>
      <w:pPr>
        <w:widowControl/>
        <w:ind w:firstLine="640" w:firstLineChars="200"/>
        <w:rPr>
          <w:rFonts w:ascii="黑体" w:hAnsi="黑体" w:eastAsia="黑体" w:cs="黑体"/>
          <w:kern w:val="0"/>
          <w:sz w:val="32"/>
          <w:szCs w:val="32"/>
        </w:rPr>
      </w:pPr>
      <w:r>
        <w:rPr>
          <w:rFonts w:ascii="Times New Roman" w:hAnsi="Times New Roman" w:eastAsia="黑体"/>
          <w:sz w:val="32"/>
          <w:szCs w:val="32"/>
        </w:rPr>
        <w:t>九、其他需要说明的情况</w:t>
      </w:r>
    </w:p>
    <w:p>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无。</w:t>
      </w:r>
    </w:p>
    <w:p>
      <w:pPr>
        <w:ind w:right="640"/>
        <w:rPr>
          <w:rFonts w:hint="eastAsia" w:ascii="黑体" w:hAnsi="黑体" w:eastAsia="黑体" w:cs="黑体"/>
          <w:kern w:val="0"/>
          <w:sz w:val="32"/>
          <w:szCs w:val="32"/>
        </w:rPr>
      </w:pPr>
    </w:p>
    <w:p>
      <w:pPr>
        <w:ind w:right="640"/>
        <w:rPr>
          <w:rFonts w:hint="eastAsia" w:ascii="黑体" w:hAnsi="黑体" w:eastAsia="黑体" w:cs="黑体"/>
          <w:kern w:val="0"/>
          <w:sz w:val="32"/>
          <w:szCs w:val="32"/>
        </w:rPr>
      </w:pPr>
    </w:p>
    <w:p>
      <w:pPr>
        <w:ind w:right="640"/>
        <w:rPr>
          <w:rFonts w:hint="eastAsia" w:ascii="黑体" w:hAnsi="黑体" w:eastAsia="黑体" w:cs="黑体"/>
          <w:kern w:val="0"/>
          <w:sz w:val="32"/>
          <w:szCs w:val="32"/>
        </w:rPr>
      </w:pPr>
    </w:p>
    <w:p>
      <w:pPr>
        <w:ind w:right="640"/>
        <w:rPr>
          <w:rFonts w:hint="eastAsia" w:ascii="黑体" w:hAnsi="黑体" w:eastAsia="黑体" w:cs="黑体"/>
          <w:kern w:val="0"/>
          <w:sz w:val="32"/>
          <w:szCs w:val="32"/>
        </w:rPr>
      </w:pPr>
    </w:p>
    <w:p>
      <w:pPr>
        <w:ind w:right="640"/>
        <w:rPr>
          <w:rFonts w:hint="eastAsia" w:ascii="黑体" w:hAnsi="黑体" w:eastAsia="黑体" w:cs="黑体"/>
          <w:kern w:val="0"/>
          <w:sz w:val="32"/>
          <w:szCs w:val="32"/>
        </w:rPr>
      </w:pPr>
    </w:p>
    <w:p>
      <w:pPr>
        <w:ind w:right="640"/>
        <w:rPr>
          <w:rFonts w:hint="eastAsia" w:ascii="黑体" w:hAnsi="黑体" w:eastAsia="黑体" w:cs="黑体"/>
          <w:kern w:val="0"/>
          <w:sz w:val="32"/>
          <w:szCs w:val="32"/>
        </w:rPr>
      </w:pPr>
    </w:p>
    <w:p>
      <w:pPr>
        <w:ind w:right="640"/>
        <w:rPr>
          <w:rFonts w:hint="eastAsia" w:ascii="黑体" w:hAnsi="黑体" w:eastAsia="黑体" w:cs="黑体"/>
          <w:kern w:val="0"/>
          <w:sz w:val="32"/>
          <w:szCs w:val="32"/>
        </w:rPr>
      </w:pPr>
    </w:p>
    <w:p>
      <w:pPr>
        <w:ind w:right="640"/>
        <w:rPr>
          <w:rFonts w:hint="eastAsia" w:ascii="黑体" w:hAnsi="黑体" w:eastAsia="黑体" w:cs="黑体"/>
          <w:kern w:val="0"/>
          <w:sz w:val="32"/>
          <w:szCs w:val="32"/>
        </w:rPr>
      </w:pPr>
    </w:p>
    <w:p>
      <w:pPr>
        <w:ind w:right="640"/>
        <w:rPr>
          <w:rFonts w:hint="eastAsia" w:ascii="黑体" w:hAnsi="黑体" w:eastAsia="黑体" w:cs="黑体"/>
          <w:kern w:val="0"/>
          <w:sz w:val="32"/>
          <w:szCs w:val="32"/>
        </w:rPr>
      </w:pPr>
    </w:p>
    <w:p>
      <w:pPr>
        <w:ind w:right="640"/>
        <w:rPr>
          <w:rFonts w:hint="eastAsia" w:ascii="黑体" w:hAnsi="黑体" w:eastAsia="黑体" w:cs="黑体"/>
          <w:kern w:val="0"/>
          <w:sz w:val="32"/>
          <w:szCs w:val="32"/>
        </w:rPr>
      </w:pPr>
    </w:p>
    <w:p>
      <w:pPr>
        <w:ind w:right="640"/>
        <w:rPr>
          <w:rFonts w:hint="eastAsia" w:ascii="黑体" w:hAnsi="黑体" w:eastAsia="黑体" w:cs="黑体"/>
          <w:kern w:val="0"/>
          <w:sz w:val="32"/>
          <w:szCs w:val="32"/>
        </w:rPr>
      </w:pPr>
    </w:p>
    <w:p/>
    <w:p>
      <w:pPr>
        <w:bidi w:val="0"/>
        <w:rPr>
          <w:rFonts w:ascii="Calibri" w:hAnsi="Calibri" w:eastAsia="宋体" w:cs="Times New Roman"/>
          <w:kern w:val="2"/>
          <w:sz w:val="21"/>
          <w:szCs w:val="22"/>
          <w:lang w:val="en-US" w:eastAsia="zh-CN" w:bidi="ar-SA"/>
        </w:rPr>
      </w:pPr>
    </w:p>
    <w:p>
      <w:pPr>
        <w:widowControl/>
        <w:spacing w:line="600" w:lineRule="exact"/>
        <w:jc w:val="left"/>
        <w:rPr>
          <w:rFonts w:ascii="Times New Roman" w:hAnsi="Times New Roman" w:eastAsia="黑体"/>
          <w:sz w:val="32"/>
          <w:szCs w:val="32"/>
        </w:rPr>
      </w:pPr>
    </w:p>
    <w:p>
      <w:pPr>
        <w:widowControl/>
        <w:spacing w:line="600" w:lineRule="exact"/>
        <w:jc w:val="left"/>
        <w:rPr>
          <w:rFonts w:ascii="Times New Roman" w:hAnsi="Times New Roman" w:eastAsia="黑体"/>
          <w:sz w:val="32"/>
          <w:szCs w:val="32"/>
        </w:rPr>
      </w:pPr>
    </w:p>
    <w:p>
      <w:pPr>
        <w:widowControl/>
        <w:spacing w:line="600" w:lineRule="exact"/>
        <w:jc w:val="left"/>
        <w:rPr>
          <w:rFonts w:ascii="Times New Roman" w:hAnsi="Times New Roman" w:eastAsia="黑体"/>
          <w:sz w:val="32"/>
          <w:szCs w:val="32"/>
        </w:rPr>
      </w:pPr>
    </w:p>
    <w:p>
      <w:pPr>
        <w:widowControl/>
        <w:spacing w:line="600" w:lineRule="exact"/>
        <w:jc w:val="left"/>
        <w:rPr>
          <w:rFonts w:ascii="Times New Roman" w:hAnsi="Times New Roman" w:eastAsia="黑体"/>
          <w:sz w:val="32"/>
          <w:szCs w:val="32"/>
        </w:rPr>
      </w:pPr>
    </w:p>
    <w:p>
      <w:pPr>
        <w:widowControl/>
        <w:spacing w:line="600" w:lineRule="exact"/>
        <w:jc w:val="left"/>
        <w:rPr>
          <w:rFonts w:ascii="Times New Roman" w:hAnsi="Times New Roman" w:eastAsia="黑体"/>
          <w:sz w:val="32"/>
          <w:szCs w:val="32"/>
        </w:rPr>
      </w:pPr>
    </w:p>
    <w:p>
      <w:pPr>
        <w:widowControl/>
        <w:spacing w:line="600" w:lineRule="exact"/>
        <w:jc w:val="left"/>
        <w:rPr>
          <w:rFonts w:ascii="Times New Roman" w:hAnsi="Times New Roman" w:eastAsia="黑体"/>
          <w:sz w:val="32"/>
          <w:szCs w:val="32"/>
        </w:rPr>
      </w:pPr>
    </w:p>
    <w:p>
      <w:pPr>
        <w:widowControl/>
        <w:spacing w:line="600" w:lineRule="exact"/>
        <w:jc w:val="left"/>
        <w:rPr>
          <w:rFonts w:ascii="Times New Roman" w:hAnsi="Times New Roman" w:eastAsia="黑体"/>
          <w:sz w:val="32"/>
          <w:szCs w:val="32"/>
        </w:rPr>
      </w:pPr>
    </w:p>
    <w:p>
      <w:pPr>
        <w:widowControl/>
        <w:spacing w:line="600" w:lineRule="exact"/>
        <w:jc w:val="left"/>
        <w:rPr>
          <w:rFonts w:ascii="Times New Roman" w:hAnsi="Times New Roman" w:eastAsia="黑体"/>
          <w:sz w:val="32"/>
          <w:szCs w:val="32"/>
        </w:rPr>
      </w:pPr>
    </w:p>
    <w:p>
      <w:pPr>
        <w:widowControl/>
        <w:spacing w:line="600" w:lineRule="exact"/>
        <w:jc w:val="left"/>
        <w:rPr>
          <w:rFonts w:ascii="Times New Roman" w:hAnsi="Times New Roman" w:eastAsia="黑体"/>
          <w:sz w:val="32"/>
          <w:szCs w:val="32"/>
        </w:rPr>
      </w:pPr>
    </w:p>
    <w:p>
      <w:pPr>
        <w:widowControl/>
        <w:spacing w:line="600" w:lineRule="exact"/>
        <w:jc w:val="left"/>
        <w:rPr>
          <w:rFonts w:ascii="Times New Roman" w:hAnsi="Times New Roman" w:eastAsia="黑体"/>
          <w:sz w:val="32"/>
          <w:szCs w:val="32"/>
        </w:rPr>
      </w:pPr>
    </w:p>
    <w:p>
      <w:pPr>
        <w:widowControl/>
        <w:spacing w:line="600" w:lineRule="exact"/>
        <w:jc w:val="left"/>
        <w:rPr>
          <w:rFonts w:ascii="Times New Roman" w:hAnsi="Times New Roman" w:eastAsia="黑体"/>
          <w:sz w:val="32"/>
          <w:szCs w:val="32"/>
        </w:rPr>
      </w:pPr>
    </w:p>
    <w:p>
      <w:pPr>
        <w:widowControl/>
        <w:spacing w:line="600" w:lineRule="exact"/>
        <w:jc w:val="left"/>
        <w:rPr>
          <w:rFonts w:ascii="Times New Roman" w:hAnsi="Times New Roman" w:eastAsia="黑体"/>
          <w:sz w:val="32"/>
          <w:szCs w:val="32"/>
        </w:rPr>
      </w:pPr>
    </w:p>
    <w:p>
      <w:pPr>
        <w:widowControl/>
        <w:spacing w:line="600" w:lineRule="exact"/>
        <w:jc w:val="left"/>
        <w:rPr>
          <w:rFonts w:ascii="Times New Roman" w:hAnsi="Times New Roman" w:eastAsia="黑体"/>
          <w:sz w:val="32"/>
          <w:szCs w:val="32"/>
        </w:rPr>
      </w:pPr>
    </w:p>
    <w:p>
      <w:pPr>
        <w:widowControl/>
        <w:spacing w:line="600" w:lineRule="exact"/>
        <w:jc w:val="left"/>
        <w:rPr>
          <w:rFonts w:ascii="Times New Roman" w:hAnsi="Times New Roman" w:eastAsia="黑体"/>
          <w:sz w:val="32"/>
          <w:szCs w:val="32"/>
        </w:rPr>
      </w:pPr>
    </w:p>
    <w:p>
      <w:pPr>
        <w:widowControl/>
        <w:spacing w:line="600" w:lineRule="exact"/>
        <w:jc w:val="left"/>
        <w:rPr>
          <w:rFonts w:ascii="Times New Roman" w:hAnsi="Times New Roman" w:eastAsia="黑体"/>
          <w:sz w:val="32"/>
          <w:szCs w:val="32"/>
        </w:rPr>
      </w:pPr>
    </w:p>
    <w:p>
      <w:pPr>
        <w:widowControl/>
        <w:spacing w:line="600" w:lineRule="exact"/>
        <w:jc w:val="left"/>
        <w:rPr>
          <w:rFonts w:ascii="Times New Roman" w:hAnsi="Times New Roman" w:eastAsia="黑体"/>
          <w:sz w:val="32"/>
          <w:szCs w:val="32"/>
          <w:lang w:val="en-US" w:eastAsia="zh-CN"/>
        </w:rPr>
      </w:pPr>
    </w:p>
    <w:sectPr>
      <w:pgSz w:w="11906" w:h="16838"/>
      <w:pgMar w:top="1240" w:right="1266" w:bottom="1318" w:left="7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C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8C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7ACB42"/>
    <w:multiLevelType w:val="singleLevel"/>
    <w:tmpl w:val="E37ACB42"/>
    <w:lvl w:ilvl="0" w:tentative="0">
      <w:start w:val="8"/>
      <w:numFmt w:val="chineseCounting"/>
      <w:suff w:val="nothing"/>
      <w:lvlText w:val="%1、"/>
      <w:lvlJc w:val="left"/>
      <w:rPr>
        <w:rFonts w:hint="eastAsia"/>
      </w:rPr>
    </w:lvl>
  </w:abstractNum>
  <w:abstractNum w:abstractNumId="1">
    <w:nsid w:val="F5F29FA5"/>
    <w:multiLevelType w:val="singleLevel"/>
    <w:tmpl w:val="F5F29FA5"/>
    <w:lvl w:ilvl="0" w:tentative="0">
      <w:start w:val="4"/>
      <w:numFmt w:val="chineseCounting"/>
      <w:suff w:val="nothing"/>
      <w:lvlText w:val="%1、"/>
      <w:lvlJc w:val="left"/>
      <w:rPr>
        <w:rFonts w:hint="eastAsia"/>
      </w:rPr>
    </w:lvl>
  </w:abstractNum>
  <w:abstractNum w:abstractNumId="2">
    <w:nsid w:val="1D3DA041"/>
    <w:multiLevelType w:val="singleLevel"/>
    <w:tmpl w:val="1D3DA041"/>
    <w:lvl w:ilvl="0" w:tentative="0">
      <w:start w:val="1"/>
      <w:numFmt w:val="chineseCounting"/>
      <w:suff w:val="nothing"/>
      <w:lvlText w:val="%1、"/>
      <w:lvlJc w:val="left"/>
      <w:rPr>
        <w:rFonts w:hint="eastAsia"/>
      </w:rPr>
    </w:lvl>
  </w:abstractNum>
  <w:abstractNum w:abstractNumId="3">
    <w:nsid w:val="4FEEA584"/>
    <w:multiLevelType w:val="singleLevel"/>
    <w:tmpl w:val="4FEEA584"/>
    <w:lvl w:ilvl="0" w:tentative="0">
      <w:start w:val="1"/>
      <w:numFmt w:val="decimal"/>
      <w:suff w:val="space"/>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YjJmMDZmMTQ2MjIwOTczYzdmNzllZGE0ZTQxM2IifQ=="/>
  </w:docVars>
  <w:rsids>
    <w:rsidRoot w:val="00000000"/>
    <w:rsid w:val="00377C14"/>
    <w:rsid w:val="01D67EA1"/>
    <w:rsid w:val="17D910DE"/>
    <w:rsid w:val="1B610D46"/>
    <w:rsid w:val="3B6E0E96"/>
    <w:rsid w:val="43AB3CCA"/>
    <w:rsid w:val="474B7E0E"/>
    <w:rsid w:val="47733071"/>
    <w:rsid w:val="47BA5AAF"/>
    <w:rsid w:val="4A722CD6"/>
    <w:rsid w:val="53760D58"/>
    <w:rsid w:val="59DB5026"/>
    <w:rsid w:val="64B93DFA"/>
    <w:rsid w:val="71A010A2"/>
    <w:rsid w:val="7A570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kern w:val="0"/>
      <w:sz w:val="24"/>
    </w:rPr>
  </w:style>
  <w:style w:type="paragraph" w:styleId="5">
    <w:name w:val="List Paragraph"/>
    <w:basedOn w:val="1"/>
    <w:qFormat/>
    <w:uiPriority w:val="99"/>
    <w:pPr>
      <w:ind w:firstLine="420" w:firstLineChars="200"/>
    </w:pPr>
    <w:rPr>
      <w:rFonts w:ascii="Times New Roman" w:hAnsi="Times New Roman"/>
      <w:szCs w:val="24"/>
    </w:rPr>
  </w:style>
  <w:style w:type="paragraph" w:styleId="6">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12475</Words>
  <Characters>13907</Characters>
  <Lines>0</Lines>
  <Paragraphs>0</Paragraphs>
  <TotalTime>26</TotalTime>
  <ScaleCrop>false</ScaleCrop>
  <LinksUpToDate>false</LinksUpToDate>
  <CharactersWithSpaces>13995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2024-03-25T03:43:00Z</dcterms:created>
  <dc:creator>Administrator</dc:creator>
  <cp:lastModifiedBy>Administrator</cp:lastModifiedBy>
  <dcterms:modified xsi:type="dcterms:W3CDTF">2025-02-28T06:37:50Z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90EAC69A3D734409A254CA2E978746A9_12</vt:lpwstr>
  </property>
</Properties>
</file>