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B676B">
      <w:pPr>
        <w:rPr>
          <w:rFonts w:ascii="宋体" w:hAnsi="宋体" w:eastAsia="宋体" w:cs="宋体"/>
          <w:sz w:val="24"/>
          <w:szCs w:val="24"/>
          <w:highlight w:val="none"/>
        </w:rPr>
      </w:pPr>
    </w:p>
    <w:p w14:paraId="6FF6B452">
      <w:pPr>
        <w:rPr>
          <w:rFonts w:ascii="宋体" w:hAnsi="宋体" w:eastAsia="宋体" w:cs="宋体"/>
          <w:b/>
          <w:bCs/>
          <w:sz w:val="24"/>
          <w:szCs w:val="24"/>
          <w:highlight w:val="none"/>
        </w:rPr>
      </w:pPr>
    </w:p>
    <w:p w14:paraId="69B9DE57">
      <w:pPr>
        <w:pStyle w:val="32"/>
        <w:rPr>
          <w:rFonts w:ascii="宋体" w:hAnsi="宋体" w:eastAsia="宋体" w:cs="宋体"/>
          <w:b/>
          <w:bCs/>
          <w:sz w:val="24"/>
          <w:szCs w:val="24"/>
          <w:highlight w:val="none"/>
        </w:rPr>
      </w:pPr>
    </w:p>
    <w:p w14:paraId="06CE9FC1">
      <w:pPr>
        <w:jc w:val="center"/>
        <w:outlineLvl w:val="0"/>
        <w:rPr>
          <w:rFonts w:hint="eastAsia" w:ascii="宋体" w:hAnsi="宋体" w:eastAsia="宋体" w:cs="宋体"/>
          <w:b/>
          <w:bCs/>
          <w:color w:val="000000" w:themeColor="text1"/>
          <w:sz w:val="52"/>
          <w:szCs w:val="52"/>
          <w:highlight w:val="none"/>
          <w14:textFill>
            <w14:solidFill>
              <w14:schemeClr w14:val="tx1"/>
            </w14:solidFill>
          </w14:textFill>
        </w:rPr>
      </w:pPr>
      <w:bookmarkStart w:id="0" w:name="_Toc15814"/>
      <w:bookmarkStart w:id="1" w:name="_Toc16204"/>
      <w:bookmarkStart w:id="2" w:name="_Toc13555"/>
      <w:r>
        <w:rPr>
          <w:rFonts w:hint="eastAsia" w:ascii="宋体" w:hAnsi="宋体" w:eastAsia="宋体" w:cs="宋体"/>
          <w:b/>
          <w:bCs/>
          <w:color w:val="000000" w:themeColor="text1"/>
          <w:sz w:val="52"/>
          <w:szCs w:val="52"/>
          <w:highlight w:val="none"/>
          <w:lang w:val="en-US" w:eastAsia="zh-CN"/>
          <w14:textFill>
            <w14:solidFill>
              <w14:schemeClr w14:val="tx1"/>
            </w14:solidFill>
          </w14:textFill>
        </w:rPr>
        <w:t>衡阳市南岳区</w:t>
      </w:r>
      <w:r>
        <w:rPr>
          <w:rFonts w:hint="eastAsia" w:ascii="宋体" w:hAnsi="宋体" w:eastAsia="宋体" w:cs="宋体"/>
          <w:b/>
          <w:bCs/>
          <w:color w:val="000000" w:themeColor="text1"/>
          <w:sz w:val="52"/>
          <w:szCs w:val="52"/>
          <w:highlight w:val="none"/>
          <w14:textFill>
            <w14:solidFill>
              <w14:schemeClr w14:val="tx1"/>
            </w14:solidFill>
          </w14:textFill>
        </w:rPr>
        <w:t>污水处理厂入河</w:t>
      </w:r>
      <w:bookmarkEnd w:id="0"/>
      <w:bookmarkEnd w:id="1"/>
      <w:bookmarkEnd w:id="2"/>
    </w:p>
    <w:p w14:paraId="7C83251B">
      <w:pPr>
        <w:jc w:val="center"/>
        <w:rPr>
          <w:rFonts w:hint="eastAsia" w:ascii="宋体" w:hAnsi="宋体" w:eastAsia="宋体" w:cs="宋体"/>
          <w:b/>
          <w:bCs/>
          <w:color w:val="000000" w:themeColor="text1"/>
          <w:sz w:val="52"/>
          <w:szCs w:val="52"/>
          <w:highlight w:val="none"/>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排污口设置论证报告</w:t>
      </w:r>
    </w:p>
    <w:p w14:paraId="0BF07341">
      <w:pPr>
        <w:rPr>
          <w:rFonts w:hint="default" w:ascii="宋体" w:hAnsi="宋体" w:eastAsia="宋体" w:cs="宋体"/>
          <w:b/>
          <w:bCs/>
          <w:color w:val="000000" w:themeColor="text1"/>
          <w:sz w:val="48"/>
          <w:szCs w:val="48"/>
          <w:highlight w:val="none"/>
          <w:lang w:val="en-US" w:eastAsia="zh-CN"/>
          <w14:textFill>
            <w14:solidFill>
              <w14:schemeClr w14:val="tx1"/>
            </w14:solidFill>
          </w14:textFill>
        </w:rPr>
      </w:pPr>
      <w:r>
        <w:rPr>
          <w:rFonts w:hint="eastAsia" w:ascii="宋体" w:hAnsi="宋体" w:eastAsia="宋体" w:cs="宋体"/>
          <w:b/>
          <w:bCs/>
          <w:color w:val="000000" w:themeColor="text1"/>
          <w:sz w:val="48"/>
          <w:szCs w:val="48"/>
          <w:highlight w:val="none"/>
          <w:lang w:eastAsia="zh-CN"/>
          <w14:textFill>
            <w14:solidFill>
              <w14:schemeClr w14:val="tx1"/>
            </w14:solidFill>
          </w14:textFill>
        </w:rPr>
        <w:t>（</w:t>
      </w:r>
      <w:r>
        <w:rPr>
          <w:rFonts w:hint="eastAsia" w:ascii="宋体" w:hAnsi="宋体" w:cs="宋体"/>
          <w:b/>
          <w:bCs/>
          <w:color w:val="000000" w:themeColor="text1"/>
          <w:sz w:val="48"/>
          <w:szCs w:val="48"/>
          <w:highlight w:val="none"/>
          <w:lang w:val="en-US" w:eastAsia="zh-CN"/>
          <w14:textFill>
            <w14:solidFill>
              <w14:schemeClr w14:val="tx1"/>
            </w14:solidFill>
          </w14:textFill>
        </w:rPr>
        <w:t>送审</w:t>
      </w:r>
      <w:r>
        <w:rPr>
          <w:rFonts w:hint="eastAsia" w:ascii="宋体" w:hAnsi="宋体" w:eastAsia="宋体" w:cs="宋体"/>
          <w:b/>
          <w:bCs/>
          <w:color w:val="000000" w:themeColor="text1"/>
          <w:sz w:val="48"/>
          <w:szCs w:val="48"/>
          <w:highlight w:val="none"/>
          <w:lang w:val="en-US" w:eastAsia="zh-CN"/>
          <w14:textFill>
            <w14:solidFill>
              <w14:schemeClr w14:val="tx1"/>
            </w14:solidFill>
          </w14:textFill>
        </w:rPr>
        <w:t>稿</w:t>
      </w:r>
      <w:r>
        <w:rPr>
          <w:rFonts w:hint="eastAsia" w:ascii="宋体" w:hAnsi="宋体" w:eastAsia="宋体" w:cs="宋体"/>
          <w:b/>
          <w:bCs/>
          <w:color w:val="000000" w:themeColor="text1"/>
          <w:sz w:val="48"/>
          <w:szCs w:val="48"/>
          <w:highlight w:val="none"/>
          <w:lang w:eastAsia="zh-CN"/>
          <w14:textFill>
            <w14:solidFill>
              <w14:schemeClr w14:val="tx1"/>
            </w14:solidFill>
          </w14:textFill>
        </w:rPr>
        <w:t>）</w:t>
      </w:r>
    </w:p>
    <w:p w14:paraId="10D10166">
      <w:pPr>
        <w:pStyle w:val="32"/>
        <w:rPr>
          <w:rFonts w:hint="eastAsia" w:ascii="宋体" w:hAnsi="宋体" w:eastAsia="宋体" w:cs="宋体"/>
          <w:b/>
          <w:bCs/>
          <w:color w:val="000000" w:themeColor="text1"/>
          <w:sz w:val="48"/>
          <w:szCs w:val="48"/>
          <w:highlight w:val="none"/>
          <w14:textFill>
            <w14:solidFill>
              <w14:schemeClr w14:val="tx1"/>
            </w14:solidFill>
          </w14:textFill>
        </w:rPr>
      </w:pPr>
    </w:p>
    <w:p w14:paraId="0DB08A1B">
      <w:pPr>
        <w:rPr>
          <w:rFonts w:hint="eastAsia" w:ascii="宋体" w:hAnsi="宋体" w:eastAsia="宋体" w:cs="宋体"/>
          <w:b/>
          <w:bCs/>
          <w:color w:val="000000" w:themeColor="text1"/>
          <w:sz w:val="48"/>
          <w:szCs w:val="48"/>
          <w:highlight w:val="none"/>
          <w14:textFill>
            <w14:solidFill>
              <w14:schemeClr w14:val="tx1"/>
            </w14:solidFill>
          </w14:textFill>
        </w:rPr>
      </w:pPr>
    </w:p>
    <w:p w14:paraId="3FE2866C">
      <w:pPr>
        <w:pStyle w:val="32"/>
        <w:rPr>
          <w:rFonts w:hint="eastAsia" w:ascii="宋体" w:hAnsi="宋体" w:eastAsia="宋体" w:cs="宋体"/>
          <w:b/>
          <w:bCs/>
          <w:color w:val="000000" w:themeColor="text1"/>
          <w:sz w:val="48"/>
          <w:szCs w:val="48"/>
          <w:highlight w:val="none"/>
          <w14:textFill>
            <w14:solidFill>
              <w14:schemeClr w14:val="tx1"/>
            </w14:solidFill>
          </w14:textFill>
        </w:rPr>
      </w:pPr>
    </w:p>
    <w:p w14:paraId="0A795E45">
      <w:pPr>
        <w:rPr>
          <w:rFonts w:hint="eastAsia" w:ascii="宋体" w:hAnsi="宋体" w:eastAsia="宋体" w:cs="宋体"/>
          <w:b/>
          <w:bCs/>
          <w:color w:val="000000" w:themeColor="text1"/>
          <w:sz w:val="48"/>
          <w:szCs w:val="48"/>
          <w:highlight w:val="none"/>
          <w14:textFill>
            <w14:solidFill>
              <w14:schemeClr w14:val="tx1"/>
            </w14:solidFill>
          </w14:textFill>
        </w:rPr>
      </w:pPr>
    </w:p>
    <w:p w14:paraId="33E52382">
      <w:pPr>
        <w:pStyle w:val="32"/>
        <w:rPr>
          <w:rFonts w:hint="eastAsia" w:ascii="宋体" w:hAnsi="宋体" w:eastAsia="宋体" w:cs="宋体"/>
          <w:b/>
          <w:bCs/>
          <w:color w:val="000000" w:themeColor="text1"/>
          <w:sz w:val="48"/>
          <w:szCs w:val="48"/>
          <w:highlight w:val="none"/>
          <w14:textFill>
            <w14:solidFill>
              <w14:schemeClr w14:val="tx1"/>
            </w14:solidFill>
          </w14:textFill>
        </w:rPr>
      </w:pPr>
    </w:p>
    <w:p w14:paraId="5BA0B180">
      <w:pPr>
        <w:rPr>
          <w:rFonts w:hint="eastAsia" w:ascii="宋体" w:hAnsi="宋体" w:eastAsia="宋体" w:cs="宋体"/>
          <w:b/>
          <w:bCs/>
          <w:color w:val="000000" w:themeColor="text1"/>
          <w:sz w:val="48"/>
          <w:szCs w:val="48"/>
          <w:highlight w:val="none"/>
          <w14:textFill>
            <w14:solidFill>
              <w14:schemeClr w14:val="tx1"/>
            </w14:solidFill>
          </w14:textFill>
        </w:rPr>
      </w:pPr>
    </w:p>
    <w:p w14:paraId="1079274A">
      <w:pPr>
        <w:pStyle w:val="32"/>
        <w:rPr>
          <w:rFonts w:hint="eastAsia" w:ascii="宋体" w:hAnsi="宋体" w:eastAsia="宋体" w:cs="宋体"/>
          <w:b/>
          <w:bCs/>
          <w:color w:val="000000" w:themeColor="text1"/>
          <w:sz w:val="48"/>
          <w:szCs w:val="48"/>
          <w:highlight w:val="none"/>
          <w14:textFill>
            <w14:solidFill>
              <w14:schemeClr w14:val="tx1"/>
            </w14:solidFill>
          </w14:textFill>
        </w:rPr>
      </w:pPr>
    </w:p>
    <w:p w14:paraId="2A44EC5D">
      <w:pPr>
        <w:rPr>
          <w:rFonts w:hint="eastAsia"/>
          <w:color w:val="000000" w:themeColor="text1"/>
          <w:highlight w:val="none"/>
          <w14:textFill>
            <w14:solidFill>
              <w14:schemeClr w14:val="tx1"/>
            </w14:solidFill>
          </w14:textFill>
        </w:rPr>
      </w:pPr>
    </w:p>
    <w:p w14:paraId="0DC0E510">
      <w:pPr>
        <w:pStyle w:val="32"/>
        <w:jc w:val="center"/>
        <w:outlineLvl w:val="0"/>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bookmarkStart w:id="3" w:name="_Toc1781"/>
      <w:bookmarkStart w:id="4" w:name="_Toc16842"/>
      <w:bookmarkStart w:id="5" w:name="_Toc24959"/>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建设单位：</w:t>
      </w:r>
      <w:bookmarkEnd w:id="3"/>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南岳区住房和城乡建设局</w:t>
      </w:r>
      <w:bookmarkEnd w:id="4"/>
      <w:bookmarkEnd w:id="5"/>
    </w:p>
    <w:p w14:paraId="25741730">
      <w:pPr>
        <w:jc w:val="center"/>
        <w:outlineLvl w:val="0"/>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bookmarkStart w:id="6" w:name="_Toc11678"/>
      <w:bookmarkStart w:id="7" w:name="_Toc9428"/>
      <w:bookmarkStart w:id="8" w:name="_Toc14499"/>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编制单位：</w:t>
      </w:r>
      <w:bookmarkEnd w:id="6"/>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湖南中晟绿景环保科技有限公司</w:t>
      </w:r>
      <w:bookmarkEnd w:id="7"/>
      <w:bookmarkEnd w:id="8"/>
    </w:p>
    <w:p w14:paraId="19C51ED1">
      <w:pPr>
        <w:jc w:val="center"/>
        <w:rPr>
          <w:rFonts w:hint="default" w:ascii="Times New Roman" w:hAnsi="Times New Roman" w:eastAsia="宋体" w:cs="Times New Roman"/>
          <w:b/>
          <w:bCs/>
          <w:color w:val="000000" w:themeColor="text1"/>
          <w:sz w:val="30"/>
          <w:szCs w:val="30"/>
          <w:highlight w:val="none"/>
          <w:lang w:val="en-US"/>
          <w14:textFill>
            <w14:solidFill>
              <w14:schemeClr w14:val="tx1"/>
            </w14:solidFill>
          </w14:textFill>
        </w:rPr>
      </w:pPr>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2024年1月</w:t>
      </w:r>
    </w:p>
    <w:p w14:paraId="616E5C3A">
      <w:pPr>
        <w:pStyle w:val="32"/>
        <w:rPr>
          <w:rFonts w:hint="eastAsia"/>
          <w:color w:val="000000" w:themeColor="text1"/>
          <w:highlight w:val="none"/>
          <w14:textFill>
            <w14:solidFill>
              <w14:schemeClr w14:val="tx1"/>
            </w14:solidFill>
          </w14:textFill>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37201D55">
      <w:pPr>
        <w:jc w:val="center"/>
        <w:rPr>
          <w:rFonts w:hint="default" w:ascii="宋体" w:hAnsi="宋体" w:eastAsia="宋体" w:cs="宋体"/>
          <w:b/>
          <w:bCs/>
          <w:color w:val="000000" w:themeColor="text1"/>
          <w:sz w:val="52"/>
          <w:szCs w:val="52"/>
          <w:highlight w:val="none"/>
          <w:lang w:val="en-US" w:eastAsia="zh-CN"/>
          <w14:textFill>
            <w14:solidFill>
              <w14:schemeClr w14:val="tx1"/>
            </w14:solidFill>
          </w14:textFill>
        </w:rPr>
      </w:pPr>
      <w:bookmarkStart w:id="9" w:name="_Toc497176686"/>
    </w:p>
    <w:p w14:paraId="56E0AD14">
      <w:pPr>
        <w:pStyle w:val="32"/>
        <w:rPr>
          <w:rFonts w:hint="default"/>
          <w:color w:val="000000" w:themeColor="text1"/>
          <w:highlight w:val="none"/>
          <w:lang w:val="en-US" w:eastAsia="zh-CN"/>
          <w14:textFill>
            <w14:solidFill>
              <w14:schemeClr w14:val="tx1"/>
            </w14:solidFill>
          </w14:textFill>
        </w:rPr>
      </w:pPr>
    </w:p>
    <w:p w14:paraId="7664F205">
      <w:pPr>
        <w:jc w:val="center"/>
        <w:outlineLvl w:val="0"/>
        <w:rPr>
          <w:rFonts w:hint="default" w:ascii="宋体" w:hAnsi="宋体" w:eastAsia="宋体" w:cs="宋体"/>
          <w:b/>
          <w:bCs/>
          <w:color w:val="000000" w:themeColor="text1"/>
          <w:sz w:val="44"/>
          <w:szCs w:val="44"/>
          <w:highlight w:val="none"/>
          <w:lang w:val="en-US" w:eastAsia="zh-CN"/>
          <w14:textFill>
            <w14:solidFill>
              <w14:schemeClr w14:val="tx1"/>
            </w14:solidFill>
          </w14:textFill>
        </w:rPr>
      </w:pPr>
      <w:bookmarkStart w:id="10" w:name="_Toc31959"/>
      <w:bookmarkStart w:id="11" w:name="_Toc25322"/>
      <w:bookmarkStart w:id="12" w:name="_Toc13400"/>
      <w:r>
        <w:rPr>
          <w:rFonts w:hint="default" w:ascii="宋体" w:hAnsi="宋体" w:eastAsia="宋体" w:cs="宋体"/>
          <w:b/>
          <w:bCs/>
          <w:color w:val="000000" w:themeColor="text1"/>
          <w:sz w:val="44"/>
          <w:szCs w:val="44"/>
          <w:highlight w:val="none"/>
          <w:lang w:val="en-US" w:eastAsia="zh-CN"/>
          <w14:textFill>
            <w14:solidFill>
              <w14:schemeClr w14:val="tx1"/>
            </w14:solidFill>
          </w14:textFill>
        </w:rPr>
        <w:t>衡阳市南岳区污水处理厂入河排污口</w:t>
      </w:r>
      <w:bookmarkEnd w:id="10"/>
      <w:bookmarkEnd w:id="11"/>
      <w:bookmarkEnd w:id="12"/>
    </w:p>
    <w:p w14:paraId="1DB670B7">
      <w:pPr>
        <w:jc w:val="center"/>
        <w:outlineLvl w:val="0"/>
        <w:rPr>
          <w:rFonts w:hint="default" w:ascii="宋体" w:hAnsi="宋体" w:eastAsia="宋体" w:cs="宋体"/>
          <w:b/>
          <w:bCs/>
          <w:color w:val="000000" w:themeColor="text1"/>
          <w:sz w:val="44"/>
          <w:szCs w:val="44"/>
          <w:highlight w:val="none"/>
          <w:lang w:val="en-US" w:eastAsia="zh-CN"/>
          <w14:textFill>
            <w14:solidFill>
              <w14:schemeClr w14:val="tx1"/>
            </w14:solidFill>
          </w14:textFill>
        </w:rPr>
      </w:pPr>
      <w:bookmarkStart w:id="13" w:name="_Toc8350"/>
      <w:bookmarkStart w:id="14" w:name="_Toc9644"/>
      <w:bookmarkStart w:id="15" w:name="_Toc22524"/>
      <w:r>
        <w:rPr>
          <w:rFonts w:hint="default" w:ascii="宋体" w:hAnsi="宋体" w:eastAsia="宋体" w:cs="宋体"/>
          <w:b/>
          <w:bCs/>
          <w:color w:val="000000" w:themeColor="text1"/>
          <w:sz w:val="44"/>
          <w:szCs w:val="44"/>
          <w:highlight w:val="none"/>
          <w:lang w:val="en-US" w:eastAsia="zh-CN"/>
          <w14:textFill>
            <w14:solidFill>
              <w14:schemeClr w14:val="tx1"/>
            </w14:solidFill>
          </w14:textFill>
        </w:rPr>
        <w:t>设置论证报告</w:t>
      </w:r>
      <w:bookmarkEnd w:id="13"/>
      <w:bookmarkEnd w:id="14"/>
      <w:r>
        <w:rPr>
          <w:rFonts w:hint="eastAsia" w:ascii="宋体" w:hAnsi="宋体" w:cs="宋体"/>
          <w:b/>
          <w:bCs/>
          <w:color w:val="000000" w:themeColor="text1"/>
          <w:sz w:val="44"/>
          <w:szCs w:val="44"/>
          <w:highlight w:val="none"/>
          <w:lang w:val="en-US" w:eastAsia="zh-CN"/>
          <w14:textFill>
            <w14:solidFill>
              <w14:schemeClr w14:val="tx1"/>
            </w14:solidFill>
          </w14:textFill>
        </w:rPr>
        <w:t>编制情况</w:t>
      </w:r>
      <w:bookmarkEnd w:id="15"/>
    </w:p>
    <w:p w14:paraId="4B4F3D2F">
      <w:pPr>
        <w:jc w:val="center"/>
        <w:rPr>
          <w:rFonts w:hint="default" w:ascii="宋体" w:hAnsi="宋体" w:eastAsia="宋体" w:cs="宋体"/>
          <w:b/>
          <w:bCs/>
          <w:color w:val="000000" w:themeColor="text1"/>
          <w:sz w:val="52"/>
          <w:szCs w:val="52"/>
          <w:highlight w:val="none"/>
          <w:lang w:val="en-US" w:eastAsia="zh-CN"/>
          <w14:textFill>
            <w14:solidFill>
              <w14:schemeClr w14:val="tx1"/>
            </w14:solidFill>
          </w14:textFill>
        </w:rPr>
      </w:pPr>
    </w:p>
    <w:p w14:paraId="2B23FEEB">
      <w:pPr>
        <w:rPr>
          <w:rFonts w:hint="default" w:ascii="Times New Roman" w:hAnsi="Times New Roman" w:cs="Times New Roman"/>
          <w:color w:val="000000" w:themeColor="text1"/>
          <w:highlight w:val="none"/>
          <w:lang w:val="en-US" w:eastAsia="zh-CN"/>
          <w14:textFill>
            <w14:solidFill>
              <w14:schemeClr w14:val="tx1"/>
            </w14:solidFill>
          </w14:textFill>
        </w:rPr>
      </w:pPr>
    </w:p>
    <w:p w14:paraId="2BF275C2">
      <w:pPr>
        <w:rPr>
          <w:rFonts w:hint="default" w:ascii="Times New Roman" w:hAnsi="Times New Roman" w:cs="Times New Roman"/>
          <w:color w:val="000000" w:themeColor="text1"/>
          <w:highlight w:val="none"/>
          <w:lang w:val="en-US" w:eastAsia="zh-CN"/>
          <w14:textFill>
            <w14:solidFill>
              <w14:schemeClr w14:val="tx1"/>
            </w14:solidFill>
          </w14:textFill>
        </w:rPr>
      </w:pPr>
    </w:p>
    <w:p w14:paraId="73DEA720">
      <w:pPr>
        <w:rPr>
          <w:rFonts w:hint="default" w:ascii="Times New Roman" w:hAnsi="Times New Roman" w:cs="Times New Roman"/>
          <w:color w:val="000000" w:themeColor="text1"/>
          <w:highlight w:val="none"/>
          <w:lang w:val="en-US" w:eastAsia="zh-CN"/>
          <w14:textFill>
            <w14:solidFill>
              <w14:schemeClr w14:val="tx1"/>
            </w14:solidFill>
          </w14:textFill>
        </w:rPr>
      </w:pPr>
    </w:p>
    <w:p w14:paraId="5C7181FF">
      <w:pPr>
        <w:rPr>
          <w:rFonts w:hint="default" w:ascii="Times New Roman" w:hAnsi="Times New Roman" w:cs="Times New Roman"/>
          <w:color w:val="000000" w:themeColor="text1"/>
          <w:highlight w:val="none"/>
          <w:lang w:val="en-US" w:eastAsia="zh-CN"/>
          <w14:textFill>
            <w14:solidFill>
              <w14:schemeClr w14:val="tx1"/>
            </w14:solidFill>
          </w14:textFill>
        </w:rPr>
      </w:pPr>
    </w:p>
    <w:p w14:paraId="666D965E">
      <w:pPr>
        <w:rPr>
          <w:rFonts w:hint="default" w:ascii="Times New Roman" w:hAnsi="Times New Roman" w:cs="Times New Roman"/>
          <w:color w:val="000000" w:themeColor="text1"/>
          <w:highlight w:val="none"/>
          <w:lang w:val="en-US" w:eastAsia="zh-CN"/>
          <w14:textFill>
            <w14:solidFill>
              <w14:schemeClr w14:val="tx1"/>
            </w14:solidFill>
          </w14:textFill>
        </w:rPr>
      </w:pPr>
    </w:p>
    <w:p w14:paraId="681DF7C8">
      <w:pPr>
        <w:rPr>
          <w:rFonts w:hint="default" w:ascii="Times New Roman" w:hAnsi="Times New Roman" w:cs="Times New Roman"/>
          <w:color w:val="000000" w:themeColor="text1"/>
          <w:highlight w:val="none"/>
          <w:lang w:val="en-US" w:eastAsia="zh-CN"/>
          <w14:textFill>
            <w14:solidFill>
              <w14:schemeClr w14:val="tx1"/>
            </w14:solidFill>
          </w14:textFill>
        </w:rPr>
      </w:pPr>
    </w:p>
    <w:p w14:paraId="70FCE305">
      <w:pPr>
        <w:rPr>
          <w:rFonts w:hint="default" w:ascii="Times New Roman" w:hAnsi="Times New Roman" w:cs="Times New Roman"/>
          <w:color w:val="000000" w:themeColor="text1"/>
          <w:highlight w:val="none"/>
          <w:lang w:val="en-US" w:eastAsia="zh-CN"/>
          <w14:textFill>
            <w14:solidFill>
              <w14:schemeClr w14:val="tx1"/>
            </w14:solidFill>
          </w14:textFill>
        </w:rPr>
      </w:pPr>
    </w:p>
    <w:p w14:paraId="24B7FFB0">
      <w:pPr>
        <w:rPr>
          <w:rFonts w:hint="default" w:ascii="Times New Roman" w:hAnsi="Times New Roman" w:cs="Times New Roman"/>
          <w:color w:val="000000" w:themeColor="text1"/>
          <w:highlight w:val="none"/>
          <w:lang w:val="en-US" w:eastAsia="zh-CN"/>
          <w14:textFill>
            <w14:solidFill>
              <w14:schemeClr w14:val="tx1"/>
            </w14:solidFill>
          </w14:textFill>
        </w:rPr>
      </w:pPr>
    </w:p>
    <w:p w14:paraId="6A5B5C8B">
      <w:pPr>
        <w:rPr>
          <w:rFonts w:hint="default" w:ascii="Times New Roman" w:hAnsi="Times New Roman" w:cs="Times New Roman"/>
          <w:color w:val="000000" w:themeColor="text1"/>
          <w:highlight w:val="none"/>
          <w:lang w:val="en-US" w:eastAsia="zh-CN"/>
          <w14:textFill>
            <w14:solidFill>
              <w14:schemeClr w14:val="tx1"/>
            </w14:solidFill>
          </w14:textFill>
        </w:rPr>
      </w:pPr>
    </w:p>
    <w:p w14:paraId="1BFFAB9D">
      <w:pPr>
        <w:rPr>
          <w:rFonts w:hint="default" w:ascii="Times New Roman" w:hAnsi="Times New Roman" w:cs="Times New Roman"/>
          <w:color w:val="000000" w:themeColor="text1"/>
          <w:highlight w:val="none"/>
          <w:lang w:val="en-US" w:eastAsia="zh-CN"/>
          <w14:textFill>
            <w14:solidFill>
              <w14:schemeClr w14:val="tx1"/>
            </w14:solidFill>
          </w14:textFill>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0"/>
        <w:gridCol w:w="6462"/>
      </w:tblGrid>
      <w:tr w14:paraId="6AFF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30B7A493">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16" w:name="_Toc19374"/>
            <w:bookmarkStart w:id="17" w:name="_Toc28154"/>
            <w:bookmarkStart w:id="18" w:name="_Toc30078"/>
            <w:bookmarkStart w:id="19" w:name="_Toc12141"/>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编 制 单 位：</w:t>
            </w:r>
            <w:bookmarkEnd w:id="16"/>
            <w:bookmarkEnd w:id="17"/>
            <w:bookmarkEnd w:id="18"/>
            <w:bookmarkEnd w:id="19"/>
          </w:p>
        </w:tc>
        <w:tc>
          <w:tcPr>
            <w:tcW w:w="6462" w:type="dxa"/>
            <w:noWrap w:val="0"/>
            <w:vAlign w:val="top"/>
          </w:tcPr>
          <w:p w14:paraId="1EF6E849">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湖南中晟绿景环保科技有限公司</w:t>
            </w:r>
          </w:p>
        </w:tc>
      </w:tr>
      <w:tr w14:paraId="7C9E1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7B29535F">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20" w:name="_Toc10344"/>
            <w:bookmarkStart w:id="21" w:name="_Toc31712"/>
            <w:bookmarkStart w:id="22" w:name="_Toc20612"/>
            <w:bookmarkStart w:id="23" w:name="_Toc837"/>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单位负责人：</w:t>
            </w:r>
            <w:bookmarkEnd w:id="20"/>
            <w:bookmarkEnd w:id="21"/>
            <w:bookmarkEnd w:id="22"/>
            <w:bookmarkEnd w:id="23"/>
          </w:p>
        </w:tc>
        <w:tc>
          <w:tcPr>
            <w:tcW w:w="6462" w:type="dxa"/>
            <w:noWrap w:val="0"/>
            <w:vAlign w:val="top"/>
          </w:tcPr>
          <w:p w14:paraId="7E901325">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eastAsia" w:cs="Times New Roman"/>
                <w:b/>
                <w:bCs/>
                <w:color w:val="000000" w:themeColor="text1"/>
                <w:sz w:val="30"/>
                <w:szCs w:val="30"/>
                <w:highlight w:val="none"/>
                <w:lang w:val="en-US" w:eastAsia="zh-CN"/>
                <w14:textFill>
                  <w14:solidFill>
                    <w14:schemeClr w14:val="tx1"/>
                  </w14:solidFill>
                </w14:textFill>
              </w:rPr>
              <w:t>刘文安</w:t>
            </w:r>
          </w:p>
        </w:tc>
      </w:tr>
      <w:tr w14:paraId="5AD8E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358ED7FF">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24" w:name="_Toc2537"/>
            <w:bookmarkStart w:id="25" w:name="_Toc24233"/>
            <w:bookmarkStart w:id="26" w:name="_Toc26963"/>
            <w:bookmarkStart w:id="27" w:name="_Toc5053"/>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审      定：</w:t>
            </w:r>
            <w:bookmarkEnd w:id="24"/>
            <w:bookmarkEnd w:id="25"/>
            <w:bookmarkEnd w:id="26"/>
            <w:bookmarkEnd w:id="27"/>
          </w:p>
        </w:tc>
        <w:tc>
          <w:tcPr>
            <w:tcW w:w="6462" w:type="dxa"/>
            <w:noWrap w:val="0"/>
            <w:vAlign w:val="top"/>
          </w:tcPr>
          <w:p w14:paraId="1A5560CE">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eastAsia" w:cs="Times New Roman"/>
                <w:b/>
                <w:bCs/>
                <w:color w:val="000000" w:themeColor="text1"/>
                <w:sz w:val="30"/>
                <w:szCs w:val="30"/>
                <w:highlight w:val="none"/>
                <w:lang w:val="en-US" w:eastAsia="zh-CN"/>
                <w14:textFill>
                  <w14:solidFill>
                    <w14:schemeClr w14:val="tx1"/>
                  </w14:solidFill>
                </w14:textFill>
              </w:rPr>
              <w:t>刘文安</w:t>
            </w:r>
          </w:p>
        </w:tc>
      </w:tr>
      <w:tr w14:paraId="40D4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7EE9A52D">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28" w:name="_Toc29024"/>
            <w:bookmarkStart w:id="29" w:name="_Toc15610"/>
            <w:bookmarkStart w:id="30" w:name="_Toc2931"/>
            <w:bookmarkStart w:id="31" w:name="_Toc3918"/>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项目负责人：</w:t>
            </w:r>
            <w:bookmarkEnd w:id="28"/>
            <w:bookmarkEnd w:id="29"/>
            <w:bookmarkEnd w:id="30"/>
            <w:bookmarkEnd w:id="31"/>
          </w:p>
        </w:tc>
        <w:tc>
          <w:tcPr>
            <w:tcW w:w="6462" w:type="dxa"/>
            <w:noWrap w:val="0"/>
            <w:vAlign w:val="top"/>
          </w:tcPr>
          <w:p w14:paraId="3A9AD483">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沈艳芳</w:t>
            </w:r>
          </w:p>
        </w:tc>
      </w:tr>
      <w:tr w14:paraId="40F79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6FB7ED3A">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32" w:name="_Toc7043"/>
            <w:bookmarkStart w:id="33" w:name="_Toc12390"/>
            <w:bookmarkStart w:id="34" w:name="_Toc22241"/>
            <w:bookmarkStart w:id="35" w:name="_Toc14907"/>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技术负责人：</w:t>
            </w:r>
            <w:bookmarkEnd w:id="32"/>
            <w:bookmarkEnd w:id="33"/>
            <w:bookmarkEnd w:id="34"/>
            <w:bookmarkEnd w:id="35"/>
          </w:p>
        </w:tc>
        <w:tc>
          <w:tcPr>
            <w:tcW w:w="6462" w:type="dxa"/>
            <w:noWrap w:val="0"/>
            <w:vAlign w:val="top"/>
          </w:tcPr>
          <w:p w14:paraId="633A6134">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eastAsia" w:cs="Times New Roman"/>
                <w:b/>
                <w:bCs/>
                <w:color w:val="000000" w:themeColor="text1"/>
                <w:sz w:val="30"/>
                <w:szCs w:val="30"/>
                <w:highlight w:val="none"/>
                <w:lang w:val="en-US" w:eastAsia="zh-CN"/>
                <w14:textFill>
                  <w14:solidFill>
                    <w14:schemeClr w14:val="tx1"/>
                  </w14:solidFill>
                </w14:textFill>
              </w:rPr>
              <w:t>周礼</w:t>
            </w:r>
          </w:p>
        </w:tc>
      </w:tr>
      <w:tr w14:paraId="5B928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2B2FE06B">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36" w:name="_Toc5903"/>
            <w:bookmarkStart w:id="37" w:name="_Toc19877"/>
            <w:bookmarkStart w:id="38" w:name="_Toc22229"/>
            <w:bookmarkStart w:id="39" w:name="_Toc20129"/>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报 告 编 写：</w:t>
            </w:r>
            <w:bookmarkEnd w:id="36"/>
            <w:bookmarkEnd w:id="37"/>
            <w:bookmarkEnd w:id="38"/>
            <w:bookmarkEnd w:id="39"/>
          </w:p>
        </w:tc>
        <w:tc>
          <w:tcPr>
            <w:tcW w:w="6462" w:type="dxa"/>
            <w:noWrap w:val="0"/>
            <w:vAlign w:val="top"/>
          </w:tcPr>
          <w:p w14:paraId="545487E3">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eastAsia" w:cs="Times New Roman"/>
                <w:b/>
                <w:bCs/>
                <w:color w:val="000000" w:themeColor="text1"/>
                <w:sz w:val="30"/>
                <w:szCs w:val="30"/>
                <w:highlight w:val="none"/>
                <w:lang w:val="en-US" w:eastAsia="zh-CN"/>
                <w14:textFill>
                  <w14:solidFill>
                    <w14:schemeClr w14:val="tx1"/>
                  </w14:solidFill>
                </w14:textFill>
              </w:rPr>
              <w:t>刘奇俊</w:t>
            </w:r>
          </w:p>
        </w:tc>
      </w:tr>
      <w:tr w14:paraId="12FC6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60" w:type="dxa"/>
            <w:noWrap w:val="0"/>
            <w:vAlign w:val="top"/>
          </w:tcPr>
          <w:p w14:paraId="744DCC69">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bookmarkStart w:id="40" w:name="_Toc15252"/>
            <w:bookmarkStart w:id="41" w:name="_Toc15035"/>
            <w:bookmarkStart w:id="42" w:name="_Toc17705"/>
            <w:bookmarkStart w:id="43" w:name="_Toc28209"/>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参 加 人 员：</w:t>
            </w:r>
            <w:bookmarkEnd w:id="40"/>
            <w:bookmarkEnd w:id="41"/>
            <w:bookmarkEnd w:id="42"/>
            <w:bookmarkEnd w:id="43"/>
          </w:p>
        </w:tc>
        <w:tc>
          <w:tcPr>
            <w:tcW w:w="6462" w:type="dxa"/>
            <w:noWrap w:val="0"/>
            <w:vAlign w:val="top"/>
          </w:tcPr>
          <w:p w14:paraId="2F0B6363">
            <w:pPr>
              <w:pStyle w:val="5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pPr>
            <w:r>
              <w:rPr>
                <w:rFonts w:hint="eastAsia" w:cs="Times New Roman"/>
                <w:b/>
                <w:bCs/>
                <w:color w:val="000000" w:themeColor="text1"/>
                <w:sz w:val="30"/>
                <w:szCs w:val="30"/>
                <w:highlight w:val="none"/>
                <w:lang w:val="en-US" w:eastAsia="zh-CN"/>
                <w14:textFill>
                  <w14:solidFill>
                    <w14:schemeClr w14:val="tx1"/>
                  </w14:solidFill>
                </w14:textFill>
              </w:rPr>
              <w:t>刘奇俊</w:t>
            </w:r>
            <w:r>
              <w:rPr>
                <w:rFonts w:hint="default" w:ascii="Times New Roman" w:hAnsi="Times New Roman" w:cs="Times New Roman"/>
                <w:b/>
                <w:bCs/>
                <w:color w:val="000000" w:themeColor="text1"/>
                <w:sz w:val="30"/>
                <w:szCs w:val="30"/>
                <w:highlight w:val="none"/>
                <w:lang w:val="en-US" w:eastAsia="zh-CN"/>
                <w14:textFill>
                  <w14:solidFill>
                    <w14:schemeClr w14:val="tx1"/>
                  </w14:solidFill>
                </w14:textFill>
              </w:rPr>
              <w:t>、沈艳芳</w:t>
            </w:r>
          </w:p>
        </w:tc>
      </w:tr>
    </w:tbl>
    <w:p w14:paraId="0D939881">
      <w:pPr>
        <w:snapToGrid w:val="0"/>
        <w:ind w:firstLine="643"/>
        <w:jc w:val="center"/>
        <w:rPr>
          <w:b/>
          <w:bCs/>
          <w:color w:val="000000" w:themeColor="text1"/>
          <w:sz w:val="32"/>
          <w:szCs w:val="32"/>
          <w:highlight w:val="none"/>
          <w14:textFill>
            <w14:solidFill>
              <w14:schemeClr w14:val="tx1"/>
            </w14:solidFill>
          </w14:textFill>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00F5CD91">
      <w:pPr>
        <w:spacing w:before="0" w:beforeLines="0" w:after="0" w:afterLines="0" w:line="240" w:lineRule="auto"/>
        <w:ind w:left="0" w:leftChars="0" w:right="0" w:rightChars="0" w:firstLine="0" w:firstLineChars="0"/>
        <w:jc w:val="center"/>
        <w:rPr>
          <w:b/>
          <w:bCs/>
          <w:color w:val="000000" w:themeColor="text1"/>
          <w:sz w:val="44"/>
          <w:szCs w:val="44"/>
          <w:highlight w:val="none"/>
          <w14:textFill>
            <w14:solidFill>
              <w14:schemeClr w14:val="tx1"/>
            </w14:solidFill>
          </w14:textFill>
        </w:rPr>
      </w:pPr>
      <w:r>
        <w:rPr>
          <w:rFonts w:ascii="宋体" w:hAnsi="宋体" w:eastAsia="宋体"/>
          <w:b/>
          <w:bCs/>
          <w:color w:val="000000" w:themeColor="text1"/>
          <w:sz w:val="44"/>
          <w:szCs w:val="44"/>
          <w:highlight w:val="none"/>
          <w14:textFill>
            <w14:solidFill>
              <w14:schemeClr w14:val="tx1"/>
            </w14:solidFill>
          </w14:textFill>
        </w:rPr>
        <w:t>目</w:t>
      </w:r>
      <w:r>
        <w:rPr>
          <w:rFonts w:hint="eastAsia" w:ascii="宋体" w:hAnsi="宋体" w:eastAsia="宋体"/>
          <w:b/>
          <w:bCs/>
          <w:color w:val="000000" w:themeColor="text1"/>
          <w:sz w:val="44"/>
          <w:szCs w:val="44"/>
          <w:highlight w:val="none"/>
          <w:lang w:val="en-US" w:eastAsia="zh-CN"/>
          <w14:textFill>
            <w14:solidFill>
              <w14:schemeClr w14:val="tx1"/>
            </w14:solidFill>
          </w14:textFill>
        </w:rPr>
        <w:t xml:space="preserve">  </w:t>
      </w:r>
      <w:r>
        <w:rPr>
          <w:rFonts w:ascii="宋体" w:hAnsi="宋体" w:eastAsia="宋体"/>
          <w:b/>
          <w:bCs/>
          <w:color w:val="000000" w:themeColor="text1"/>
          <w:sz w:val="44"/>
          <w:szCs w:val="44"/>
          <w:highlight w:val="none"/>
          <w14:textFill>
            <w14:solidFill>
              <w14:schemeClr w14:val="tx1"/>
            </w14:solidFill>
          </w14:textFill>
        </w:rPr>
        <w:t>录</w:t>
      </w:r>
    </w:p>
    <w:p w14:paraId="5947F1B9">
      <w:pPr>
        <w:pStyle w:val="22"/>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color w:val="000000" w:themeColor="text1"/>
          <w:sz w:val="24"/>
          <w:szCs w:val="24"/>
          <w:highlight w:val="none"/>
          <w14:textFill>
            <w14:solidFill>
              <w14:schemeClr w14:val="tx1"/>
            </w14:solidFill>
          </w14:textFill>
        </w:rPr>
        <w:instrText xml:space="preserve">TOC \o "1-2" \h \u </w:instrText>
      </w:r>
      <w:r>
        <w:rPr>
          <w:b/>
          <w:bCs/>
          <w:color w:val="000000" w:themeColor="text1"/>
          <w:sz w:val="24"/>
          <w:szCs w:val="24"/>
          <w:highlight w:val="none"/>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_Toc26390 </w:instrText>
      </w:r>
      <w:r>
        <w:rPr>
          <w:b/>
          <w:bCs/>
          <w:sz w:val="24"/>
          <w:szCs w:val="24"/>
          <w:highlight w:val="none"/>
        </w:rPr>
        <w:fldChar w:fldCharType="separate"/>
      </w:r>
      <w:r>
        <w:rPr>
          <w:rFonts w:hint="eastAsia"/>
          <w:b/>
          <w:bCs/>
          <w:sz w:val="24"/>
          <w:szCs w:val="24"/>
          <w:highlight w:val="none"/>
          <w:lang w:val="en-US" w:eastAsia="zh-CN"/>
        </w:rPr>
        <w:t>第一章  总则</w:t>
      </w:r>
      <w:r>
        <w:rPr>
          <w:b/>
          <w:bCs/>
          <w:sz w:val="24"/>
          <w:szCs w:val="24"/>
        </w:rPr>
        <w:tab/>
      </w:r>
      <w:r>
        <w:rPr>
          <w:b/>
          <w:bCs/>
          <w:sz w:val="24"/>
          <w:szCs w:val="24"/>
        </w:rPr>
        <w:fldChar w:fldCharType="begin"/>
      </w:r>
      <w:r>
        <w:rPr>
          <w:b/>
          <w:bCs/>
          <w:sz w:val="24"/>
          <w:szCs w:val="24"/>
        </w:rPr>
        <w:instrText xml:space="preserve"> PAGEREF _Toc26390 \h </w:instrText>
      </w:r>
      <w:r>
        <w:rPr>
          <w:b/>
          <w:bCs/>
          <w:sz w:val="24"/>
          <w:szCs w:val="24"/>
        </w:rPr>
        <w:fldChar w:fldCharType="separate"/>
      </w:r>
      <w:r>
        <w:rPr>
          <w:b/>
          <w:bCs/>
          <w:sz w:val="24"/>
          <w:szCs w:val="24"/>
        </w:rPr>
        <w:t>1</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60F29E6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_Toc6160 </w:instrText>
      </w:r>
      <w:r>
        <w:rPr>
          <w:bCs/>
          <w:sz w:val="24"/>
          <w:szCs w:val="24"/>
          <w:highlight w:val="none"/>
        </w:rPr>
        <w:fldChar w:fldCharType="separate"/>
      </w:r>
      <w:r>
        <w:rPr>
          <w:rFonts w:hint="default"/>
          <w:sz w:val="24"/>
          <w:szCs w:val="24"/>
          <w:highlight w:val="none"/>
          <w:lang w:val="en-US" w:eastAsia="zh-CN"/>
        </w:rPr>
        <w:t>1.1 任务由来</w:t>
      </w:r>
      <w:r>
        <w:rPr>
          <w:sz w:val="24"/>
          <w:szCs w:val="24"/>
        </w:rPr>
        <w:tab/>
      </w:r>
      <w:r>
        <w:rPr>
          <w:sz w:val="24"/>
          <w:szCs w:val="24"/>
        </w:rPr>
        <w:fldChar w:fldCharType="begin"/>
      </w:r>
      <w:r>
        <w:rPr>
          <w:sz w:val="24"/>
          <w:szCs w:val="24"/>
        </w:rPr>
        <w:instrText xml:space="preserve"> PAGEREF _Toc6160 \h </w:instrText>
      </w:r>
      <w:r>
        <w:rPr>
          <w:sz w:val="24"/>
          <w:szCs w:val="24"/>
        </w:rPr>
        <w:fldChar w:fldCharType="separate"/>
      </w:r>
      <w:r>
        <w:rPr>
          <w:sz w:val="24"/>
          <w:szCs w:val="24"/>
        </w:rPr>
        <w:t>1</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01420C43">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_Toc1933 </w:instrText>
      </w:r>
      <w:r>
        <w:rPr>
          <w:bCs/>
          <w:sz w:val="24"/>
          <w:szCs w:val="24"/>
          <w:highlight w:val="none"/>
        </w:rPr>
        <w:fldChar w:fldCharType="separate"/>
      </w:r>
      <w:r>
        <w:rPr>
          <w:rFonts w:hint="default"/>
          <w:sz w:val="24"/>
          <w:szCs w:val="24"/>
          <w:highlight w:val="none"/>
          <w:lang w:val="en-US" w:eastAsia="zh-CN"/>
        </w:rPr>
        <w:t>1.</w:t>
      </w:r>
      <w:r>
        <w:rPr>
          <w:rFonts w:hint="eastAsia"/>
          <w:sz w:val="24"/>
          <w:szCs w:val="24"/>
          <w:highlight w:val="none"/>
          <w:lang w:val="en-US" w:eastAsia="zh-CN"/>
        </w:rPr>
        <w:t>2</w:t>
      </w:r>
      <w:r>
        <w:rPr>
          <w:rFonts w:hint="default"/>
          <w:sz w:val="24"/>
          <w:szCs w:val="24"/>
          <w:highlight w:val="none"/>
          <w:lang w:val="en-US" w:eastAsia="zh-CN"/>
        </w:rPr>
        <w:t xml:space="preserve"> </w:t>
      </w:r>
      <w:r>
        <w:rPr>
          <w:rFonts w:hint="eastAsia"/>
          <w:sz w:val="24"/>
          <w:szCs w:val="24"/>
          <w:highlight w:val="none"/>
          <w:lang w:val="en-US" w:eastAsia="zh-CN"/>
        </w:rPr>
        <w:t>论证目的</w:t>
      </w:r>
      <w:r>
        <w:rPr>
          <w:sz w:val="24"/>
          <w:szCs w:val="24"/>
        </w:rPr>
        <w:tab/>
      </w:r>
      <w:r>
        <w:rPr>
          <w:sz w:val="24"/>
          <w:szCs w:val="24"/>
        </w:rPr>
        <w:fldChar w:fldCharType="begin"/>
      </w:r>
      <w:r>
        <w:rPr>
          <w:sz w:val="24"/>
          <w:szCs w:val="24"/>
        </w:rPr>
        <w:instrText xml:space="preserve"> PAGEREF _Toc1933 \h </w:instrText>
      </w:r>
      <w:r>
        <w:rPr>
          <w:sz w:val="24"/>
          <w:szCs w:val="24"/>
        </w:rPr>
        <w:fldChar w:fldCharType="separate"/>
      </w:r>
      <w:r>
        <w:rPr>
          <w:sz w:val="24"/>
          <w:szCs w:val="24"/>
        </w:rPr>
        <w:t>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BB2680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_Toc31045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论证原则</w:t>
      </w:r>
      <w:r>
        <w:rPr>
          <w:sz w:val="24"/>
          <w:szCs w:val="24"/>
        </w:rPr>
        <w:tab/>
      </w:r>
      <w:r>
        <w:rPr>
          <w:sz w:val="24"/>
          <w:szCs w:val="24"/>
        </w:rPr>
        <w:fldChar w:fldCharType="begin"/>
      </w:r>
      <w:r>
        <w:rPr>
          <w:sz w:val="24"/>
          <w:szCs w:val="24"/>
        </w:rPr>
        <w:instrText xml:space="preserve"> PAGEREF _Toc31045 \h </w:instrText>
      </w:r>
      <w:r>
        <w:rPr>
          <w:sz w:val="24"/>
          <w:szCs w:val="24"/>
        </w:rPr>
        <w:fldChar w:fldCharType="separate"/>
      </w:r>
      <w:r>
        <w:rPr>
          <w:sz w:val="24"/>
          <w:szCs w:val="24"/>
        </w:rPr>
        <w:t>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41464B48">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_Toc19778 </w:instrText>
      </w:r>
      <w:r>
        <w:rPr>
          <w:bCs/>
          <w:sz w:val="24"/>
          <w:szCs w:val="24"/>
          <w:highlight w:val="none"/>
        </w:rPr>
        <w:fldChar w:fldCharType="separate"/>
      </w:r>
      <w:r>
        <w:rPr>
          <w:rFonts w:hint="eastAsia" w:ascii="Times New Roman" w:hAnsi="Times New Roman" w:eastAsia="宋体" w:cs="Times New Roman"/>
          <w:sz w:val="24"/>
          <w:szCs w:val="24"/>
          <w:highlight w:val="none"/>
          <w:lang w:val="en-US" w:eastAsia="zh-CN"/>
        </w:rPr>
        <w:t>1.4 论证依据</w:t>
      </w:r>
      <w:r>
        <w:rPr>
          <w:sz w:val="24"/>
          <w:szCs w:val="24"/>
        </w:rPr>
        <w:tab/>
      </w:r>
      <w:r>
        <w:rPr>
          <w:sz w:val="24"/>
          <w:szCs w:val="24"/>
        </w:rPr>
        <w:fldChar w:fldCharType="begin"/>
      </w:r>
      <w:r>
        <w:rPr>
          <w:sz w:val="24"/>
          <w:szCs w:val="24"/>
        </w:rPr>
        <w:instrText xml:space="preserve"> PAGEREF _Toc19778 \h </w:instrText>
      </w:r>
      <w:r>
        <w:rPr>
          <w:sz w:val="24"/>
          <w:szCs w:val="24"/>
        </w:rPr>
        <w:fldChar w:fldCharType="separate"/>
      </w:r>
      <w:r>
        <w:rPr>
          <w:sz w:val="24"/>
          <w:szCs w:val="24"/>
        </w:rPr>
        <w:t>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45B99D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_Toc22735 </w:instrText>
      </w:r>
      <w:r>
        <w:rPr>
          <w:bCs/>
          <w:sz w:val="24"/>
          <w:szCs w:val="24"/>
          <w:highlight w:val="none"/>
        </w:rPr>
        <w:fldChar w:fldCharType="separate"/>
      </w:r>
      <w:r>
        <w:rPr>
          <w:rFonts w:hint="eastAsia"/>
          <w:sz w:val="24"/>
          <w:szCs w:val="24"/>
          <w:highlight w:val="none"/>
          <w:lang w:val="en-US" w:eastAsia="zh-CN"/>
        </w:rPr>
        <w:t>1.5 论证等级</w:t>
      </w:r>
      <w:r>
        <w:rPr>
          <w:sz w:val="24"/>
          <w:szCs w:val="24"/>
        </w:rPr>
        <w:tab/>
      </w:r>
      <w:r>
        <w:rPr>
          <w:sz w:val="24"/>
          <w:szCs w:val="24"/>
        </w:rPr>
        <w:fldChar w:fldCharType="begin"/>
      </w:r>
      <w:r>
        <w:rPr>
          <w:sz w:val="24"/>
          <w:szCs w:val="24"/>
        </w:rPr>
        <w:instrText xml:space="preserve"> PAGEREF _Toc22735 \h </w:instrText>
      </w:r>
      <w:r>
        <w:rPr>
          <w:sz w:val="24"/>
          <w:szCs w:val="24"/>
        </w:rPr>
        <w:fldChar w:fldCharType="separate"/>
      </w:r>
      <w:r>
        <w:rPr>
          <w:sz w:val="24"/>
          <w:szCs w:val="24"/>
        </w:rPr>
        <w:t>5</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32D3AE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_Toc22220 </w:instrText>
      </w:r>
      <w:r>
        <w:rPr>
          <w:bCs/>
          <w:sz w:val="24"/>
          <w:szCs w:val="24"/>
          <w:highlight w:val="none"/>
        </w:rPr>
        <w:fldChar w:fldCharType="separate"/>
      </w:r>
      <w:r>
        <w:rPr>
          <w:rFonts w:hint="eastAsia"/>
          <w:sz w:val="24"/>
          <w:szCs w:val="24"/>
          <w:highlight w:val="none"/>
          <w:lang w:val="en-US" w:eastAsia="zh-CN"/>
        </w:rPr>
        <w:t>1.6 论证范围及规模</w:t>
      </w:r>
      <w:r>
        <w:rPr>
          <w:sz w:val="24"/>
          <w:szCs w:val="24"/>
        </w:rPr>
        <w:tab/>
      </w:r>
      <w:r>
        <w:rPr>
          <w:sz w:val="24"/>
          <w:szCs w:val="24"/>
        </w:rPr>
        <w:fldChar w:fldCharType="begin"/>
      </w:r>
      <w:r>
        <w:rPr>
          <w:sz w:val="24"/>
          <w:szCs w:val="24"/>
        </w:rPr>
        <w:instrText xml:space="preserve"> PAGEREF _Toc22220 \h </w:instrText>
      </w:r>
      <w:r>
        <w:rPr>
          <w:sz w:val="24"/>
          <w:szCs w:val="24"/>
        </w:rPr>
        <w:fldChar w:fldCharType="separate"/>
      </w:r>
      <w:r>
        <w:rPr>
          <w:sz w:val="24"/>
          <w:szCs w:val="24"/>
        </w:rPr>
        <w:t>6</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09729A9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_Toc5464 </w:instrText>
      </w:r>
      <w:r>
        <w:rPr>
          <w:bCs/>
          <w:sz w:val="24"/>
          <w:szCs w:val="24"/>
          <w:highlight w:val="none"/>
        </w:rPr>
        <w:fldChar w:fldCharType="separate"/>
      </w:r>
      <w:r>
        <w:rPr>
          <w:rFonts w:hint="default"/>
          <w:sz w:val="24"/>
          <w:szCs w:val="24"/>
          <w:highlight w:val="none"/>
          <w:lang w:val="en-US" w:eastAsia="zh-CN"/>
        </w:rPr>
        <w:t>1.</w:t>
      </w:r>
      <w:r>
        <w:rPr>
          <w:rFonts w:hint="eastAsia"/>
          <w:sz w:val="24"/>
          <w:szCs w:val="24"/>
          <w:highlight w:val="none"/>
          <w:lang w:val="en-US" w:eastAsia="zh-CN"/>
        </w:rPr>
        <w:t xml:space="preserve">7 </w:t>
      </w:r>
      <w:r>
        <w:rPr>
          <w:rFonts w:hint="default"/>
          <w:sz w:val="24"/>
          <w:szCs w:val="24"/>
          <w:highlight w:val="none"/>
          <w:lang w:val="en-US" w:eastAsia="zh-CN"/>
        </w:rPr>
        <w:t>论证</w:t>
      </w:r>
      <w:r>
        <w:rPr>
          <w:rFonts w:hint="eastAsia"/>
          <w:sz w:val="24"/>
          <w:szCs w:val="24"/>
          <w:highlight w:val="none"/>
          <w:lang w:val="en-US" w:eastAsia="zh-CN"/>
        </w:rPr>
        <w:t>水平年</w:t>
      </w:r>
      <w:r>
        <w:rPr>
          <w:sz w:val="24"/>
          <w:szCs w:val="24"/>
        </w:rPr>
        <w:tab/>
      </w:r>
      <w:r>
        <w:rPr>
          <w:sz w:val="24"/>
          <w:szCs w:val="24"/>
        </w:rPr>
        <w:fldChar w:fldCharType="begin"/>
      </w:r>
      <w:r>
        <w:rPr>
          <w:sz w:val="24"/>
          <w:szCs w:val="24"/>
        </w:rPr>
        <w:instrText xml:space="preserve"> PAGEREF _Toc5464 \h </w:instrText>
      </w:r>
      <w:r>
        <w:rPr>
          <w:sz w:val="24"/>
          <w:szCs w:val="24"/>
        </w:rPr>
        <w:fldChar w:fldCharType="separate"/>
      </w:r>
      <w:r>
        <w:rPr>
          <w:sz w:val="24"/>
          <w:szCs w:val="24"/>
        </w:rPr>
        <w:t>9</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D87EADF">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_Toc8408 </w:instrText>
      </w:r>
      <w:r>
        <w:rPr>
          <w:bCs/>
          <w:sz w:val="24"/>
          <w:szCs w:val="24"/>
          <w:highlight w:val="none"/>
        </w:rPr>
        <w:fldChar w:fldCharType="separate"/>
      </w:r>
      <w:r>
        <w:rPr>
          <w:rFonts w:hint="eastAsia"/>
          <w:sz w:val="24"/>
          <w:szCs w:val="24"/>
          <w:highlight w:val="none"/>
          <w:lang w:val="en-US" w:eastAsia="zh-CN"/>
        </w:rPr>
        <w:t>1.8 论证工作程序</w:t>
      </w:r>
      <w:r>
        <w:rPr>
          <w:sz w:val="24"/>
          <w:szCs w:val="24"/>
        </w:rPr>
        <w:tab/>
      </w:r>
      <w:r>
        <w:rPr>
          <w:sz w:val="24"/>
          <w:szCs w:val="24"/>
        </w:rPr>
        <w:fldChar w:fldCharType="begin"/>
      </w:r>
      <w:r>
        <w:rPr>
          <w:sz w:val="24"/>
          <w:szCs w:val="24"/>
        </w:rPr>
        <w:instrText xml:space="preserve"> PAGEREF _Toc8408 \h </w:instrText>
      </w:r>
      <w:r>
        <w:rPr>
          <w:sz w:val="24"/>
          <w:szCs w:val="24"/>
        </w:rPr>
        <w:fldChar w:fldCharType="separate"/>
      </w:r>
      <w:r>
        <w:rPr>
          <w:sz w:val="24"/>
          <w:szCs w:val="24"/>
        </w:rPr>
        <w:t>9</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D18A3A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_Toc5856 </w:instrText>
      </w:r>
      <w:r>
        <w:rPr>
          <w:bCs/>
          <w:sz w:val="24"/>
          <w:szCs w:val="24"/>
          <w:highlight w:val="none"/>
        </w:rPr>
        <w:fldChar w:fldCharType="separate"/>
      </w:r>
      <w:r>
        <w:rPr>
          <w:rFonts w:hint="eastAsia"/>
          <w:sz w:val="24"/>
          <w:szCs w:val="24"/>
          <w:highlight w:val="none"/>
          <w:lang w:val="en-US" w:eastAsia="zh-CN"/>
        </w:rPr>
        <w:t>1.9 论证的主要内容</w:t>
      </w:r>
      <w:r>
        <w:rPr>
          <w:sz w:val="24"/>
          <w:szCs w:val="24"/>
        </w:rPr>
        <w:tab/>
      </w:r>
      <w:r>
        <w:rPr>
          <w:sz w:val="24"/>
          <w:szCs w:val="24"/>
        </w:rPr>
        <w:fldChar w:fldCharType="begin"/>
      </w:r>
      <w:r>
        <w:rPr>
          <w:sz w:val="24"/>
          <w:szCs w:val="24"/>
        </w:rPr>
        <w:instrText xml:space="preserve"> PAGEREF _Toc5856 \h </w:instrText>
      </w:r>
      <w:r>
        <w:rPr>
          <w:sz w:val="24"/>
          <w:szCs w:val="24"/>
        </w:rPr>
        <w:fldChar w:fldCharType="separate"/>
      </w:r>
      <w:r>
        <w:rPr>
          <w:sz w:val="24"/>
          <w:szCs w:val="24"/>
        </w:rPr>
        <w:t>10</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DCD052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_Toc24929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第二章  项目概况</w:t>
      </w:r>
      <w:r>
        <w:rPr>
          <w:b/>
          <w:bCs/>
          <w:sz w:val="24"/>
          <w:szCs w:val="24"/>
        </w:rPr>
        <w:tab/>
      </w:r>
      <w:r>
        <w:rPr>
          <w:b/>
          <w:bCs/>
          <w:sz w:val="24"/>
          <w:szCs w:val="24"/>
        </w:rPr>
        <w:fldChar w:fldCharType="begin"/>
      </w:r>
      <w:r>
        <w:rPr>
          <w:b/>
          <w:bCs/>
          <w:sz w:val="24"/>
          <w:szCs w:val="24"/>
        </w:rPr>
        <w:instrText xml:space="preserve"> PAGEREF _Toc24929 \h </w:instrText>
      </w:r>
      <w:r>
        <w:rPr>
          <w:b/>
          <w:bCs/>
          <w:sz w:val="24"/>
          <w:szCs w:val="24"/>
        </w:rPr>
        <w:fldChar w:fldCharType="separate"/>
      </w:r>
      <w:r>
        <w:rPr>
          <w:b/>
          <w:bCs/>
          <w:sz w:val="24"/>
          <w:szCs w:val="24"/>
        </w:rPr>
        <w:t>12</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5887214F">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_Toc22915 </w:instrText>
      </w:r>
      <w:r>
        <w:rPr>
          <w:bCs/>
          <w:sz w:val="24"/>
          <w:szCs w:val="24"/>
          <w:highlight w:val="none"/>
        </w:rPr>
        <w:fldChar w:fldCharType="separate"/>
      </w:r>
      <w:r>
        <w:rPr>
          <w:rFonts w:hint="eastAsia"/>
          <w:sz w:val="24"/>
          <w:szCs w:val="24"/>
          <w:highlight w:val="none"/>
          <w:lang w:val="en-US" w:eastAsia="zh-CN"/>
        </w:rPr>
        <w:t>2.1 项目</w:t>
      </w:r>
      <w:r>
        <w:rPr>
          <w:rFonts w:hint="eastAsia" w:ascii="Times New Roman" w:hAnsi="Times New Roman" w:eastAsia="宋体" w:cs="Times New Roman"/>
          <w:sz w:val="24"/>
          <w:szCs w:val="24"/>
          <w:highlight w:val="none"/>
          <w:lang w:val="en-US" w:eastAsia="zh-CN"/>
        </w:rPr>
        <w:t>概况</w:t>
      </w:r>
      <w:r>
        <w:rPr>
          <w:sz w:val="24"/>
          <w:szCs w:val="24"/>
        </w:rPr>
        <w:tab/>
      </w:r>
      <w:r>
        <w:rPr>
          <w:sz w:val="24"/>
          <w:szCs w:val="24"/>
        </w:rPr>
        <w:fldChar w:fldCharType="begin"/>
      </w:r>
      <w:r>
        <w:rPr>
          <w:sz w:val="24"/>
          <w:szCs w:val="24"/>
        </w:rPr>
        <w:instrText xml:space="preserve"> PAGEREF _Toc22915 \h </w:instrText>
      </w:r>
      <w:r>
        <w:rPr>
          <w:sz w:val="24"/>
          <w:szCs w:val="24"/>
        </w:rPr>
        <w:fldChar w:fldCharType="separate"/>
      </w:r>
      <w:r>
        <w:rPr>
          <w:sz w:val="24"/>
          <w:szCs w:val="24"/>
        </w:rPr>
        <w:t>12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A55D8B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_Toc4571 </w:instrText>
      </w:r>
      <w:r>
        <w:rPr>
          <w:bCs/>
          <w:sz w:val="24"/>
          <w:szCs w:val="24"/>
          <w:highlight w:val="none"/>
        </w:rPr>
        <w:fldChar w:fldCharType="separate"/>
      </w:r>
      <w:r>
        <w:rPr>
          <w:rFonts w:hint="eastAsia"/>
          <w:sz w:val="24"/>
          <w:szCs w:val="24"/>
          <w:highlight w:val="none"/>
          <w:lang w:val="en-US" w:eastAsia="zh-CN"/>
        </w:rPr>
        <w:t>2.2 污水处理厂概况</w:t>
      </w:r>
      <w:r>
        <w:rPr>
          <w:sz w:val="24"/>
          <w:szCs w:val="24"/>
        </w:rPr>
        <w:tab/>
      </w:r>
      <w:r>
        <w:rPr>
          <w:sz w:val="24"/>
          <w:szCs w:val="24"/>
        </w:rPr>
        <w:fldChar w:fldCharType="begin"/>
      </w:r>
      <w:r>
        <w:rPr>
          <w:sz w:val="24"/>
          <w:szCs w:val="24"/>
        </w:rPr>
        <w:instrText xml:space="preserve"> PAGEREF _Toc4571 \h </w:instrText>
      </w:r>
      <w:r>
        <w:rPr>
          <w:sz w:val="24"/>
          <w:szCs w:val="24"/>
        </w:rPr>
        <w:fldChar w:fldCharType="separate"/>
      </w:r>
      <w:r>
        <w:rPr>
          <w:sz w:val="24"/>
          <w:szCs w:val="24"/>
        </w:rPr>
        <w:t>12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2FA163A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_Toc18311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第三章  项目所在区域概况</w:t>
      </w:r>
      <w:r>
        <w:rPr>
          <w:b/>
          <w:bCs/>
          <w:sz w:val="24"/>
          <w:szCs w:val="24"/>
        </w:rPr>
        <w:tab/>
      </w:r>
      <w:r>
        <w:rPr>
          <w:b/>
          <w:bCs/>
          <w:sz w:val="24"/>
          <w:szCs w:val="24"/>
        </w:rPr>
        <w:fldChar w:fldCharType="begin"/>
      </w:r>
      <w:r>
        <w:rPr>
          <w:b/>
          <w:bCs/>
          <w:sz w:val="24"/>
          <w:szCs w:val="24"/>
        </w:rPr>
        <w:instrText xml:space="preserve"> PAGEREF _Toc18311 \h </w:instrText>
      </w:r>
      <w:r>
        <w:rPr>
          <w:b/>
          <w:bCs/>
          <w:sz w:val="24"/>
          <w:szCs w:val="24"/>
        </w:rPr>
        <w:fldChar w:fldCharType="separate"/>
      </w:r>
      <w:r>
        <w:rPr>
          <w:b/>
          <w:bCs/>
          <w:sz w:val="24"/>
          <w:szCs w:val="24"/>
        </w:rPr>
        <w:t>21</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438B7CE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_Toc23779 </w:instrText>
      </w:r>
      <w:r>
        <w:rPr>
          <w:bCs/>
          <w:sz w:val="24"/>
          <w:szCs w:val="24"/>
          <w:highlight w:val="none"/>
        </w:rPr>
        <w:fldChar w:fldCharType="separate"/>
      </w:r>
      <w:r>
        <w:rPr>
          <w:rFonts w:hint="eastAsia"/>
          <w:sz w:val="24"/>
          <w:szCs w:val="24"/>
          <w:highlight w:val="none"/>
          <w:lang w:val="en-US" w:eastAsia="zh-CN"/>
        </w:rPr>
        <w:t>3</w:t>
      </w:r>
      <w:r>
        <w:rPr>
          <w:rFonts w:hint="default"/>
          <w:sz w:val="24"/>
          <w:szCs w:val="24"/>
          <w:highlight w:val="none"/>
          <w:lang w:val="en-US" w:eastAsia="zh-CN"/>
        </w:rPr>
        <w:t>.</w:t>
      </w:r>
      <w:r>
        <w:rPr>
          <w:rFonts w:hint="eastAsia"/>
          <w:sz w:val="24"/>
          <w:szCs w:val="24"/>
          <w:highlight w:val="none"/>
          <w:lang w:val="en-US" w:eastAsia="zh-CN"/>
        </w:rPr>
        <w:t xml:space="preserve">1 </w:t>
      </w:r>
      <w:r>
        <w:rPr>
          <w:rFonts w:hint="default"/>
          <w:sz w:val="24"/>
          <w:szCs w:val="24"/>
          <w:highlight w:val="none"/>
          <w:lang w:val="en-US" w:eastAsia="en-US"/>
        </w:rPr>
        <w:t>自然环境</w:t>
      </w:r>
      <w:r>
        <w:rPr>
          <w:rFonts w:hint="eastAsia"/>
          <w:sz w:val="24"/>
          <w:szCs w:val="24"/>
          <w:highlight w:val="none"/>
          <w:lang w:val="en-US" w:eastAsia="zh-CN"/>
        </w:rPr>
        <w:t>概况</w:t>
      </w:r>
      <w:r>
        <w:rPr>
          <w:sz w:val="24"/>
          <w:szCs w:val="24"/>
        </w:rPr>
        <w:tab/>
      </w:r>
      <w:r>
        <w:rPr>
          <w:sz w:val="24"/>
          <w:szCs w:val="24"/>
        </w:rPr>
        <w:fldChar w:fldCharType="begin"/>
      </w:r>
      <w:r>
        <w:rPr>
          <w:sz w:val="24"/>
          <w:szCs w:val="24"/>
        </w:rPr>
        <w:instrText xml:space="preserve"> PAGEREF _Toc23779 \h </w:instrText>
      </w:r>
      <w:r>
        <w:rPr>
          <w:sz w:val="24"/>
          <w:szCs w:val="24"/>
        </w:rPr>
        <w:fldChar w:fldCharType="separate"/>
      </w:r>
      <w:r>
        <w:rPr>
          <w:sz w:val="24"/>
          <w:szCs w:val="24"/>
        </w:rPr>
        <w:t>21</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4DC66B0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_Toc13189 </w:instrText>
      </w:r>
      <w:r>
        <w:rPr>
          <w:bCs/>
          <w:sz w:val="24"/>
          <w:szCs w:val="24"/>
          <w:highlight w:val="none"/>
        </w:rPr>
        <w:fldChar w:fldCharType="separate"/>
      </w:r>
      <w:r>
        <w:rPr>
          <w:rFonts w:hint="eastAsia"/>
          <w:sz w:val="24"/>
          <w:szCs w:val="24"/>
          <w:highlight w:val="none"/>
          <w:lang w:val="en-US" w:eastAsia="zh-CN"/>
        </w:rPr>
        <w:t>3.2 社会</w:t>
      </w:r>
      <w:r>
        <w:rPr>
          <w:rFonts w:hint="default"/>
          <w:sz w:val="24"/>
          <w:szCs w:val="24"/>
          <w:highlight w:val="none"/>
          <w:lang w:val="en-US" w:eastAsia="en-US"/>
        </w:rPr>
        <w:t>环境</w:t>
      </w:r>
      <w:r>
        <w:rPr>
          <w:rFonts w:hint="eastAsia"/>
          <w:sz w:val="24"/>
          <w:szCs w:val="24"/>
          <w:highlight w:val="none"/>
          <w:lang w:val="en-US" w:eastAsia="zh-CN"/>
        </w:rPr>
        <w:t>概况</w:t>
      </w:r>
      <w:r>
        <w:rPr>
          <w:sz w:val="24"/>
          <w:szCs w:val="24"/>
        </w:rPr>
        <w:tab/>
      </w:r>
      <w:r>
        <w:rPr>
          <w:sz w:val="24"/>
          <w:szCs w:val="24"/>
        </w:rPr>
        <w:fldChar w:fldCharType="begin"/>
      </w:r>
      <w:r>
        <w:rPr>
          <w:sz w:val="24"/>
          <w:szCs w:val="24"/>
        </w:rPr>
        <w:instrText xml:space="preserve"> PAGEREF _Toc13189 \h </w:instrText>
      </w:r>
      <w:r>
        <w:rPr>
          <w:sz w:val="24"/>
          <w:szCs w:val="24"/>
        </w:rPr>
        <w:fldChar w:fldCharType="separate"/>
      </w:r>
      <w:r>
        <w:rPr>
          <w:sz w:val="24"/>
          <w:szCs w:val="24"/>
        </w:rPr>
        <w:t>24</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8B325C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_Toc32625 </w:instrText>
      </w:r>
      <w:r>
        <w:rPr>
          <w:bCs/>
          <w:sz w:val="24"/>
          <w:szCs w:val="24"/>
          <w:highlight w:val="none"/>
        </w:rPr>
        <w:fldChar w:fldCharType="separate"/>
      </w:r>
      <w:r>
        <w:rPr>
          <w:rFonts w:hint="eastAsia"/>
          <w:sz w:val="24"/>
          <w:szCs w:val="24"/>
          <w:highlight w:val="none"/>
          <w:lang w:val="en-US" w:eastAsia="zh-CN"/>
        </w:rPr>
        <w:t>3.3 区域水资源状况及开发利用情况</w:t>
      </w:r>
      <w:r>
        <w:rPr>
          <w:sz w:val="24"/>
          <w:szCs w:val="24"/>
        </w:rPr>
        <w:tab/>
      </w:r>
      <w:r>
        <w:rPr>
          <w:sz w:val="24"/>
          <w:szCs w:val="24"/>
        </w:rPr>
        <w:fldChar w:fldCharType="begin"/>
      </w:r>
      <w:r>
        <w:rPr>
          <w:sz w:val="24"/>
          <w:szCs w:val="24"/>
        </w:rPr>
        <w:instrText xml:space="preserve"> PAGEREF _Toc32625 \h </w:instrText>
      </w:r>
      <w:r>
        <w:rPr>
          <w:sz w:val="24"/>
          <w:szCs w:val="24"/>
        </w:rPr>
        <w:fldChar w:fldCharType="separate"/>
      </w:r>
      <w:r>
        <w:rPr>
          <w:sz w:val="24"/>
          <w:szCs w:val="24"/>
        </w:rPr>
        <w:t>25</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288827C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_Toc12387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 xml:space="preserve">第四章  </w:t>
      </w:r>
      <w:r>
        <w:rPr>
          <w:rFonts w:hint="default" w:ascii="Times New Roman" w:hAnsi="Times New Roman" w:eastAsia="宋体" w:cs="Times New Roman"/>
          <w:b/>
          <w:bCs/>
          <w:sz w:val="24"/>
          <w:szCs w:val="24"/>
          <w:highlight w:val="none"/>
          <w:lang w:val="en-US" w:eastAsia="zh-CN"/>
        </w:rPr>
        <w:t>水功能区（水域）管理要求和现有取排水状况</w:t>
      </w:r>
      <w:r>
        <w:rPr>
          <w:b/>
          <w:bCs/>
          <w:sz w:val="24"/>
          <w:szCs w:val="24"/>
        </w:rPr>
        <w:tab/>
      </w:r>
      <w:r>
        <w:rPr>
          <w:b/>
          <w:bCs/>
          <w:sz w:val="24"/>
          <w:szCs w:val="24"/>
        </w:rPr>
        <w:fldChar w:fldCharType="begin"/>
      </w:r>
      <w:r>
        <w:rPr>
          <w:b/>
          <w:bCs/>
          <w:sz w:val="24"/>
          <w:szCs w:val="24"/>
        </w:rPr>
        <w:instrText xml:space="preserve"> PAGEREF _Toc12387 \h </w:instrText>
      </w:r>
      <w:r>
        <w:rPr>
          <w:b/>
          <w:bCs/>
          <w:sz w:val="24"/>
          <w:szCs w:val="24"/>
        </w:rPr>
        <w:fldChar w:fldCharType="separate"/>
      </w:r>
      <w:r>
        <w:rPr>
          <w:b/>
          <w:bCs/>
          <w:sz w:val="24"/>
          <w:szCs w:val="24"/>
        </w:rPr>
        <w:t>38</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00910D50">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_Toc4827 </w:instrText>
      </w:r>
      <w:r>
        <w:rPr>
          <w:bCs/>
          <w:sz w:val="24"/>
          <w:szCs w:val="24"/>
          <w:highlight w:val="none"/>
        </w:rPr>
        <w:fldChar w:fldCharType="separate"/>
      </w:r>
      <w:r>
        <w:rPr>
          <w:rFonts w:hint="eastAsia"/>
          <w:sz w:val="24"/>
          <w:szCs w:val="24"/>
          <w:highlight w:val="none"/>
          <w:lang w:val="en-US" w:eastAsia="zh-CN"/>
        </w:rPr>
        <w:t>4.1 水功能区水质管理目标与要求</w:t>
      </w:r>
      <w:r>
        <w:rPr>
          <w:sz w:val="24"/>
          <w:szCs w:val="24"/>
        </w:rPr>
        <w:tab/>
      </w:r>
      <w:r>
        <w:rPr>
          <w:sz w:val="24"/>
          <w:szCs w:val="24"/>
        </w:rPr>
        <w:fldChar w:fldCharType="begin"/>
      </w:r>
      <w:r>
        <w:rPr>
          <w:sz w:val="24"/>
          <w:szCs w:val="24"/>
        </w:rPr>
        <w:instrText xml:space="preserve"> PAGEREF _Toc4827 \h </w:instrText>
      </w:r>
      <w:r>
        <w:rPr>
          <w:sz w:val="24"/>
          <w:szCs w:val="24"/>
        </w:rPr>
        <w:fldChar w:fldCharType="separate"/>
      </w:r>
      <w:r>
        <w:rPr>
          <w:sz w:val="24"/>
          <w:szCs w:val="24"/>
        </w:rPr>
        <w:t>38</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71B97ED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_Toc12601 </w:instrText>
      </w:r>
      <w:r>
        <w:rPr>
          <w:bCs/>
          <w:sz w:val="24"/>
          <w:szCs w:val="24"/>
          <w:highlight w:val="none"/>
        </w:rPr>
        <w:fldChar w:fldCharType="separate"/>
      </w:r>
      <w:r>
        <w:rPr>
          <w:rFonts w:hint="eastAsia"/>
          <w:sz w:val="24"/>
          <w:szCs w:val="24"/>
          <w:highlight w:val="none"/>
          <w:lang w:val="en-US" w:eastAsia="zh-CN"/>
        </w:rPr>
        <w:t>4.2 水域纳污能力及限值排污总量</w:t>
      </w:r>
      <w:r>
        <w:rPr>
          <w:sz w:val="24"/>
          <w:szCs w:val="24"/>
        </w:rPr>
        <w:tab/>
      </w:r>
      <w:r>
        <w:rPr>
          <w:sz w:val="24"/>
          <w:szCs w:val="24"/>
        </w:rPr>
        <w:fldChar w:fldCharType="begin"/>
      </w:r>
      <w:r>
        <w:rPr>
          <w:sz w:val="24"/>
          <w:szCs w:val="24"/>
        </w:rPr>
        <w:instrText xml:space="preserve"> PAGEREF _Toc12601 \h </w:instrText>
      </w:r>
      <w:r>
        <w:rPr>
          <w:sz w:val="24"/>
          <w:szCs w:val="24"/>
        </w:rPr>
        <w:fldChar w:fldCharType="separate"/>
      </w:r>
      <w:r>
        <w:rPr>
          <w:sz w:val="24"/>
          <w:szCs w:val="24"/>
        </w:rPr>
        <w:t>40</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4AA5506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_Toc21435 </w:instrText>
      </w:r>
      <w:r>
        <w:rPr>
          <w:bCs/>
          <w:sz w:val="24"/>
          <w:szCs w:val="24"/>
          <w:highlight w:val="none"/>
        </w:rPr>
        <w:fldChar w:fldCharType="separate"/>
      </w:r>
      <w:r>
        <w:rPr>
          <w:rFonts w:hint="eastAsia"/>
          <w:sz w:val="24"/>
          <w:szCs w:val="24"/>
          <w:highlight w:val="none"/>
          <w:lang w:val="en-US" w:eastAsia="zh-CN"/>
        </w:rPr>
        <w:t>4.3 论证水功能区（水域）现有取排水状况</w:t>
      </w:r>
      <w:r>
        <w:rPr>
          <w:sz w:val="24"/>
          <w:szCs w:val="24"/>
        </w:rPr>
        <w:tab/>
      </w:r>
      <w:r>
        <w:rPr>
          <w:sz w:val="24"/>
          <w:szCs w:val="24"/>
        </w:rPr>
        <w:fldChar w:fldCharType="begin"/>
      </w:r>
      <w:r>
        <w:rPr>
          <w:sz w:val="24"/>
          <w:szCs w:val="24"/>
        </w:rPr>
        <w:instrText xml:space="preserve"> PAGEREF _Toc21435 \h </w:instrText>
      </w:r>
      <w:r>
        <w:rPr>
          <w:sz w:val="24"/>
          <w:szCs w:val="24"/>
        </w:rPr>
        <w:fldChar w:fldCharType="separate"/>
      </w:r>
      <w:r>
        <w:rPr>
          <w:sz w:val="24"/>
          <w:szCs w:val="24"/>
        </w:rPr>
        <w:t>44</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293033C4">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_Toc18068 </w:instrText>
      </w:r>
      <w:r>
        <w:rPr>
          <w:bCs/>
          <w:sz w:val="24"/>
          <w:szCs w:val="24"/>
          <w:highlight w:val="none"/>
        </w:rPr>
        <w:fldChar w:fldCharType="separate"/>
      </w:r>
      <w:r>
        <w:rPr>
          <w:rFonts w:hint="eastAsia"/>
          <w:sz w:val="24"/>
          <w:szCs w:val="24"/>
          <w:highlight w:val="none"/>
          <w:lang w:val="en-US" w:eastAsia="zh-CN"/>
        </w:rPr>
        <w:t>4.4 水功能区（水域）水质现状</w:t>
      </w:r>
      <w:r>
        <w:rPr>
          <w:sz w:val="24"/>
          <w:szCs w:val="24"/>
        </w:rPr>
        <w:tab/>
      </w:r>
      <w:r>
        <w:rPr>
          <w:sz w:val="24"/>
          <w:szCs w:val="24"/>
        </w:rPr>
        <w:fldChar w:fldCharType="begin"/>
      </w:r>
      <w:r>
        <w:rPr>
          <w:sz w:val="24"/>
          <w:szCs w:val="24"/>
        </w:rPr>
        <w:instrText xml:space="preserve"> PAGEREF _Toc18068 \h </w:instrText>
      </w:r>
      <w:r>
        <w:rPr>
          <w:sz w:val="24"/>
          <w:szCs w:val="24"/>
        </w:rPr>
        <w:fldChar w:fldCharType="separate"/>
      </w:r>
      <w:r>
        <w:rPr>
          <w:sz w:val="24"/>
          <w:szCs w:val="24"/>
        </w:rPr>
        <w:t>44</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7BC9F863">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_Toc9564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第五章  入河排污口设置及可行性分析论证</w:t>
      </w:r>
      <w:r>
        <w:rPr>
          <w:b/>
          <w:bCs/>
          <w:sz w:val="24"/>
          <w:szCs w:val="24"/>
        </w:rPr>
        <w:tab/>
      </w:r>
      <w:r>
        <w:rPr>
          <w:b/>
          <w:bCs/>
          <w:sz w:val="24"/>
          <w:szCs w:val="24"/>
        </w:rPr>
        <w:fldChar w:fldCharType="begin"/>
      </w:r>
      <w:r>
        <w:rPr>
          <w:b/>
          <w:bCs/>
          <w:sz w:val="24"/>
          <w:szCs w:val="24"/>
        </w:rPr>
        <w:instrText xml:space="preserve"> PAGEREF _Toc9564 \h </w:instrText>
      </w:r>
      <w:r>
        <w:rPr>
          <w:b/>
          <w:bCs/>
          <w:sz w:val="24"/>
          <w:szCs w:val="24"/>
        </w:rPr>
        <w:fldChar w:fldCharType="separate"/>
      </w:r>
      <w:r>
        <w:rPr>
          <w:b/>
          <w:bCs/>
          <w:sz w:val="24"/>
          <w:szCs w:val="24"/>
        </w:rPr>
        <w:t>47</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704F5A1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_Toc20409 </w:instrText>
      </w:r>
      <w:r>
        <w:rPr>
          <w:bCs/>
          <w:sz w:val="24"/>
          <w:szCs w:val="24"/>
          <w:highlight w:val="none"/>
        </w:rPr>
        <w:fldChar w:fldCharType="separate"/>
      </w:r>
      <w:r>
        <w:rPr>
          <w:rFonts w:hint="eastAsia"/>
          <w:sz w:val="24"/>
          <w:szCs w:val="24"/>
          <w:highlight w:val="none"/>
          <w:lang w:val="en-US" w:eastAsia="zh-CN"/>
        </w:rPr>
        <w:t>5.1 废污水来源及构成</w:t>
      </w:r>
      <w:r>
        <w:rPr>
          <w:sz w:val="24"/>
          <w:szCs w:val="24"/>
        </w:rPr>
        <w:tab/>
      </w:r>
      <w:r>
        <w:rPr>
          <w:sz w:val="24"/>
          <w:szCs w:val="24"/>
        </w:rPr>
        <w:fldChar w:fldCharType="begin"/>
      </w:r>
      <w:r>
        <w:rPr>
          <w:sz w:val="24"/>
          <w:szCs w:val="24"/>
        </w:rPr>
        <w:instrText xml:space="preserve"> PAGEREF _Toc20409 \h </w:instrText>
      </w:r>
      <w:r>
        <w:rPr>
          <w:sz w:val="24"/>
          <w:szCs w:val="24"/>
        </w:rPr>
        <w:fldChar w:fldCharType="separate"/>
      </w:r>
      <w:r>
        <w:rPr>
          <w:sz w:val="24"/>
          <w:szCs w:val="24"/>
        </w:rPr>
        <w:t>47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29C3025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_Toc30322 </w:instrText>
      </w:r>
      <w:r>
        <w:rPr>
          <w:bCs/>
          <w:sz w:val="24"/>
          <w:szCs w:val="24"/>
          <w:highlight w:val="none"/>
        </w:rPr>
        <w:fldChar w:fldCharType="separate"/>
      </w:r>
      <w:r>
        <w:rPr>
          <w:rFonts w:hint="eastAsia"/>
          <w:sz w:val="24"/>
          <w:szCs w:val="24"/>
          <w:highlight w:val="none"/>
          <w:lang w:val="en-US" w:eastAsia="zh-CN"/>
        </w:rPr>
        <w:t>5.2 废污水所含主要污染物种类及排放浓度、总量</w:t>
      </w:r>
      <w:r>
        <w:rPr>
          <w:sz w:val="24"/>
          <w:szCs w:val="24"/>
        </w:rPr>
        <w:tab/>
      </w:r>
      <w:r>
        <w:rPr>
          <w:sz w:val="24"/>
          <w:szCs w:val="24"/>
        </w:rPr>
        <w:fldChar w:fldCharType="begin"/>
      </w:r>
      <w:r>
        <w:rPr>
          <w:sz w:val="24"/>
          <w:szCs w:val="24"/>
        </w:rPr>
        <w:instrText xml:space="preserve"> PAGEREF _Toc30322 \h </w:instrText>
      </w:r>
      <w:r>
        <w:rPr>
          <w:sz w:val="24"/>
          <w:szCs w:val="24"/>
        </w:rPr>
        <w:fldChar w:fldCharType="separate"/>
      </w:r>
      <w:r>
        <w:rPr>
          <w:sz w:val="24"/>
          <w:szCs w:val="24"/>
        </w:rPr>
        <w:t>47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C72D962">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_Toc25355 </w:instrText>
      </w:r>
      <w:r>
        <w:rPr>
          <w:bCs/>
          <w:sz w:val="24"/>
          <w:szCs w:val="24"/>
          <w:highlight w:val="none"/>
        </w:rPr>
        <w:fldChar w:fldCharType="separate"/>
      </w:r>
      <w:r>
        <w:rPr>
          <w:rFonts w:hint="eastAsia"/>
          <w:sz w:val="24"/>
          <w:szCs w:val="24"/>
          <w:highlight w:val="none"/>
          <w:lang w:val="en-US" w:eastAsia="zh-CN"/>
        </w:rPr>
        <w:t>5.3 废污水处理措施及达标排放可行性分析</w:t>
      </w:r>
      <w:r>
        <w:rPr>
          <w:sz w:val="24"/>
          <w:szCs w:val="24"/>
        </w:rPr>
        <w:tab/>
      </w:r>
      <w:r>
        <w:rPr>
          <w:sz w:val="24"/>
          <w:szCs w:val="24"/>
        </w:rPr>
        <w:fldChar w:fldCharType="begin"/>
      </w:r>
      <w:r>
        <w:rPr>
          <w:sz w:val="24"/>
          <w:szCs w:val="24"/>
        </w:rPr>
        <w:instrText xml:space="preserve"> PAGEREF _Toc25355 \h </w:instrText>
      </w:r>
      <w:r>
        <w:rPr>
          <w:sz w:val="24"/>
          <w:szCs w:val="24"/>
        </w:rPr>
        <w:fldChar w:fldCharType="separate"/>
      </w:r>
      <w:r>
        <w:rPr>
          <w:sz w:val="24"/>
          <w:szCs w:val="24"/>
        </w:rPr>
        <w:t>47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315C254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_Toc17508 </w:instrText>
      </w:r>
      <w:r>
        <w:rPr>
          <w:bCs/>
          <w:sz w:val="24"/>
          <w:szCs w:val="24"/>
          <w:highlight w:val="none"/>
        </w:rPr>
        <w:fldChar w:fldCharType="separate"/>
      </w:r>
      <w:r>
        <w:rPr>
          <w:rFonts w:hint="eastAsia"/>
          <w:sz w:val="24"/>
          <w:szCs w:val="24"/>
          <w:highlight w:val="none"/>
          <w:lang w:val="en-US" w:eastAsia="zh-CN"/>
        </w:rPr>
        <w:t>5.4 入河排污口设置可行性分析论证</w:t>
      </w:r>
      <w:r>
        <w:rPr>
          <w:sz w:val="24"/>
          <w:szCs w:val="24"/>
        </w:rPr>
        <w:tab/>
      </w:r>
      <w:r>
        <w:rPr>
          <w:sz w:val="24"/>
          <w:szCs w:val="24"/>
        </w:rPr>
        <w:fldChar w:fldCharType="begin"/>
      </w:r>
      <w:r>
        <w:rPr>
          <w:sz w:val="24"/>
          <w:szCs w:val="24"/>
        </w:rPr>
        <w:instrText xml:space="preserve"> PAGEREF _Toc17508 \h </w:instrText>
      </w:r>
      <w:r>
        <w:rPr>
          <w:sz w:val="24"/>
          <w:szCs w:val="24"/>
        </w:rPr>
        <w:fldChar w:fldCharType="separate"/>
      </w:r>
      <w:r>
        <w:rPr>
          <w:sz w:val="24"/>
          <w:szCs w:val="24"/>
        </w:rPr>
        <w:t>48</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3C027FB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_Toc3737 </w:instrText>
      </w:r>
      <w:r>
        <w:rPr>
          <w:bCs/>
          <w:sz w:val="24"/>
          <w:szCs w:val="24"/>
          <w:highlight w:val="none"/>
        </w:rPr>
        <w:fldChar w:fldCharType="separate"/>
      </w:r>
      <w:r>
        <w:rPr>
          <w:rFonts w:hint="eastAsia"/>
          <w:sz w:val="24"/>
          <w:szCs w:val="24"/>
          <w:highlight w:val="none"/>
          <w:lang w:val="en-US" w:eastAsia="zh-CN"/>
        </w:rPr>
        <w:t>5.5 入河排污口设置方案及规范化建设</w:t>
      </w:r>
      <w:r>
        <w:rPr>
          <w:sz w:val="24"/>
          <w:szCs w:val="24"/>
        </w:rPr>
        <w:tab/>
      </w:r>
      <w:r>
        <w:rPr>
          <w:sz w:val="24"/>
          <w:szCs w:val="24"/>
        </w:rPr>
        <w:fldChar w:fldCharType="begin"/>
      </w:r>
      <w:r>
        <w:rPr>
          <w:sz w:val="24"/>
          <w:szCs w:val="24"/>
        </w:rPr>
        <w:instrText xml:space="preserve"> PAGEREF _Toc3737 \h </w:instrText>
      </w:r>
      <w:r>
        <w:rPr>
          <w:sz w:val="24"/>
          <w:szCs w:val="24"/>
        </w:rPr>
        <w:fldChar w:fldCharType="separate"/>
      </w:r>
      <w:r>
        <w:rPr>
          <w:sz w:val="24"/>
          <w:szCs w:val="24"/>
        </w:rPr>
        <w:t>51</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6BA73E9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_Toc31273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第六章 入河排污口设置对水功能区水质和水生态影响分析</w:t>
      </w:r>
      <w:r>
        <w:rPr>
          <w:b/>
          <w:bCs/>
          <w:sz w:val="24"/>
          <w:szCs w:val="24"/>
        </w:rPr>
        <w:tab/>
      </w:r>
      <w:r>
        <w:rPr>
          <w:b/>
          <w:bCs/>
          <w:sz w:val="24"/>
          <w:szCs w:val="24"/>
        </w:rPr>
        <w:fldChar w:fldCharType="begin"/>
      </w:r>
      <w:r>
        <w:rPr>
          <w:b/>
          <w:bCs/>
          <w:sz w:val="24"/>
          <w:szCs w:val="24"/>
        </w:rPr>
        <w:instrText xml:space="preserve"> PAGEREF _Toc31273 \h </w:instrText>
      </w:r>
      <w:r>
        <w:rPr>
          <w:b/>
          <w:bCs/>
          <w:sz w:val="24"/>
          <w:szCs w:val="24"/>
        </w:rPr>
        <w:fldChar w:fldCharType="separate"/>
      </w:r>
      <w:r>
        <w:rPr>
          <w:b/>
          <w:bCs/>
          <w:sz w:val="24"/>
          <w:szCs w:val="24"/>
        </w:rPr>
        <w:t>57</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38D0392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_Toc23069 </w:instrText>
      </w:r>
      <w:r>
        <w:rPr>
          <w:bCs/>
          <w:sz w:val="24"/>
          <w:szCs w:val="24"/>
          <w:highlight w:val="none"/>
        </w:rPr>
        <w:fldChar w:fldCharType="separate"/>
      </w:r>
      <w:r>
        <w:rPr>
          <w:rFonts w:hint="eastAsia"/>
          <w:sz w:val="24"/>
          <w:szCs w:val="24"/>
          <w:highlight w:val="none"/>
          <w:lang w:val="en-US" w:eastAsia="zh-CN"/>
        </w:rPr>
        <w:t>6.1 影响范围</w:t>
      </w:r>
      <w:r>
        <w:rPr>
          <w:sz w:val="24"/>
          <w:szCs w:val="24"/>
        </w:rPr>
        <w:tab/>
      </w:r>
      <w:r>
        <w:rPr>
          <w:sz w:val="24"/>
          <w:szCs w:val="24"/>
        </w:rPr>
        <w:fldChar w:fldCharType="begin"/>
      </w:r>
      <w:r>
        <w:rPr>
          <w:sz w:val="24"/>
          <w:szCs w:val="24"/>
        </w:rPr>
        <w:instrText xml:space="preserve"> PAGEREF _Toc23069 \h </w:instrText>
      </w:r>
      <w:r>
        <w:rPr>
          <w:sz w:val="24"/>
          <w:szCs w:val="24"/>
        </w:rPr>
        <w:fldChar w:fldCharType="separate"/>
      </w:r>
      <w:r>
        <w:rPr>
          <w:sz w:val="24"/>
          <w:szCs w:val="24"/>
        </w:rPr>
        <w:t>57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3AF6AA7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_Toc3781 </w:instrText>
      </w:r>
      <w:r>
        <w:rPr>
          <w:bCs/>
          <w:sz w:val="24"/>
          <w:szCs w:val="24"/>
          <w:highlight w:val="none"/>
        </w:rPr>
        <w:fldChar w:fldCharType="separate"/>
      </w:r>
      <w:r>
        <w:rPr>
          <w:rFonts w:hint="eastAsia"/>
          <w:sz w:val="24"/>
          <w:szCs w:val="24"/>
          <w:highlight w:val="none"/>
          <w:lang w:val="en-US" w:eastAsia="zh-CN"/>
        </w:rPr>
        <w:t>6.2 对水功能区水质影响分析</w:t>
      </w:r>
      <w:r>
        <w:rPr>
          <w:sz w:val="24"/>
          <w:szCs w:val="24"/>
        </w:rPr>
        <w:tab/>
      </w:r>
      <w:r>
        <w:rPr>
          <w:sz w:val="24"/>
          <w:szCs w:val="24"/>
        </w:rPr>
        <w:fldChar w:fldCharType="begin"/>
      </w:r>
      <w:r>
        <w:rPr>
          <w:sz w:val="24"/>
          <w:szCs w:val="24"/>
        </w:rPr>
        <w:instrText xml:space="preserve"> PAGEREF _Toc3781 \h </w:instrText>
      </w:r>
      <w:r>
        <w:rPr>
          <w:sz w:val="24"/>
          <w:szCs w:val="24"/>
        </w:rPr>
        <w:fldChar w:fldCharType="separate"/>
      </w:r>
      <w:r>
        <w:rPr>
          <w:sz w:val="24"/>
          <w:szCs w:val="24"/>
        </w:rPr>
        <w:t>62</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21BD9D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_Toc32244 </w:instrText>
      </w:r>
      <w:r>
        <w:rPr>
          <w:bCs/>
          <w:sz w:val="24"/>
          <w:szCs w:val="24"/>
          <w:highlight w:val="none"/>
        </w:rPr>
        <w:fldChar w:fldCharType="separate"/>
      </w:r>
      <w:r>
        <w:rPr>
          <w:rFonts w:hint="eastAsia" w:ascii="Times New Roman" w:hAnsi="Times New Roman" w:eastAsia="宋体" w:cs="Times New Roman"/>
          <w:sz w:val="24"/>
          <w:szCs w:val="24"/>
          <w:highlight w:val="none"/>
          <w:lang w:val="en-US" w:eastAsia="zh-CN"/>
        </w:rPr>
        <w:t>6.3 对水生态的影响分析</w:t>
      </w:r>
      <w:r>
        <w:rPr>
          <w:sz w:val="24"/>
          <w:szCs w:val="24"/>
        </w:rPr>
        <w:tab/>
      </w:r>
      <w:r>
        <w:rPr>
          <w:sz w:val="24"/>
          <w:szCs w:val="24"/>
        </w:rPr>
        <w:fldChar w:fldCharType="begin"/>
      </w:r>
      <w:r>
        <w:rPr>
          <w:sz w:val="24"/>
          <w:szCs w:val="24"/>
        </w:rPr>
        <w:instrText xml:space="preserve"> PAGEREF _Toc32244 \h </w:instrText>
      </w:r>
      <w:r>
        <w:rPr>
          <w:sz w:val="24"/>
          <w:szCs w:val="24"/>
        </w:rPr>
        <w:fldChar w:fldCharType="separate"/>
      </w:r>
      <w:r>
        <w:rPr>
          <w:sz w:val="24"/>
          <w:szCs w:val="24"/>
        </w:rPr>
        <w:t>63</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7AE699AC">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_Toc10467 </w:instrText>
      </w:r>
      <w:r>
        <w:rPr>
          <w:bCs/>
          <w:sz w:val="24"/>
          <w:szCs w:val="24"/>
          <w:highlight w:val="none"/>
        </w:rPr>
        <w:fldChar w:fldCharType="separate"/>
      </w:r>
      <w:r>
        <w:rPr>
          <w:rFonts w:hint="eastAsia" w:ascii="Times New Roman" w:hAnsi="Times New Roman" w:eastAsia="宋体" w:cs="Times New Roman"/>
          <w:sz w:val="24"/>
          <w:szCs w:val="24"/>
          <w:highlight w:val="none"/>
          <w:lang w:val="en-US" w:eastAsia="zh-CN"/>
        </w:rPr>
        <w:t>6.4 对地下水影响的分析</w:t>
      </w:r>
      <w:r>
        <w:rPr>
          <w:sz w:val="24"/>
          <w:szCs w:val="24"/>
        </w:rPr>
        <w:tab/>
      </w:r>
      <w:r>
        <w:rPr>
          <w:sz w:val="24"/>
          <w:szCs w:val="24"/>
        </w:rPr>
        <w:fldChar w:fldCharType="begin"/>
      </w:r>
      <w:r>
        <w:rPr>
          <w:sz w:val="24"/>
          <w:szCs w:val="24"/>
        </w:rPr>
        <w:instrText xml:space="preserve"> PAGEREF _Toc10467 \h </w:instrText>
      </w:r>
      <w:r>
        <w:rPr>
          <w:sz w:val="24"/>
          <w:szCs w:val="24"/>
        </w:rPr>
        <w:fldChar w:fldCharType="separate"/>
      </w:r>
      <w:r>
        <w:rPr>
          <w:sz w:val="24"/>
          <w:szCs w:val="24"/>
        </w:rPr>
        <w:t>64</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8FA2EF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_Toc7894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 xml:space="preserve">6.5 </w:t>
      </w:r>
      <w:r>
        <w:rPr>
          <w:rFonts w:hint="eastAsia" w:ascii="Times New Roman" w:hAnsi="Times New Roman" w:eastAsia="宋体" w:cs="Times New Roman"/>
          <w:sz w:val="24"/>
          <w:szCs w:val="24"/>
          <w:highlight w:val="none"/>
          <w:lang w:val="en-US" w:eastAsia="zh-CN"/>
        </w:rPr>
        <w:t>对第三者影响分析</w:t>
      </w:r>
      <w:r>
        <w:rPr>
          <w:sz w:val="24"/>
          <w:szCs w:val="24"/>
        </w:rPr>
        <w:tab/>
      </w:r>
      <w:r>
        <w:rPr>
          <w:sz w:val="24"/>
          <w:szCs w:val="24"/>
        </w:rPr>
        <w:fldChar w:fldCharType="begin"/>
      </w:r>
      <w:r>
        <w:rPr>
          <w:sz w:val="24"/>
          <w:szCs w:val="24"/>
        </w:rPr>
        <w:instrText xml:space="preserve"> PAGEREF _Toc7894 \h </w:instrText>
      </w:r>
      <w:r>
        <w:rPr>
          <w:sz w:val="24"/>
          <w:szCs w:val="24"/>
        </w:rPr>
        <w:fldChar w:fldCharType="separate"/>
      </w:r>
      <w:r>
        <w:rPr>
          <w:sz w:val="24"/>
          <w:szCs w:val="24"/>
        </w:rPr>
        <w:t>65</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CD7B2A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_Toc30760 </w:instrText>
      </w:r>
      <w:r>
        <w:rPr>
          <w:b/>
          <w:bCs/>
          <w:sz w:val="24"/>
          <w:szCs w:val="24"/>
          <w:highlight w:val="none"/>
        </w:rPr>
        <w:fldChar w:fldCharType="separate"/>
      </w:r>
      <w:r>
        <w:rPr>
          <w:rFonts w:hint="eastAsia" w:ascii="Times New Roman" w:hAnsi="Times New Roman" w:eastAsia="宋体" w:cs="Times New Roman"/>
          <w:b/>
          <w:bCs/>
          <w:sz w:val="24"/>
          <w:szCs w:val="24"/>
          <w:highlight w:val="none"/>
          <w:lang w:val="en-US" w:eastAsia="zh-CN"/>
        </w:rPr>
        <w:t xml:space="preserve">第七章 </w:t>
      </w:r>
      <w:r>
        <w:rPr>
          <w:rFonts w:hint="eastAsia"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水环境保护措施</w:t>
      </w:r>
      <w:r>
        <w:rPr>
          <w:b/>
          <w:bCs/>
          <w:sz w:val="24"/>
          <w:szCs w:val="24"/>
        </w:rPr>
        <w:tab/>
      </w:r>
      <w:r>
        <w:rPr>
          <w:b/>
          <w:bCs/>
          <w:sz w:val="24"/>
          <w:szCs w:val="24"/>
        </w:rPr>
        <w:fldChar w:fldCharType="begin"/>
      </w:r>
      <w:r>
        <w:rPr>
          <w:b/>
          <w:bCs/>
          <w:sz w:val="24"/>
          <w:szCs w:val="24"/>
        </w:rPr>
        <w:instrText xml:space="preserve"> PAGEREF _Toc30760 \h </w:instrText>
      </w:r>
      <w:r>
        <w:rPr>
          <w:b/>
          <w:bCs/>
          <w:sz w:val="24"/>
          <w:szCs w:val="24"/>
        </w:rPr>
        <w:fldChar w:fldCharType="separate"/>
      </w:r>
      <w:r>
        <w:rPr>
          <w:b/>
          <w:bCs/>
          <w:sz w:val="24"/>
          <w:szCs w:val="24"/>
        </w:rPr>
        <w:t>67</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11CE33E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_Toc7261 </w:instrText>
      </w:r>
      <w:r>
        <w:rPr>
          <w:bCs/>
          <w:sz w:val="24"/>
          <w:szCs w:val="24"/>
          <w:highlight w:val="none"/>
        </w:rPr>
        <w:fldChar w:fldCharType="separate"/>
      </w:r>
      <w:r>
        <w:rPr>
          <w:rFonts w:hint="default"/>
          <w:sz w:val="24"/>
          <w:szCs w:val="24"/>
          <w:highlight w:val="none"/>
          <w:lang w:val="en-US" w:eastAsia="zh-CN"/>
        </w:rPr>
        <w:t>7.</w:t>
      </w:r>
      <w:r>
        <w:rPr>
          <w:rFonts w:hint="eastAsia"/>
          <w:sz w:val="24"/>
          <w:szCs w:val="24"/>
          <w:highlight w:val="none"/>
          <w:lang w:val="en-US" w:eastAsia="zh-CN"/>
        </w:rPr>
        <w:t>1</w:t>
      </w:r>
      <w:r>
        <w:rPr>
          <w:rFonts w:hint="default"/>
          <w:sz w:val="24"/>
          <w:szCs w:val="24"/>
          <w:highlight w:val="none"/>
          <w:lang w:val="en-US" w:eastAsia="zh-CN"/>
        </w:rPr>
        <w:t xml:space="preserve"> 水生态保护措施</w:t>
      </w:r>
      <w:r>
        <w:rPr>
          <w:sz w:val="24"/>
          <w:szCs w:val="24"/>
        </w:rPr>
        <w:tab/>
      </w:r>
      <w:r>
        <w:rPr>
          <w:sz w:val="24"/>
          <w:szCs w:val="24"/>
        </w:rPr>
        <w:fldChar w:fldCharType="begin"/>
      </w:r>
      <w:r>
        <w:rPr>
          <w:sz w:val="24"/>
          <w:szCs w:val="24"/>
        </w:rPr>
        <w:instrText xml:space="preserve"> PAGEREF _Toc7261 \h </w:instrText>
      </w:r>
      <w:r>
        <w:rPr>
          <w:sz w:val="24"/>
          <w:szCs w:val="24"/>
        </w:rPr>
        <w:fldChar w:fldCharType="separate"/>
      </w:r>
      <w:r>
        <w:rPr>
          <w:sz w:val="24"/>
          <w:szCs w:val="24"/>
        </w:rPr>
        <w:t>67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75D7BF9B">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_Toc14896 </w:instrText>
      </w:r>
      <w:r>
        <w:rPr>
          <w:bCs/>
          <w:sz w:val="24"/>
          <w:szCs w:val="24"/>
          <w:highlight w:val="none"/>
        </w:rPr>
        <w:fldChar w:fldCharType="separate"/>
      </w:r>
      <w:r>
        <w:rPr>
          <w:rFonts w:hint="default"/>
          <w:sz w:val="24"/>
          <w:szCs w:val="24"/>
          <w:highlight w:val="none"/>
          <w:lang w:val="en-US" w:eastAsia="zh-CN"/>
        </w:rPr>
        <w:t>7.</w:t>
      </w:r>
      <w:r>
        <w:rPr>
          <w:rFonts w:hint="eastAsia"/>
          <w:sz w:val="24"/>
          <w:szCs w:val="24"/>
          <w:highlight w:val="none"/>
          <w:lang w:val="en-US" w:eastAsia="zh-CN"/>
        </w:rPr>
        <w:t>2</w:t>
      </w:r>
      <w:r>
        <w:rPr>
          <w:rFonts w:hint="default"/>
          <w:sz w:val="24"/>
          <w:szCs w:val="24"/>
          <w:highlight w:val="none"/>
          <w:lang w:val="en-US" w:eastAsia="zh-CN"/>
        </w:rPr>
        <w:t xml:space="preserve"> </w:t>
      </w:r>
      <w:r>
        <w:rPr>
          <w:rFonts w:hint="eastAsia"/>
          <w:sz w:val="24"/>
          <w:szCs w:val="24"/>
          <w:highlight w:val="none"/>
          <w:lang w:val="en-US" w:eastAsia="zh-CN"/>
        </w:rPr>
        <w:t>开展排污口设置竣工验收</w:t>
      </w:r>
      <w:r>
        <w:rPr>
          <w:sz w:val="24"/>
          <w:szCs w:val="24"/>
        </w:rPr>
        <w:tab/>
      </w:r>
      <w:r>
        <w:rPr>
          <w:sz w:val="24"/>
          <w:szCs w:val="24"/>
        </w:rPr>
        <w:fldChar w:fldCharType="begin"/>
      </w:r>
      <w:r>
        <w:rPr>
          <w:sz w:val="24"/>
          <w:szCs w:val="24"/>
        </w:rPr>
        <w:instrText xml:space="preserve"> PAGEREF _Toc14896 \h </w:instrText>
      </w:r>
      <w:r>
        <w:rPr>
          <w:sz w:val="24"/>
          <w:szCs w:val="24"/>
        </w:rPr>
        <w:fldChar w:fldCharType="separate"/>
      </w:r>
      <w:r>
        <w:rPr>
          <w:sz w:val="24"/>
          <w:szCs w:val="24"/>
        </w:rPr>
        <w:t>68</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7A26B00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_Toc12433 </w:instrText>
      </w:r>
      <w:r>
        <w:rPr>
          <w:bCs/>
          <w:sz w:val="24"/>
          <w:szCs w:val="24"/>
          <w:highlight w:val="none"/>
        </w:rPr>
        <w:fldChar w:fldCharType="separate"/>
      </w:r>
      <w:r>
        <w:rPr>
          <w:rFonts w:hint="default"/>
          <w:sz w:val="24"/>
          <w:szCs w:val="24"/>
          <w:highlight w:val="none"/>
          <w:lang w:val="en-US" w:eastAsia="zh-CN"/>
        </w:rPr>
        <w:t>7.</w:t>
      </w:r>
      <w:r>
        <w:rPr>
          <w:rFonts w:hint="eastAsia"/>
          <w:sz w:val="24"/>
          <w:szCs w:val="24"/>
          <w:highlight w:val="none"/>
          <w:lang w:val="en-US" w:eastAsia="zh-CN"/>
        </w:rPr>
        <w:t>3</w:t>
      </w:r>
      <w:r>
        <w:rPr>
          <w:rFonts w:hint="default"/>
          <w:sz w:val="24"/>
          <w:szCs w:val="24"/>
          <w:highlight w:val="none"/>
          <w:lang w:val="en-US" w:eastAsia="zh-CN"/>
        </w:rPr>
        <w:t xml:space="preserve"> </w:t>
      </w:r>
      <w:r>
        <w:rPr>
          <w:rFonts w:hint="eastAsia"/>
          <w:sz w:val="24"/>
          <w:szCs w:val="24"/>
          <w:highlight w:val="none"/>
          <w:lang w:val="en-US" w:eastAsia="zh-CN"/>
        </w:rPr>
        <w:t>事故排污时应急措施</w:t>
      </w:r>
      <w:r>
        <w:rPr>
          <w:sz w:val="24"/>
          <w:szCs w:val="24"/>
        </w:rPr>
        <w:tab/>
      </w:r>
      <w:r>
        <w:rPr>
          <w:sz w:val="24"/>
          <w:szCs w:val="24"/>
        </w:rPr>
        <w:fldChar w:fldCharType="begin"/>
      </w:r>
      <w:r>
        <w:rPr>
          <w:sz w:val="24"/>
          <w:szCs w:val="24"/>
        </w:rPr>
        <w:instrText xml:space="preserve"> PAGEREF _Toc12433 \h </w:instrText>
      </w:r>
      <w:r>
        <w:rPr>
          <w:sz w:val="24"/>
          <w:szCs w:val="24"/>
        </w:rPr>
        <w:fldChar w:fldCharType="separate"/>
      </w:r>
      <w:r>
        <w:rPr>
          <w:sz w:val="24"/>
          <w:szCs w:val="24"/>
        </w:rPr>
        <w:t>69</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1779236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_Toc20561 </w:instrText>
      </w:r>
      <w:r>
        <w:rPr>
          <w:b/>
          <w:bCs/>
          <w:sz w:val="24"/>
          <w:szCs w:val="24"/>
          <w:highlight w:val="none"/>
        </w:rPr>
        <w:fldChar w:fldCharType="separate"/>
      </w:r>
      <w:r>
        <w:rPr>
          <w:rFonts w:hint="eastAsia" w:ascii="Times New Roman" w:hAnsi="Times New Roman" w:eastAsia="宋体" w:cs="Times New Roman"/>
          <w:b/>
          <w:bCs/>
          <w:sz w:val="24"/>
          <w:szCs w:val="24"/>
          <w:lang w:val="en-US" w:eastAsia="zh-CN"/>
        </w:rPr>
        <w:t xml:space="preserve">第八章 </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highlight w:val="none"/>
          <w:lang w:val="en-US" w:eastAsia="zh-CN"/>
        </w:rPr>
        <w:t>入河排污口设置合理性分析</w:t>
      </w:r>
      <w:r>
        <w:rPr>
          <w:b/>
          <w:bCs/>
          <w:sz w:val="24"/>
          <w:szCs w:val="24"/>
        </w:rPr>
        <w:tab/>
      </w:r>
      <w:r>
        <w:rPr>
          <w:b/>
          <w:bCs/>
          <w:sz w:val="24"/>
          <w:szCs w:val="24"/>
        </w:rPr>
        <w:fldChar w:fldCharType="begin"/>
      </w:r>
      <w:r>
        <w:rPr>
          <w:b/>
          <w:bCs/>
          <w:sz w:val="24"/>
          <w:szCs w:val="24"/>
        </w:rPr>
        <w:instrText xml:space="preserve"> PAGEREF _Toc20561 \h </w:instrText>
      </w:r>
      <w:r>
        <w:rPr>
          <w:b/>
          <w:bCs/>
          <w:sz w:val="24"/>
          <w:szCs w:val="24"/>
        </w:rPr>
        <w:fldChar w:fldCharType="separate"/>
      </w:r>
      <w:r>
        <w:rPr>
          <w:b/>
          <w:bCs/>
          <w:sz w:val="24"/>
          <w:szCs w:val="24"/>
        </w:rPr>
        <w:t>74</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3A65BE78">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_Toc20760 </w:instrText>
      </w:r>
      <w:r>
        <w:rPr>
          <w:bCs/>
          <w:sz w:val="24"/>
          <w:szCs w:val="24"/>
          <w:highlight w:val="none"/>
        </w:rPr>
        <w:fldChar w:fldCharType="separate"/>
      </w:r>
      <w:r>
        <w:rPr>
          <w:rFonts w:hint="eastAsia"/>
          <w:sz w:val="24"/>
          <w:szCs w:val="24"/>
          <w:highlight w:val="none"/>
          <w:lang w:val="en-US" w:eastAsia="zh-CN"/>
        </w:rPr>
        <w:t>8.1</w:t>
      </w:r>
      <w:r>
        <w:rPr>
          <w:rFonts w:hint="eastAsia" w:ascii="宋体" w:hAnsi="宋体"/>
          <w:sz w:val="24"/>
          <w:szCs w:val="24"/>
          <w:highlight w:val="none"/>
        </w:rPr>
        <w:t xml:space="preserve"> 与</w:t>
      </w:r>
      <w:r>
        <w:rPr>
          <w:rFonts w:hint="eastAsia" w:ascii="宋体" w:hAnsi="宋体"/>
          <w:sz w:val="24"/>
          <w:szCs w:val="24"/>
          <w:highlight w:val="none"/>
          <w:lang w:eastAsia="zh-CN"/>
        </w:rPr>
        <w:t>国家法律、</w:t>
      </w:r>
      <w:r>
        <w:rPr>
          <w:rFonts w:hint="eastAsia" w:ascii="宋体" w:hAnsi="宋体"/>
          <w:sz w:val="24"/>
          <w:szCs w:val="24"/>
          <w:highlight w:val="none"/>
        </w:rPr>
        <w:t>产业政策、区域规划相符性分析</w:t>
      </w:r>
      <w:r>
        <w:rPr>
          <w:sz w:val="24"/>
          <w:szCs w:val="24"/>
        </w:rPr>
        <w:tab/>
      </w:r>
      <w:r>
        <w:rPr>
          <w:sz w:val="24"/>
          <w:szCs w:val="24"/>
        </w:rPr>
        <w:fldChar w:fldCharType="begin"/>
      </w:r>
      <w:r>
        <w:rPr>
          <w:sz w:val="24"/>
          <w:szCs w:val="24"/>
        </w:rPr>
        <w:instrText xml:space="preserve"> PAGEREF _Toc20760 \h </w:instrText>
      </w:r>
      <w:r>
        <w:rPr>
          <w:sz w:val="24"/>
          <w:szCs w:val="24"/>
        </w:rPr>
        <w:fldChar w:fldCharType="separate"/>
      </w:r>
      <w:r>
        <w:rPr>
          <w:sz w:val="24"/>
          <w:szCs w:val="24"/>
        </w:rPr>
        <w:t>74</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394736A8">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_Toc13465 </w:instrText>
      </w:r>
      <w:r>
        <w:rPr>
          <w:bCs/>
          <w:sz w:val="24"/>
          <w:szCs w:val="24"/>
          <w:highlight w:val="none"/>
        </w:rPr>
        <w:fldChar w:fldCharType="separate"/>
      </w:r>
      <w:r>
        <w:rPr>
          <w:rFonts w:hint="eastAsia" w:ascii="Times New Roman" w:hAnsi="Times New Roman" w:eastAsia="宋体" w:cs="Times New Roman"/>
          <w:sz w:val="24"/>
          <w:szCs w:val="24"/>
          <w:highlight w:val="none"/>
          <w:lang w:val="en-US" w:eastAsia="zh-CN"/>
        </w:rPr>
        <w:t>8.2 与生态红线、“三线一单”符合性分析</w:t>
      </w:r>
      <w:r>
        <w:rPr>
          <w:sz w:val="24"/>
          <w:szCs w:val="24"/>
        </w:rPr>
        <w:tab/>
      </w:r>
      <w:r>
        <w:rPr>
          <w:sz w:val="24"/>
          <w:szCs w:val="24"/>
        </w:rPr>
        <w:fldChar w:fldCharType="begin"/>
      </w:r>
      <w:r>
        <w:rPr>
          <w:sz w:val="24"/>
          <w:szCs w:val="24"/>
        </w:rPr>
        <w:instrText xml:space="preserve"> PAGEREF _Toc13465 \h </w:instrText>
      </w:r>
      <w:r>
        <w:rPr>
          <w:sz w:val="24"/>
          <w:szCs w:val="24"/>
        </w:rPr>
        <w:fldChar w:fldCharType="separate"/>
      </w:r>
      <w:r>
        <w:rPr>
          <w:sz w:val="24"/>
          <w:szCs w:val="24"/>
        </w:rPr>
        <w:t>75</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38988AFE">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_Toc1733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sz w:val="24"/>
          <w:szCs w:val="24"/>
          <w:highlight w:val="none"/>
          <w:lang w:val="en-US" w:eastAsia="zh-CN"/>
        </w:rPr>
        <w:t>入河排污口设置位置合理性</w:t>
      </w:r>
      <w:r>
        <w:rPr>
          <w:sz w:val="24"/>
          <w:szCs w:val="24"/>
        </w:rPr>
        <w:tab/>
      </w:r>
      <w:r>
        <w:rPr>
          <w:sz w:val="24"/>
          <w:szCs w:val="24"/>
        </w:rPr>
        <w:fldChar w:fldCharType="begin"/>
      </w:r>
      <w:r>
        <w:rPr>
          <w:sz w:val="24"/>
          <w:szCs w:val="24"/>
        </w:rPr>
        <w:instrText xml:space="preserve"> PAGEREF _Toc1733 \h </w:instrText>
      </w:r>
      <w:r>
        <w:rPr>
          <w:sz w:val="24"/>
          <w:szCs w:val="24"/>
        </w:rPr>
        <w:fldChar w:fldCharType="separate"/>
      </w:r>
      <w:r>
        <w:rPr>
          <w:sz w:val="24"/>
          <w:szCs w:val="24"/>
        </w:rPr>
        <w:t>76</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0C8B11AA">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_Toc20389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 xml:space="preserve"> </w:t>
      </w:r>
      <w:r>
        <w:rPr>
          <w:sz w:val="24"/>
          <w:szCs w:val="24"/>
          <w:highlight w:val="none"/>
        </w:rPr>
        <w:t>入河排污口排放浓度和总量合理性分析</w:t>
      </w:r>
      <w:r>
        <w:rPr>
          <w:sz w:val="24"/>
          <w:szCs w:val="24"/>
        </w:rPr>
        <w:tab/>
      </w:r>
      <w:r>
        <w:rPr>
          <w:sz w:val="24"/>
          <w:szCs w:val="24"/>
        </w:rPr>
        <w:fldChar w:fldCharType="begin"/>
      </w:r>
      <w:r>
        <w:rPr>
          <w:sz w:val="24"/>
          <w:szCs w:val="24"/>
        </w:rPr>
        <w:instrText xml:space="preserve"> PAGEREF _Toc20389 \h </w:instrText>
      </w:r>
      <w:r>
        <w:rPr>
          <w:sz w:val="24"/>
          <w:szCs w:val="24"/>
        </w:rPr>
        <w:fldChar w:fldCharType="separate"/>
      </w:r>
      <w:r>
        <w:rPr>
          <w:sz w:val="24"/>
          <w:szCs w:val="24"/>
        </w:rPr>
        <w:t>77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22CD1F0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_Toc22155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第三者权益的相符性分析</w:t>
      </w:r>
      <w:r>
        <w:rPr>
          <w:sz w:val="24"/>
          <w:szCs w:val="24"/>
        </w:rPr>
        <w:tab/>
      </w:r>
      <w:r>
        <w:rPr>
          <w:sz w:val="24"/>
          <w:szCs w:val="24"/>
        </w:rPr>
        <w:fldChar w:fldCharType="begin"/>
      </w:r>
      <w:r>
        <w:rPr>
          <w:sz w:val="24"/>
          <w:szCs w:val="24"/>
        </w:rPr>
        <w:instrText xml:space="preserve"> PAGEREF _Toc22155 \h </w:instrText>
      </w:r>
      <w:r>
        <w:rPr>
          <w:sz w:val="24"/>
          <w:szCs w:val="24"/>
        </w:rPr>
        <w:fldChar w:fldCharType="separate"/>
      </w:r>
      <w:r>
        <w:rPr>
          <w:sz w:val="24"/>
          <w:szCs w:val="24"/>
        </w:rPr>
        <w:t>77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6339AEA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_Toc32318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入河排污口河段河床稳定性和防洪影响</w:t>
      </w:r>
      <w:r>
        <w:rPr>
          <w:sz w:val="24"/>
          <w:szCs w:val="24"/>
        </w:rPr>
        <w:tab/>
      </w:r>
      <w:r>
        <w:rPr>
          <w:sz w:val="24"/>
          <w:szCs w:val="24"/>
        </w:rPr>
        <w:fldChar w:fldCharType="begin"/>
      </w:r>
      <w:r>
        <w:rPr>
          <w:sz w:val="24"/>
          <w:szCs w:val="24"/>
        </w:rPr>
        <w:instrText xml:space="preserve"> PAGEREF _Toc32318 \h </w:instrText>
      </w:r>
      <w:r>
        <w:rPr>
          <w:sz w:val="24"/>
          <w:szCs w:val="24"/>
        </w:rPr>
        <w:fldChar w:fldCharType="separate"/>
      </w:r>
      <w:r>
        <w:rPr>
          <w:sz w:val="24"/>
          <w:szCs w:val="24"/>
        </w:rPr>
        <w:t>77</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CC6DCA5">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_Toc28450 </w:instrText>
      </w:r>
      <w:r>
        <w:rPr>
          <w:bCs/>
          <w:sz w:val="24"/>
          <w:szCs w:val="24"/>
          <w:highlight w:val="none"/>
        </w:rPr>
        <w:fldChar w:fldCharType="separate"/>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入河排污口设置合理性分析</w:t>
      </w:r>
      <w:r>
        <w:rPr>
          <w:sz w:val="24"/>
          <w:szCs w:val="24"/>
        </w:rPr>
        <w:tab/>
      </w:r>
      <w:r>
        <w:rPr>
          <w:sz w:val="24"/>
          <w:szCs w:val="24"/>
        </w:rPr>
        <w:fldChar w:fldCharType="begin"/>
      </w:r>
      <w:r>
        <w:rPr>
          <w:sz w:val="24"/>
          <w:szCs w:val="24"/>
        </w:rPr>
        <w:instrText xml:space="preserve"> PAGEREF _Toc28450 \h </w:instrText>
      </w:r>
      <w:r>
        <w:rPr>
          <w:sz w:val="24"/>
          <w:szCs w:val="24"/>
        </w:rPr>
        <w:fldChar w:fldCharType="separate"/>
      </w:r>
      <w:r>
        <w:rPr>
          <w:sz w:val="24"/>
          <w:szCs w:val="24"/>
        </w:rPr>
        <w:t>78</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03836229">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left="0" w:leftChars="0" w:firstLine="0" w:firstLineChars="0"/>
        <w:jc w:val="both"/>
        <w:textAlignment w:val="auto"/>
        <w:rPr>
          <w:b/>
          <w:bCs/>
          <w:sz w:val="24"/>
          <w:szCs w:val="24"/>
        </w:rPr>
      </w:pPr>
      <w:r>
        <w:rPr>
          <w:b/>
          <w:bCs/>
          <w:color w:val="000000" w:themeColor="text1"/>
          <w:sz w:val="24"/>
          <w:szCs w:val="24"/>
          <w:highlight w:val="none"/>
          <w14:textFill>
            <w14:solidFill>
              <w14:schemeClr w14:val="tx1"/>
            </w14:solidFill>
          </w14:textFill>
        </w:rPr>
        <w:fldChar w:fldCharType="begin"/>
      </w:r>
      <w:r>
        <w:rPr>
          <w:b/>
          <w:bCs/>
          <w:sz w:val="24"/>
          <w:szCs w:val="24"/>
          <w:highlight w:val="none"/>
        </w:rPr>
        <w:instrText xml:space="preserve"> HYPERLINK \l _Toc19689 </w:instrText>
      </w:r>
      <w:r>
        <w:rPr>
          <w:b/>
          <w:bCs/>
          <w:sz w:val="24"/>
          <w:szCs w:val="24"/>
          <w:highlight w:val="none"/>
        </w:rPr>
        <w:fldChar w:fldCharType="separate"/>
      </w:r>
      <w:r>
        <w:rPr>
          <w:rFonts w:hint="default" w:ascii="Times New Roman" w:hAnsi="Times New Roman" w:eastAsia="宋体" w:cs="Times New Roman"/>
          <w:b/>
          <w:bCs/>
          <w:sz w:val="24"/>
          <w:szCs w:val="24"/>
          <w:highlight w:val="none"/>
          <w:lang w:val="en-US" w:eastAsia="zh-CN"/>
        </w:rPr>
        <w:t>第</w:t>
      </w:r>
      <w:r>
        <w:rPr>
          <w:rFonts w:hint="eastAsia" w:ascii="Times New Roman" w:hAnsi="Times New Roman" w:eastAsia="宋体" w:cs="Times New Roman"/>
          <w:b/>
          <w:bCs/>
          <w:sz w:val="24"/>
          <w:szCs w:val="24"/>
          <w:highlight w:val="none"/>
          <w:lang w:val="en-US" w:eastAsia="zh-CN"/>
        </w:rPr>
        <w:t>九</w:t>
      </w:r>
      <w:r>
        <w:rPr>
          <w:rFonts w:hint="default" w:ascii="Times New Roman" w:hAnsi="Times New Roman" w:eastAsia="宋体" w:cs="Times New Roman"/>
          <w:b/>
          <w:bCs/>
          <w:sz w:val="24"/>
          <w:szCs w:val="24"/>
          <w:highlight w:val="none"/>
          <w:lang w:val="en-US" w:eastAsia="zh-CN"/>
        </w:rPr>
        <w:t xml:space="preserve">章 </w:t>
      </w:r>
      <w:r>
        <w:rPr>
          <w:rFonts w:hint="eastAsia"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论证结论与建议</w:t>
      </w:r>
      <w:r>
        <w:rPr>
          <w:b/>
          <w:bCs/>
          <w:sz w:val="24"/>
          <w:szCs w:val="24"/>
        </w:rPr>
        <w:tab/>
      </w:r>
      <w:r>
        <w:rPr>
          <w:b/>
          <w:bCs/>
          <w:sz w:val="24"/>
          <w:szCs w:val="24"/>
        </w:rPr>
        <w:fldChar w:fldCharType="begin"/>
      </w:r>
      <w:r>
        <w:rPr>
          <w:b/>
          <w:bCs/>
          <w:sz w:val="24"/>
          <w:szCs w:val="24"/>
        </w:rPr>
        <w:instrText xml:space="preserve"> PAGEREF _Toc19689 \h </w:instrText>
      </w:r>
      <w:r>
        <w:rPr>
          <w:b/>
          <w:bCs/>
          <w:sz w:val="24"/>
          <w:szCs w:val="24"/>
        </w:rPr>
        <w:fldChar w:fldCharType="separate"/>
      </w:r>
      <w:r>
        <w:rPr>
          <w:b/>
          <w:bCs/>
          <w:sz w:val="24"/>
          <w:szCs w:val="24"/>
        </w:rPr>
        <w:t>79</w:t>
      </w:r>
      <w:r>
        <w:rPr>
          <w:b/>
          <w:bCs/>
          <w:sz w:val="24"/>
          <w:szCs w:val="24"/>
        </w:rPr>
        <w:fldChar w:fldCharType="end"/>
      </w:r>
      <w:r>
        <w:rPr>
          <w:b/>
          <w:bCs/>
          <w:color w:val="000000" w:themeColor="text1"/>
          <w:sz w:val="24"/>
          <w:szCs w:val="24"/>
          <w:highlight w:val="none"/>
          <w14:textFill>
            <w14:solidFill>
              <w14:schemeClr w14:val="tx1"/>
            </w14:solidFill>
          </w14:textFill>
        </w:rPr>
        <w:fldChar w:fldCharType="end"/>
      </w:r>
    </w:p>
    <w:p w14:paraId="1DC0963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_Toc10479 </w:instrText>
      </w:r>
      <w:r>
        <w:rPr>
          <w:bCs/>
          <w:sz w:val="24"/>
          <w:szCs w:val="24"/>
          <w:highlight w:val="none"/>
        </w:rPr>
        <w:fldChar w:fldCharType="separate"/>
      </w:r>
      <w:r>
        <w:rPr>
          <w:rFonts w:hint="eastAsia"/>
          <w:sz w:val="24"/>
          <w:szCs w:val="24"/>
          <w:highlight w:val="none"/>
          <w:lang w:val="en-US" w:eastAsia="zh-CN"/>
        </w:rPr>
        <w:t>9.1 论证结论</w:t>
      </w:r>
      <w:r>
        <w:rPr>
          <w:sz w:val="24"/>
          <w:szCs w:val="24"/>
        </w:rPr>
        <w:tab/>
      </w:r>
      <w:r>
        <w:rPr>
          <w:sz w:val="24"/>
          <w:szCs w:val="24"/>
        </w:rPr>
        <w:fldChar w:fldCharType="begin"/>
      </w:r>
      <w:r>
        <w:rPr>
          <w:sz w:val="24"/>
          <w:szCs w:val="24"/>
        </w:rPr>
        <w:instrText xml:space="preserve"> PAGEREF _Toc10479 \h </w:instrText>
      </w:r>
      <w:r>
        <w:rPr>
          <w:sz w:val="24"/>
          <w:szCs w:val="24"/>
        </w:rPr>
        <w:fldChar w:fldCharType="separate"/>
      </w:r>
      <w:r>
        <w:rPr>
          <w:sz w:val="24"/>
          <w:szCs w:val="24"/>
        </w:rPr>
        <w:t>79</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866404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ind w:firstLine="0"/>
        <w:textAlignment w:val="auto"/>
        <w:rPr>
          <w:sz w:val="24"/>
          <w:szCs w:val="24"/>
        </w:rPr>
      </w:pPr>
      <w:r>
        <w:rPr>
          <w:bCs/>
          <w:color w:val="000000" w:themeColor="text1"/>
          <w:sz w:val="24"/>
          <w:szCs w:val="24"/>
          <w:highlight w:val="none"/>
          <w14:textFill>
            <w14:solidFill>
              <w14:schemeClr w14:val="tx1"/>
            </w14:solidFill>
          </w14:textFill>
        </w:rPr>
        <w:fldChar w:fldCharType="begin"/>
      </w:r>
      <w:r>
        <w:rPr>
          <w:bCs/>
          <w:sz w:val="24"/>
          <w:szCs w:val="24"/>
          <w:highlight w:val="none"/>
        </w:rPr>
        <w:instrText xml:space="preserve"> HYPERLINK \l _Toc24766 </w:instrText>
      </w:r>
      <w:r>
        <w:rPr>
          <w:bCs/>
          <w:sz w:val="24"/>
          <w:szCs w:val="24"/>
          <w:highlight w:val="none"/>
        </w:rPr>
        <w:fldChar w:fldCharType="separate"/>
      </w:r>
      <w:r>
        <w:rPr>
          <w:rFonts w:hint="eastAsia"/>
          <w:sz w:val="24"/>
          <w:szCs w:val="24"/>
          <w:highlight w:val="none"/>
          <w:lang w:val="en-US" w:eastAsia="zh-CN"/>
        </w:rPr>
        <w:t>9.2 建议</w:t>
      </w:r>
      <w:r>
        <w:rPr>
          <w:sz w:val="24"/>
          <w:szCs w:val="24"/>
        </w:rPr>
        <w:tab/>
      </w:r>
      <w:r>
        <w:rPr>
          <w:sz w:val="24"/>
          <w:szCs w:val="24"/>
        </w:rPr>
        <w:fldChar w:fldCharType="begin"/>
      </w:r>
      <w:r>
        <w:rPr>
          <w:sz w:val="24"/>
          <w:szCs w:val="24"/>
        </w:rPr>
        <w:instrText xml:space="preserve"> PAGEREF _Toc24766 \h </w:instrText>
      </w:r>
      <w:r>
        <w:rPr>
          <w:sz w:val="24"/>
          <w:szCs w:val="24"/>
        </w:rPr>
        <w:fldChar w:fldCharType="separate"/>
      </w:r>
      <w:r>
        <w:rPr>
          <w:sz w:val="24"/>
          <w:szCs w:val="24"/>
        </w:rPr>
        <w:t>83</w:t>
      </w:r>
      <w:r>
        <w:rPr>
          <w:sz w:val="24"/>
          <w:szCs w:val="24"/>
        </w:rPr>
        <w:fldChar w:fldCharType="end"/>
      </w:r>
      <w:r>
        <w:rPr>
          <w:bCs/>
          <w:color w:val="000000" w:themeColor="text1"/>
          <w:sz w:val="24"/>
          <w:szCs w:val="24"/>
          <w:highlight w:val="none"/>
          <w14:textFill>
            <w14:solidFill>
              <w14:schemeClr w14:val="tx1"/>
            </w14:solidFill>
          </w14:textFill>
        </w:rPr>
        <w:fldChar w:fldCharType="end"/>
      </w:r>
    </w:p>
    <w:p w14:paraId="5CA4710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bCs/>
          <w:color w:val="000000" w:themeColor="text1"/>
          <w:sz w:val="32"/>
          <w:szCs w:val="32"/>
          <w:highlight w:val="none"/>
          <w14:textFill>
            <w14:solidFill>
              <w14:schemeClr w14:val="tx1"/>
            </w14:solidFill>
          </w14:textFill>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12" w:charSpace="0"/>
        </w:sectPr>
      </w:pPr>
      <w:r>
        <w:rPr>
          <w:bCs/>
          <w:color w:val="000000" w:themeColor="text1"/>
          <w:sz w:val="24"/>
          <w:szCs w:val="24"/>
          <w:highlight w:val="none"/>
          <w14:textFill>
            <w14:solidFill>
              <w14:schemeClr w14:val="tx1"/>
            </w14:solidFill>
          </w14:textFill>
        </w:rPr>
        <w:fldChar w:fldCharType="end"/>
      </w:r>
    </w:p>
    <w:p w14:paraId="382105C9">
      <w:pPr>
        <w:snapToGrid w:val="0"/>
        <w:ind w:firstLine="643"/>
        <w:jc w:val="center"/>
        <w:outlineLvl w:val="0"/>
        <w:rPr>
          <w:b/>
          <w:bCs/>
          <w:color w:val="000000" w:themeColor="text1"/>
          <w:sz w:val="32"/>
          <w:szCs w:val="32"/>
          <w:highlight w:val="none"/>
          <w14:textFill>
            <w14:solidFill>
              <w14:schemeClr w14:val="tx1"/>
            </w14:solidFill>
          </w14:textFill>
        </w:rPr>
      </w:pPr>
      <w:bookmarkStart w:id="44" w:name="_Toc21707"/>
      <w:bookmarkStart w:id="45" w:name="_Toc368"/>
      <w:bookmarkStart w:id="46" w:name="_Toc614"/>
      <w:r>
        <w:rPr>
          <w:b/>
          <w:bCs/>
          <w:color w:val="000000" w:themeColor="text1"/>
          <w:sz w:val="32"/>
          <w:szCs w:val="32"/>
          <w:highlight w:val="none"/>
          <w14:textFill>
            <w14:solidFill>
              <w14:schemeClr w14:val="tx1"/>
            </w14:solidFill>
          </w14:textFill>
        </w:rPr>
        <w:t>入河排污口设置论证报告基本情况表</w:t>
      </w:r>
      <w:bookmarkEnd w:id="9"/>
      <w:bookmarkEnd w:id="44"/>
      <w:bookmarkEnd w:id="45"/>
      <w:bookmarkEnd w:id="46"/>
    </w:p>
    <w:tbl>
      <w:tblPr>
        <w:tblStyle w:val="29"/>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8"/>
        <w:gridCol w:w="1093"/>
        <w:gridCol w:w="781"/>
        <w:gridCol w:w="915"/>
        <w:gridCol w:w="473"/>
        <w:gridCol w:w="832"/>
        <w:gridCol w:w="812"/>
        <w:gridCol w:w="1226"/>
        <w:gridCol w:w="390"/>
        <w:gridCol w:w="1490"/>
      </w:tblGrid>
      <w:tr w14:paraId="24A65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restart"/>
            <w:noWrap w:val="0"/>
            <w:textDirection w:val="tbRlV"/>
            <w:vAlign w:val="center"/>
          </w:tcPr>
          <w:p w14:paraId="3E45A4CE">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基本情况</w:t>
            </w:r>
          </w:p>
        </w:tc>
        <w:tc>
          <w:tcPr>
            <w:tcW w:w="1874" w:type="dxa"/>
            <w:gridSpan w:val="2"/>
            <w:noWrap w:val="0"/>
            <w:vAlign w:val="center"/>
          </w:tcPr>
          <w:p w14:paraId="1E39A68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项目名称</w:t>
            </w:r>
          </w:p>
        </w:tc>
        <w:tc>
          <w:tcPr>
            <w:tcW w:w="2220" w:type="dxa"/>
            <w:gridSpan w:val="3"/>
            <w:noWrap w:val="0"/>
            <w:vAlign w:val="center"/>
          </w:tcPr>
          <w:p w14:paraId="28B4D47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衡阳市南岳区污水处理厂入河排污口设置论证报告</w:t>
            </w:r>
          </w:p>
        </w:tc>
        <w:tc>
          <w:tcPr>
            <w:tcW w:w="2038" w:type="dxa"/>
            <w:gridSpan w:val="2"/>
            <w:noWrap w:val="0"/>
            <w:vAlign w:val="center"/>
          </w:tcPr>
          <w:p w14:paraId="3F3DED6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项目位置</w:t>
            </w:r>
          </w:p>
        </w:tc>
        <w:tc>
          <w:tcPr>
            <w:tcW w:w="1880" w:type="dxa"/>
            <w:gridSpan w:val="2"/>
            <w:noWrap w:val="0"/>
            <w:vAlign w:val="center"/>
          </w:tcPr>
          <w:p w14:paraId="773E9236">
            <w:pPr>
              <w:spacing w:line="320" w:lineRule="exac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衡阳市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w:t>
            </w:r>
            <w:r>
              <w:rPr>
                <w:rFonts w:hint="eastAsia" w:eastAsia="宋体" w:cs="Times New Roman"/>
                <w:color w:val="000000" w:themeColor="text1"/>
                <w:sz w:val="21"/>
                <w:szCs w:val="21"/>
                <w:highlight w:val="none"/>
                <w:lang w:val="en-US" w:eastAsia="zh-CN"/>
                <w14:textFill>
                  <w14:solidFill>
                    <w14:schemeClr w14:val="tx1"/>
                  </w14:solidFill>
                </w14:textFill>
              </w:rPr>
              <w:t>南岳镇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红星村老屋组</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南岳区</w:t>
            </w:r>
            <w:r>
              <w:rPr>
                <w:rFonts w:hint="eastAsia" w:cs="Times New Roman"/>
                <w:color w:val="000000" w:themeColor="text1"/>
                <w:sz w:val="21"/>
                <w:szCs w:val="21"/>
                <w:highlight w:val="none"/>
                <w:lang w:val="en-US" w:eastAsia="zh-CN"/>
                <w14:textFill>
                  <w14:solidFill>
                    <w14:schemeClr w14:val="tx1"/>
                  </w14:solidFill>
                </w14:textFill>
              </w:rPr>
              <w:t>龙荫港左岸）</w:t>
            </w:r>
          </w:p>
        </w:tc>
      </w:tr>
      <w:tr w14:paraId="09CE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972622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4D1277A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项目性质</w:t>
            </w:r>
          </w:p>
        </w:tc>
        <w:tc>
          <w:tcPr>
            <w:tcW w:w="2220" w:type="dxa"/>
            <w:gridSpan w:val="3"/>
            <w:noWrap w:val="0"/>
            <w:vAlign w:val="center"/>
          </w:tcPr>
          <w:p w14:paraId="4B739253">
            <w:p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新建</w:t>
            </w:r>
          </w:p>
        </w:tc>
        <w:tc>
          <w:tcPr>
            <w:tcW w:w="2038" w:type="dxa"/>
            <w:gridSpan w:val="2"/>
            <w:noWrap w:val="0"/>
            <w:vAlign w:val="center"/>
          </w:tcPr>
          <w:p w14:paraId="5C1B88C4">
            <w:p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所属行业</w:t>
            </w:r>
          </w:p>
        </w:tc>
        <w:tc>
          <w:tcPr>
            <w:tcW w:w="1880" w:type="dxa"/>
            <w:gridSpan w:val="2"/>
            <w:noWrap w:val="0"/>
            <w:vAlign w:val="center"/>
          </w:tcPr>
          <w:p w14:paraId="221BF961">
            <w:p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D4620 污水处理及再生利用</w:t>
            </w:r>
          </w:p>
        </w:tc>
      </w:tr>
      <w:tr w14:paraId="2F9C1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922E5E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1AF6D97C">
            <w:pPr>
              <w:spacing w:line="320" w:lineRule="exact"/>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建设规模</w:t>
            </w:r>
          </w:p>
        </w:tc>
        <w:tc>
          <w:tcPr>
            <w:tcW w:w="2220" w:type="dxa"/>
            <w:gridSpan w:val="3"/>
            <w:noWrap w:val="0"/>
            <w:vAlign w:val="center"/>
          </w:tcPr>
          <w:p w14:paraId="66F7EDED">
            <w:pPr>
              <w:spacing w:line="320" w:lineRule="exact"/>
              <w:jc w:val="center"/>
              <w:rPr>
                <w:rFonts w:hint="default"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30000</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宋体"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/d</w:t>
            </w:r>
          </w:p>
        </w:tc>
        <w:tc>
          <w:tcPr>
            <w:tcW w:w="2038" w:type="dxa"/>
            <w:gridSpan w:val="2"/>
            <w:noWrap w:val="0"/>
            <w:vAlign w:val="center"/>
          </w:tcPr>
          <w:p w14:paraId="3D65BF4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项目单位</w:t>
            </w:r>
          </w:p>
        </w:tc>
        <w:tc>
          <w:tcPr>
            <w:tcW w:w="1880" w:type="dxa"/>
            <w:gridSpan w:val="2"/>
            <w:noWrap w:val="0"/>
            <w:vAlign w:val="center"/>
          </w:tcPr>
          <w:p w14:paraId="326BB2F2">
            <w:pPr>
              <w:spacing w:line="320" w:lineRule="exac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南岳区住房和城乡建设局</w:t>
            </w:r>
          </w:p>
        </w:tc>
      </w:tr>
      <w:tr w14:paraId="3B84A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878" w:type="dxa"/>
            <w:vMerge w:val="continue"/>
            <w:noWrap w:val="0"/>
            <w:textDirection w:val="tbRlV"/>
            <w:vAlign w:val="center"/>
          </w:tcPr>
          <w:p w14:paraId="5A9AA02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247A3B76">
            <w:pPr>
              <w:spacing w:line="320" w:lineRule="exact"/>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建设项目的审批机关</w:t>
            </w:r>
          </w:p>
        </w:tc>
        <w:tc>
          <w:tcPr>
            <w:tcW w:w="2220" w:type="dxa"/>
            <w:gridSpan w:val="3"/>
            <w:noWrap w:val="0"/>
            <w:vAlign w:val="center"/>
          </w:tcPr>
          <w:p w14:paraId="67E60D8A">
            <w:pPr>
              <w:spacing w:line="320" w:lineRule="exact"/>
              <w:jc w:val="center"/>
              <w:rPr>
                <w:rFonts w:hint="default"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衡阳</w:t>
            </w:r>
            <w:r>
              <w:rPr>
                <w:rFonts w:hint="eastAsia" w:ascii="Times New Roman" w:cs="Times New Roman"/>
                <w:color w:val="000000" w:themeColor="text1"/>
                <w:sz w:val="21"/>
                <w:szCs w:val="21"/>
                <w:highlight w:val="none"/>
                <w:lang w:eastAsia="zh-CN"/>
                <w14:textFill>
                  <w14:solidFill>
                    <w14:schemeClr w14:val="tx1"/>
                  </w14:solidFill>
                </w14:textFill>
              </w:rPr>
              <w:t>市</w:t>
            </w: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生态环境局</w:t>
            </w:r>
          </w:p>
        </w:tc>
        <w:tc>
          <w:tcPr>
            <w:tcW w:w="2038" w:type="dxa"/>
            <w:gridSpan w:val="2"/>
            <w:noWrap w:val="0"/>
            <w:vAlign w:val="center"/>
          </w:tcPr>
          <w:p w14:paraId="1C4FEBD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入河排污口审核机关</w:t>
            </w:r>
          </w:p>
        </w:tc>
        <w:tc>
          <w:tcPr>
            <w:tcW w:w="1880" w:type="dxa"/>
            <w:gridSpan w:val="2"/>
            <w:noWrap w:val="0"/>
            <w:vAlign w:val="center"/>
          </w:tcPr>
          <w:p w14:paraId="1B856BF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衡阳</w:t>
            </w:r>
            <w:r>
              <w:rPr>
                <w:rFonts w:hint="eastAsia" w:ascii="Times New Roman" w:cs="Times New Roman"/>
                <w:color w:val="000000" w:themeColor="text1"/>
                <w:sz w:val="21"/>
                <w:szCs w:val="21"/>
                <w:highlight w:val="none"/>
                <w:lang w:eastAsia="zh-CN"/>
                <w14:textFill>
                  <w14:solidFill>
                    <w14:schemeClr w14:val="tx1"/>
                  </w14:solidFill>
                </w14:textFill>
              </w:rPr>
              <w:t>市</w:t>
            </w: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生态环境局</w:t>
            </w:r>
          </w:p>
        </w:tc>
      </w:tr>
      <w:tr w14:paraId="3AF45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2AF4279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321F6A6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报告编制合同委托单位</w:t>
            </w:r>
          </w:p>
        </w:tc>
        <w:tc>
          <w:tcPr>
            <w:tcW w:w="2220" w:type="dxa"/>
            <w:gridSpan w:val="3"/>
            <w:noWrap w:val="0"/>
            <w:vAlign w:val="center"/>
          </w:tcPr>
          <w:p w14:paraId="76FCF5C7">
            <w:pPr>
              <w:spacing w:line="320" w:lineRule="exac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南岳区住房和城乡建设局</w:t>
            </w:r>
          </w:p>
        </w:tc>
        <w:tc>
          <w:tcPr>
            <w:tcW w:w="2038" w:type="dxa"/>
            <w:gridSpan w:val="2"/>
            <w:noWrap w:val="0"/>
            <w:vAlign w:val="center"/>
          </w:tcPr>
          <w:p w14:paraId="79E8EAF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报告编制单位及证书号</w:t>
            </w:r>
          </w:p>
        </w:tc>
        <w:tc>
          <w:tcPr>
            <w:tcW w:w="1880" w:type="dxa"/>
            <w:gridSpan w:val="2"/>
            <w:noWrap w:val="0"/>
            <w:vAlign w:val="center"/>
          </w:tcPr>
          <w:p w14:paraId="082E04C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湖南中晟绿景环保科技有限公司</w:t>
            </w:r>
          </w:p>
        </w:tc>
      </w:tr>
      <w:tr w14:paraId="28064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7DF31E9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4DF41D3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论证工作等级</w:t>
            </w:r>
          </w:p>
        </w:tc>
        <w:tc>
          <w:tcPr>
            <w:tcW w:w="2220" w:type="dxa"/>
            <w:gridSpan w:val="3"/>
            <w:noWrap w:val="0"/>
            <w:vAlign w:val="center"/>
          </w:tcPr>
          <w:p w14:paraId="06BD8B3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一</w:t>
            </w:r>
            <w:r>
              <w:rPr>
                <w:rFonts w:ascii="Times New Roman" w:cs="Times New Roman"/>
                <w:color w:val="000000" w:themeColor="text1"/>
                <w:sz w:val="21"/>
                <w:szCs w:val="21"/>
                <w:highlight w:val="none"/>
                <w14:textFill>
                  <w14:solidFill>
                    <w14:schemeClr w14:val="tx1"/>
                  </w14:solidFill>
                </w14:textFill>
              </w:rPr>
              <w:t>级</w:t>
            </w:r>
          </w:p>
        </w:tc>
        <w:tc>
          <w:tcPr>
            <w:tcW w:w="2038" w:type="dxa"/>
            <w:gridSpan w:val="2"/>
            <w:noWrap w:val="0"/>
            <w:vAlign w:val="center"/>
          </w:tcPr>
          <w:p w14:paraId="53D6CF3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工作范围</w:t>
            </w:r>
          </w:p>
        </w:tc>
        <w:tc>
          <w:tcPr>
            <w:tcW w:w="1880" w:type="dxa"/>
            <w:gridSpan w:val="2"/>
            <w:noWrap w:val="0"/>
            <w:vAlign w:val="center"/>
          </w:tcPr>
          <w:p w14:paraId="5C0BAF2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77D64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08CB969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57504DC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论证范围</w:t>
            </w:r>
          </w:p>
        </w:tc>
        <w:tc>
          <w:tcPr>
            <w:tcW w:w="2220" w:type="dxa"/>
            <w:gridSpan w:val="3"/>
            <w:noWrap w:val="0"/>
            <w:vAlign w:val="center"/>
          </w:tcPr>
          <w:p w14:paraId="1E128B3F">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入河排污口入</w:t>
            </w:r>
            <w:r>
              <w:rPr>
                <w:rFonts w:hint="eastAsia" w:eastAsia="宋体" w:cs="Times New Roman"/>
                <w:color w:val="000000" w:themeColor="text1"/>
                <w:sz w:val="21"/>
                <w:szCs w:val="21"/>
                <w:highlight w:val="none"/>
                <w:lang w:val="en-US" w:eastAsia="zh-CN"/>
                <w14:textFill>
                  <w14:solidFill>
                    <w14:schemeClr w14:val="tx1"/>
                  </w14:solidFill>
                </w14:textFill>
              </w:rPr>
              <w:t>龙荫港上游500m至下游5000m</w:t>
            </w:r>
          </w:p>
        </w:tc>
        <w:tc>
          <w:tcPr>
            <w:tcW w:w="2038" w:type="dxa"/>
            <w:gridSpan w:val="2"/>
            <w:noWrap w:val="0"/>
            <w:vAlign w:val="center"/>
          </w:tcPr>
          <w:p w14:paraId="37D0F7C8">
            <w:pPr>
              <w:spacing w:line="320" w:lineRule="exact"/>
              <w:jc w:val="center"/>
              <w:rPr>
                <w:rFonts w:asci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水平年</w:t>
            </w:r>
          </w:p>
          <w:p w14:paraId="5CC9750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（现状</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规划）</w:t>
            </w:r>
          </w:p>
        </w:tc>
        <w:tc>
          <w:tcPr>
            <w:tcW w:w="1880" w:type="dxa"/>
            <w:gridSpan w:val="2"/>
            <w:noWrap w:val="0"/>
            <w:vAlign w:val="center"/>
          </w:tcPr>
          <w:p w14:paraId="7C2E5375">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22</w:t>
            </w:r>
            <w:r>
              <w:rPr>
                <w:rFonts w:ascii="Times New Roman" w:hAnsi="Times New Roman" w:cs="Times New Roman"/>
                <w:color w:val="000000" w:themeColor="text1"/>
                <w:sz w:val="21"/>
                <w:szCs w:val="21"/>
                <w:highlight w:val="none"/>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30</w:t>
            </w:r>
          </w:p>
        </w:tc>
      </w:tr>
      <w:tr w14:paraId="05E07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restart"/>
            <w:noWrap w:val="0"/>
            <w:vAlign w:val="center"/>
          </w:tcPr>
          <w:p w14:paraId="297BF81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分析</w:t>
            </w:r>
          </w:p>
          <w:p w14:paraId="3F1CBD7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范围</w:t>
            </w:r>
          </w:p>
          <w:p w14:paraId="0300C74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内控</w:t>
            </w:r>
          </w:p>
          <w:p w14:paraId="3B2573B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制指</w:t>
            </w:r>
          </w:p>
          <w:p w14:paraId="5300635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标情</w:t>
            </w:r>
          </w:p>
          <w:p w14:paraId="74F5A68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况</w:t>
            </w:r>
          </w:p>
        </w:tc>
        <w:tc>
          <w:tcPr>
            <w:tcW w:w="1874" w:type="dxa"/>
            <w:gridSpan w:val="2"/>
            <w:noWrap w:val="0"/>
            <w:vAlign w:val="center"/>
          </w:tcPr>
          <w:p w14:paraId="7978455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取用水总量控制指标</w:t>
            </w:r>
          </w:p>
        </w:tc>
        <w:tc>
          <w:tcPr>
            <w:tcW w:w="2220" w:type="dxa"/>
            <w:gridSpan w:val="3"/>
            <w:noWrap w:val="0"/>
            <w:vAlign w:val="center"/>
          </w:tcPr>
          <w:p w14:paraId="7515CC3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2038" w:type="dxa"/>
            <w:gridSpan w:val="2"/>
            <w:noWrap w:val="0"/>
            <w:vAlign w:val="center"/>
          </w:tcPr>
          <w:p w14:paraId="116D5F0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实际取用水量</w:t>
            </w:r>
          </w:p>
        </w:tc>
        <w:tc>
          <w:tcPr>
            <w:tcW w:w="1880" w:type="dxa"/>
            <w:gridSpan w:val="2"/>
            <w:noWrap w:val="0"/>
            <w:vAlign w:val="center"/>
          </w:tcPr>
          <w:p w14:paraId="5A9982A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355C1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14AA75D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21C9515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用水效率控制指标</w:t>
            </w:r>
          </w:p>
        </w:tc>
        <w:tc>
          <w:tcPr>
            <w:tcW w:w="2220" w:type="dxa"/>
            <w:gridSpan w:val="3"/>
            <w:noWrap w:val="0"/>
            <w:vAlign w:val="center"/>
          </w:tcPr>
          <w:p w14:paraId="5A5B263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2038" w:type="dxa"/>
            <w:gridSpan w:val="2"/>
            <w:noWrap w:val="0"/>
            <w:vAlign w:val="center"/>
          </w:tcPr>
          <w:p w14:paraId="441936F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实际用水效率指标</w:t>
            </w:r>
          </w:p>
        </w:tc>
        <w:tc>
          <w:tcPr>
            <w:tcW w:w="1880" w:type="dxa"/>
            <w:gridSpan w:val="2"/>
            <w:noWrap w:val="0"/>
            <w:vAlign w:val="center"/>
          </w:tcPr>
          <w:p w14:paraId="180BBCB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24D52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7541419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36304E4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纳污水域水功能区限制纳污总量指标</w:t>
            </w:r>
          </w:p>
        </w:tc>
        <w:tc>
          <w:tcPr>
            <w:tcW w:w="2220" w:type="dxa"/>
            <w:gridSpan w:val="3"/>
            <w:noWrap w:val="0"/>
            <w:vAlign w:val="center"/>
          </w:tcPr>
          <w:p w14:paraId="2FE0FBB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2038" w:type="dxa"/>
            <w:gridSpan w:val="2"/>
            <w:noWrap w:val="0"/>
            <w:vAlign w:val="center"/>
          </w:tcPr>
          <w:p w14:paraId="0C7A64C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纳污水域水功</w:t>
            </w:r>
          </w:p>
          <w:p w14:paraId="29F346A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能区实际排污</w:t>
            </w:r>
          </w:p>
          <w:p w14:paraId="3C3D2F0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总量</w:t>
            </w:r>
          </w:p>
        </w:tc>
        <w:tc>
          <w:tcPr>
            <w:tcW w:w="1880" w:type="dxa"/>
            <w:gridSpan w:val="2"/>
            <w:noWrap w:val="0"/>
            <w:vAlign w:val="center"/>
          </w:tcPr>
          <w:p w14:paraId="7A594B3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15094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093D4C2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7BC3423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纳污水域水功能区水质达标率指标</w:t>
            </w:r>
          </w:p>
        </w:tc>
        <w:tc>
          <w:tcPr>
            <w:tcW w:w="2220" w:type="dxa"/>
            <w:gridSpan w:val="3"/>
            <w:noWrap w:val="0"/>
            <w:vAlign w:val="center"/>
          </w:tcPr>
          <w:p w14:paraId="02E3283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100%</w:t>
            </w:r>
          </w:p>
        </w:tc>
        <w:tc>
          <w:tcPr>
            <w:tcW w:w="2038" w:type="dxa"/>
            <w:gridSpan w:val="2"/>
            <w:noWrap w:val="0"/>
            <w:vAlign w:val="center"/>
          </w:tcPr>
          <w:p w14:paraId="26762B7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纳污水域水功</w:t>
            </w:r>
          </w:p>
          <w:p w14:paraId="3D36EE7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能区水质达标</w:t>
            </w:r>
          </w:p>
          <w:p w14:paraId="713DC2F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率</w:t>
            </w:r>
          </w:p>
        </w:tc>
        <w:tc>
          <w:tcPr>
            <w:tcW w:w="1880" w:type="dxa"/>
            <w:gridSpan w:val="2"/>
            <w:noWrap w:val="0"/>
            <w:vAlign w:val="center"/>
          </w:tcPr>
          <w:p w14:paraId="55DF483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100%</w:t>
            </w:r>
          </w:p>
        </w:tc>
      </w:tr>
      <w:tr w14:paraId="790A1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restart"/>
            <w:noWrap w:val="0"/>
            <w:vAlign w:val="center"/>
          </w:tcPr>
          <w:p w14:paraId="553F501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入河</w:t>
            </w:r>
          </w:p>
          <w:p w14:paraId="12A4C99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w:t>
            </w:r>
          </w:p>
          <w:p w14:paraId="3E07319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口设</w:t>
            </w:r>
          </w:p>
          <w:p w14:paraId="6DAAABE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置申</w:t>
            </w:r>
          </w:p>
          <w:p w14:paraId="6B26330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请单</w:t>
            </w:r>
          </w:p>
          <w:p w14:paraId="3152458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位概</w:t>
            </w:r>
          </w:p>
          <w:p w14:paraId="386ADC9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况</w:t>
            </w:r>
          </w:p>
        </w:tc>
        <w:tc>
          <w:tcPr>
            <w:tcW w:w="1093" w:type="dxa"/>
            <w:noWrap w:val="0"/>
            <w:vAlign w:val="center"/>
          </w:tcPr>
          <w:p w14:paraId="4F36E84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名称</w:t>
            </w:r>
          </w:p>
        </w:tc>
        <w:tc>
          <w:tcPr>
            <w:tcW w:w="3001" w:type="dxa"/>
            <w:gridSpan w:val="4"/>
            <w:noWrap w:val="0"/>
            <w:vAlign w:val="center"/>
          </w:tcPr>
          <w:p w14:paraId="60894A2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南岳区住房和城乡建设局</w:t>
            </w:r>
          </w:p>
        </w:tc>
        <w:tc>
          <w:tcPr>
            <w:tcW w:w="2038" w:type="dxa"/>
            <w:gridSpan w:val="2"/>
            <w:noWrap w:val="0"/>
            <w:vAlign w:val="center"/>
          </w:tcPr>
          <w:p w14:paraId="5823469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法人代表</w:t>
            </w:r>
          </w:p>
        </w:tc>
        <w:tc>
          <w:tcPr>
            <w:tcW w:w="1880" w:type="dxa"/>
            <w:gridSpan w:val="2"/>
            <w:noWrap w:val="0"/>
            <w:vAlign w:val="center"/>
          </w:tcPr>
          <w:p w14:paraId="6D0B99F4">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旷泽坤</w:t>
            </w:r>
          </w:p>
        </w:tc>
      </w:tr>
      <w:tr w14:paraId="6E45E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6FFA4BA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6DD05BF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隶属关系</w:t>
            </w:r>
          </w:p>
        </w:tc>
        <w:tc>
          <w:tcPr>
            <w:tcW w:w="3001" w:type="dxa"/>
            <w:gridSpan w:val="4"/>
            <w:noWrap w:val="0"/>
            <w:vAlign w:val="center"/>
          </w:tcPr>
          <w:p w14:paraId="4F5555A9">
            <w:p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38" w:type="dxa"/>
            <w:gridSpan w:val="2"/>
            <w:noWrap w:val="0"/>
            <w:vAlign w:val="center"/>
          </w:tcPr>
          <w:p w14:paraId="4B06B7A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行业类别</w:t>
            </w:r>
          </w:p>
        </w:tc>
        <w:tc>
          <w:tcPr>
            <w:tcW w:w="1880" w:type="dxa"/>
            <w:gridSpan w:val="2"/>
            <w:noWrap w:val="0"/>
            <w:vAlign w:val="center"/>
          </w:tcPr>
          <w:p w14:paraId="03B40C6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D4620 污水处理及再生利用</w:t>
            </w:r>
          </w:p>
        </w:tc>
      </w:tr>
      <w:tr w14:paraId="04253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2EA79B0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59FFC57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企业规模</w:t>
            </w:r>
          </w:p>
        </w:tc>
        <w:tc>
          <w:tcPr>
            <w:tcW w:w="3001" w:type="dxa"/>
            <w:gridSpan w:val="4"/>
            <w:noWrap w:val="0"/>
            <w:vAlign w:val="center"/>
          </w:tcPr>
          <w:p w14:paraId="162F87A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2038" w:type="dxa"/>
            <w:gridSpan w:val="2"/>
            <w:noWrap w:val="0"/>
            <w:vAlign w:val="center"/>
          </w:tcPr>
          <w:p w14:paraId="4281888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职工总数</w:t>
            </w:r>
          </w:p>
        </w:tc>
        <w:tc>
          <w:tcPr>
            <w:tcW w:w="1880" w:type="dxa"/>
            <w:gridSpan w:val="2"/>
            <w:noWrap w:val="0"/>
            <w:vAlign w:val="center"/>
          </w:tcPr>
          <w:p w14:paraId="33D70E9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79EA6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12B220E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24F229A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地址</w:t>
            </w:r>
          </w:p>
        </w:tc>
        <w:tc>
          <w:tcPr>
            <w:tcW w:w="3001" w:type="dxa"/>
            <w:gridSpan w:val="4"/>
            <w:noWrap w:val="0"/>
            <w:vAlign w:val="center"/>
          </w:tcPr>
          <w:p w14:paraId="57FB369D">
            <w:pPr>
              <w:spacing w:line="320" w:lineRule="exact"/>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衡阳市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南岳区西街125号</w:t>
            </w:r>
          </w:p>
        </w:tc>
        <w:tc>
          <w:tcPr>
            <w:tcW w:w="2038" w:type="dxa"/>
            <w:gridSpan w:val="2"/>
            <w:noWrap w:val="0"/>
            <w:vAlign w:val="center"/>
          </w:tcPr>
          <w:p w14:paraId="5427578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邮编</w:t>
            </w:r>
          </w:p>
        </w:tc>
        <w:tc>
          <w:tcPr>
            <w:tcW w:w="1880" w:type="dxa"/>
            <w:gridSpan w:val="2"/>
            <w:noWrap w:val="0"/>
            <w:vAlign w:val="center"/>
          </w:tcPr>
          <w:p w14:paraId="46E6FD1B">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421900</w:t>
            </w:r>
          </w:p>
        </w:tc>
      </w:tr>
      <w:tr w14:paraId="61A5F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vAlign w:val="center"/>
          </w:tcPr>
          <w:p w14:paraId="776F302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53CDD739">
            <w:pPr>
              <w:spacing w:line="320" w:lineRule="exact"/>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联系人</w:t>
            </w:r>
          </w:p>
        </w:tc>
        <w:tc>
          <w:tcPr>
            <w:tcW w:w="781" w:type="dxa"/>
            <w:noWrap w:val="0"/>
            <w:vAlign w:val="center"/>
          </w:tcPr>
          <w:p w14:paraId="27637396">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喻金</w:t>
            </w:r>
          </w:p>
        </w:tc>
        <w:tc>
          <w:tcPr>
            <w:tcW w:w="915" w:type="dxa"/>
            <w:noWrap w:val="0"/>
            <w:vAlign w:val="center"/>
          </w:tcPr>
          <w:p w14:paraId="4E017CDE">
            <w:pPr>
              <w:spacing w:line="320" w:lineRule="exact"/>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电话</w:t>
            </w:r>
          </w:p>
        </w:tc>
        <w:tc>
          <w:tcPr>
            <w:tcW w:w="1305" w:type="dxa"/>
            <w:gridSpan w:val="2"/>
            <w:noWrap w:val="0"/>
            <w:vAlign w:val="center"/>
          </w:tcPr>
          <w:p w14:paraId="5DEDF2B1">
            <w:pPr>
              <w:spacing w:line="320" w:lineRule="exac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18975423955</w:t>
            </w:r>
          </w:p>
        </w:tc>
        <w:tc>
          <w:tcPr>
            <w:tcW w:w="2038" w:type="dxa"/>
            <w:gridSpan w:val="2"/>
            <w:noWrap w:val="0"/>
            <w:vAlign w:val="center"/>
          </w:tcPr>
          <w:p w14:paraId="11C9D48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邮箱</w:t>
            </w:r>
          </w:p>
        </w:tc>
        <w:tc>
          <w:tcPr>
            <w:tcW w:w="1880" w:type="dxa"/>
            <w:gridSpan w:val="2"/>
            <w:noWrap w:val="0"/>
            <w:vAlign w:val="center"/>
          </w:tcPr>
          <w:p w14:paraId="3B5C9FB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75DA1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878" w:type="dxa"/>
            <w:vMerge w:val="restart"/>
            <w:noWrap w:val="0"/>
            <w:vAlign w:val="center"/>
          </w:tcPr>
          <w:p w14:paraId="514B4E2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建设项目主要原辅材料消耗</w:t>
            </w:r>
          </w:p>
        </w:tc>
        <w:tc>
          <w:tcPr>
            <w:tcW w:w="1093" w:type="dxa"/>
            <w:noWrap w:val="0"/>
            <w:vAlign w:val="center"/>
          </w:tcPr>
          <w:p w14:paraId="25462ED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名称</w:t>
            </w:r>
          </w:p>
        </w:tc>
        <w:tc>
          <w:tcPr>
            <w:tcW w:w="6919" w:type="dxa"/>
            <w:gridSpan w:val="8"/>
            <w:noWrap w:val="0"/>
            <w:vAlign w:val="top"/>
          </w:tcPr>
          <w:p w14:paraId="488FFADB">
            <w:pPr>
              <w:spacing w:before="199" w:line="180" w:lineRule="auto"/>
              <w:jc w:val="center"/>
              <w:rPr>
                <w:rFonts w:hint="default" w:ascii="Times New Roman" w:hAnsi="Times New Roman" w:eastAsia="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南岳区城区生活污水</w:t>
            </w:r>
          </w:p>
        </w:tc>
      </w:tr>
      <w:tr w14:paraId="48F95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78" w:type="dxa"/>
            <w:vMerge w:val="continue"/>
            <w:noWrap w:val="0"/>
            <w:vAlign w:val="center"/>
          </w:tcPr>
          <w:p w14:paraId="0CB1CBF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6B5776A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单位</w:t>
            </w:r>
          </w:p>
        </w:tc>
        <w:tc>
          <w:tcPr>
            <w:tcW w:w="6919" w:type="dxa"/>
            <w:gridSpan w:val="8"/>
            <w:noWrap w:val="0"/>
            <w:vAlign w:val="top"/>
          </w:tcPr>
          <w:p w14:paraId="0BF1B785">
            <w:pPr>
              <w:spacing w:before="197" w:line="191"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m</w:t>
            </w:r>
            <w:r>
              <w:rPr>
                <w:rFonts w:hint="eastAsia" w:eastAsia="宋体" w:cs="Times New Roman"/>
                <w:color w:val="000000" w:themeColor="text1"/>
                <w:sz w:val="21"/>
                <w:szCs w:val="21"/>
                <w:highlight w:val="none"/>
                <w:vertAlign w:val="superscript"/>
                <w:lang w:val="en-US" w:eastAsia="zh-CN" w:bidi="ar-SA"/>
                <w14:textFill>
                  <w14:solidFill>
                    <w14:schemeClr w14:val="tx1"/>
                  </w14:solidFill>
                </w14:textFill>
              </w:rPr>
              <w:t>3</w:t>
            </w:r>
            <w:r>
              <w:rPr>
                <w:rFonts w:hint="eastAsia" w:eastAsia="宋体" w:cs="Times New Roman"/>
                <w:color w:val="000000" w:themeColor="text1"/>
                <w:sz w:val="21"/>
                <w:szCs w:val="21"/>
                <w:highlight w:val="none"/>
                <w:lang w:val="en-US" w:eastAsia="zh-CN" w:bidi="ar-SA"/>
                <w14:textFill>
                  <w14:solidFill>
                    <w14:schemeClr w14:val="tx1"/>
                  </w14:solidFill>
                </w14:textFill>
              </w:rPr>
              <w:t>/d</w:t>
            </w:r>
          </w:p>
        </w:tc>
      </w:tr>
      <w:tr w14:paraId="5A9BA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878" w:type="dxa"/>
            <w:vMerge w:val="continue"/>
            <w:noWrap w:val="0"/>
            <w:vAlign w:val="center"/>
          </w:tcPr>
          <w:p w14:paraId="5A289AD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61D92F7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数量</w:t>
            </w:r>
          </w:p>
        </w:tc>
        <w:tc>
          <w:tcPr>
            <w:tcW w:w="6919" w:type="dxa"/>
            <w:gridSpan w:val="8"/>
            <w:noWrap w:val="0"/>
            <w:vAlign w:val="top"/>
          </w:tcPr>
          <w:p w14:paraId="21E87929">
            <w:pPr>
              <w:spacing w:before="201" w:line="180" w:lineRule="auto"/>
              <w:jc w:val="center"/>
              <w:rPr>
                <w:rFonts w:hint="default" w:ascii="Times New Roman" w:hAnsi="Times New Roman" w:eastAsia="Times New Roman"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pacing w:val="-5"/>
                <w:sz w:val="21"/>
                <w:szCs w:val="21"/>
                <w:highlight w:val="none"/>
                <w:lang w:val="en-US" w:eastAsia="zh-CN"/>
                <w14:textFill>
                  <w14:solidFill>
                    <w14:schemeClr w14:val="tx1"/>
                  </w14:solidFill>
                </w14:textFill>
              </w:rPr>
              <w:t>30000</w:t>
            </w:r>
          </w:p>
        </w:tc>
      </w:tr>
      <w:tr w14:paraId="00E5F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878" w:type="dxa"/>
            <w:vMerge w:val="restart"/>
            <w:noWrap w:val="0"/>
            <w:vAlign w:val="center"/>
          </w:tcPr>
          <w:p w14:paraId="7678A7D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主要</w:t>
            </w:r>
          </w:p>
          <w:p w14:paraId="619682C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产品</w:t>
            </w:r>
          </w:p>
        </w:tc>
        <w:tc>
          <w:tcPr>
            <w:tcW w:w="1093" w:type="dxa"/>
            <w:noWrap w:val="0"/>
            <w:vAlign w:val="center"/>
          </w:tcPr>
          <w:p w14:paraId="7345AD3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名称</w:t>
            </w:r>
          </w:p>
        </w:tc>
        <w:tc>
          <w:tcPr>
            <w:tcW w:w="6919" w:type="dxa"/>
            <w:gridSpan w:val="8"/>
            <w:noWrap w:val="0"/>
            <w:vAlign w:val="top"/>
          </w:tcPr>
          <w:p w14:paraId="117A646A">
            <w:pPr>
              <w:spacing w:before="164" w:line="186" w:lineRule="auto"/>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lang w:val="en-US" w:eastAsia="zh-CN"/>
                <w14:textFill>
                  <w14:solidFill>
                    <w14:schemeClr w14:val="tx1"/>
                  </w14:solidFill>
                </w14:textFill>
              </w:rPr>
              <w:t>处理达标</w:t>
            </w:r>
            <w:r>
              <w:rPr>
                <w:rFonts w:ascii="宋体" w:hAnsi="宋体" w:eastAsia="宋体" w:cs="宋体"/>
                <w:color w:val="000000" w:themeColor="text1"/>
                <w:spacing w:val="-2"/>
                <w:sz w:val="21"/>
                <w:szCs w:val="21"/>
                <w:highlight w:val="none"/>
                <w14:textFill>
                  <w14:solidFill>
                    <w14:schemeClr w14:val="tx1"/>
                  </w14:solidFill>
                </w14:textFill>
              </w:rPr>
              <w:t>尾水</w:t>
            </w:r>
          </w:p>
        </w:tc>
      </w:tr>
      <w:tr w14:paraId="3E99F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878" w:type="dxa"/>
            <w:vMerge w:val="continue"/>
            <w:noWrap w:val="0"/>
            <w:vAlign w:val="center"/>
          </w:tcPr>
          <w:p w14:paraId="4FE9937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1EC72D2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单位</w:t>
            </w:r>
          </w:p>
        </w:tc>
        <w:tc>
          <w:tcPr>
            <w:tcW w:w="6919" w:type="dxa"/>
            <w:gridSpan w:val="8"/>
            <w:noWrap w:val="0"/>
            <w:vAlign w:val="top"/>
          </w:tcPr>
          <w:p w14:paraId="7E313588">
            <w:pPr>
              <w:spacing w:before="151" w:line="215"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m</w:t>
            </w:r>
            <w:r>
              <w:rPr>
                <w:rFonts w:hint="eastAsia" w:eastAsia="宋体" w:cs="Times New Roman"/>
                <w:color w:val="000000" w:themeColor="text1"/>
                <w:sz w:val="21"/>
                <w:szCs w:val="21"/>
                <w:highlight w:val="none"/>
                <w:vertAlign w:val="superscript"/>
                <w:lang w:val="en-US" w:eastAsia="zh-CN" w:bidi="ar-SA"/>
                <w14:textFill>
                  <w14:solidFill>
                    <w14:schemeClr w14:val="tx1"/>
                  </w14:solidFill>
                </w14:textFill>
              </w:rPr>
              <w:t>3</w:t>
            </w:r>
            <w:r>
              <w:rPr>
                <w:rFonts w:hint="eastAsia" w:eastAsia="宋体" w:cs="Times New Roman"/>
                <w:color w:val="000000" w:themeColor="text1"/>
                <w:sz w:val="21"/>
                <w:szCs w:val="21"/>
                <w:highlight w:val="none"/>
                <w:lang w:val="en-US" w:eastAsia="zh-CN" w:bidi="ar-SA"/>
                <w14:textFill>
                  <w14:solidFill>
                    <w14:schemeClr w14:val="tx1"/>
                  </w14:solidFill>
                </w14:textFill>
              </w:rPr>
              <w:t>/d</w:t>
            </w:r>
          </w:p>
        </w:tc>
      </w:tr>
      <w:tr w14:paraId="71658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878" w:type="dxa"/>
            <w:vMerge w:val="continue"/>
            <w:noWrap w:val="0"/>
            <w:vAlign w:val="center"/>
          </w:tcPr>
          <w:p w14:paraId="650156D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093" w:type="dxa"/>
            <w:noWrap w:val="0"/>
            <w:vAlign w:val="center"/>
          </w:tcPr>
          <w:p w14:paraId="06DC778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数量</w:t>
            </w:r>
          </w:p>
        </w:tc>
        <w:tc>
          <w:tcPr>
            <w:tcW w:w="6919" w:type="dxa"/>
            <w:gridSpan w:val="8"/>
            <w:noWrap w:val="0"/>
            <w:vAlign w:val="top"/>
          </w:tcPr>
          <w:p w14:paraId="0E470EA6">
            <w:pPr>
              <w:spacing w:before="205" w:line="18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pacing w:val="-5"/>
                <w:sz w:val="21"/>
                <w:szCs w:val="21"/>
                <w:highlight w:val="none"/>
                <w:lang w:val="en-US" w:eastAsia="zh-CN"/>
                <w14:textFill>
                  <w14:solidFill>
                    <w14:schemeClr w14:val="tx1"/>
                  </w14:solidFill>
                </w14:textFill>
              </w:rPr>
              <w:t>30000</w:t>
            </w:r>
          </w:p>
        </w:tc>
      </w:tr>
      <w:tr w14:paraId="78EAD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8" w:type="dxa"/>
            <w:noWrap w:val="0"/>
            <w:vAlign w:val="center"/>
          </w:tcPr>
          <w:p w14:paraId="5BD094F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主要产污环节</w:t>
            </w:r>
          </w:p>
        </w:tc>
        <w:tc>
          <w:tcPr>
            <w:tcW w:w="8012" w:type="dxa"/>
            <w:gridSpan w:val="9"/>
            <w:noWrap w:val="0"/>
            <w:vAlign w:val="center"/>
          </w:tcPr>
          <w:p w14:paraId="2DE8511E">
            <w:pPr>
              <w:keepNext w:val="0"/>
              <w:keepLines w:val="0"/>
              <w:widowControl/>
              <w:suppressLineNumbers w:val="0"/>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本项目为污水处理工程，项目本身不产生污水，污水的产生主要</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来源</w:t>
            </w: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为</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南岳区城区居民</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生活污水</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14:paraId="40053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878" w:type="dxa"/>
            <w:vMerge w:val="restart"/>
            <w:noWrap w:val="0"/>
            <w:textDirection w:val="tbRlV"/>
            <w:vAlign w:val="center"/>
          </w:tcPr>
          <w:p w14:paraId="129F97D2">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取水情况</w:t>
            </w:r>
          </w:p>
        </w:tc>
        <w:tc>
          <w:tcPr>
            <w:tcW w:w="1874" w:type="dxa"/>
            <w:gridSpan w:val="2"/>
            <w:noWrap w:val="0"/>
            <w:vAlign w:val="center"/>
          </w:tcPr>
          <w:p w14:paraId="0FEC32C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水源</w:t>
            </w:r>
          </w:p>
        </w:tc>
        <w:tc>
          <w:tcPr>
            <w:tcW w:w="6138" w:type="dxa"/>
            <w:gridSpan w:val="7"/>
            <w:noWrap w:val="0"/>
            <w:vAlign w:val="center"/>
          </w:tcPr>
          <w:p w14:paraId="118FC29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5C789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878" w:type="dxa"/>
            <w:vMerge w:val="continue"/>
            <w:noWrap w:val="0"/>
            <w:textDirection w:val="tbRlV"/>
            <w:vAlign w:val="center"/>
          </w:tcPr>
          <w:p w14:paraId="03891E9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6119C2C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取水许可证编号</w:t>
            </w:r>
          </w:p>
        </w:tc>
        <w:tc>
          <w:tcPr>
            <w:tcW w:w="6138" w:type="dxa"/>
            <w:gridSpan w:val="7"/>
            <w:noWrap w:val="0"/>
            <w:vAlign w:val="center"/>
          </w:tcPr>
          <w:p w14:paraId="5F326D1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501FA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878" w:type="dxa"/>
            <w:vMerge w:val="continue"/>
            <w:noWrap w:val="0"/>
            <w:textDirection w:val="tbRlV"/>
            <w:vAlign w:val="center"/>
          </w:tcPr>
          <w:p w14:paraId="0EE5C46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75506D9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审批机关</w:t>
            </w:r>
          </w:p>
        </w:tc>
        <w:tc>
          <w:tcPr>
            <w:tcW w:w="6138" w:type="dxa"/>
            <w:gridSpan w:val="7"/>
            <w:noWrap w:val="0"/>
            <w:vAlign w:val="center"/>
          </w:tcPr>
          <w:p w14:paraId="1683570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1FF22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878" w:type="dxa"/>
            <w:vMerge w:val="continue"/>
            <w:noWrap w:val="0"/>
            <w:textDirection w:val="tbRlV"/>
            <w:vAlign w:val="center"/>
          </w:tcPr>
          <w:p w14:paraId="716349F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6107079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取水方式</w:t>
            </w:r>
          </w:p>
        </w:tc>
        <w:tc>
          <w:tcPr>
            <w:tcW w:w="6138" w:type="dxa"/>
            <w:gridSpan w:val="7"/>
            <w:noWrap w:val="0"/>
            <w:vAlign w:val="center"/>
          </w:tcPr>
          <w:p w14:paraId="68EB0C9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453C7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878" w:type="dxa"/>
            <w:vMerge w:val="continue"/>
            <w:noWrap w:val="0"/>
            <w:vAlign w:val="center"/>
          </w:tcPr>
          <w:p w14:paraId="7A7533A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1EF35C7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用途</w:t>
            </w:r>
          </w:p>
        </w:tc>
        <w:tc>
          <w:tcPr>
            <w:tcW w:w="6138" w:type="dxa"/>
            <w:gridSpan w:val="7"/>
            <w:noWrap w:val="0"/>
            <w:vAlign w:val="center"/>
          </w:tcPr>
          <w:p w14:paraId="6224DF9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6DEA4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878" w:type="dxa"/>
            <w:vMerge w:val="continue"/>
            <w:noWrap w:val="0"/>
            <w:vAlign w:val="center"/>
          </w:tcPr>
          <w:p w14:paraId="78480BD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6EA446C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年审批取水量</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万</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w:t>
            </w:r>
          </w:p>
        </w:tc>
        <w:tc>
          <w:tcPr>
            <w:tcW w:w="6138" w:type="dxa"/>
            <w:gridSpan w:val="7"/>
            <w:noWrap w:val="0"/>
            <w:vAlign w:val="center"/>
          </w:tcPr>
          <w:p w14:paraId="2C6734C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251F1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878" w:type="dxa"/>
            <w:vMerge w:val="continue"/>
            <w:noWrap w:val="0"/>
            <w:vAlign w:val="center"/>
          </w:tcPr>
          <w:p w14:paraId="1318B03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19099F2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年实际取水量</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万</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w:t>
            </w:r>
          </w:p>
        </w:tc>
        <w:tc>
          <w:tcPr>
            <w:tcW w:w="6138" w:type="dxa"/>
            <w:gridSpan w:val="7"/>
            <w:noWrap w:val="0"/>
            <w:vAlign w:val="center"/>
          </w:tcPr>
          <w:p w14:paraId="212D43C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1E00F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878" w:type="dxa"/>
            <w:vMerge w:val="restart"/>
            <w:noWrap w:val="0"/>
            <w:textDirection w:val="tbRlV"/>
            <w:vAlign w:val="center"/>
          </w:tcPr>
          <w:p w14:paraId="74A57F09">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排污口基本情况</w:t>
            </w:r>
          </w:p>
        </w:tc>
        <w:tc>
          <w:tcPr>
            <w:tcW w:w="1874" w:type="dxa"/>
            <w:gridSpan w:val="2"/>
            <w:noWrap w:val="0"/>
            <w:vAlign w:val="center"/>
          </w:tcPr>
          <w:p w14:paraId="14E1B24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排污口名称</w:t>
            </w:r>
          </w:p>
        </w:tc>
        <w:tc>
          <w:tcPr>
            <w:tcW w:w="6138" w:type="dxa"/>
            <w:gridSpan w:val="7"/>
            <w:noWrap w:val="0"/>
            <w:vAlign w:val="center"/>
          </w:tcPr>
          <w:p w14:paraId="1E9DB89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衡阳市南岳区污水处理厂入河排污口</w:t>
            </w:r>
          </w:p>
        </w:tc>
      </w:tr>
      <w:tr w14:paraId="412CA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0899961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28E1B95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排污口行政地址</w:t>
            </w:r>
          </w:p>
        </w:tc>
        <w:tc>
          <w:tcPr>
            <w:tcW w:w="6138" w:type="dxa"/>
            <w:gridSpan w:val="7"/>
            <w:noWrap w:val="0"/>
            <w:vAlign w:val="center"/>
          </w:tcPr>
          <w:p w14:paraId="2BBBCF4F">
            <w:pPr>
              <w:spacing w:line="320" w:lineRule="exac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衡阳市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南岳区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红星村老屋组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（南岳区龙荫港左岸）</w:t>
            </w:r>
          </w:p>
        </w:tc>
      </w:tr>
      <w:tr w14:paraId="4B6F0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9F86B3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47BD1D6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所在水功能区概况</w:t>
            </w:r>
          </w:p>
        </w:tc>
        <w:tc>
          <w:tcPr>
            <w:tcW w:w="6138" w:type="dxa"/>
            <w:gridSpan w:val="7"/>
            <w:noWrap w:val="0"/>
            <w:vAlign w:val="center"/>
          </w:tcPr>
          <w:p w14:paraId="72C075B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hAnsi="宋体" w:eastAsia="宋体" w:cs="Times New Roman"/>
                <w:color w:val="000000" w:themeColor="text1"/>
                <w:sz w:val="21"/>
                <w:szCs w:val="21"/>
                <w:highlight w:val="none"/>
                <w:lang w:val="en-US" w:eastAsia="zh-CN"/>
                <w14:textFill>
                  <w14:solidFill>
                    <w14:schemeClr w14:val="tx1"/>
                  </w14:solidFill>
                </w14:textFill>
              </w:rPr>
              <w:t>龙荫港暂未划定水功能区</w:t>
            </w: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w:t>
            </w:r>
            <w:r>
              <w:rPr>
                <w:rFonts w:hint="eastAsia" w:hAnsi="宋体" w:eastAsia="宋体" w:cs="Times New Roman"/>
                <w:color w:val="000000" w:themeColor="text1"/>
                <w:sz w:val="21"/>
                <w:szCs w:val="21"/>
                <w:highlight w:val="none"/>
                <w:lang w:val="en-US" w:eastAsia="zh-CN"/>
                <w14:textFill>
                  <w14:solidFill>
                    <w14:schemeClr w14:val="tx1"/>
                  </w14:solidFill>
                </w14:textFill>
              </w:rPr>
              <w:t>属于农业用水区，</w:t>
            </w:r>
            <w:r>
              <w:rPr>
                <w:rFonts w:hint="eastAsia" w:cs="Times New Roman"/>
                <w:i w:val="0"/>
                <w:caps w:val="0"/>
                <w:color w:val="000000" w:themeColor="text1"/>
                <w:spacing w:val="0"/>
                <w:sz w:val="21"/>
                <w:szCs w:val="21"/>
                <w:highlight w:val="none"/>
                <w:u w:val="none"/>
                <w:shd w:val="clear" w:color="auto" w:fill="auto"/>
                <w:lang w:val="en-US" w:eastAsia="zh-CN"/>
                <w14:textFill>
                  <w14:solidFill>
                    <w14:schemeClr w14:val="tx1"/>
                  </w14:solidFill>
                </w14:textFill>
              </w:rPr>
              <w:t>水质目标参照执行III类</w:t>
            </w:r>
            <w:r>
              <w:rPr>
                <w:rFonts w:hint="eastAsia" w:hAnsi="宋体" w:eastAsia="宋体" w:cs="Times New Roman"/>
                <w:color w:val="000000" w:themeColor="text1"/>
                <w:sz w:val="21"/>
                <w:szCs w:val="21"/>
                <w:highlight w:val="none"/>
                <w:lang w:eastAsia="zh-CN"/>
                <w14:textFill>
                  <w14:solidFill>
                    <w14:schemeClr w14:val="tx1"/>
                  </w14:solidFill>
                </w14:textFill>
              </w:rPr>
              <w:t>；</w:t>
            </w:r>
            <w:r>
              <w:rPr>
                <w:rFonts w:hint="eastAsia" w:cs="Times New Roman"/>
                <w:i w:val="0"/>
                <w:caps w:val="0"/>
                <w:color w:val="000000" w:themeColor="text1"/>
                <w:spacing w:val="0"/>
                <w:sz w:val="21"/>
                <w:szCs w:val="21"/>
                <w:highlight w:val="none"/>
                <w:u w:val="none"/>
                <w:shd w:val="clear" w:color="auto" w:fill="auto"/>
                <w:lang w:val="en-US" w:eastAsia="zh-CN"/>
                <w14:textFill>
                  <w14:solidFill>
                    <w14:schemeClr w14:val="tx1"/>
                  </w14:solidFill>
                </w14:textFill>
              </w:rPr>
              <w:t>龙荫港入湘江段属于湘江衡东～衡山保留区，水质目标为III类</w:t>
            </w:r>
          </w:p>
        </w:tc>
      </w:tr>
      <w:tr w14:paraId="35FFC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41E7BDD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07F34D8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排污口经纬度</w:t>
            </w:r>
          </w:p>
        </w:tc>
        <w:tc>
          <w:tcPr>
            <w:tcW w:w="6138" w:type="dxa"/>
            <w:gridSpan w:val="7"/>
            <w:noWrap w:val="0"/>
            <w:vAlign w:val="center"/>
          </w:tcPr>
          <w:p w14:paraId="20AFC431">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东经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112°45′8.53308″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，北纬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12.36000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0751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62E830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0EF5A2D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排污口类型</w:t>
            </w:r>
          </w:p>
        </w:tc>
        <w:tc>
          <w:tcPr>
            <w:tcW w:w="6138" w:type="dxa"/>
            <w:gridSpan w:val="7"/>
            <w:noWrap w:val="0"/>
            <w:vAlign w:val="center"/>
          </w:tcPr>
          <w:p w14:paraId="1978769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城镇污水处理厂排污口    </w:t>
            </w:r>
            <w:r>
              <w:rPr>
                <w:rFonts w:ascii="Times New Roman" w:cs="Times New Roman"/>
                <w:color w:val="000000" w:themeColor="text1"/>
                <w:sz w:val="21"/>
                <w:szCs w:val="21"/>
                <w:highlight w:val="none"/>
                <w14:textFill>
                  <w14:solidFill>
                    <w14:schemeClr w14:val="tx1"/>
                  </w14:solidFill>
                </w14:textFill>
              </w:rPr>
              <w:t>新建（</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）改建（）扩大（）</w:t>
            </w:r>
          </w:p>
        </w:tc>
      </w:tr>
      <w:tr w14:paraId="70465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00DBBA1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77BC355B">
            <w:pPr>
              <w:spacing w:line="320" w:lineRule="exact"/>
              <w:jc w:val="center"/>
              <w:rPr>
                <w:rFonts w:asci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污水年排放量</w:t>
            </w:r>
            <w:r>
              <w:rPr>
                <w:rFonts w:ascii="Times New Roman" w:hAnsi="Times New Roman" w:cs="Times New Roman"/>
                <w:color w:val="000000" w:themeColor="text1"/>
                <w:sz w:val="21"/>
                <w:szCs w:val="21"/>
                <w:highlight w:val="none"/>
                <w14:textFill>
                  <w14:solidFill>
                    <w14:schemeClr w14:val="tx1"/>
                  </w14:solidFill>
                </w14:textFill>
              </w:rPr>
              <w:t>(m</w:t>
            </w:r>
            <w:r>
              <w:rPr>
                <w:rFonts w:ascii="Times New Roman" w:hAnsi="Times New Roman" w:cs="Times New Roman"/>
                <w:color w:val="000000" w:themeColor="text1"/>
                <w:sz w:val="21"/>
                <w:szCs w:val="21"/>
                <w:highlight w:val="none"/>
                <w:vertAlign w:val="superscript"/>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w:t>
            </w:r>
          </w:p>
        </w:tc>
        <w:tc>
          <w:tcPr>
            <w:tcW w:w="6138" w:type="dxa"/>
            <w:gridSpan w:val="7"/>
            <w:noWrap w:val="0"/>
            <w:vAlign w:val="center"/>
          </w:tcPr>
          <w:p w14:paraId="5C251834">
            <w:pPr>
              <w:spacing w:line="320" w:lineRule="exact"/>
              <w:jc w:val="center"/>
              <w:rPr>
                <w:rFonts w:hint="default" w:asci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1095万</w:t>
            </w:r>
          </w:p>
        </w:tc>
      </w:tr>
      <w:tr w14:paraId="470BB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5D6E35F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restart"/>
            <w:noWrap w:val="0"/>
            <w:vAlign w:val="center"/>
          </w:tcPr>
          <w:p w14:paraId="4DB677C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主要</w:t>
            </w:r>
          </w:p>
          <w:p w14:paraId="6ACA241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污染物</w:t>
            </w:r>
          </w:p>
        </w:tc>
        <w:tc>
          <w:tcPr>
            <w:tcW w:w="1388" w:type="dxa"/>
            <w:gridSpan w:val="2"/>
            <w:noWrap w:val="0"/>
            <w:vAlign w:val="center"/>
          </w:tcPr>
          <w:p w14:paraId="77D902B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w:t>
            </w:r>
          </w:p>
        </w:tc>
        <w:tc>
          <w:tcPr>
            <w:tcW w:w="1644" w:type="dxa"/>
            <w:gridSpan w:val="2"/>
            <w:noWrap w:val="0"/>
            <w:vAlign w:val="center"/>
          </w:tcPr>
          <w:p w14:paraId="4FE468F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日最高排放浓度</w:t>
            </w:r>
          </w:p>
          <w:p w14:paraId="7C64028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mg/L</w:t>
            </w:r>
            <w:r>
              <w:rPr>
                <w:rFonts w:ascii="Times New Roman" w:cs="Times New Roman"/>
                <w:color w:val="000000" w:themeColor="text1"/>
                <w:sz w:val="21"/>
                <w:szCs w:val="21"/>
                <w:highlight w:val="none"/>
                <w14:textFill>
                  <w14:solidFill>
                    <w14:schemeClr w14:val="tx1"/>
                  </w14:solidFill>
                </w14:textFill>
              </w:rPr>
              <w:t>）</w:t>
            </w:r>
          </w:p>
        </w:tc>
        <w:tc>
          <w:tcPr>
            <w:tcW w:w="1616" w:type="dxa"/>
            <w:gridSpan w:val="2"/>
            <w:noWrap w:val="0"/>
            <w:vAlign w:val="center"/>
          </w:tcPr>
          <w:p w14:paraId="6738E01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月平均排放浓度（</w:t>
            </w:r>
            <w:r>
              <w:rPr>
                <w:rFonts w:ascii="Times New Roman" w:hAnsi="Times New Roman" w:cs="Times New Roman"/>
                <w:color w:val="000000" w:themeColor="text1"/>
                <w:sz w:val="21"/>
                <w:szCs w:val="21"/>
                <w:highlight w:val="none"/>
                <w14:textFill>
                  <w14:solidFill>
                    <w14:schemeClr w14:val="tx1"/>
                  </w14:solidFill>
                </w14:textFill>
              </w:rPr>
              <w:t>mg/L</w:t>
            </w:r>
            <w:r>
              <w:rPr>
                <w:rFonts w:ascii="Times New Roman" w:cs="Times New Roman"/>
                <w:color w:val="000000" w:themeColor="text1"/>
                <w:sz w:val="21"/>
                <w:szCs w:val="21"/>
                <w:highlight w:val="none"/>
                <w14:textFill>
                  <w14:solidFill>
                    <w14:schemeClr w14:val="tx1"/>
                  </w14:solidFill>
                </w14:textFill>
              </w:rPr>
              <w:t>）</w:t>
            </w:r>
          </w:p>
        </w:tc>
        <w:tc>
          <w:tcPr>
            <w:tcW w:w="1490" w:type="dxa"/>
            <w:noWrap w:val="0"/>
            <w:vAlign w:val="center"/>
          </w:tcPr>
          <w:p w14:paraId="653827B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最大年排放量（</w:t>
            </w:r>
            <w:r>
              <w:rPr>
                <w:rFonts w:ascii="Times New Roman" w:hAnsi="Times New Roman" w:cs="Times New Roman"/>
                <w:color w:val="000000" w:themeColor="text1"/>
                <w:sz w:val="21"/>
                <w:szCs w:val="21"/>
                <w:highlight w:val="none"/>
                <w14:textFill>
                  <w14:solidFill>
                    <w14:schemeClr w14:val="tx1"/>
                  </w14:solidFill>
                </w14:textFill>
              </w:rPr>
              <w:t>t/a</w:t>
            </w:r>
            <w:r>
              <w:rPr>
                <w:rFonts w:ascii="Times New Roman" w:cs="Times New Roman"/>
                <w:color w:val="000000" w:themeColor="text1"/>
                <w:sz w:val="21"/>
                <w:szCs w:val="21"/>
                <w:highlight w:val="none"/>
                <w14:textFill>
                  <w14:solidFill>
                    <w14:schemeClr w14:val="tx1"/>
                  </w14:solidFill>
                </w14:textFill>
              </w:rPr>
              <w:t>）</w:t>
            </w:r>
          </w:p>
        </w:tc>
      </w:tr>
      <w:tr w14:paraId="102DA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94EB2A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5665C9C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7DE2D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CODcr</w:t>
            </w:r>
          </w:p>
        </w:tc>
        <w:tc>
          <w:tcPr>
            <w:tcW w:w="1644" w:type="dxa"/>
            <w:gridSpan w:val="2"/>
            <w:noWrap w:val="0"/>
            <w:vAlign w:val="center"/>
          </w:tcPr>
          <w:p w14:paraId="15C3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30</w:t>
            </w:r>
          </w:p>
        </w:tc>
        <w:tc>
          <w:tcPr>
            <w:tcW w:w="1616" w:type="dxa"/>
            <w:gridSpan w:val="2"/>
            <w:noWrap w:val="0"/>
            <w:vAlign w:val="center"/>
          </w:tcPr>
          <w:p w14:paraId="27BE97E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1490" w:type="dxa"/>
            <w:noWrap w:val="0"/>
            <w:vAlign w:val="center"/>
          </w:tcPr>
          <w:p w14:paraId="151E2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328.5</w:t>
            </w:r>
          </w:p>
        </w:tc>
      </w:tr>
      <w:tr w14:paraId="08570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1C562B0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71D41F5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419E4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TP</w:t>
            </w:r>
          </w:p>
        </w:tc>
        <w:tc>
          <w:tcPr>
            <w:tcW w:w="1644" w:type="dxa"/>
            <w:gridSpan w:val="2"/>
            <w:noWrap w:val="0"/>
            <w:vAlign w:val="center"/>
          </w:tcPr>
          <w:p w14:paraId="2D452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0.3</w:t>
            </w:r>
          </w:p>
        </w:tc>
        <w:tc>
          <w:tcPr>
            <w:tcW w:w="1616" w:type="dxa"/>
            <w:gridSpan w:val="2"/>
            <w:noWrap w:val="0"/>
            <w:vAlign w:val="center"/>
          </w:tcPr>
          <w:p w14:paraId="6F9D761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1490" w:type="dxa"/>
            <w:noWrap w:val="0"/>
            <w:vAlign w:val="center"/>
          </w:tcPr>
          <w:p w14:paraId="22BFF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3.285</w:t>
            </w:r>
          </w:p>
        </w:tc>
      </w:tr>
      <w:tr w14:paraId="73048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0800AD7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766DC34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0E99DA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w:t>
            </w:r>
          </w:p>
        </w:tc>
        <w:tc>
          <w:tcPr>
            <w:tcW w:w="1644" w:type="dxa"/>
            <w:gridSpan w:val="2"/>
            <w:noWrap w:val="0"/>
            <w:vAlign w:val="center"/>
          </w:tcPr>
          <w:p w14:paraId="0077E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1.5（3）</w:t>
            </w:r>
          </w:p>
        </w:tc>
        <w:tc>
          <w:tcPr>
            <w:tcW w:w="1616" w:type="dxa"/>
            <w:gridSpan w:val="2"/>
            <w:noWrap w:val="0"/>
            <w:vAlign w:val="center"/>
          </w:tcPr>
          <w:p w14:paraId="7F62F9D8">
            <w:p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490" w:type="dxa"/>
            <w:noWrap w:val="0"/>
            <w:vAlign w:val="center"/>
          </w:tcPr>
          <w:p w14:paraId="4E01C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16.425</w:t>
            </w:r>
          </w:p>
        </w:tc>
      </w:tr>
      <w:tr w14:paraId="49969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24501BC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6775BC1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65018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TN</w:t>
            </w:r>
          </w:p>
        </w:tc>
        <w:tc>
          <w:tcPr>
            <w:tcW w:w="1644" w:type="dxa"/>
            <w:gridSpan w:val="2"/>
            <w:noWrap w:val="0"/>
            <w:vAlign w:val="center"/>
          </w:tcPr>
          <w:p w14:paraId="3D3AA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c>
          <w:tcPr>
            <w:tcW w:w="1616" w:type="dxa"/>
            <w:gridSpan w:val="2"/>
            <w:noWrap w:val="0"/>
            <w:vAlign w:val="center"/>
          </w:tcPr>
          <w:p w14:paraId="1186AC1B">
            <w:pPr>
              <w:spacing w:line="320" w:lineRule="exact"/>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490" w:type="dxa"/>
            <w:noWrap w:val="0"/>
            <w:vAlign w:val="center"/>
          </w:tcPr>
          <w:p w14:paraId="50780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109.5</w:t>
            </w:r>
          </w:p>
        </w:tc>
      </w:tr>
      <w:tr w14:paraId="7C62F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628064C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25A18FC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20B10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5</w:t>
            </w:r>
          </w:p>
        </w:tc>
        <w:tc>
          <w:tcPr>
            <w:tcW w:w="1644" w:type="dxa"/>
            <w:gridSpan w:val="2"/>
            <w:noWrap w:val="0"/>
            <w:vAlign w:val="center"/>
          </w:tcPr>
          <w:p w14:paraId="1EC77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c>
          <w:tcPr>
            <w:tcW w:w="1616" w:type="dxa"/>
            <w:gridSpan w:val="2"/>
            <w:noWrap w:val="0"/>
            <w:vAlign w:val="center"/>
          </w:tcPr>
          <w:p w14:paraId="63E09252">
            <w:p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490" w:type="dxa"/>
            <w:noWrap w:val="0"/>
            <w:vAlign w:val="center"/>
          </w:tcPr>
          <w:p w14:paraId="5FFA4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109.5</w:t>
            </w:r>
          </w:p>
        </w:tc>
      </w:tr>
      <w:tr w14:paraId="7C7B9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8" w:type="dxa"/>
            <w:vMerge w:val="continue"/>
            <w:noWrap w:val="0"/>
            <w:textDirection w:val="tbRlV"/>
            <w:vAlign w:val="center"/>
          </w:tcPr>
          <w:p w14:paraId="0BEB095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2CFAEBA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388" w:type="dxa"/>
            <w:gridSpan w:val="2"/>
            <w:noWrap w:val="0"/>
            <w:vAlign w:val="center"/>
          </w:tcPr>
          <w:p w14:paraId="1B3876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SS</w:t>
            </w:r>
          </w:p>
        </w:tc>
        <w:tc>
          <w:tcPr>
            <w:tcW w:w="1644" w:type="dxa"/>
            <w:gridSpan w:val="2"/>
            <w:noWrap w:val="0"/>
            <w:vAlign w:val="center"/>
          </w:tcPr>
          <w:p w14:paraId="2A59A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c>
          <w:tcPr>
            <w:tcW w:w="1616" w:type="dxa"/>
            <w:gridSpan w:val="2"/>
            <w:noWrap w:val="0"/>
            <w:vAlign w:val="center"/>
          </w:tcPr>
          <w:p w14:paraId="3B5FCDA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c>
          <w:tcPr>
            <w:tcW w:w="1490" w:type="dxa"/>
            <w:noWrap w:val="0"/>
            <w:vAlign w:val="center"/>
          </w:tcPr>
          <w:p w14:paraId="048FE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109.5</w:t>
            </w:r>
          </w:p>
        </w:tc>
      </w:tr>
      <w:tr w14:paraId="0BF67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878" w:type="dxa"/>
            <w:vMerge w:val="continue"/>
            <w:noWrap w:val="0"/>
            <w:textDirection w:val="tbRlV"/>
            <w:vAlign w:val="center"/>
          </w:tcPr>
          <w:p w14:paraId="4900787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5050909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计量设施安装状况</w:t>
            </w:r>
          </w:p>
        </w:tc>
        <w:tc>
          <w:tcPr>
            <w:tcW w:w="6138" w:type="dxa"/>
            <w:gridSpan w:val="7"/>
            <w:noWrap w:val="0"/>
            <w:vAlign w:val="center"/>
          </w:tcPr>
          <w:p w14:paraId="1308941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污水计量设施（</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）水质在线监测设施（</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w:t>
            </w:r>
          </w:p>
        </w:tc>
      </w:tr>
      <w:tr w14:paraId="1AB59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878" w:type="dxa"/>
            <w:vMerge w:val="continue"/>
            <w:noWrap w:val="0"/>
            <w:textDirection w:val="tbRlV"/>
            <w:vAlign w:val="center"/>
          </w:tcPr>
          <w:p w14:paraId="0C7ACB8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4938A2F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污水性质</w:t>
            </w:r>
          </w:p>
        </w:tc>
        <w:tc>
          <w:tcPr>
            <w:tcW w:w="6138" w:type="dxa"/>
            <w:gridSpan w:val="7"/>
            <w:noWrap w:val="0"/>
            <w:vAlign w:val="center"/>
          </w:tcPr>
          <w:p w14:paraId="301B31A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工业（）生活（</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）混合（）其他（）</w:t>
            </w:r>
          </w:p>
        </w:tc>
      </w:tr>
      <w:tr w14:paraId="0A0B6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878" w:type="dxa"/>
            <w:vMerge w:val="continue"/>
            <w:noWrap w:val="0"/>
            <w:textDirection w:val="tbRlV"/>
            <w:vAlign w:val="center"/>
          </w:tcPr>
          <w:p w14:paraId="0C5D277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35B5053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污水入河方式</w:t>
            </w:r>
          </w:p>
        </w:tc>
        <w:tc>
          <w:tcPr>
            <w:tcW w:w="6138" w:type="dxa"/>
            <w:gridSpan w:val="7"/>
            <w:noWrap w:val="0"/>
            <w:vAlign w:val="center"/>
          </w:tcPr>
          <w:p w14:paraId="1CF999D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管道（</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）明渠（）涵闸（）阴沟（）</w:t>
            </w:r>
            <w:r>
              <w:rPr>
                <w:rFonts w:ascii="Times New Roman" w:hAnsi="Times New Roman" w:cs="Times New Roman"/>
                <w:color w:val="000000" w:themeColor="text1"/>
                <w:sz w:val="21"/>
                <w:szCs w:val="21"/>
                <w:highlight w:val="none"/>
                <w14:textFill>
                  <w14:solidFill>
                    <w14:schemeClr w14:val="tx1"/>
                  </w14:solidFill>
                </w14:textFill>
              </w:rPr>
              <w:t xml:space="preserve"> </w:t>
            </w:r>
            <w:r>
              <w:rPr>
                <w:rFonts w:ascii="Times New Roman" w:cs="Times New Roman"/>
                <w:color w:val="000000" w:themeColor="text1"/>
                <w:sz w:val="21"/>
                <w:szCs w:val="21"/>
                <w:highlight w:val="none"/>
                <w14:textFill>
                  <w14:solidFill>
                    <w14:schemeClr w14:val="tx1"/>
                  </w14:solidFill>
                </w14:textFill>
              </w:rPr>
              <w:t>干沟（）其他（）</w:t>
            </w:r>
          </w:p>
        </w:tc>
      </w:tr>
      <w:tr w14:paraId="4096C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878" w:type="dxa"/>
            <w:vMerge w:val="continue"/>
            <w:noWrap w:val="0"/>
            <w:textDirection w:val="tbRlV"/>
            <w:vAlign w:val="center"/>
          </w:tcPr>
          <w:p w14:paraId="3201377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52E392B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污水排放方式</w:t>
            </w:r>
          </w:p>
        </w:tc>
        <w:tc>
          <w:tcPr>
            <w:tcW w:w="6138" w:type="dxa"/>
            <w:gridSpan w:val="7"/>
            <w:noWrap w:val="0"/>
            <w:vAlign w:val="center"/>
          </w:tcPr>
          <w:p w14:paraId="52624F6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连续（</w:t>
            </w:r>
            <w:r>
              <w:rPr>
                <w:rFonts w:ascii="Times New Roman" w:hAnsi="Times New Roman" w:cs="Times New Roman"/>
                <w:color w:val="000000" w:themeColor="text1"/>
                <w:sz w:val="21"/>
                <w:szCs w:val="21"/>
                <w:highlight w:val="none"/>
                <w14:textFill>
                  <w14:solidFill>
                    <w14:schemeClr w14:val="tx1"/>
                  </w14:solidFill>
                </w14:textFill>
              </w:rPr>
              <w:t>√</w:t>
            </w:r>
            <w:r>
              <w:rPr>
                <w:rFonts w:ascii="Times New Roman" w:cs="Times New Roman"/>
                <w:color w:val="000000" w:themeColor="text1"/>
                <w:sz w:val="21"/>
                <w:szCs w:val="21"/>
                <w:highlight w:val="none"/>
                <w14:textFill>
                  <w14:solidFill>
                    <w14:schemeClr w14:val="tx1"/>
                  </w14:solidFill>
                </w14:textFill>
              </w:rPr>
              <w:t>）间歇（）</w:t>
            </w:r>
          </w:p>
        </w:tc>
      </w:tr>
      <w:tr w14:paraId="453AD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8" w:type="dxa"/>
            <w:noWrap w:val="0"/>
            <w:vAlign w:val="center"/>
          </w:tcPr>
          <w:p w14:paraId="1C87C49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排污河道、排污口平面位置示意图</w:t>
            </w:r>
          </w:p>
        </w:tc>
        <w:tc>
          <w:tcPr>
            <w:tcW w:w="8012" w:type="dxa"/>
            <w:gridSpan w:val="9"/>
            <w:noWrap w:val="0"/>
            <w:vAlign w:val="center"/>
          </w:tcPr>
          <w:p w14:paraId="02A944D6">
            <w:pPr>
              <w:spacing w:line="320" w:lineRule="exact"/>
              <w:jc w:val="both"/>
              <w:rPr>
                <w:rFonts w:ascii="Times New Roman" w:hAnsi="Times New Roman" w:cs="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6350</wp:posOffset>
                  </wp:positionV>
                  <wp:extent cx="5299710" cy="3340735"/>
                  <wp:effectExtent l="0" t="0" r="15240" b="12065"/>
                  <wp:wrapSquare wrapText="bothSides"/>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7"/>
                          <a:stretch>
                            <a:fillRect/>
                          </a:stretch>
                        </pic:blipFill>
                        <pic:spPr>
                          <a:xfrm>
                            <a:off x="0" y="0"/>
                            <a:ext cx="5299710" cy="3340735"/>
                          </a:xfrm>
                          <a:prstGeom prst="rect">
                            <a:avLst/>
                          </a:prstGeom>
                          <a:noFill/>
                          <a:ln>
                            <a:noFill/>
                          </a:ln>
                        </pic:spPr>
                      </pic:pic>
                    </a:graphicData>
                  </a:graphic>
                </wp:anchor>
              </w:drawing>
            </w:r>
          </w:p>
        </w:tc>
      </w:tr>
      <w:tr w14:paraId="1E177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878" w:type="dxa"/>
            <w:vMerge w:val="restart"/>
            <w:noWrap w:val="0"/>
            <w:vAlign w:val="center"/>
          </w:tcPr>
          <w:p w14:paraId="07DB7168">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退水及影响</w:t>
            </w:r>
          </w:p>
        </w:tc>
        <w:tc>
          <w:tcPr>
            <w:tcW w:w="1874" w:type="dxa"/>
            <w:gridSpan w:val="2"/>
            <w:noWrap w:val="0"/>
            <w:vAlign w:val="center"/>
          </w:tcPr>
          <w:p w14:paraId="208DB4E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污水是否经过处理</w:t>
            </w:r>
          </w:p>
        </w:tc>
        <w:tc>
          <w:tcPr>
            <w:tcW w:w="6138" w:type="dxa"/>
            <w:gridSpan w:val="7"/>
            <w:noWrap w:val="0"/>
            <w:vAlign w:val="center"/>
          </w:tcPr>
          <w:p w14:paraId="1EC55EF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是</w:t>
            </w:r>
          </w:p>
        </w:tc>
      </w:tr>
      <w:tr w14:paraId="38650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878" w:type="dxa"/>
            <w:vMerge w:val="continue"/>
            <w:noWrap w:val="0"/>
            <w:textDirection w:val="tbRlV"/>
            <w:vAlign w:val="center"/>
          </w:tcPr>
          <w:p w14:paraId="1CE630D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noWrap w:val="0"/>
            <w:vAlign w:val="center"/>
          </w:tcPr>
          <w:p w14:paraId="709A2FFB">
            <w:pPr>
              <w:spacing w:line="320" w:lineRule="exact"/>
              <w:jc w:val="center"/>
              <w:rPr>
                <w:rFonts w:ascii="Times New Roman" w:hAnsi="宋体" w:eastAsia="宋体" w:cs="Times New Roman"/>
                <w:color w:val="000000" w:themeColor="text1"/>
                <w:sz w:val="21"/>
                <w:szCs w:val="21"/>
                <w:highlight w:val="none"/>
                <w14:textFill>
                  <w14:solidFill>
                    <w14:schemeClr w14:val="tx1"/>
                  </w14:solidFill>
                </w14:textFill>
              </w:rPr>
            </w:pPr>
            <w:r>
              <w:rPr>
                <w:rFonts w:ascii="Times New Roman" w:hAnsi="宋体" w:eastAsia="宋体" w:cs="Times New Roman"/>
                <w:color w:val="000000" w:themeColor="text1"/>
                <w:sz w:val="21"/>
                <w:szCs w:val="21"/>
                <w:highlight w:val="none"/>
                <w14:textFill>
                  <w14:solidFill>
                    <w14:schemeClr w14:val="tx1"/>
                  </w14:solidFill>
                </w14:textFill>
              </w:rPr>
              <w:t>污水处理方式及处理工艺</w:t>
            </w:r>
          </w:p>
        </w:tc>
        <w:tc>
          <w:tcPr>
            <w:tcW w:w="6138" w:type="dxa"/>
            <w:gridSpan w:val="7"/>
            <w:noWrap w:val="0"/>
            <w:vAlign w:val="center"/>
          </w:tcPr>
          <w:p w14:paraId="53C9D12F">
            <w:pPr>
              <w:spacing w:line="320" w:lineRule="exact"/>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采用“预处理+活性污泥法（</w:t>
            </w:r>
            <w:r>
              <w:rPr>
                <w:rFonts w:hint="eastAsia" w:cs="Times New Roman"/>
                <w:color w:val="000000" w:themeColor="text1"/>
                <w:sz w:val="21"/>
                <w:szCs w:val="21"/>
                <w:highlight w:val="none"/>
                <w:lang w:val="en-US" w:eastAsia="zh-CN"/>
                <w14:textFill>
                  <w14:solidFill>
                    <w14:schemeClr w14:val="tx1"/>
                  </w14:solidFill>
                </w14:textFill>
              </w:rPr>
              <w:t>一、二期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为改良型氧化沟、</w:t>
            </w:r>
            <w:r>
              <w:rPr>
                <w:rFonts w:hint="eastAsia" w:cs="Times New Roman"/>
                <w:color w:val="000000" w:themeColor="text1"/>
                <w:sz w:val="21"/>
                <w:szCs w:val="21"/>
                <w:highlight w:val="none"/>
                <w:lang w:val="en-US" w:eastAsia="zh-CN"/>
                <w14:textFill>
                  <w14:solidFill>
                    <w14:schemeClr w14:val="tx1"/>
                  </w14:solidFill>
                </w14:textFill>
              </w:rPr>
              <w:t>三期为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O工艺）+二沉池+高效沉淀池+反硝化深床滤池+紫外线消毒”的处理工艺</w:t>
            </w:r>
          </w:p>
        </w:tc>
      </w:tr>
      <w:tr w14:paraId="1B6FC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78" w:type="dxa"/>
            <w:vMerge w:val="continue"/>
            <w:noWrap w:val="0"/>
            <w:textDirection w:val="tbRlV"/>
            <w:vAlign w:val="center"/>
          </w:tcPr>
          <w:p w14:paraId="31D777C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restart"/>
            <w:noWrap w:val="0"/>
            <w:vAlign w:val="center"/>
          </w:tcPr>
          <w:p w14:paraId="6A8A401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污水处理站进水及出水浓度</w:t>
            </w:r>
          </w:p>
        </w:tc>
        <w:tc>
          <w:tcPr>
            <w:tcW w:w="2220" w:type="dxa"/>
            <w:gridSpan w:val="3"/>
            <w:noWrap w:val="0"/>
            <w:vAlign w:val="center"/>
          </w:tcPr>
          <w:p w14:paraId="78D39B9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项目</w:t>
            </w:r>
          </w:p>
        </w:tc>
        <w:tc>
          <w:tcPr>
            <w:tcW w:w="2038" w:type="dxa"/>
            <w:gridSpan w:val="2"/>
            <w:noWrap w:val="0"/>
            <w:vAlign w:val="center"/>
          </w:tcPr>
          <w:p w14:paraId="05424A0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设计进水浓度（</w:t>
            </w:r>
            <w:r>
              <w:rPr>
                <w:rFonts w:ascii="Times New Roman" w:hAnsi="Times New Roman" w:cs="Times New Roman"/>
                <w:color w:val="000000" w:themeColor="text1"/>
                <w:sz w:val="21"/>
                <w:szCs w:val="21"/>
                <w:highlight w:val="none"/>
                <w14:textFill>
                  <w14:solidFill>
                    <w14:schemeClr w14:val="tx1"/>
                  </w14:solidFill>
                </w14:textFill>
              </w:rPr>
              <w:t>mg/L</w:t>
            </w:r>
            <w:r>
              <w:rPr>
                <w:rFonts w:ascii="Times New Roman" w:cs="Times New Roman"/>
                <w:color w:val="000000" w:themeColor="text1"/>
                <w:sz w:val="21"/>
                <w:szCs w:val="21"/>
                <w:highlight w:val="none"/>
                <w14:textFill>
                  <w14:solidFill>
                    <w14:schemeClr w14:val="tx1"/>
                  </w14:solidFill>
                </w14:textFill>
              </w:rPr>
              <w:t>）</w:t>
            </w:r>
          </w:p>
        </w:tc>
        <w:tc>
          <w:tcPr>
            <w:tcW w:w="1880" w:type="dxa"/>
            <w:gridSpan w:val="2"/>
            <w:noWrap w:val="0"/>
            <w:vAlign w:val="center"/>
          </w:tcPr>
          <w:p w14:paraId="65838F9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设计出水浓度（</w:t>
            </w:r>
            <w:r>
              <w:rPr>
                <w:rFonts w:ascii="Times New Roman" w:hAnsi="Times New Roman" w:cs="Times New Roman"/>
                <w:color w:val="000000" w:themeColor="text1"/>
                <w:sz w:val="21"/>
                <w:szCs w:val="21"/>
                <w:highlight w:val="none"/>
                <w14:textFill>
                  <w14:solidFill>
                    <w14:schemeClr w14:val="tx1"/>
                  </w14:solidFill>
                </w14:textFill>
              </w:rPr>
              <w:t>mg/L</w:t>
            </w:r>
            <w:r>
              <w:rPr>
                <w:rFonts w:ascii="Times New Roman" w:cs="Times New Roman"/>
                <w:color w:val="000000" w:themeColor="text1"/>
                <w:sz w:val="21"/>
                <w:szCs w:val="21"/>
                <w:highlight w:val="none"/>
                <w14:textFill>
                  <w14:solidFill>
                    <w14:schemeClr w14:val="tx1"/>
                  </w14:solidFill>
                </w14:textFill>
              </w:rPr>
              <w:t>）</w:t>
            </w:r>
          </w:p>
        </w:tc>
      </w:tr>
      <w:tr w14:paraId="5F9C4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41A4E65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5DE9037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66421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CODcr</w:t>
            </w:r>
          </w:p>
        </w:tc>
        <w:tc>
          <w:tcPr>
            <w:tcW w:w="2038" w:type="dxa"/>
            <w:gridSpan w:val="2"/>
            <w:noWrap w:val="0"/>
            <w:vAlign w:val="center"/>
          </w:tcPr>
          <w:p w14:paraId="73229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position w:val="-10"/>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260</w:t>
            </w:r>
          </w:p>
        </w:tc>
        <w:tc>
          <w:tcPr>
            <w:tcW w:w="1880" w:type="dxa"/>
            <w:gridSpan w:val="2"/>
            <w:noWrap w:val="0"/>
            <w:vAlign w:val="center"/>
          </w:tcPr>
          <w:p w14:paraId="28902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position w:val="-10"/>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≤30</w:t>
            </w:r>
          </w:p>
        </w:tc>
      </w:tr>
      <w:tr w14:paraId="06AC3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5C621864">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6B7641E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700E3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TN</w:t>
            </w:r>
          </w:p>
        </w:tc>
        <w:tc>
          <w:tcPr>
            <w:tcW w:w="2038" w:type="dxa"/>
            <w:gridSpan w:val="2"/>
            <w:noWrap w:val="0"/>
            <w:vAlign w:val="center"/>
          </w:tcPr>
          <w:p w14:paraId="7321C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position w:val="-10"/>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35</w:t>
            </w:r>
          </w:p>
        </w:tc>
        <w:tc>
          <w:tcPr>
            <w:tcW w:w="1880" w:type="dxa"/>
            <w:gridSpan w:val="2"/>
            <w:noWrap w:val="0"/>
            <w:vAlign w:val="center"/>
          </w:tcPr>
          <w:p w14:paraId="153F5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position w:val="-10"/>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r>
      <w:tr w14:paraId="3907A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48FB490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5696184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6D65E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w:t>
            </w:r>
          </w:p>
        </w:tc>
        <w:tc>
          <w:tcPr>
            <w:tcW w:w="2038" w:type="dxa"/>
            <w:gridSpan w:val="2"/>
            <w:noWrap w:val="0"/>
            <w:vAlign w:val="center"/>
          </w:tcPr>
          <w:p w14:paraId="3563A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25</w:t>
            </w:r>
          </w:p>
        </w:tc>
        <w:tc>
          <w:tcPr>
            <w:tcW w:w="1880" w:type="dxa"/>
            <w:gridSpan w:val="2"/>
            <w:noWrap w:val="0"/>
            <w:vAlign w:val="center"/>
          </w:tcPr>
          <w:p w14:paraId="50557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≤1.5（3）</w:t>
            </w:r>
          </w:p>
        </w:tc>
      </w:tr>
      <w:tr w14:paraId="1B7D2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627EC9B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38769C4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0BE24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TP</w:t>
            </w:r>
          </w:p>
        </w:tc>
        <w:tc>
          <w:tcPr>
            <w:tcW w:w="2038" w:type="dxa"/>
            <w:gridSpan w:val="2"/>
            <w:noWrap w:val="0"/>
            <w:vAlign w:val="center"/>
          </w:tcPr>
          <w:p w14:paraId="05648E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w:t>
            </w:r>
          </w:p>
        </w:tc>
        <w:tc>
          <w:tcPr>
            <w:tcW w:w="1880" w:type="dxa"/>
            <w:gridSpan w:val="2"/>
            <w:noWrap w:val="0"/>
            <w:vAlign w:val="center"/>
          </w:tcPr>
          <w:p w14:paraId="62B49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≤0.3</w:t>
            </w:r>
          </w:p>
        </w:tc>
      </w:tr>
      <w:tr w14:paraId="31F33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25380C2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41666A4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427BD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5</w:t>
            </w:r>
          </w:p>
        </w:tc>
        <w:tc>
          <w:tcPr>
            <w:tcW w:w="2038" w:type="dxa"/>
            <w:gridSpan w:val="2"/>
            <w:noWrap w:val="0"/>
            <w:vAlign w:val="center"/>
          </w:tcPr>
          <w:p w14:paraId="0990E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130</w:t>
            </w:r>
          </w:p>
        </w:tc>
        <w:tc>
          <w:tcPr>
            <w:tcW w:w="1880" w:type="dxa"/>
            <w:gridSpan w:val="2"/>
            <w:noWrap w:val="0"/>
            <w:vAlign w:val="center"/>
          </w:tcPr>
          <w:p w14:paraId="4539F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r>
      <w:tr w14:paraId="53E84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7B13B9D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1874" w:type="dxa"/>
            <w:gridSpan w:val="2"/>
            <w:vMerge w:val="continue"/>
            <w:noWrap w:val="0"/>
            <w:vAlign w:val="center"/>
          </w:tcPr>
          <w:p w14:paraId="21E146B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220" w:type="dxa"/>
            <w:gridSpan w:val="3"/>
            <w:noWrap w:val="0"/>
            <w:vAlign w:val="center"/>
          </w:tcPr>
          <w:p w14:paraId="0C222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SS</w:t>
            </w:r>
          </w:p>
        </w:tc>
        <w:tc>
          <w:tcPr>
            <w:tcW w:w="2038" w:type="dxa"/>
            <w:gridSpan w:val="2"/>
            <w:noWrap w:val="0"/>
            <w:vAlign w:val="center"/>
          </w:tcPr>
          <w:p w14:paraId="5348A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180</w:t>
            </w:r>
          </w:p>
        </w:tc>
        <w:tc>
          <w:tcPr>
            <w:tcW w:w="1880" w:type="dxa"/>
            <w:gridSpan w:val="2"/>
            <w:noWrap w:val="0"/>
            <w:vAlign w:val="center"/>
          </w:tcPr>
          <w:p w14:paraId="67FAB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p>
        </w:tc>
      </w:tr>
      <w:tr w14:paraId="13920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78" w:type="dxa"/>
            <w:vMerge w:val="continue"/>
            <w:noWrap w:val="0"/>
            <w:vAlign w:val="center"/>
          </w:tcPr>
          <w:p w14:paraId="1F530DDC">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56A81EC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水文、水质数据三性检查</w:t>
            </w:r>
          </w:p>
        </w:tc>
        <w:tc>
          <w:tcPr>
            <w:tcW w:w="3918" w:type="dxa"/>
            <w:gridSpan w:val="4"/>
            <w:noWrap w:val="0"/>
            <w:vAlign w:val="center"/>
          </w:tcPr>
          <w:p w14:paraId="0189270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0B80D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878" w:type="dxa"/>
            <w:vMerge w:val="continue"/>
            <w:noWrap w:val="0"/>
            <w:vAlign w:val="center"/>
          </w:tcPr>
          <w:p w14:paraId="2C456B2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72FEEE0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水污染物输移时间及混合区实验情况</w:t>
            </w:r>
          </w:p>
        </w:tc>
        <w:tc>
          <w:tcPr>
            <w:tcW w:w="3918" w:type="dxa"/>
            <w:gridSpan w:val="4"/>
            <w:noWrap w:val="0"/>
            <w:vAlign w:val="center"/>
          </w:tcPr>
          <w:p w14:paraId="512E19A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2EC26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878" w:type="dxa"/>
            <w:vMerge w:val="continue"/>
            <w:noWrap w:val="0"/>
            <w:vAlign w:val="center"/>
          </w:tcPr>
          <w:p w14:paraId="1A4F6EF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0F96D68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水生态调查及污水急性毒性试验情况</w:t>
            </w:r>
          </w:p>
        </w:tc>
        <w:tc>
          <w:tcPr>
            <w:tcW w:w="3918" w:type="dxa"/>
            <w:gridSpan w:val="4"/>
            <w:noWrap w:val="0"/>
            <w:vAlign w:val="center"/>
          </w:tcPr>
          <w:p w14:paraId="2DDA880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w:t>
            </w:r>
          </w:p>
        </w:tc>
      </w:tr>
      <w:tr w14:paraId="2A94F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878" w:type="dxa"/>
            <w:vMerge w:val="continue"/>
            <w:noWrap w:val="0"/>
            <w:vAlign w:val="center"/>
          </w:tcPr>
          <w:p w14:paraId="4585FB0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52D81E6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设计水文条件选取及计算方法，拟入河污水、纳污水体水污染物浓度可能最大值计算方法，水质模型选取</w:t>
            </w:r>
          </w:p>
        </w:tc>
        <w:tc>
          <w:tcPr>
            <w:tcW w:w="3918" w:type="dxa"/>
            <w:gridSpan w:val="4"/>
            <w:noWrap w:val="0"/>
            <w:vAlign w:val="center"/>
          </w:tcPr>
          <w:p w14:paraId="69E7AA53">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kern w:val="2"/>
                <w:sz w:val="21"/>
                <w:szCs w:val="21"/>
                <w:highlight w:val="none"/>
                <w14:textFill>
                  <w14:solidFill>
                    <w14:schemeClr w14:val="tx1"/>
                  </w14:solidFill>
                </w14:textFill>
              </w:rPr>
              <w:t>纵向一维数学模型</w:t>
            </w:r>
          </w:p>
        </w:tc>
      </w:tr>
      <w:tr w14:paraId="1F31D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9" w:hRule="atLeast"/>
          <w:jc w:val="center"/>
        </w:trPr>
        <w:tc>
          <w:tcPr>
            <w:tcW w:w="878" w:type="dxa"/>
            <w:vMerge w:val="continue"/>
            <w:noWrap w:val="0"/>
            <w:vAlign w:val="center"/>
          </w:tcPr>
          <w:p w14:paraId="6F6F7A0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2B28A625">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排入水功能区及水质目标</w:t>
            </w:r>
          </w:p>
        </w:tc>
        <w:tc>
          <w:tcPr>
            <w:tcW w:w="3918" w:type="dxa"/>
            <w:gridSpan w:val="4"/>
            <w:noWrap w:val="0"/>
            <w:vAlign w:val="center"/>
          </w:tcPr>
          <w:p w14:paraId="47FBABBF">
            <w:p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龙荫港暂未划定水功能区</w:t>
            </w:r>
            <w:r>
              <w:rPr>
                <w:rFonts w:asci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主要为农业用水区，水质目标参照执行</w:t>
            </w:r>
            <w:r>
              <w:rPr>
                <w:rFonts w:cs="Times New Roman"/>
                <w:color w:val="000000" w:themeColor="text1"/>
                <w:sz w:val="21"/>
                <w:szCs w:val="21"/>
                <w:highlight w:val="none"/>
                <w14:textFill>
                  <w14:solidFill>
                    <w14:schemeClr w14:val="tx1"/>
                  </w14:solidFill>
                </w14:textFill>
              </w:rPr>
              <w:t>Ⅲ</w:t>
            </w:r>
            <w:r>
              <w:rPr>
                <w:rFonts w:ascii="Times New Roman" w:cs="Times New Roman"/>
                <w:color w:val="000000" w:themeColor="text1"/>
                <w:sz w:val="21"/>
                <w:szCs w:val="21"/>
                <w:highlight w:val="none"/>
                <w14:textFill>
                  <w14:solidFill>
                    <w14:schemeClr w14:val="tx1"/>
                  </w14:solidFill>
                </w14:textFill>
              </w:rPr>
              <w:t>类</w:t>
            </w:r>
            <w:r>
              <w:rPr>
                <w:rFonts w:hint="eastAsia" w:cs="Times New Roman"/>
                <w:color w:val="000000" w:themeColor="text1"/>
                <w:sz w:val="21"/>
                <w:szCs w:val="21"/>
                <w:highlight w:val="none"/>
                <w:lang w:val="en-US" w:eastAsia="zh-CN"/>
                <w14:textFill>
                  <w14:solidFill>
                    <w14:schemeClr w14:val="tx1"/>
                  </w14:solidFill>
                </w14:textFill>
              </w:rPr>
              <w:t>标准</w:t>
            </w:r>
          </w:p>
        </w:tc>
      </w:tr>
      <w:tr w14:paraId="04354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78" w:type="dxa"/>
            <w:vMerge w:val="continue"/>
            <w:noWrap w:val="0"/>
            <w:vAlign w:val="center"/>
          </w:tcPr>
          <w:p w14:paraId="1E5BA28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67387A8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对水功能区水质影响</w:t>
            </w:r>
          </w:p>
        </w:tc>
        <w:tc>
          <w:tcPr>
            <w:tcW w:w="3918" w:type="dxa"/>
            <w:gridSpan w:val="4"/>
            <w:noWrap w:val="0"/>
            <w:vAlign w:val="center"/>
          </w:tcPr>
          <w:p w14:paraId="645075B1">
            <w:p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正常情况运行不影响水质，事故排放造成</w:t>
            </w:r>
            <w:r>
              <w:rPr>
                <w:rFonts w:hint="eastAsia" w:cs="Times New Roman"/>
                <w:color w:val="000000" w:themeColor="text1"/>
                <w:sz w:val="21"/>
                <w:szCs w:val="21"/>
                <w:highlight w:val="none"/>
                <w:lang w:val="en-US" w:eastAsia="zh-CN"/>
                <w14:textFill>
                  <w14:solidFill>
                    <w14:schemeClr w14:val="tx1"/>
                  </w14:solidFill>
                </w14:textFill>
              </w:rPr>
              <w:t>龙荫港超标影响</w:t>
            </w:r>
          </w:p>
        </w:tc>
      </w:tr>
      <w:tr w14:paraId="2DC53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878" w:type="dxa"/>
            <w:vMerge w:val="continue"/>
            <w:noWrap w:val="0"/>
            <w:vAlign w:val="center"/>
          </w:tcPr>
          <w:p w14:paraId="6F9EBE8A">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14BDB25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是否满足水功能区要求</w:t>
            </w:r>
          </w:p>
        </w:tc>
        <w:tc>
          <w:tcPr>
            <w:tcW w:w="3918" w:type="dxa"/>
            <w:gridSpan w:val="4"/>
            <w:noWrap w:val="0"/>
            <w:vAlign w:val="center"/>
          </w:tcPr>
          <w:p w14:paraId="741F9A0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是</w:t>
            </w:r>
          </w:p>
        </w:tc>
      </w:tr>
      <w:tr w14:paraId="6B778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878" w:type="dxa"/>
            <w:vMerge w:val="continue"/>
            <w:noWrap w:val="0"/>
            <w:vAlign w:val="center"/>
          </w:tcPr>
          <w:p w14:paraId="6007857F">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6E7B7C2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对下游取水及生态敏感点的影响</w:t>
            </w:r>
          </w:p>
        </w:tc>
        <w:tc>
          <w:tcPr>
            <w:tcW w:w="3918" w:type="dxa"/>
            <w:gridSpan w:val="4"/>
            <w:noWrap w:val="0"/>
            <w:vAlign w:val="center"/>
          </w:tcPr>
          <w:p w14:paraId="531D963F">
            <w:pPr>
              <w:spacing w:line="320" w:lineRule="exact"/>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无影响</w:t>
            </w:r>
          </w:p>
        </w:tc>
      </w:tr>
      <w:tr w14:paraId="4AD05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878" w:type="dxa"/>
            <w:vMerge w:val="continue"/>
            <w:noWrap w:val="0"/>
            <w:vAlign w:val="center"/>
          </w:tcPr>
          <w:p w14:paraId="7D3E847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129B031D">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对重要第三方的影响</w:t>
            </w:r>
          </w:p>
        </w:tc>
        <w:tc>
          <w:tcPr>
            <w:tcW w:w="3918" w:type="dxa"/>
            <w:gridSpan w:val="4"/>
            <w:noWrap w:val="0"/>
            <w:vAlign w:val="center"/>
          </w:tcPr>
          <w:p w14:paraId="055F4D74">
            <w:pPr>
              <w:spacing w:line="320" w:lineRule="exact"/>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无影响</w:t>
            </w:r>
          </w:p>
        </w:tc>
      </w:tr>
      <w:tr w14:paraId="75AF8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restart"/>
            <w:noWrap w:val="0"/>
            <w:textDirection w:val="tbRlV"/>
            <w:vAlign w:val="center"/>
          </w:tcPr>
          <w:p w14:paraId="59880873">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水资源保护措施</w:t>
            </w:r>
          </w:p>
        </w:tc>
        <w:tc>
          <w:tcPr>
            <w:tcW w:w="4094" w:type="dxa"/>
            <w:gridSpan w:val="5"/>
            <w:noWrap w:val="0"/>
            <w:vAlign w:val="center"/>
          </w:tcPr>
          <w:p w14:paraId="3DEEF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管理措施</w:t>
            </w:r>
          </w:p>
        </w:tc>
        <w:tc>
          <w:tcPr>
            <w:tcW w:w="3918" w:type="dxa"/>
            <w:gridSpan w:val="4"/>
            <w:noWrap w:val="0"/>
            <w:vAlign w:val="center"/>
          </w:tcPr>
          <w:p w14:paraId="34F8B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宣传、组织贯彻国家有关环境保护的方针、政策法令和条例，搞好项目环境保护工作；</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2、制定企业</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各种环境</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运行</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管理制度</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，加强运行管理检查</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3、监督本项目环保设施和设备的安装、调试、运行，保证“三同时”验收合格；4、领导并组织项目运营期（包括非正常运营期）的环境监测工作，建立档案；5、开展环保教育、技术培训和学术交流活动，提高员工素质，推广利用先进技术和经验；</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6、根据要求，对入河排污口进行规范化分类、命名、编码和标志牌设置</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w:t>
            </w:r>
          </w:p>
        </w:tc>
      </w:tr>
      <w:tr w14:paraId="34086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697C840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7EAE249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技术措施</w:t>
            </w:r>
          </w:p>
        </w:tc>
        <w:tc>
          <w:tcPr>
            <w:tcW w:w="3918" w:type="dxa"/>
            <w:gridSpan w:val="4"/>
            <w:noWrap w:val="0"/>
            <w:vAlign w:val="center"/>
          </w:tcPr>
          <w:p w14:paraId="06E76446">
            <w:pPr>
              <w:spacing w:line="320" w:lineRule="exact"/>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采用“预处理+活性污泥法（</w:t>
            </w:r>
            <w:r>
              <w:rPr>
                <w:rFonts w:hint="eastAsia" w:cs="Times New Roman"/>
                <w:color w:val="000000" w:themeColor="text1"/>
                <w:sz w:val="21"/>
                <w:szCs w:val="21"/>
                <w:highlight w:val="none"/>
                <w:lang w:val="en-US" w:eastAsia="zh-CN"/>
                <w14:textFill>
                  <w14:solidFill>
                    <w14:schemeClr w14:val="tx1"/>
                  </w14:solidFill>
                </w14:textFill>
              </w:rPr>
              <w:t>一、二期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为改良型氧化沟、</w:t>
            </w:r>
            <w:r>
              <w:rPr>
                <w:rFonts w:hint="eastAsia" w:cs="Times New Roman"/>
                <w:color w:val="000000" w:themeColor="text1"/>
                <w:sz w:val="21"/>
                <w:szCs w:val="21"/>
                <w:highlight w:val="none"/>
                <w:lang w:val="en-US" w:eastAsia="zh-CN"/>
                <w14:textFill>
                  <w14:solidFill>
                    <w14:schemeClr w14:val="tx1"/>
                  </w14:solidFill>
                </w14:textFill>
              </w:rPr>
              <w:t>三期为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O工艺）+二沉池+高效沉淀池+反硝化深床滤池+紫外线消毒”的处理工艺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，确保尾水</w:t>
            </w:r>
            <w:r>
              <w:rPr>
                <w:rFonts w:hint="eastAsia" w:cs="Times New Roman"/>
                <w:color w:val="000000" w:themeColor="text1"/>
                <w:sz w:val="21"/>
                <w:szCs w:val="21"/>
                <w:highlight w:val="none"/>
                <w:lang w:val="en-US" w:eastAsia="zh-CN"/>
                <w14:textFill>
                  <w14:solidFill>
                    <w14:schemeClr w14:val="tx1"/>
                  </w14:solidFill>
                </w14:textFill>
              </w:rPr>
              <w:t>达标排放。</w:t>
            </w:r>
          </w:p>
        </w:tc>
      </w:tr>
      <w:tr w14:paraId="26CD2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878" w:type="dxa"/>
            <w:vMerge w:val="continue"/>
            <w:noWrap w:val="0"/>
            <w:textDirection w:val="tbRlV"/>
            <w:vAlign w:val="center"/>
          </w:tcPr>
          <w:p w14:paraId="7F608E5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7AB6685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污染物总量控制意见</w:t>
            </w:r>
          </w:p>
        </w:tc>
        <w:tc>
          <w:tcPr>
            <w:tcW w:w="3918" w:type="dxa"/>
            <w:gridSpan w:val="4"/>
            <w:noWrap w:val="0"/>
            <w:vAlign w:val="center"/>
          </w:tcPr>
          <w:p w14:paraId="39A7BA06">
            <w:pPr>
              <w:spacing w:line="320" w:lineRule="exact"/>
              <w:jc w:val="center"/>
              <w:rPr>
                <w:rFonts w:ascii="Times New Roman" w:hAnsi="宋体"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COD：</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328.5</w:t>
            </w:r>
            <w:r>
              <w:rPr>
                <w:rFonts w:hint="eastAsia" w:ascii="Times New Roman" w:cs="Times New Roman"/>
                <w:color w:val="000000" w:themeColor="text1"/>
                <w:sz w:val="21"/>
                <w:szCs w:val="21"/>
                <w:highlight w:val="none"/>
                <w:lang w:eastAsia="zh-CN"/>
                <w14:textFill>
                  <w14:solidFill>
                    <w14:schemeClr w14:val="tx1"/>
                  </w14:solidFill>
                </w14:textFill>
              </w:rPr>
              <w:t>t/a、</w:t>
            </w:r>
            <w:r>
              <w:rPr>
                <w:rFonts w:hint="eastAsia" w:cs="Times New Roman"/>
                <w:color w:val="000000" w:themeColor="text1"/>
                <w:sz w:val="21"/>
                <w:szCs w:val="21"/>
                <w:highlight w:val="none"/>
                <w:lang w:val="en-US" w:eastAsia="zh-CN"/>
                <w14:textFill>
                  <w14:solidFill>
                    <w14:schemeClr w14:val="tx1"/>
                  </w14:solidFill>
                </w14:textFill>
              </w:rPr>
              <w:t>NH</w:t>
            </w:r>
            <w:r>
              <w:rPr>
                <w:rFonts w:hint="eastAsia" w:cs="Times New Roman"/>
                <w:color w:val="000000" w:themeColor="text1"/>
                <w:sz w:val="21"/>
                <w:szCs w:val="21"/>
                <w:highlight w:val="none"/>
                <w:vertAlign w:val="sub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-N：</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16.425</w:t>
            </w:r>
            <w:r>
              <w:rPr>
                <w:rFonts w:hint="eastAsia" w:ascii="Times New Roman" w:cs="Times New Roman"/>
                <w:color w:val="000000" w:themeColor="text1"/>
                <w:sz w:val="21"/>
                <w:szCs w:val="21"/>
                <w:highlight w:val="none"/>
                <w:lang w:eastAsia="zh-CN"/>
                <w14:textFill>
                  <w14:solidFill>
                    <w14:schemeClr w14:val="tx1"/>
                  </w14:solidFill>
                </w14:textFill>
              </w:rPr>
              <w:t>t/a</w:t>
            </w:r>
          </w:p>
        </w:tc>
      </w:tr>
      <w:tr w14:paraId="22A01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62B9EC6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restart"/>
            <w:noWrap w:val="0"/>
            <w:vAlign w:val="center"/>
          </w:tcPr>
          <w:p w14:paraId="6710AB3A">
            <w:pPr>
              <w:spacing w:line="320" w:lineRule="exact"/>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尾水排放标准限值</w:t>
            </w:r>
          </w:p>
        </w:tc>
        <w:tc>
          <w:tcPr>
            <w:tcW w:w="2038" w:type="dxa"/>
            <w:gridSpan w:val="2"/>
            <w:noWrap w:val="0"/>
            <w:vAlign w:val="center"/>
          </w:tcPr>
          <w:p w14:paraId="3765AADC">
            <w:pPr>
              <w:pStyle w:val="68"/>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lang w:eastAsia="zh-CN"/>
                <w14:textFill>
                  <w14:solidFill>
                    <w14:schemeClr w14:val="tx1"/>
                  </w14:solidFill>
                </w14:textFill>
              </w:rPr>
              <w:t>COD</w:t>
            </w:r>
            <w:r>
              <w:rPr>
                <w:rFonts w:hint="eastAsia" w:ascii="Times New Roman" w:hAnsi="Times New Roman" w:cs="Times New Roman"/>
                <w:color w:val="000000" w:themeColor="text1"/>
                <w:sz w:val="21"/>
                <w:szCs w:val="21"/>
                <w:highlight w:val="none"/>
                <w:u w:val="none"/>
                <w:vertAlign w:val="subscript"/>
                <w:lang w:eastAsia="zh-CN"/>
                <w14:textFill>
                  <w14:solidFill>
                    <w14:schemeClr w14:val="tx1"/>
                  </w14:solidFill>
                </w14:textFill>
              </w:rPr>
              <w:t>Cr</w:t>
            </w:r>
          </w:p>
        </w:tc>
        <w:tc>
          <w:tcPr>
            <w:tcW w:w="1880" w:type="dxa"/>
            <w:gridSpan w:val="2"/>
            <w:noWrap w:val="0"/>
            <w:vAlign w:val="center"/>
          </w:tcPr>
          <w:p w14:paraId="73399D2E">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mg/L</w:t>
            </w:r>
          </w:p>
        </w:tc>
      </w:tr>
      <w:tr w14:paraId="0DC6A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626E3D59">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continue"/>
            <w:noWrap w:val="0"/>
            <w:vAlign w:val="center"/>
          </w:tcPr>
          <w:p w14:paraId="1B41B3A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038" w:type="dxa"/>
            <w:gridSpan w:val="2"/>
            <w:noWrap w:val="0"/>
            <w:vAlign w:val="center"/>
          </w:tcPr>
          <w:p w14:paraId="4722B516">
            <w:pPr>
              <w:pStyle w:val="68"/>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cs="Times New Roman"/>
                <w:color w:val="000000" w:themeColor="text1"/>
                <w:sz w:val="21"/>
                <w:szCs w:val="21"/>
                <w:highlight w:val="none"/>
                <w:u w:val="none"/>
                <w:vertAlign w:val="subscript"/>
                <w:lang w:val="en-US" w:eastAsia="zh-CN"/>
                <w14:textFill>
                  <w14:solidFill>
                    <w14:schemeClr w14:val="tx1"/>
                  </w14:solidFill>
                </w14:textFill>
              </w:rPr>
              <w:t>5</w:t>
            </w:r>
          </w:p>
        </w:tc>
        <w:tc>
          <w:tcPr>
            <w:tcW w:w="1880" w:type="dxa"/>
            <w:gridSpan w:val="2"/>
            <w:noWrap w:val="0"/>
            <w:vAlign w:val="center"/>
          </w:tcPr>
          <w:p w14:paraId="2407B56A">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mg/L</w:t>
            </w:r>
          </w:p>
        </w:tc>
      </w:tr>
      <w:tr w14:paraId="052B6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79035B20">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continue"/>
            <w:noWrap w:val="0"/>
            <w:vAlign w:val="center"/>
          </w:tcPr>
          <w:p w14:paraId="5C39B62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038" w:type="dxa"/>
            <w:gridSpan w:val="2"/>
            <w:noWrap w:val="0"/>
            <w:vAlign w:val="center"/>
          </w:tcPr>
          <w:p w14:paraId="4C393736">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NH</w:t>
            </w:r>
            <w:r>
              <w:rPr>
                <w:rFonts w:hint="default" w:ascii="Times New Roman" w:hAnsi="Times New Roman" w:cs="Times New Roman"/>
                <w:color w:val="000000" w:themeColor="text1"/>
                <w:sz w:val="21"/>
                <w:szCs w:val="21"/>
                <w:highlight w:val="none"/>
                <w:u w:val="none"/>
                <w:vertAlign w:val="subscript"/>
                <w14:textFill>
                  <w14:solidFill>
                    <w14:schemeClr w14:val="tx1"/>
                  </w14:solidFill>
                </w14:textFill>
              </w:rPr>
              <w:t>3</w:t>
            </w:r>
            <w:r>
              <w:rPr>
                <w:rFonts w:hint="default" w:ascii="Times New Roman" w:hAnsi="Times New Roman" w:cs="Times New Roman"/>
                <w:color w:val="000000" w:themeColor="text1"/>
                <w:sz w:val="21"/>
                <w:szCs w:val="21"/>
                <w:highlight w:val="none"/>
                <w:u w:val="none"/>
                <w14:textFill>
                  <w14:solidFill>
                    <w14:schemeClr w14:val="tx1"/>
                  </w14:solidFill>
                </w14:textFill>
              </w:rPr>
              <w:t>-N</w:t>
            </w:r>
          </w:p>
        </w:tc>
        <w:tc>
          <w:tcPr>
            <w:tcW w:w="1880" w:type="dxa"/>
            <w:gridSpan w:val="2"/>
            <w:noWrap w:val="0"/>
            <w:vAlign w:val="center"/>
          </w:tcPr>
          <w:p w14:paraId="70BDD6EB">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≤1.5（3）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g/L</w:t>
            </w:r>
          </w:p>
        </w:tc>
      </w:tr>
      <w:tr w14:paraId="757F7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2D6E0EB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continue"/>
            <w:noWrap w:val="0"/>
            <w:vAlign w:val="center"/>
          </w:tcPr>
          <w:p w14:paraId="08D3524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038" w:type="dxa"/>
            <w:gridSpan w:val="2"/>
            <w:noWrap w:val="0"/>
            <w:vAlign w:val="center"/>
          </w:tcPr>
          <w:p w14:paraId="796513F8">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u w:val="none"/>
                <w14:textFill>
                  <w14:solidFill>
                    <w14:schemeClr w14:val="tx1"/>
                  </w14:solidFill>
                </w14:textFill>
              </w:rPr>
              <w:t>SS</w:t>
            </w:r>
          </w:p>
        </w:tc>
        <w:tc>
          <w:tcPr>
            <w:tcW w:w="1880" w:type="dxa"/>
            <w:gridSpan w:val="2"/>
            <w:noWrap w:val="0"/>
            <w:vAlign w:val="top"/>
          </w:tcPr>
          <w:p w14:paraId="4A2C691A">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mg/L</w:t>
            </w:r>
          </w:p>
        </w:tc>
      </w:tr>
      <w:tr w14:paraId="45F49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1BF02A06">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continue"/>
            <w:noWrap w:val="0"/>
            <w:vAlign w:val="center"/>
          </w:tcPr>
          <w:p w14:paraId="0E506117">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038" w:type="dxa"/>
            <w:gridSpan w:val="2"/>
            <w:noWrap w:val="0"/>
            <w:vAlign w:val="center"/>
          </w:tcPr>
          <w:p w14:paraId="4B5E7F5D">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u w:val="none"/>
                <w:lang w:val="en-US" w:eastAsia="zh-CN"/>
                <w14:textFill>
                  <w14:solidFill>
                    <w14:schemeClr w14:val="tx1"/>
                  </w14:solidFill>
                </w14:textFill>
              </w:rPr>
              <w:t>TP</w:t>
            </w:r>
          </w:p>
        </w:tc>
        <w:tc>
          <w:tcPr>
            <w:tcW w:w="1880" w:type="dxa"/>
            <w:gridSpan w:val="2"/>
            <w:noWrap w:val="0"/>
            <w:vAlign w:val="top"/>
          </w:tcPr>
          <w:p w14:paraId="63A6B67D">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mg/L</w:t>
            </w:r>
          </w:p>
        </w:tc>
      </w:tr>
      <w:tr w14:paraId="5A075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dxa"/>
            <w:vMerge w:val="continue"/>
            <w:noWrap w:val="0"/>
            <w:textDirection w:val="tbRlV"/>
            <w:vAlign w:val="center"/>
          </w:tcPr>
          <w:p w14:paraId="5BA1005E">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vMerge w:val="continue"/>
            <w:noWrap w:val="0"/>
            <w:vAlign w:val="center"/>
          </w:tcPr>
          <w:p w14:paraId="179997EB">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2038" w:type="dxa"/>
            <w:gridSpan w:val="2"/>
            <w:noWrap w:val="0"/>
            <w:vAlign w:val="center"/>
          </w:tcPr>
          <w:p w14:paraId="2B286DF5">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eastAsia" w:cs="Times New Roman"/>
                <w:color w:val="000000" w:themeColor="text1"/>
                <w:sz w:val="21"/>
                <w:szCs w:val="21"/>
                <w:highlight w:val="none"/>
                <w:u w:val="none"/>
                <w:lang w:val="en-US" w:eastAsia="zh-CN"/>
                <w14:textFill>
                  <w14:solidFill>
                    <w14:schemeClr w14:val="tx1"/>
                  </w14:solidFill>
                </w14:textFill>
              </w:rPr>
              <w:t>TN</w:t>
            </w:r>
          </w:p>
        </w:tc>
        <w:tc>
          <w:tcPr>
            <w:tcW w:w="1880" w:type="dxa"/>
            <w:gridSpan w:val="2"/>
            <w:noWrap w:val="0"/>
            <w:vAlign w:val="top"/>
          </w:tcPr>
          <w:p w14:paraId="045AABEE">
            <w:pPr>
              <w:pStyle w:val="80"/>
              <w:keepNext w:val="0"/>
              <w:keepLines w:val="0"/>
              <w:pageBreakBefore w:val="0"/>
              <w:tabs>
                <w:tab w:val="clear" w:pos="-2848"/>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mg/L</w:t>
            </w:r>
          </w:p>
        </w:tc>
      </w:tr>
      <w:tr w14:paraId="2DAEB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75" w:hRule="atLeast"/>
          <w:jc w:val="center"/>
        </w:trPr>
        <w:tc>
          <w:tcPr>
            <w:tcW w:w="878" w:type="dxa"/>
            <w:vMerge w:val="continue"/>
            <w:noWrap w:val="0"/>
            <w:textDirection w:val="tbRlV"/>
            <w:vAlign w:val="center"/>
          </w:tcPr>
          <w:p w14:paraId="094F6FA8">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046E02F2">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污水排放监控要求</w:t>
            </w:r>
          </w:p>
        </w:tc>
        <w:tc>
          <w:tcPr>
            <w:tcW w:w="3918" w:type="dxa"/>
            <w:gridSpan w:val="4"/>
            <w:noWrap w:val="0"/>
            <w:vAlign w:val="center"/>
          </w:tcPr>
          <w:p w14:paraId="05A54E63">
            <w:pPr>
              <w:spacing w:line="320" w:lineRule="exact"/>
              <w:jc w:val="both"/>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根据《排污单位自行监测技术指南 水处理》（HJ 1083—2020）</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及《入河入海排污口监督管理技术指南 监测（征求意见稿）》相关要求</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，对入河排污口进行</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系统的水质监测</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，包括</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自动</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监测和</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人工监测</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w:t>
            </w:r>
            <w:r>
              <w:rPr>
                <w:rFonts w:hint="eastAsia" w:cs="Times New Roman"/>
                <w:b w:val="0"/>
                <w:bCs w:val="0"/>
                <w:color w:val="000000" w:themeColor="text1"/>
                <w:kern w:val="0"/>
                <w:sz w:val="21"/>
                <w:szCs w:val="21"/>
                <w:highlight w:val="none"/>
                <w:u w:val="none"/>
                <w:vertAlign w:val="baseline"/>
                <w:lang w:eastAsia="zh-CN"/>
                <w14:textFill>
                  <w14:solidFill>
                    <w14:schemeClr w14:val="tx1"/>
                  </w14:solidFill>
                </w14:textFill>
              </w:rPr>
              <w:t>监测</w:t>
            </w: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污染物排放</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尾水</w:t>
            </w:r>
            <w:r>
              <w:rPr>
                <w:rFonts w:hint="default" w:ascii="Times New Roman" w:hAnsi="Times New Roman" w:eastAsia="宋体" w:cs="Times New Roman"/>
                <w:b w:val="0"/>
                <w:bCs w:val="0"/>
                <w:color w:val="000000" w:themeColor="text1"/>
                <w:kern w:val="0"/>
                <w:sz w:val="21"/>
                <w:szCs w:val="21"/>
                <w:highlight w:val="none"/>
                <w:u w:val="none"/>
                <w:vertAlign w:val="baseline"/>
                <w:lang w:eastAsia="zh-CN"/>
                <w14:textFill>
                  <w14:solidFill>
                    <w14:schemeClr w14:val="tx1"/>
                  </w14:solidFill>
                </w14:textFill>
              </w:rPr>
              <w:t>是否达到排放标准要求</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w:t>
            </w:r>
          </w:p>
        </w:tc>
      </w:tr>
      <w:tr w14:paraId="24DBA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3" w:hRule="atLeast"/>
          <w:jc w:val="center"/>
        </w:trPr>
        <w:tc>
          <w:tcPr>
            <w:tcW w:w="878" w:type="dxa"/>
            <w:vMerge w:val="continue"/>
            <w:noWrap w:val="0"/>
            <w:textDirection w:val="tbRlV"/>
            <w:vAlign w:val="center"/>
          </w:tcPr>
          <w:p w14:paraId="6BE37BB1">
            <w:pPr>
              <w:spacing w:line="320" w:lineRule="exact"/>
              <w:jc w:val="center"/>
              <w:rPr>
                <w:rFonts w:ascii="Times New Roman" w:hAnsi="Times New Roman" w:cs="Times New Roman"/>
                <w:color w:val="000000" w:themeColor="text1"/>
                <w:sz w:val="21"/>
                <w:szCs w:val="21"/>
                <w:highlight w:val="none"/>
                <w14:textFill>
                  <w14:solidFill>
                    <w14:schemeClr w14:val="tx1"/>
                  </w14:solidFill>
                </w14:textFill>
              </w:rPr>
            </w:pPr>
          </w:p>
        </w:tc>
        <w:tc>
          <w:tcPr>
            <w:tcW w:w="4094" w:type="dxa"/>
            <w:gridSpan w:val="5"/>
            <w:noWrap w:val="0"/>
            <w:vAlign w:val="center"/>
          </w:tcPr>
          <w:p w14:paraId="4FE563E3">
            <w:pPr>
              <w:spacing w:line="320" w:lineRule="exact"/>
              <w:jc w:val="center"/>
              <w:rPr>
                <w:rFonts w:ascii="Times New Roman" w:cs="Times New Roman"/>
                <w:color w:val="000000" w:themeColor="text1"/>
                <w:sz w:val="21"/>
                <w:szCs w:val="21"/>
                <w:highlight w:val="none"/>
                <w14:textFill>
                  <w14:solidFill>
                    <w14:schemeClr w14:val="tx1"/>
                  </w14:solidFill>
                </w14:textFill>
              </w:rPr>
            </w:pPr>
            <w:r>
              <w:rPr>
                <w:rFonts w:ascii="Times New Roman" w:cs="Times New Roman"/>
                <w:color w:val="000000" w:themeColor="text1"/>
                <w:sz w:val="21"/>
                <w:szCs w:val="21"/>
                <w:highlight w:val="none"/>
                <w14:textFill>
                  <w14:solidFill>
                    <w14:schemeClr w14:val="tx1"/>
                  </w14:solidFill>
                </w14:textFill>
              </w:rPr>
              <w:t>突发水污染事件应急预案</w:t>
            </w:r>
          </w:p>
        </w:tc>
        <w:tc>
          <w:tcPr>
            <w:tcW w:w="3918" w:type="dxa"/>
            <w:gridSpan w:val="4"/>
            <w:noWrap w:val="0"/>
            <w:vAlign w:val="center"/>
          </w:tcPr>
          <w:p w14:paraId="435BF5D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asci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建立</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事故预防和应急处理组织机构；2、</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从工艺设计、设备选型、运行管理、水质监测等方面落实风险防范措施</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严格执行废水的排放标准，做到达标排放，</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一但</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发现水质异常，就</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及时</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查明原因，并采取相应的</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应急处置</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措施；</w:t>
            </w:r>
            <w:r>
              <w:rPr>
                <w:rFonts w:hint="eastAsia" w:cs="Times New Roman"/>
                <w:b w:val="0"/>
                <w:bCs w:val="0"/>
                <w:color w:val="000000" w:themeColor="text1"/>
                <w:kern w:val="0"/>
                <w:sz w:val="21"/>
                <w:szCs w:val="21"/>
                <w:highlight w:val="none"/>
                <w:u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、定期进行应急预案</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培训及</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演练，及时发现应急体系、应急工作体制和预案各具体环节存在的问题，不断完善应急预案，提高对突发</w:t>
            </w: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环境事件</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14:textFill>
                  <w14:solidFill>
                    <w14:schemeClr w14:val="tx1"/>
                  </w14:solidFill>
                </w14:textFill>
              </w:rPr>
              <w:t>的应急处置能力。</w:t>
            </w:r>
          </w:p>
        </w:tc>
      </w:tr>
    </w:tbl>
    <w:p w14:paraId="77E63EB1">
      <w:pPr>
        <w:pStyle w:val="5"/>
        <w:numPr>
          <w:ilvl w:val="0"/>
          <w:numId w:val="0"/>
        </w:numPr>
        <w:bidi w:val="0"/>
        <w:ind w:leftChars="0"/>
        <w:jc w:val="center"/>
        <w:outlineLvl w:val="0"/>
        <w:rPr>
          <w:rStyle w:val="35"/>
          <w:rFonts w:hint="eastAsia"/>
          <w:b/>
          <w:color w:val="000000" w:themeColor="text1"/>
          <w:highlight w:val="none"/>
          <w:lang w:val="en-US" w:eastAsia="zh-CN"/>
          <w14:textFill>
            <w14:solidFill>
              <w14:schemeClr w14:val="tx1"/>
            </w14:solidFill>
          </w14:textFill>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12" w:charSpace="0"/>
        </w:sectPr>
      </w:pPr>
    </w:p>
    <w:p w14:paraId="2727C3E0">
      <w:pPr>
        <w:pStyle w:val="5"/>
        <w:numPr>
          <w:ilvl w:val="0"/>
          <w:numId w:val="0"/>
        </w:numPr>
        <w:bidi w:val="0"/>
        <w:ind w:leftChars="0"/>
        <w:jc w:val="center"/>
        <w:outlineLvl w:val="0"/>
        <w:rPr>
          <w:rStyle w:val="35"/>
          <w:rFonts w:hint="eastAsia"/>
          <w:b/>
          <w:color w:val="000000" w:themeColor="text1"/>
          <w:highlight w:val="none"/>
          <w:lang w:val="en-US" w:eastAsia="zh-CN"/>
          <w14:textFill>
            <w14:solidFill>
              <w14:schemeClr w14:val="tx1"/>
            </w14:solidFill>
          </w14:textFill>
        </w:rPr>
      </w:pPr>
      <w:bookmarkStart w:id="47" w:name="_Toc26390"/>
      <w:r>
        <w:rPr>
          <w:rStyle w:val="35"/>
          <w:rFonts w:hint="eastAsia"/>
          <w:b/>
          <w:color w:val="000000" w:themeColor="text1"/>
          <w:highlight w:val="none"/>
          <w:lang w:val="en-US" w:eastAsia="zh-CN"/>
          <w14:textFill>
            <w14:solidFill>
              <w14:schemeClr w14:val="tx1"/>
            </w14:solidFill>
          </w14:textFill>
        </w:rPr>
        <w:t>第一章  总则</w:t>
      </w:r>
      <w:bookmarkEnd w:id="47"/>
    </w:p>
    <w:p w14:paraId="6FA90F7D">
      <w:pPr>
        <w:pStyle w:val="5"/>
        <w:numPr>
          <w:ilvl w:val="0"/>
          <w:numId w:val="0"/>
        </w:numPr>
        <w:bidi w:val="0"/>
        <w:ind w:leftChars="0"/>
        <w:rPr>
          <w:rFonts w:hint="default"/>
          <w:color w:val="000000" w:themeColor="text1"/>
          <w:highlight w:val="none"/>
          <w:lang w:val="en-US" w:eastAsia="zh-CN"/>
          <w14:textFill>
            <w14:solidFill>
              <w14:schemeClr w14:val="tx1"/>
            </w14:solidFill>
          </w14:textFill>
        </w:rPr>
      </w:pPr>
      <w:bookmarkStart w:id="48" w:name="_Toc6160"/>
      <w:r>
        <w:rPr>
          <w:rFonts w:hint="default"/>
          <w:color w:val="000000" w:themeColor="text1"/>
          <w:highlight w:val="none"/>
          <w:lang w:val="en-US" w:eastAsia="zh-CN"/>
          <w14:textFill>
            <w14:solidFill>
              <w14:schemeClr w14:val="tx1"/>
            </w14:solidFill>
          </w14:textFill>
        </w:rPr>
        <w:t>1.1 任务由来</w:t>
      </w:r>
      <w:bookmarkEnd w:id="48"/>
    </w:p>
    <w:p w14:paraId="457FC5A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衡阳市南岳污水处理厂位于</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衡阳市</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南岳区</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南岳镇</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红星村老屋组，中心地理坐标为东经111°45′9.41421″，北纬27°13′15.94469″，</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是湖南省城镇污水处理设施建设三年行动计划和新增中央投资项目</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2009年12月一期建成投入运行，设计处理能力为1万m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2015年8月二期扩建工程建成投入运行，设计处理能力为1万m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南岳污水处理厂</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现有</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污水处理</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规模</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为2万m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，主要</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服务范围</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为</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南岳区城区，配套污水截流干管36公里，纳污面积12平方公里，服务人口常住7万人，旅游流动人口1300万人次。</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南岳污水处理厂</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现有</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污水处理工艺采用改良型氧化沟和周进周出二沉池，处理后的水质达到《城镇污水处理厂污染物排放标准》（GB18918-2002）一级A标准</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后外排</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w:t>
      </w:r>
    </w:p>
    <w:p w14:paraId="7B6648F9">
      <w:pPr>
        <w:pStyle w:val="59"/>
        <w:ind w:firstLine="480"/>
        <w:rPr>
          <w:rFonts w:hint="eastAsia" w:eastAsia="宋体"/>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近年来</w:t>
      </w:r>
      <w:r>
        <w:rPr>
          <w:rFonts w:hint="eastAsia"/>
          <w:color w:val="000000" w:themeColor="text1"/>
          <w:highlight w:val="none"/>
          <w:u w:val="none"/>
          <w14:textFill>
            <w14:solidFill>
              <w14:schemeClr w14:val="tx1"/>
            </w14:solidFill>
          </w14:textFill>
        </w:rPr>
        <w:t>南岳区旅游人口</w:t>
      </w:r>
      <w:r>
        <w:rPr>
          <w:rFonts w:hint="eastAsia"/>
          <w:color w:val="000000" w:themeColor="text1"/>
          <w:highlight w:val="none"/>
          <w:u w:val="none"/>
          <w:lang w:val="en-US" w:eastAsia="zh-CN"/>
          <w14:textFill>
            <w14:solidFill>
              <w14:schemeClr w14:val="tx1"/>
            </w14:solidFill>
          </w14:textFill>
        </w:rPr>
        <w:t>逐渐增多</w:t>
      </w:r>
      <w:r>
        <w:rPr>
          <w:rFonts w:hint="eastAsia"/>
          <w:color w:val="000000" w:themeColor="text1"/>
          <w:highlight w:val="none"/>
          <w:u w:val="none"/>
          <w14:textFill>
            <w14:solidFill>
              <w14:schemeClr w14:val="tx1"/>
            </w14:solidFill>
          </w14:textFill>
        </w:rPr>
        <w:t>，尤其旺季旅游人口日接待量达十余万人，</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w:t>
      </w:r>
      <w:r>
        <w:rPr>
          <w:rFonts w:hint="eastAsia"/>
          <w:color w:val="000000" w:themeColor="text1"/>
          <w:highlight w:val="none"/>
          <w:u w:val="none"/>
          <w14:textFill>
            <w14:solidFill>
              <w14:schemeClr w14:val="tx1"/>
            </w14:solidFill>
          </w14:textFill>
        </w:rPr>
        <w:t>区</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污水处理厂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现</w:t>
      </w:r>
      <w:r>
        <w:rPr>
          <w:rFonts w:hint="eastAsia"/>
          <w:color w:val="000000" w:themeColor="text1"/>
          <w:highlight w:val="none"/>
          <w:u w:val="none"/>
          <w14:textFill>
            <w14:solidFill>
              <w14:schemeClr w14:val="tx1"/>
            </w14:solidFill>
          </w14:textFill>
        </w:rPr>
        <w:t>已超负荷运转，使得水质处理难度增加、设备故障频发</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14:textFill>
            <w14:solidFill>
              <w14:schemeClr w14:val="tx1"/>
            </w14:solidFill>
          </w14:textFill>
        </w:rPr>
        <w:t>同时，南岳区旅游产业园正在建设中，届时，园区增量生活污水将进一步加大现有污水处理厂的运转负荷</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为缓解</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南岳区污水处理厂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的超负荷运转，</w:t>
      </w:r>
      <w:r>
        <w:rPr>
          <w:rFonts w:hint="eastAsia"/>
          <w:color w:val="000000" w:themeColor="text1"/>
          <w:highlight w:val="none"/>
          <w:u w:val="none"/>
          <w14:textFill>
            <w14:solidFill>
              <w14:schemeClr w14:val="tx1"/>
            </w14:solidFill>
          </w14:textFill>
        </w:rPr>
        <w:t>南岳区住房和城乡建设局</w:t>
      </w:r>
      <w:r>
        <w:rPr>
          <w:rFonts w:hint="eastAsia"/>
          <w:color w:val="000000" w:themeColor="text1"/>
          <w:highlight w:val="none"/>
          <w:u w:val="none"/>
          <w:lang w:val="en-US" w:eastAsia="zh-CN"/>
          <w14:textFill>
            <w14:solidFill>
              <w14:schemeClr w14:val="tx1"/>
            </w14:solidFill>
          </w14:textFill>
        </w:rPr>
        <w:t>拟对</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区</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污水处理厂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进行扩建及提质改造，在现有总处理规模</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2万m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的基础上，再扩建1</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，并对现有处理工艺进行提质改造；扩建及提质改造后，</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南岳污水处理厂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设计总处理规模为3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万m</w:t>
      </w:r>
      <w:r>
        <w:rPr>
          <w:rFonts w:hint="default" w:ascii="Times New Roman" w:hAnsi="Times New Roman" w:eastAsia="宋体" w:cs="Times New Roman"/>
          <w:b w:val="0"/>
          <w:b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/d</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尾水达到《湖南省城镇污水处理厂主要水污染物排放标准》（DB43/T1546-2008）一级标准后排入龙荫港，该项目已</w:t>
      </w:r>
      <w:r>
        <w:rPr>
          <w:rFonts w:hint="eastAsia"/>
          <w:color w:val="000000" w:themeColor="text1"/>
          <w:highlight w:val="none"/>
          <w:u w:val="none"/>
          <w:lang w:val="en-US" w:eastAsia="zh-CN"/>
          <w14:textFill>
            <w14:solidFill>
              <w14:schemeClr w14:val="tx1"/>
            </w14:solidFill>
          </w14:textFill>
        </w:rPr>
        <w:t>委托湖南三方环境科技有限公司编制了《</w:t>
      </w:r>
      <w:r>
        <w:rPr>
          <w:rFonts w:hint="eastAsia"/>
          <w:color w:val="000000" w:themeColor="text1"/>
          <w:highlight w:val="none"/>
          <w:u w:val="none"/>
          <w14:textFill>
            <w14:solidFill>
              <w14:schemeClr w14:val="tx1"/>
            </w14:solidFill>
          </w14:textFill>
        </w:rPr>
        <w:t>南岳区城镇污水收集处理及配套设施建设项目（厂区部分）</w:t>
      </w:r>
      <w:r>
        <w:rPr>
          <w:rFonts w:hint="eastAsia"/>
          <w:color w:val="000000" w:themeColor="text1"/>
          <w:highlight w:val="none"/>
          <w:u w:val="none"/>
          <w:lang w:val="en-US" w:eastAsia="zh-CN"/>
          <w14:textFill>
            <w14:solidFill>
              <w14:schemeClr w14:val="tx1"/>
            </w14:solidFill>
          </w14:textFill>
        </w:rPr>
        <w:t>》，并取得了</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关于《南岳区城镇污水收集处理及配套设施建设项目（厂区部分）环境影响报告表》的批复（岳环发（2023）3号）。</w:t>
      </w:r>
    </w:p>
    <w:p w14:paraId="6F3F3E79">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为严格执行《入河排污口监督管理办法》，促进水资源的优化配置，保证水资源可持续利用，保障建设项目的合理排水要求，根据《中华人民共和国水法》、《中华人民共和国水污染防治法》、《入河排污口监督管理办法》、《关于做好入河排污口和水功能区划相关工作的通知》、《衡阳市生态环境局关于印发&lt;衡阳市入河排污口设置审批权限划分方案&gt;的通知》的相关要求，</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在江河、湖泊新建、改建和扩大排污口，需经</w:t>
      </w:r>
      <w:r>
        <w:rPr>
          <w:rFonts w:hint="eastAsia" w:ascii="Times New Roman" w:hAnsi="Times New Roman" w:eastAsia="宋体" w:cs="Times New Roman"/>
          <w:color w:val="auto"/>
          <w:kern w:val="2"/>
          <w:sz w:val="24"/>
          <w:szCs w:val="24"/>
          <w:highlight w:val="none"/>
          <w:lang w:val="en-US" w:eastAsia="zh-CN" w:bidi="ar-SA"/>
        </w:rPr>
        <w:t>行政主管部门审批</w:t>
      </w:r>
      <w:r>
        <w:rPr>
          <w:rFonts w:hint="default" w:ascii="Times New Roman" w:hAnsi="Times New Roman" w:eastAsia="宋体" w:cs="Times New Roman"/>
          <w:color w:val="auto"/>
          <w:kern w:val="2"/>
          <w:sz w:val="24"/>
          <w:szCs w:val="24"/>
          <w:highlight w:val="none"/>
          <w:lang w:val="en-US" w:eastAsia="zh-CN" w:bidi="ar-SA"/>
        </w:rPr>
        <w:t>，建设单位提交的申请材料中应包括《入河排污口设置论证报告》</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。因此，南岳区住房和城乡建设局委托湖南中晟绿景环保科技有限公司编制《衡阳市南岳区污水处理厂入河排污口设置论证报告》</w:t>
      </w:r>
      <w:r>
        <w:rPr>
          <w:rFonts w:hint="eastAsia" w:ascii="宋体" w:hAnsi="宋体" w:eastAsia="宋体" w:cs="宋体"/>
          <w:color w:val="auto"/>
          <w:kern w:val="2"/>
          <w:sz w:val="24"/>
          <w:szCs w:val="24"/>
          <w:highlight w:val="none"/>
          <w:lang w:val="en-US" w:eastAsia="zh-CN" w:bidi="ar-SA"/>
        </w:rPr>
        <w:t>。</w:t>
      </w:r>
    </w:p>
    <w:p w14:paraId="106AB61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highlight w:val="none"/>
          <w:lang w:val="en-US"/>
        </w:rPr>
      </w:pPr>
      <w:r>
        <w:rPr>
          <w:rFonts w:hint="eastAsia" w:ascii="宋体" w:hAnsi="宋体" w:eastAsia="宋体" w:cs="宋体"/>
          <w:color w:val="auto"/>
          <w:kern w:val="2"/>
          <w:sz w:val="24"/>
          <w:szCs w:val="24"/>
          <w:highlight w:val="none"/>
          <w:lang w:val="en-US" w:eastAsia="zh-CN" w:bidi="ar-SA"/>
        </w:rPr>
        <w:t>我公司接受委托后，依据《入河排污口管理技术导则》、《入河排污口设置论证报告技术导则》（征求意见稿）中的有关要求和相关技术规范，在</w:t>
      </w:r>
      <w:r>
        <w:rPr>
          <w:rFonts w:hint="eastAsia" w:ascii="宋体" w:hAnsi="宋体" w:eastAsia="宋体" w:cs="宋体"/>
          <w:color w:val="000000"/>
          <w:kern w:val="0"/>
          <w:sz w:val="24"/>
          <w:szCs w:val="24"/>
          <w:highlight w:val="none"/>
          <w:lang w:val="en-US" w:eastAsia="zh-CN" w:bidi="ar"/>
        </w:rPr>
        <w:t>现场踏勘、资料收集、调查研究、查阅有关资料的基础上，编制完成了</w:t>
      </w:r>
      <w:r>
        <w:rPr>
          <w:rFonts w:hint="default" w:ascii="Times New Roman" w:hAnsi="Times New Roman" w:eastAsia="宋体" w:cs="Times New Roman"/>
          <w:color w:val="auto"/>
          <w:kern w:val="2"/>
          <w:sz w:val="24"/>
          <w:szCs w:val="24"/>
          <w:highlight w:val="none"/>
          <w:lang w:val="en-US" w:eastAsia="zh-CN" w:bidi="ar-SA"/>
        </w:rPr>
        <w:t>《衡阳市南岳区污水处理厂入河排污口设置论证报告》</w:t>
      </w:r>
      <w:r>
        <w:rPr>
          <w:rFonts w:hint="eastAsia" w:ascii="Times New Roman" w:hAnsi="Times New Roman" w:eastAsia="宋体" w:cs="Times New Roman"/>
          <w:color w:val="auto"/>
          <w:kern w:val="2"/>
          <w:sz w:val="24"/>
          <w:szCs w:val="24"/>
          <w:highlight w:val="none"/>
          <w:lang w:val="en-US" w:eastAsia="zh-CN" w:bidi="ar-SA"/>
        </w:rPr>
        <w:t>，为生态环境主管部门审批入河排污口设置提供相关技术依据。</w:t>
      </w:r>
    </w:p>
    <w:p w14:paraId="413AA52F">
      <w:pPr>
        <w:pStyle w:val="5"/>
        <w:numPr>
          <w:ilvl w:val="0"/>
          <w:numId w:val="0"/>
        </w:numPr>
        <w:bidi w:val="0"/>
        <w:ind w:left="0" w:leftChars="0" w:firstLine="0" w:firstLineChars="0"/>
        <w:rPr>
          <w:rFonts w:hint="default"/>
          <w:highlight w:val="none"/>
          <w:lang w:val="en-US" w:eastAsia="zh-CN"/>
        </w:rPr>
      </w:pPr>
      <w:bookmarkStart w:id="49" w:name="_Toc1933"/>
      <w:r>
        <w:rPr>
          <w:rFonts w:hint="default"/>
          <w:highlight w:val="none"/>
          <w:lang w:val="en-US" w:eastAsia="zh-CN"/>
        </w:rPr>
        <w:t>1.</w:t>
      </w:r>
      <w:r>
        <w:rPr>
          <w:rFonts w:hint="eastAsia"/>
          <w:highlight w:val="none"/>
          <w:lang w:val="en-US" w:eastAsia="zh-CN"/>
        </w:rPr>
        <w:t>2</w:t>
      </w:r>
      <w:r>
        <w:rPr>
          <w:rFonts w:hint="default"/>
          <w:highlight w:val="none"/>
          <w:lang w:val="en-US" w:eastAsia="zh-CN"/>
        </w:rPr>
        <w:t xml:space="preserve"> </w:t>
      </w:r>
      <w:r>
        <w:rPr>
          <w:rFonts w:hint="eastAsia"/>
          <w:highlight w:val="none"/>
          <w:lang w:val="en-US" w:eastAsia="zh-CN"/>
        </w:rPr>
        <w:t>论证目的</w:t>
      </w:r>
      <w:bookmarkEnd w:id="49"/>
    </w:p>
    <w:p w14:paraId="59D1B3C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color w:val="000000"/>
          <w:sz w:val="24"/>
          <w:szCs w:val="24"/>
          <w:highlight w:val="none"/>
          <w:lang w:val="en-US" w:eastAsia="zh-CN" w:bidi="ar-SA"/>
        </w:rPr>
      </w:pPr>
      <w:r>
        <w:rPr>
          <w:rFonts w:ascii="宋体" w:hAnsi="宋体" w:eastAsia="宋体" w:cs="宋体"/>
          <w:sz w:val="24"/>
          <w:szCs w:val="24"/>
          <w:highlight w:val="none"/>
        </w:rPr>
        <w:t>根据国家法律法规、产业政策及有关规划，落实建设项目与相关规划及政策的符合性；严格执行限制排污量与污染物总量控制指标，强化水功能区管理</w:t>
      </w:r>
      <w:r>
        <w:rPr>
          <w:rFonts w:hint="eastAsia" w:ascii="宋体" w:hAnsi="宋体" w:eastAsia="宋体" w:cs="宋体"/>
          <w:sz w:val="24"/>
          <w:szCs w:val="24"/>
          <w:highlight w:val="none"/>
          <w:lang w:eastAsia="zh-CN"/>
        </w:rPr>
        <w:t>；</w:t>
      </w:r>
      <w:r>
        <w:rPr>
          <w:rFonts w:ascii="Times New Roman" w:hAnsi="Times New Roman" w:eastAsia="宋体" w:cs="Times New Roman"/>
          <w:color w:val="000000"/>
          <w:sz w:val="24"/>
          <w:szCs w:val="24"/>
          <w:highlight w:val="none"/>
          <w:lang w:val="en-US" w:eastAsia="zh-CN" w:bidi="ar-SA"/>
        </w:rPr>
        <w:t>通过分析</w:t>
      </w:r>
      <w:r>
        <w:rPr>
          <w:rFonts w:hint="eastAsia" w:eastAsia="宋体" w:cs="Times New Roman"/>
          <w:color w:val="000000"/>
          <w:sz w:val="24"/>
          <w:szCs w:val="24"/>
          <w:highlight w:val="none"/>
          <w:lang w:val="en-US" w:eastAsia="zh-CN" w:bidi="ar-SA"/>
        </w:rPr>
        <w:t>衡阳市南岳区污水处理厂入河排污口的有关信息，</w:t>
      </w:r>
      <w:r>
        <w:rPr>
          <w:rFonts w:ascii="Times New Roman" w:hAnsi="Times New Roman" w:eastAsia="宋体" w:cs="Times New Roman"/>
          <w:color w:val="000000"/>
          <w:sz w:val="24"/>
          <w:szCs w:val="24"/>
          <w:highlight w:val="none"/>
          <w:lang w:val="en-US" w:eastAsia="zh-CN" w:bidi="ar-SA"/>
        </w:rPr>
        <w:t>在满足相关水功能区</w:t>
      </w:r>
      <w:r>
        <w:rPr>
          <w:rFonts w:hint="default" w:ascii="Times New Roman" w:hAnsi="Times New Roman" w:eastAsia="宋体" w:cs="Times New Roman"/>
          <w:bCs/>
          <w:color w:val="000000"/>
          <w:sz w:val="24"/>
          <w:highlight w:val="none"/>
        </w:rPr>
        <w:t>（或水域）</w:t>
      </w:r>
      <w:r>
        <w:rPr>
          <w:rFonts w:ascii="Times New Roman" w:hAnsi="Times New Roman" w:eastAsia="宋体" w:cs="Times New Roman"/>
          <w:color w:val="000000"/>
          <w:sz w:val="24"/>
          <w:szCs w:val="24"/>
          <w:highlight w:val="none"/>
          <w:lang w:val="en-US" w:eastAsia="zh-CN" w:bidi="ar-SA"/>
        </w:rPr>
        <w:t>保护要求的前提下，论证入河排污口设置对水功能区</w:t>
      </w:r>
      <w:r>
        <w:rPr>
          <w:rFonts w:hint="default" w:ascii="Times New Roman" w:hAnsi="Times New Roman" w:eastAsia="宋体" w:cs="Times New Roman"/>
          <w:bCs/>
          <w:color w:val="000000"/>
          <w:sz w:val="24"/>
          <w:highlight w:val="none"/>
        </w:rPr>
        <w:t>（或水域）</w:t>
      </w:r>
      <w:r>
        <w:rPr>
          <w:rFonts w:ascii="Times New Roman" w:hAnsi="Times New Roman" w:eastAsia="宋体" w:cs="Times New Roman"/>
          <w:color w:val="000000"/>
          <w:sz w:val="24"/>
          <w:szCs w:val="24"/>
          <w:highlight w:val="none"/>
          <w:lang w:val="en-US" w:eastAsia="zh-CN" w:bidi="ar-SA"/>
        </w:rPr>
        <w:t>、水生态和第三者权益的影响，根据水功能区</w:t>
      </w:r>
      <w:r>
        <w:rPr>
          <w:rFonts w:hint="default" w:ascii="Times New Roman" w:hAnsi="Times New Roman" w:eastAsia="宋体" w:cs="Times New Roman"/>
          <w:bCs/>
          <w:color w:val="000000"/>
          <w:sz w:val="24"/>
          <w:highlight w:val="none"/>
        </w:rPr>
        <w:t>（或水域）</w:t>
      </w:r>
      <w:r>
        <w:rPr>
          <w:rFonts w:ascii="Times New Roman" w:hAnsi="Times New Roman" w:eastAsia="宋体" w:cs="Times New Roman"/>
          <w:color w:val="000000"/>
          <w:sz w:val="24"/>
          <w:szCs w:val="24"/>
          <w:highlight w:val="none"/>
          <w:lang w:val="en-US" w:eastAsia="zh-CN" w:bidi="ar-SA"/>
        </w:rPr>
        <w:t>的纳污能力、水生态保护等要求，提出水资源保护措施，优化入河排污口设置方案，为行政主管部门审批入河排污口以及建设单位合理设置入河排污口提供科学依据，以保障生活、生产和生态用水安全，把入河排污口设置的不利影响减到最小。</w:t>
      </w:r>
    </w:p>
    <w:p w14:paraId="1822EC9A">
      <w:pPr>
        <w:pStyle w:val="5"/>
        <w:numPr>
          <w:ilvl w:val="0"/>
          <w:numId w:val="0"/>
        </w:numPr>
        <w:bidi w:val="0"/>
        <w:ind w:left="0" w:leftChars="0" w:firstLine="0" w:firstLineChars="0"/>
        <w:rPr>
          <w:rFonts w:hint="eastAsia" w:ascii="Times New Roman" w:hAnsi="Times New Roman" w:eastAsia="宋体" w:cs="Times New Roman"/>
          <w:highlight w:val="none"/>
          <w:lang w:val="en-US" w:eastAsia="zh-CN"/>
        </w:rPr>
      </w:pPr>
      <w:bookmarkStart w:id="50" w:name="_Toc31045"/>
      <w:r>
        <w:rPr>
          <w:rFonts w:hint="default" w:ascii="Times New Roman" w:hAnsi="Times New Roman" w:eastAsia="宋体" w:cs="Times New Roman"/>
          <w:highlight w:val="none"/>
          <w:lang w:val="en-US" w:eastAsia="zh-CN"/>
        </w:rPr>
        <w:t>1.</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 xml:space="preserve"> </w:t>
      </w:r>
      <w:bookmarkStart w:id="51" w:name="_Toc22818"/>
      <w:r>
        <w:rPr>
          <w:rFonts w:hint="eastAsia" w:ascii="Times New Roman" w:hAnsi="Times New Roman" w:eastAsia="宋体" w:cs="Times New Roman"/>
          <w:highlight w:val="none"/>
          <w:lang w:val="en-US" w:eastAsia="zh-CN"/>
        </w:rPr>
        <w:t>论证原则</w:t>
      </w:r>
      <w:bookmarkEnd w:id="50"/>
      <w:bookmarkEnd w:id="51"/>
    </w:p>
    <w:p w14:paraId="12AF740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（1）符合国家法律、法规和相关政策的要求和规定；</w:t>
      </w:r>
    </w:p>
    <w:p w14:paraId="63B3531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（2）符合国家和行业有关技术标准与规范、规程；</w:t>
      </w:r>
    </w:p>
    <w:p w14:paraId="640D4CD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（3）符合流域或区域的综合规划及水资源保护等专业规划；</w:t>
      </w:r>
    </w:p>
    <w:p w14:paraId="17A1DC1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（4）符合水功能区管理要求和水域水环境容量。</w:t>
      </w:r>
    </w:p>
    <w:p w14:paraId="1B69D197">
      <w:pPr>
        <w:pStyle w:val="5"/>
        <w:numPr>
          <w:ilvl w:val="0"/>
          <w:numId w:val="0"/>
        </w:numPr>
        <w:bidi w:val="0"/>
        <w:ind w:left="0" w:leftChars="0" w:firstLine="0" w:firstLineChars="0"/>
        <w:rPr>
          <w:rFonts w:hint="eastAsia" w:ascii="Times New Roman" w:hAnsi="Times New Roman" w:eastAsia="宋体" w:cs="Times New Roman"/>
          <w:highlight w:val="none"/>
          <w:lang w:val="en-US" w:eastAsia="zh-CN"/>
        </w:rPr>
      </w:pPr>
      <w:bookmarkStart w:id="52" w:name="_Toc95296563"/>
      <w:bookmarkStart w:id="53" w:name="_Toc19778"/>
      <w:bookmarkStart w:id="54" w:name="_Toc70"/>
      <w:r>
        <w:rPr>
          <w:rFonts w:hint="eastAsia" w:ascii="Times New Roman" w:hAnsi="Times New Roman" w:eastAsia="宋体" w:cs="Times New Roman"/>
          <w:highlight w:val="none"/>
          <w:lang w:val="en-US" w:eastAsia="zh-CN"/>
        </w:rPr>
        <w:t>1.4 论证依据</w:t>
      </w:r>
      <w:bookmarkEnd w:id="52"/>
      <w:bookmarkEnd w:id="53"/>
      <w:bookmarkEnd w:id="54"/>
    </w:p>
    <w:p w14:paraId="47E70891">
      <w:pPr>
        <w:pStyle w:val="6"/>
        <w:bidi w:val="0"/>
        <w:rPr>
          <w:rFonts w:hint="default"/>
          <w:highlight w:val="none"/>
          <w:lang w:val="en-US" w:eastAsia="zh-CN"/>
        </w:rPr>
      </w:pPr>
      <w:r>
        <w:rPr>
          <w:rFonts w:hint="default"/>
          <w:highlight w:val="none"/>
          <w:lang w:val="en-US" w:eastAsia="zh-CN"/>
        </w:rPr>
        <w:t>1.4.1 法律法规</w:t>
      </w:r>
    </w:p>
    <w:p w14:paraId="6E9080BA">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（1）《中华人民共和国水法》（2016年9月1日实施）；</w:t>
      </w:r>
    </w:p>
    <w:p w14:paraId="0431E3E3">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2</w:t>
      </w:r>
      <w:r>
        <w:rPr>
          <w:rFonts w:hint="default" w:ascii="Times New Roman" w:hAnsi="Times New Roman" w:cs="Times New Roman"/>
          <w:highlight w:val="none"/>
        </w:rPr>
        <w:t>）《中华人民共和国水污染防治法》（2018年1月1日实施）；</w:t>
      </w:r>
    </w:p>
    <w:p w14:paraId="2C60FFC4">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）《中华人民共和国环境保护法》（2015年1月1日实施）；</w:t>
      </w:r>
    </w:p>
    <w:p w14:paraId="2887F8D2">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）《中华人民共和国野生动物保护法》（2018年10月26日实施）；</w:t>
      </w:r>
    </w:p>
    <w:p w14:paraId="0DE4C028">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）《中华人民共和国渔业法》（2014年3月1日实施）；</w:t>
      </w:r>
    </w:p>
    <w:p w14:paraId="58C16737">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6</w:t>
      </w:r>
      <w:r>
        <w:rPr>
          <w:rFonts w:hint="default" w:ascii="Times New Roman" w:hAnsi="Times New Roman" w:cs="Times New Roman"/>
          <w:highlight w:val="none"/>
        </w:rPr>
        <w:t>）《中华人民共和国防洪法》（2016年7月2日修正）；</w:t>
      </w:r>
    </w:p>
    <w:p w14:paraId="0A60B295">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7</w:t>
      </w:r>
      <w:r>
        <w:rPr>
          <w:rFonts w:hint="default" w:ascii="Times New Roman" w:hAnsi="Times New Roman" w:cs="Times New Roman"/>
          <w:highlight w:val="none"/>
        </w:rPr>
        <w:t>）《建设项目环境保护管理条例》（国务院令第682号），（2017年10月1日实施）；</w:t>
      </w:r>
    </w:p>
    <w:p w14:paraId="6E14D4FB">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8</w:t>
      </w:r>
      <w:r>
        <w:rPr>
          <w:rFonts w:hint="default" w:ascii="Times New Roman" w:hAnsi="Times New Roman" w:cs="Times New Roman"/>
          <w:highlight w:val="none"/>
        </w:rPr>
        <w:t>）《中华人民共和国河道管理条例》（2018年3月19日实施）；</w:t>
      </w:r>
    </w:p>
    <w:p w14:paraId="33E5484C">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color w:val="000000"/>
          <w:sz w:val="24"/>
          <w:szCs w:val="24"/>
          <w:highlight w:val="none"/>
          <w:lang w:val="en-US"/>
        </w:rPr>
      </w:pPr>
      <w:r>
        <w:rPr>
          <w:rFonts w:hint="eastAsia" w:cs="Times New Roman"/>
          <w:highlight w:val="none"/>
          <w:lang w:eastAsia="zh-CN"/>
        </w:rPr>
        <w:t>（</w:t>
      </w:r>
      <w:r>
        <w:rPr>
          <w:rFonts w:hint="eastAsia" w:cs="Times New Roman"/>
          <w:highlight w:val="none"/>
          <w:lang w:val="en-US" w:eastAsia="zh-CN"/>
        </w:rPr>
        <w:t>9</w:t>
      </w:r>
      <w:r>
        <w:rPr>
          <w:rFonts w:hint="eastAsia" w:cs="Times New Roman"/>
          <w:highlight w:val="none"/>
          <w:lang w:eastAsia="zh-CN"/>
        </w:rPr>
        <w:t>）《</w:t>
      </w:r>
      <w:r>
        <w:rPr>
          <w:color w:val="000000"/>
          <w:sz w:val="24"/>
          <w:szCs w:val="24"/>
          <w:highlight w:val="none"/>
          <w:lang w:val="en-US"/>
        </w:rPr>
        <w:t>国务院关于实行最严格水资源管理制度的意见</w:t>
      </w:r>
      <w:r>
        <w:rPr>
          <w:rFonts w:hint="eastAsia" w:cs="Times New Roman"/>
          <w:highlight w:val="none"/>
          <w:lang w:eastAsia="zh-CN"/>
        </w:rPr>
        <w:t>》（</w:t>
      </w:r>
      <w:r>
        <w:rPr>
          <w:color w:val="000000"/>
          <w:sz w:val="24"/>
          <w:szCs w:val="24"/>
          <w:highlight w:val="none"/>
          <w:lang w:val="en-US"/>
        </w:rPr>
        <w:t>国务院 国发[2012]3号</w:t>
      </w:r>
      <w:r>
        <w:rPr>
          <w:rFonts w:hint="eastAsia" w:cs="Times New Roman"/>
          <w:highlight w:val="none"/>
          <w:lang w:eastAsia="zh-CN"/>
        </w:rPr>
        <w:t>）</w:t>
      </w:r>
      <w:r>
        <w:rPr>
          <w:color w:val="000000"/>
          <w:sz w:val="24"/>
          <w:szCs w:val="24"/>
          <w:highlight w:val="none"/>
          <w:lang w:val="en-US"/>
        </w:rPr>
        <w:t>，2012.1.12；</w:t>
      </w:r>
    </w:p>
    <w:p w14:paraId="6E081B91">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color w:val="000000"/>
          <w:sz w:val="24"/>
          <w:szCs w:val="24"/>
          <w:highlight w:val="none"/>
          <w:lang w:val="en-US"/>
        </w:rPr>
      </w:pPr>
      <w:r>
        <w:rPr>
          <w:rFonts w:hint="eastAsia" w:cs="Times New Roman"/>
          <w:highlight w:val="none"/>
          <w:lang w:eastAsia="zh-CN"/>
        </w:rPr>
        <w:t>（</w:t>
      </w:r>
      <w:r>
        <w:rPr>
          <w:rFonts w:hint="eastAsia" w:cs="Times New Roman"/>
          <w:highlight w:val="none"/>
          <w:lang w:val="en-US" w:eastAsia="zh-CN"/>
        </w:rPr>
        <w:t>10</w:t>
      </w:r>
      <w:r>
        <w:rPr>
          <w:rFonts w:hint="eastAsia" w:cs="Times New Roman"/>
          <w:highlight w:val="none"/>
          <w:lang w:eastAsia="zh-CN"/>
        </w:rPr>
        <w:t>）</w:t>
      </w:r>
      <w:r>
        <w:rPr>
          <w:color w:val="000000"/>
          <w:sz w:val="24"/>
          <w:szCs w:val="24"/>
          <w:highlight w:val="none"/>
          <w:lang w:val="en-US"/>
        </w:rPr>
        <w:t>《城镇排水与污水处理条例》（国务院第641号令，</w:t>
      </w:r>
      <w:r>
        <w:rPr>
          <w:rFonts w:hint="eastAsia"/>
          <w:color w:val="000000"/>
          <w:sz w:val="24"/>
          <w:szCs w:val="24"/>
          <w:highlight w:val="none"/>
          <w:lang w:val="en-US" w:eastAsia="zh-CN"/>
        </w:rPr>
        <w:t>2014年1月1日实施</w:t>
      </w:r>
      <w:r>
        <w:rPr>
          <w:color w:val="000000"/>
          <w:sz w:val="24"/>
          <w:szCs w:val="24"/>
          <w:highlight w:val="none"/>
          <w:lang w:val="en-US"/>
        </w:rPr>
        <w:t>）；</w:t>
      </w:r>
    </w:p>
    <w:p w14:paraId="558EA7D0">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color w:val="000000"/>
          <w:sz w:val="24"/>
          <w:szCs w:val="24"/>
          <w:highlight w:val="none"/>
          <w:lang w:val="en-US"/>
        </w:rPr>
      </w:pPr>
      <w:r>
        <w:rPr>
          <w:rFonts w:hint="eastAsia" w:cs="Times New Roman"/>
          <w:highlight w:val="none"/>
          <w:lang w:eastAsia="zh-CN"/>
        </w:rPr>
        <w:t>（</w:t>
      </w:r>
      <w:r>
        <w:rPr>
          <w:rFonts w:hint="eastAsia" w:cs="Times New Roman"/>
          <w:highlight w:val="none"/>
          <w:lang w:val="en-US" w:eastAsia="zh-CN"/>
        </w:rPr>
        <w:t>11</w:t>
      </w:r>
      <w:r>
        <w:rPr>
          <w:rFonts w:hint="eastAsia" w:cs="Times New Roman"/>
          <w:highlight w:val="none"/>
          <w:lang w:eastAsia="zh-CN"/>
        </w:rPr>
        <w:t>）</w:t>
      </w:r>
      <w:r>
        <w:rPr>
          <w:color w:val="000000"/>
          <w:sz w:val="24"/>
          <w:szCs w:val="24"/>
          <w:highlight w:val="none"/>
          <w:lang w:val="en-US"/>
        </w:rPr>
        <w:t>《入河排污口监督管理办法》（2015年修订）（水利部令第47号），2015.12.16；；</w:t>
      </w:r>
    </w:p>
    <w:p w14:paraId="78A24E25">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12</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《水功能区监督管理办法》（水资源[2017]101号），2017.02.27；</w:t>
      </w:r>
    </w:p>
    <w:p w14:paraId="70D21A87">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000000" w:themeColor="text1"/>
          <w:highlight w:val="none"/>
          <w:u w:val="none"/>
          <w:lang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13</w:t>
      </w:r>
      <w:r>
        <w:rPr>
          <w:rFonts w:hint="eastAsia" w:cs="Times New Roman"/>
          <w:color w:val="000000" w:themeColor="text1"/>
          <w:highlight w:val="none"/>
          <w:u w:val="none"/>
          <w:lang w:eastAsia="zh-CN"/>
          <w14:textFill>
            <w14:solidFill>
              <w14:schemeClr w14:val="tx1"/>
            </w14:solidFill>
          </w14:textFill>
        </w:rPr>
        <w:t>）</w:t>
      </w:r>
      <w:r>
        <w:rPr>
          <w:color w:val="000000" w:themeColor="text1"/>
          <w:sz w:val="24"/>
          <w:szCs w:val="24"/>
          <w:highlight w:val="none"/>
          <w:u w:val="none"/>
          <w:lang w:val="en-US"/>
          <w14:textFill>
            <w14:solidFill>
              <w14:schemeClr w14:val="tx1"/>
            </w14:solidFill>
          </w14:textFill>
        </w:rPr>
        <w:t>《关于做好入河排污口和水功能区划相关工作的通知》（环办水体</w:t>
      </w:r>
      <w:r>
        <w:rPr>
          <w:rFonts w:hint="eastAsia"/>
          <w:color w:val="000000" w:themeColor="text1"/>
          <w:sz w:val="24"/>
          <w:szCs w:val="24"/>
          <w:highlight w:val="none"/>
          <w:u w:val="none"/>
          <w:lang w:val="en-US" w:eastAsia="zh-CN"/>
          <w14:textFill>
            <w14:solidFill>
              <w14:schemeClr w14:val="tx1"/>
            </w14:solidFill>
          </w14:textFill>
        </w:rPr>
        <w:t>（</w:t>
      </w:r>
      <w:r>
        <w:rPr>
          <w:color w:val="000000" w:themeColor="text1"/>
          <w:sz w:val="24"/>
          <w:szCs w:val="24"/>
          <w:highlight w:val="none"/>
          <w:u w:val="none"/>
          <w:lang w:val="en-US"/>
          <w14:textFill>
            <w14:solidFill>
              <w14:schemeClr w14:val="tx1"/>
            </w14:solidFill>
          </w14:textFill>
        </w:rPr>
        <w:t>2019</w:t>
      </w:r>
      <w:r>
        <w:rPr>
          <w:rFonts w:hint="eastAsia"/>
          <w:color w:val="000000" w:themeColor="text1"/>
          <w:sz w:val="24"/>
          <w:szCs w:val="24"/>
          <w:highlight w:val="none"/>
          <w:u w:val="none"/>
          <w:lang w:val="en-US" w:eastAsia="zh-CN"/>
          <w14:textFill>
            <w14:solidFill>
              <w14:schemeClr w14:val="tx1"/>
            </w14:solidFill>
          </w14:textFill>
        </w:rPr>
        <w:t>）</w:t>
      </w:r>
      <w:r>
        <w:rPr>
          <w:color w:val="000000" w:themeColor="text1"/>
          <w:sz w:val="24"/>
          <w:szCs w:val="24"/>
          <w:highlight w:val="none"/>
          <w:u w:val="none"/>
          <w:lang w:val="en-US"/>
          <w14:textFill>
            <w14:solidFill>
              <w14:schemeClr w14:val="tx1"/>
            </w14:solidFill>
          </w14:textFill>
        </w:rPr>
        <w:t>36号）</w:t>
      </w:r>
      <w:r>
        <w:rPr>
          <w:rFonts w:hint="eastAsia"/>
          <w:color w:val="000000" w:themeColor="text1"/>
          <w:sz w:val="24"/>
          <w:szCs w:val="24"/>
          <w:highlight w:val="none"/>
          <w:u w:val="none"/>
          <w:lang w:val="en-US" w:eastAsia="zh-CN"/>
          <w14:textFill>
            <w14:solidFill>
              <w14:schemeClr w14:val="tx1"/>
            </w14:solidFill>
          </w14:textFill>
        </w:rPr>
        <w:t>；</w:t>
      </w:r>
    </w:p>
    <w:p w14:paraId="394AB359">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14</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《湖南省入河排污口监督管理办法》（湘政办发[2018]44号）；</w:t>
      </w:r>
    </w:p>
    <w:p w14:paraId="4FC051E0">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15</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《湖南省水功能区监督管理办法》（湘政办发[2016]14号）；</w:t>
      </w:r>
    </w:p>
    <w:p w14:paraId="60C35C89">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16</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《关于规范入河排污口设置审批工作的函》（湘环函〔2021〕71号）；</w:t>
      </w:r>
    </w:p>
    <w:p w14:paraId="5F9ABD88">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000000" w:themeColor="text1"/>
          <w:highlight w:val="none"/>
          <w:u w:val="none"/>
          <w:lang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17</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spacing w:val="-1"/>
          <w:sz w:val="24"/>
          <w:szCs w:val="24"/>
          <w:highlight w:val="none"/>
          <w:u w:val="none"/>
          <w:lang w:val="en-US" w:eastAsia="zh-CN" w:bidi="zh-CN"/>
          <w14:textFill>
            <w14:solidFill>
              <w14:schemeClr w14:val="tx1"/>
            </w14:solidFill>
          </w14:textFill>
        </w:rPr>
        <w:t>《湖南省水功能区划（修编）》（湖南省水利厅2014年12月）</w:t>
      </w:r>
      <w:r>
        <w:rPr>
          <w:rFonts w:hint="eastAsia" w:cs="Times New Roman"/>
          <w:color w:val="000000" w:themeColor="text1"/>
          <w:highlight w:val="none"/>
          <w:u w:val="none"/>
          <w:lang w:eastAsia="zh-CN"/>
          <w14:textFill>
            <w14:solidFill>
              <w14:schemeClr w14:val="tx1"/>
            </w14:solidFill>
          </w14:textFill>
        </w:rPr>
        <w:t>；</w:t>
      </w:r>
    </w:p>
    <w:p w14:paraId="18179303">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18</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《衡阳市水功能区划》（2010-2020），衡阳市水利局；</w:t>
      </w:r>
    </w:p>
    <w:p w14:paraId="12B7452F">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19</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衡阳市人民政府关于《衡阳市水功能区划》的批复（衡政函[2013]21号）；</w:t>
      </w:r>
    </w:p>
    <w:p w14:paraId="7D84FE29">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20</w:t>
      </w:r>
      <w:r>
        <w:rPr>
          <w:rFonts w:hint="eastAsia" w:cs="Times New Roman"/>
          <w:color w:val="000000" w:themeColor="text1"/>
          <w:highlight w:val="none"/>
          <w:u w:val="none"/>
          <w:lang w:eastAsia="zh-CN"/>
          <w14:textFill>
            <w14:solidFill>
              <w14:schemeClr w14:val="tx1"/>
            </w14:solidFill>
          </w14:textFill>
        </w:rPr>
        <w:t>）</w:t>
      </w:r>
      <w:r>
        <w:rPr>
          <w:rFonts w:hint="eastAsia"/>
          <w:color w:val="000000" w:themeColor="text1"/>
          <w:sz w:val="24"/>
          <w:szCs w:val="24"/>
          <w:highlight w:val="none"/>
          <w:u w:val="none"/>
          <w:lang w:val="en-US" w:eastAsia="zh-CN"/>
          <w14:textFill>
            <w14:solidFill>
              <w14:schemeClr w14:val="tx1"/>
            </w14:solidFill>
          </w14:textFill>
        </w:rPr>
        <w:t>《水产种质资源保护区管理暂行办法》；</w:t>
      </w:r>
    </w:p>
    <w:p w14:paraId="2FFBD466">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21</w:t>
      </w: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《国务院办公厅关于加强入河入海排污口监督管理工作的实施意见》（国办函[2022]17号）；</w:t>
      </w:r>
    </w:p>
    <w:p w14:paraId="5069CF8B">
      <w:pPr>
        <w:pStyle w:val="60"/>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22</w:t>
      </w:r>
      <w:r>
        <w:rPr>
          <w:rFonts w:hint="eastAsia" w:cs="Times New Roman"/>
          <w:color w:val="000000" w:themeColor="text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lang w:val="en-US" w:eastAsia="zh-CN" w:bidi="zh-CN"/>
          <w14:textFill>
            <w14:solidFill>
              <w14:schemeClr w14:val="tx1"/>
            </w14:solidFill>
          </w14:textFill>
        </w:rPr>
        <w:t>《湖南省衡阳市水资源综合规划报告（2020-2035年）》</w:t>
      </w:r>
      <w:r>
        <w:rPr>
          <w:rFonts w:hint="eastAsia" w:cs="Times New Roman"/>
          <w:color w:val="000000" w:themeColor="text1"/>
          <w:highlight w:val="none"/>
          <w:u w:val="none"/>
          <w:lang w:val="en-US" w:eastAsia="zh-CN"/>
          <w14:textFill>
            <w14:solidFill>
              <w14:schemeClr w14:val="tx1"/>
            </w14:solidFill>
          </w14:textFill>
        </w:rPr>
        <w:t>。</w:t>
      </w:r>
    </w:p>
    <w:p w14:paraId="12CF32B2">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1.4.</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技术导则</w:t>
      </w:r>
      <w:r>
        <w:rPr>
          <w:rFonts w:ascii="Times New Roman" w:hAnsi="Times New Roman" w:eastAsia="宋体" w:cs="Times New Roman"/>
          <w:color w:val="000000"/>
          <w:sz w:val="24"/>
          <w:szCs w:val="24"/>
          <w:highlight w:val="none"/>
          <w:lang w:val="en-US" w:eastAsia="zh-CN" w:bidi="ar-SA"/>
        </w:rPr>
        <w:t>、</w:t>
      </w:r>
      <w:r>
        <w:rPr>
          <w:rFonts w:hint="eastAsia" w:ascii="Times New Roman" w:hAnsi="Times New Roman" w:eastAsia="宋体" w:cs="Times New Roman"/>
          <w:highlight w:val="none"/>
          <w:lang w:val="en-US" w:eastAsia="zh-CN"/>
        </w:rPr>
        <w:t>规范</w:t>
      </w:r>
    </w:p>
    <w:p w14:paraId="10C8143B">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（1）《入河排污口管理技术导则》（SL532-2011）；</w:t>
      </w:r>
    </w:p>
    <w:p w14:paraId="76C16F63">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2</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《入河排污口设置论证报告技术导则（征求意见稿）》</w:t>
      </w:r>
      <w:r>
        <w:rPr>
          <w:rFonts w:hint="eastAsia" w:ascii="Times New Roman" w:hAnsi="Times New Roman" w:eastAsia="宋体" w:cs="Times New Roman"/>
          <w:color w:val="auto"/>
          <w:spacing w:val="-1"/>
          <w:sz w:val="24"/>
          <w:szCs w:val="24"/>
          <w:highlight w:val="none"/>
          <w:u w:val="none"/>
          <w:lang w:val="en-US" w:eastAsia="zh-CN" w:bidi="zh-CN"/>
        </w:rPr>
        <w:t>；</w:t>
      </w:r>
    </w:p>
    <w:p w14:paraId="69AA97F2">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3</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《建设项目环境影响评价技术导则 总纲》（HJ2.1-2016）；</w:t>
      </w:r>
    </w:p>
    <w:p w14:paraId="4C08F13F">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4</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《环境影响评价技术导则 地表水环境》（HJ 2.3-2018）；</w:t>
      </w:r>
    </w:p>
    <w:p w14:paraId="00602C94">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5</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《建设项目水资源论证导则》（SL322-2017）；</w:t>
      </w:r>
    </w:p>
    <w:p w14:paraId="46947603">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6</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《水域纳污能力计算规程》（GB/T25173-2010）；</w:t>
      </w:r>
    </w:p>
    <w:p w14:paraId="17D8F9DC">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7</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《水资源评价导则》（SLT238-1999）</w:t>
      </w:r>
      <w:r>
        <w:rPr>
          <w:rFonts w:hint="eastAsia" w:ascii="Times New Roman" w:hAnsi="Times New Roman" w:eastAsia="宋体" w:cs="Times New Roman"/>
          <w:color w:val="auto"/>
          <w:spacing w:val="-1"/>
          <w:sz w:val="24"/>
          <w:szCs w:val="24"/>
          <w:highlight w:val="none"/>
          <w:u w:val="none"/>
          <w:lang w:val="en-US" w:eastAsia="zh-CN" w:bidi="zh-CN"/>
        </w:rPr>
        <w:t>；</w:t>
      </w:r>
    </w:p>
    <w:p w14:paraId="33A2BBC0">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8</w:t>
      </w:r>
      <w:r>
        <w:rPr>
          <w:rFonts w:hint="eastAsia" w:eastAsia="宋体" w:cs="Times New Roman"/>
          <w:sz w:val="24"/>
          <w:szCs w:val="24"/>
          <w:highlight w:val="none"/>
          <w:lang w:eastAsia="zh-CN"/>
        </w:rPr>
        <w:t>）</w:t>
      </w:r>
      <w:r>
        <w:rPr>
          <w:rFonts w:hint="default" w:ascii="Times New Roman" w:hAnsi="Times New Roman" w:eastAsia="宋体" w:cs="Times New Roman"/>
          <w:color w:val="auto"/>
          <w:spacing w:val="-1"/>
          <w:sz w:val="24"/>
          <w:szCs w:val="24"/>
          <w:highlight w:val="none"/>
          <w:u w:val="none"/>
          <w:lang w:val="en-US" w:eastAsia="zh-CN" w:bidi="zh-CN"/>
        </w:rPr>
        <w:t>《地表水环境质量标准》（GB3838-2002）</w:t>
      </w:r>
      <w:r>
        <w:rPr>
          <w:rFonts w:hint="eastAsia" w:ascii="Times New Roman" w:hAnsi="Times New Roman" w:eastAsia="宋体" w:cs="Times New Roman"/>
          <w:color w:val="auto"/>
          <w:spacing w:val="-1"/>
          <w:sz w:val="24"/>
          <w:szCs w:val="24"/>
          <w:highlight w:val="none"/>
          <w:u w:val="none"/>
          <w:lang w:val="en-US" w:eastAsia="zh-CN" w:bidi="zh-CN"/>
        </w:rPr>
        <w:t>；</w:t>
      </w:r>
    </w:p>
    <w:p w14:paraId="0AFE3BC1">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9</w:t>
      </w:r>
      <w:r>
        <w:rPr>
          <w:rFonts w:hint="eastAsia" w:eastAsia="宋体" w:cs="Times New Roman"/>
          <w:sz w:val="24"/>
          <w:szCs w:val="24"/>
          <w:highlight w:val="none"/>
          <w:lang w:eastAsia="zh-CN"/>
        </w:rPr>
        <w:t>）</w:t>
      </w:r>
      <w:r>
        <w:rPr>
          <w:rFonts w:hint="eastAsia" w:ascii="Times New Roman" w:hAnsi="Times New Roman" w:eastAsia="宋体" w:cs="Times New Roman"/>
          <w:color w:val="auto"/>
          <w:spacing w:val="-1"/>
          <w:sz w:val="24"/>
          <w:szCs w:val="24"/>
          <w:highlight w:val="none"/>
          <w:u w:val="none"/>
          <w:lang w:val="en-US" w:eastAsia="zh-CN" w:bidi="zh-CN"/>
        </w:rPr>
        <w:t>《城镇污水处理厂污染物排放标准》（GB18918-2002）及修改单；</w:t>
      </w:r>
    </w:p>
    <w:p w14:paraId="6277C75D">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sz w:val="24"/>
          <w:szCs w:val="24"/>
          <w:highlight w:val="none"/>
          <w:lang w:eastAsia="zh-CN"/>
        </w:rPr>
      </w:pPr>
      <w:r>
        <w:rPr>
          <w:rFonts w:hint="eastAsia" w:eastAsia="宋体" w:cs="Times New Roman"/>
          <w:sz w:val="24"/>
          <w:szCs w:val="24"/>
          <w:highlight w:val="none"/>
          <w:lang w:eastAsia="zh-CN"/>
        </w:rPr>
        <w:t>（</w:t>
      </w:r>
      <w:r>
        <w:rPr>
          <w:rFonts w:hint="eastAsia" w:eastAsia="宋体" w:cs="Times New Roman"/>
          <w:sz w:val="24"/>
          <w:szCs w:val="24"/>
          <w:highlight w:val="none"/>
          <w:lang w:val="en-US" w:eastAsia="zh-CN"/>
        </w:rPr>
        <w:t>10</w:t>
      </w:r>
      <w:r>
        <w:rPr>
          <w:rFonts w:hint="eastAsia" w:eastAsia="宋体" w:cs="Times New Roman"/>
          <w:sz w:val="24"/>
          <w:szCs w:val="24"/>
          <w:highlight w:val="none"/>
          <w:lang w:eastAsia="zh-CN"/>
        </w:rPr>
        <w:t>）</w:t>
      </w:r>
      <w:r>
        <w:rPr>
          <w:rFonts w:hint="eastAsia" w:ascii="Times New Roman" w:hAnsi="Times New Roman" w:eastAsia="宋体" w:cs="Times New Roman"/>
          <w:highlight w:val="none"/>
          <w:lang w:val="en-US" w:eastAsia="zh-CN"/>
        </w:rPr>
        <w:t>《湖南省城镇污水处理厂主要水污染物排放标准》（</w:t>
      </w:r>
      <w:r>
        <w:rPr>
          <w:rFonts w:hint="default" w:ascii="Times New Roman" w:hAnsi="Times New Roman" w:eastAsia="宋体" w:cs="Times New Roman"/>
          <w:highlight w:val="none"/>
          <w:lang w:val="en-US" w:eastAsia="zh-CN"/>
        </w:rPr>
        <w:t>DB43/T1546-2018</w:t>
      </w:r>
      <w:r>
        <w:rPr>
          <w:rFonts w:hint="eastAsia" w:ascii="Times New Roman" w:hAnsi="Times New Roman" w:eastAsia="宋体" w:cs="Times New Roman"/>
          <w:highlight w:val="none"/>
          <w:lang w:val="en-US" w:eastAsia="zh-CN"/>
        </w:rPr>
        <w:t>）；</w:t>
      </w:r>
    </w:p>
    <w:p w14:paraId="7CCBD55E">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eastAsia" w:eastAsia="宋体" w:cs="Times New Roman"/>
          <w:color w:val="000000" w:themeColor="text1"/>
          <w:sz w:val="24"/>
          <w:szCs w:val="24"/>
          <w:highlight w:val="none"/>
          <w:u w:val="none"/>
          <w:lang w:eastAsia="zh-CN"/>
          <w14:textFill>
            <w14:solidFill>
              <w14:schemeClr w14:val="tx1"/>
            </w14:solidFill>
          </w14:textFill>
        </w:rPr>
        <w:t>（</w:t>
      </w:r>
      <w:r>
        <w:rPr>
          <w:rFonts w:hint="eastAsia" w:eastAsia="宋体" w:cs="Times New Roman"/>
          <w:color w:val="000000" w:themeColor="text1"/>
          <w:sz w:val="24"/>
          <w:szCs w:val="24"/>
          <w:highlight w:val="none"/>
          <w:u w:val="none"/>
          <w:lang w:val="en-US" w:eastAsia="zh-CN"/>
          <w14:textFill>
            <w14:solidFill>
              <w14:schemeClr w14:val="tx1"/>
            </w14:solidFill>
          </w14:textFill>
        </w:rPr>
        <w:t>11</w:t>
      </w:r>
      <w:r>
        <w:rPr>
          <w:rFonts w:hint="eastAsia" w:eastAsia="宋体" w:cs="Times New Roman"/>
          <w:color w:val="000000" w:themeColor="text1"/>
          <w:sz w:val="24"/>
          <w:szCs w:val="24"/>
          <w:highlight w:val="none"/>
          <w:u w:val="none"/>
          <w:lang w:eastAsia="zh-CN"/>
          <w14:textFill>
            <w14:solidFill>
              <w14:schemeClr w14:val="tx1"/>
            </w14:solidFill>
          </w14:textFill>
        </w:rPr>
        <w:t>）</w:t>
      </w:r>
      <w:r>
        <w:rPr>
          <w:rFonts w:hint="eastAsia" w:cs="Times New Roman"/>
          <w:color w:val="000000" w:themeColor="text1"/>
          <w:highlight w:val="none"/>
          <w:u w:val="none"/>
          <w:lang w:eastAsia="zh-CN"/>
          <w14:textFill>
            <w14:solidFill>
              <w14:schemeClr w14:val="tx1"/>
            </w14:solidFill>
          </w14:textFill>
        </w:rPr>
        <w:t>《农田灌溉水质标准》（GB 5084-2021）；</w:t>
      </w:r>
    </w:p>
    <w:p w14:paraId="164A428E">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highlight w:val="none"/>
          <w:lang w:eastAsia="zh-CN"/>
        </w:rPr>
      </w:pPr>
      <w:r>
        <w:rPr>
          <w:rFonts w:hint="eastAsia" w:cs="Times New Roman"/>
          <w:highlight w:val="none"/>
          <w:lang w:eastAsia="zh-CN"/>
        </w:rPr>
        <w:t>（</w:t>
      </w:r>
      <w:r>
        <w:rPr>
          <w:rFonts w:hint="eastAsia" w:cs="Times New Roman"/>
          <w:highlight w:val="none"/>
          <w:lang w:val="en-US" w:eastAsia="zh-CN"/>
        </w:rPr>
        <w:t>12</w:t>
      </w:r>
      <w:r>
        <w:rPr>
          <w:rFonts w:hint="eastAsia" w:cs="Times New Roman"/>
          <w:highlight w:val="none"/>
          <w:lang w:eastAsia="zh-CN"/>
        </w:rPr>
        <w:t>）《排污许可证申请与核发技术规范</w:t>
      </w:r>
      <w:r>
        <w:rPr>
          <w:rFonts w:hint="eastAsia" w:cs="Times New Roman"/>
          <w:highlight w:val="none"/>
          <w:lang w:val="en-US" w:eastAsia="zh-CN"/>
        </w:rPr>
        <w:t xml:space="preserve"> </w:t>
      </w:r>
      <w:r>
        <w:rPr>
          <w:rFonts w:hint="eastAsia" w:cs="Times New Roman"/>
          <w:highlight w:val="none"/>
          <w:lang w:eastAsia="zh-CN"/>
        </w:rPr>
        <w:t>水处理（试行）》（HJ978-2018）；</w:t>
      </w:r>
    </w:p>
    <w:p w14:paraId="79A8D195">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highlight w:val="none"/>
          <w:lang w:eastAsia="zh-CN"/>
        </w:rPr>
      </w:pPr>
      <w:r>
        <w:rPr>
          <w:rFonts w:hint="eastAsia" w:cs="Times New Roman"/>
          <w:highlight w:val="none"/>
          <w:lang w:eastAsia="zh-CN"/>
        </w:rPr>
        <w:t>（1</w:t>
      </w:r>
      <w:r>
        <w:rPr>
          <w:rFonts w:hint="eastAsia" w:cs="Times New Roman"/>
          <w:highlight w:val="none"/>
          <w:lang w:val="en-US" w:eastAsia="zh-CN"/>
        </w:rPr>
        <w:t>3</w:t>
      </w:r>
      <w:r>
        <w:rPr>
          <w:rFonts w:hint="eastAsia" w:cs="Times New Roman"/>
          <w:highlight w:val="none"/>
          <w:lang w:eastAsia="zh-CN"/>
        </w:rPr>
        <w:t>）《排污单位自行监测技术指南</w:t>
      </w:r>
      <w:r>
        <w:rPr>
          <w:rFonts w:hint="eastAsia" w:cs="Times New Roman"/>
          <w:highlight w:val="none"/>
          <w:lang w:val="en-US" w:eastAsia="zh-CN"/>
        </w:rPr>
        <w:t xml:space="preserve"> </w:t>
      </w:r>
      <w:r>
        <w:rPr>
          <w:rFonts w:hint="eastAsia" w:cs="Times New Roman"/>
          <w:highlight w:val="none"/>
          <w:lang w:eastAsia="zh-CN"/>
        </w:rPr>
        <w:t>水处理》（HJ1083-2020）；</w:t>
      </w:r>
    </w:p>
    <w:p w14:paraId="60287DE3">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highlight w:val="none"/>
          <w:lang w:val="en-US" w:eastAsia="zh-CN"/>
        </w:rPr>
      </w:pPr>
      <w:r>
        <w:rPr>
          <w:rFonts w:hint="eastAsia" w:cs="Times New Roman"/>
          <w:highlight w:val="none"/>
          <w:lang w:eastAsia="zh-CN"/>
        </w:rPr>
        <w:t>（14）《</w:t>
      </w:r>
      <w:r>
        <w:rPr>
          <w:rFonts w:hint="eastAsia" w:cs="Times New Roman"/>
          <w:highlight w:val="none"/>
          <w:lang w:eastAsia="zh-CN"/>
        </w:rPr>
        <w:fldChar w:fldCharType="begin"/>
      </w:r>
      <w:r>
        <w:rPr>
          <w:rFonts w:hint="eastAsia" w:cs="Times New Roman"/>
          <w:highlight w:val="none"/>
          <w:lang w:eastAsia="zh-CN"/>
        </w:rPr>
        <w:instrText xml:space="preserve"> HYPERLINK "https://www.eiacloud.com/hpyzs/lawsRegulations/searchDetail?id=2590&amp;modelName=%E9%A6%96%E9%A1%B5" </w:instrText>
      </w:r>
      <w:r>
        <w:rPr>
          <w:rFonts w:hint="eastAsia" w:cs="Times New Roman"/>
          <w:highlight w:val="none"/>
          <w:lang w:eastAsia="zh-CN"/>
        </w:rPr>
        <w:fldChar w:fldCharType="separate"/>
      </w:r>
      <w:r>
        <w:rPr>
          <w:rFonts w:hint="eastAsia" w:cs="Times New Roman"/>
          <w:highlight w:val="none"/>
          <w:lang w:eastAsia="zh-CN"/>
        </w:rPr>
        <w:t>排污单位自行监测技术指南总则</w:t>
      </w:r>
      <w:r>
        <w:rPr>
          <w:rFonts w:hint="eastAsia" w:cs="Times New Roman"/>
          <w:highlight w:val="none"/>
          <w:lang w:eastAsia="zh-CN"/>
        </w:rPr>
        <w:fldChar w:fldCharType="end"/>
      </w:r>
      <w:r>
        <w:rPr>
          <w:rFonts w:hint="eastAsia" w:cs="Times New Roman"/>
          <w:highlight w:val="none"/>
          <w:lang w:eastAsia="zh-CN"/>
        </w:rPr>
        <w:t>》（HJ819-2017）</w:t>
      </w:r>
      <w:r>
        <w:rPr>
          <w:rFonts w:hint="eastAsia" w:cs="Times New Roman"/>
          <w:highlight w:val="none"/>
          <w:lang w:val="en-US" w:eastAsia="zh-CN"/>
        </w:rPr>
        <w:t>；</w:t>
      </w:r>
    </w:p>
    <w:p w14:paraId="247FF79F">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15</w:t>
      </w:r>
      <w:r>
        <w:rPr>
          <w:rFonts w:hint="eastAsia" w:cs="Times New Roman"/>
          <w:highlight w:val="none"/>
          <w:lang w:eastAsia="zh-CN"/>
        </w:rPr>
        <w:t>）</w:t>
      </w:r>
      <w:r>
        <w:rPr>
          <w:rFonts w:hint="eastAsia" w:cs="Times New Roman"/>
          <w:highlight w:val="none"/>
          <w:lang w:val="en-US" w:eastAsia="zh-CN"/>
        </w:rPr>
        <w:t>《水环境监测规范》（SL219-2013）；</w:t>
      </w:r>
    </w:p>
    <w:p w14:paraId="13332E3A">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eastAsia="宋体" w:cs="Times New Roman"/>
          <w:highlight w:val="none"/>
          <w:lang w:val="en-US" w:eastAsia="zh-CN"/>
        </w:rPr>
      </w:pPr>
      <w:r>
        <w:rPr>
          <w:rFonts w:hint="eastAsia" w:cs="Times New Roman"/>
          <w:highlight w:val="none"/>
          <w:lang w:val="en-US" w:eastAsia="zh-CN"/>
        </w:rPr>
        <w:t>（16）《水文调查规范》（SL196-2015）</w:t>
      </w:r>
      <w:r>
        <w:rPr>
          <w:rFonts w:hint="eastAsia"/>
          <w:highlight w:val="none"/>
          <w:lang w:eastAsia="zh-CN"/>
        </w:rPr>
        <w:t>；</w:t>
      </w:r>
    </w:p>
    <w:p w14:paraId="615023AE">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eastAsia="zh-CN"/>
          <w14:textFill>
            <w14:solidFill>
              <w14:schemeClr w14:val="tx1"/>
            </w14:solidFill>
          </w14:textFill>
        </w:rPr>
        <w:t>（1</w:t>
      </w:r>
      <w:r>
        <w:rPr>
          <w:rFonts w:hint="eastAsia" w:cs="Times New Roman"/>
          <w:color w:val="000000" w:themeColor="text1"/>
          <w:highlight w:val="none"/>
          <w:u w:val="none"/>
          <w:lang w:val="en-US" w:eastAsia="zh-CN"/>
          <w14:textFill>
            <w14:solidFill>
              <w14:schemeClr w14:val="tx1"/>
            </w14:solidFill>
          </w14:textFill>
        </w:rPr>
        <w:t>7</w:t>
      </w:r>
      <w:r>
        <w:rPr>
          <w:rFonts w:hint="eastAsia" w:cs="Times New Roman"/>
          <w:color w:val="000000" w:themeColor="text1"/>
          <w:highlight w:val="none"/>
          <w:u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《产业结构调整指导目录（2024年本）》；</w:t>
      </w:r>
    </w:p>
    <w:p w14:paraId="236DDC86">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18</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整治总则》（HJ1308-2023）；</w:t>
      </w:r>
    </w:p>
    <w:p w14:paraId="507E0609">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9</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入河排污口规范化建设》（HJ1309-2023）；</w:t>
      </w:r>
    </w:p>
    <w:p w14:paraId="258FFF63">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20</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名词术语》（HJ1310-2023）；</w:t>
      </w:r>
    </w:p>
    <w:p w14:paraId="3D86DAD6">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21</w:t>
      </w:r>
      <w:r>
        <w:rPr>
          <w:rFonts w:hint="eastAsia" w:ascii="Times New Roman" w:hAnsi="Times New Roman" w:eastAsia="宋体" w:cs="Times New Roman"/>
          <w:color w:val="000000" w:themeColor="text1"/>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排污口分类》（HJ 1312-2023）；</w:t>
      </w:r>
    </w:p>
    <w:p w14:paraId="460BBCF9">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22</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溯源总则》（HJ1313-2023）；</w:t>
      </w:r>
    </w:p>
    <w:p w14:paraId="66383242">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23</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）《入河入海排污口监督管理技术指南 监测（征求意见稿）》</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14:paraId="66D8D626">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1.4.</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其他资料</w:t>
      </w:r>
    </w:p>
    <w:p w14:paraId="3D8214F5">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1</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关于《南岳区污水处理工程（近期1万m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/d）环境影响报告表》的批复（衡阳市环境保护局（现衡阳市生态环境局），衡环评表（2008）32号）；</w:t>
      </w:r>
    </w:p>
    <w:p w14:paraId="218F9C31">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2</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关于《南岳区污水处理厂（二期）及配套管网扩建工程环境影响报告表》的批复（衡阳市环境保护局（现衡阳市生态环境局），衡环字（2011）123号）；</w:t>
      </w:r>
    </w:p>
    <w:p w14:paraId="33104825">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（3）关于南岳区污水处理厂（二期1万m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/d）及配套管网建设工程竣工环保验收的意见（衡阳市环境保护局（现衡阳市生态环境局），衡环发（2015）216号）；</w:t>
      </w:r>
    </w:p>
    <w:p w14:paraId="3D8D960B">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（4）《南岳区城镇污水收集处理及配套设施建设项目可行性研究报告》；</w:t>
      </w:r>
    </w:p>
    <w:p w14:paraId="3B8100D3">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（5）《南岳区城镇污水收集处理及配套设施建设项目（厂区部分）环境影响报告表》（2023年2月）；</w:t>
      </w:r>
    </w:p>
    <w:p w14:paraId="4779B272">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（6）关于《南岳区城镇污水收集处理及配套设施建设项目（厂区部分）环境影响报告表》的批复（衡阳市生态环境局，岳环发（2023）3号）；</w:t>
      </w:r>
    </w:p>
    <w:p w14:paraId="3C10C07A">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（7）建设单位提供的其他资料。</w:t>
      </w:r>
    </w:p>
    <w:p w14:paraId="35983266">
      <w:pPr>
        <w:pStyle w:val="5"/>
        <w:numPr>
          <w:ilvl w:val="0"/>
          <w:numId w:val="0"/>
        </w:numPr>
        <w:bidi w:val="0"/>
        <w:ind w:left="0" w:leftChars="0" w:firstLine="0" w:firstLineChars="0"/>
        <w:rPr>
          <w:rFonts w:hint="eastAsia"/>
          <w:highlight w:val="none"/>
          <w:lang w:val="en-US" w:eastAsia="zh-CN"/>
        </w:rPr>
      </w:pPr>
      <w:bookmarkStart w:id="55" w:name="_Toc22735"/>
      <w:r>
        <w:rPr>
          <w:rFonts w:hint="eastAsia"/>
          <w:highlight w:val="none"/>
          <w:lang w:val="en-US" w:eastAsia="zh-CN"/>
        </w:rPr>
        <w:t>1.5 论证等级</w:t>
      </w:r>
      <w:bookmarkEnd w:id="55"/>
    </w:p>
    <w:p w14:paraId="3BCBF6DD">
      <w:pPr>
        <w:pStyle w:val="60"/>
        <w:keepNext w:val="0"/>
        <w:keepLines w:val="0"/>
        <w:pageBreakBefore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根据《入河排污口设置论证报告技术导则》</w:t>
      </w:r>
      <w:r>
        <w:rPr>
          <w:rFonts w:hint="eastAsia" w:ascii="宋体" w:hAnsi="宋体" w:eastAsia="宋体" w:cs="宋体"/>
          <w:color w:val="auto"/>
          <w:kern w:val="2"/>
          <w:sz w:val="24"/>
          <w:szCs w:val="24"/>
          <w:highlight w:val="none"/>
          <w:lang w:val="en-US" w:eastAsia="zh-CN" w:bidi="ar-SA"/>
        </w:rPr>
        <w:t>（征求意见稿）</w:t>
      </w:r>
      <w:r>
        <w:rPr>
          <w:rFonts w:hint="default" w:ascii="Times New Roman" w:hAnsi="Times New Roman" w:eastAsia="宋体" w:cs="Times New Roman"/>
          <w:highlight w:val="none"/>
          <w:lang w:val="en-US" w:eastAsia="zh-CN"/>
        </w:rPr>
        <w:t>，入河排污口设置论证工作等级由各分类指标等级的最高级别确定，分类等级由水功能区管理要求、水功能区水域纳污现状、水生态现状、污染物排放种类、废污水排放流量、年度废污水排放量、区域水资源状况等分类指标的最高级别确定。通过分析确定本次入河排污口设置论证等级为</w:t>
      </w:r>
      <w:r>
        <w:rPr>
          <w:rFonts w:hint="default" w:ascii="Times New Roman" w:hAnsi="Times New Roman" w:eastAsia="宋体" w:cs="Times New Roman"/>
          <w:b/>
          <w:bCs/>
          <w:color w:val="000000"/>
          <w:highlight w:val="none"/>
          <w:lang w:val="en-US" w:eastAsia="zh-CN"/>
        </w:rPr>
        <w:t>一级</w:t>
      </w:r>
      <w:r>
        <w:rPr>
          <w:rFonts w:hint="default" w:ascii="Times New Roman" w:hAnsi="Times New Roman" w:eastAsia="宋体" w:cs="Times New Roman"/>
          <w:highlight w:val="none"/>
          <w:lang w:val="en-US" w:eastAsia="zh-CN"/>
        </w:rPr>
        <w:t>，详见下表1.5-1。</w:t>
      </w:r>
    </w:p>
    <w:p w14:paraId="22D5F387">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 xml:space="preserve">表1.5-1 </w:t>
      </w:r>
      <w:r>
        <w:rPr>
          <w:rFonts w:hint="default" w:ascii="Times New Roman" w:hAnsi="Times New Roman" w:eastAsia="宋体" w:cs="Times New Roman"/>
          <w:b/>
          <w:bCs/>
          <w:sz w:val="21"/>
          <w:szCs w:val="21"/>
          <w:highlight w:val="none"/>
          <w:lang w:val="en-US" w:eastAsia="zh-CN"/>
        </w:rPr>
        <w:t xml:space="preserve"> </w:t>
      </w:r>
      <w:r>
        <w:rPr>
          <w:rFonts w:hint="default" w:ascii="Times New Roman" w:hAnsi="Times New Roman" w:eastAsia="宋体" w:cs="Times New Roman"/>
          <w:b/>
          <w:bCs/>
          <w:sz w:val="21"/>
          <w:szCs w:val="21"/>
          <w:highlight w:val="none"/>
        </w:rPr>
        <w:t>入河排污口设置论证分类分级指标</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785"/>
        <w:gridCol w:w="1485"/>
        <w:gridCol w:w="1470"/>
        <w:gridCol w:w="1965"/>
        <w:gridCol w:w="683"/>
      </w:tblGrid>
      <w:tr w14:paraId="6DD1A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34" w:type="dxa"/>
            <w:vMerge w:val="restart"/>
            <w:tcBorders>
              <w:tl2br w:val="nil"/>
              <w:tr2bl w:val="nil"/>
            </w:tcBorders>
            <w:noWrap w:val="0"/>
            <w:vAlign w:val="center"/>
          </w:tcPr>
          <w:p w14:paraId="16B49C3C">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分类指标</w:t>
            </w:r>
          </w:p>
        </w:tc>
        <w:tc>
          <w:tcPr>
            <w:tcW w:w="4740" w:type="dxa"/>
            <w:gridSpan w:val="3"/>
            <w:tcBorders>
              <w:tl2br w:val="nil"/>
              <w:tr2bl w:val="nil"/>
            </w:tcBorders>
            <w:noWrap w:val="0"/>
            <w:vAlign w:val="center"/>
          </w:tcPr>
          <w:p w14:paraId="7D6D2FF0">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等级</w:t>
            </w:r>
          </w:p>
        </w:tc>
        <w:tc>
          <w:tcPr>
            <w:tcW w:w="1965" w:type="dxa"/>
            <w:vMerge w:val="restart"/>
            <w:tcBorders>
              <w:tl2br w:val="nil"/>
              <w:tr2bl w:val="nil"/>
            </w:tcBorders>
            <w:noWrap w:val="0"/>
            <w:vAlign w:val="center"/>
          </w:tcPr>
          <w:p w14:paraId="075FE9D0">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本项目情况</w:t>
            </w:r>
          </w:p>
        </w:tc>
        <w:tc>
          <w:tcPr>
            <w:tcW w:w="683" w:type="dxa"/>
            <w:vMerge w:val="restart"/>
            <w:tcBorders>
              <w:tl2br w:val="nil"/>
              <w:tr2bl w:val="nil"/>
            </w:tcBorders>
            <w:noWrap w:val="0"/>
            <w:vAlign w:val="center"/>
          </w:tcPr>
          <w:p w14:paraId="112655A0">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论证等级</w:t>
            </w:r>
          </w:p>
        </w:tc>
      </w:tr>
      <w:tr w14:paraId="0F760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1134" w:type="dxa"/>
            <w:vMerge w:val="continue"/>
            <w:tcBorders>
              <w:tl2br w:val="nil"/>
              <w:tr2bl w:val="nil"/>
            </w:tcBorders>
            <w:noWrap w:val="0"/>
            <w:vAlign w:val="center"/>
          </w:tcPr>
          <w:p w14:paraId="21554BB7">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vertAlign w:val="baseline"/>
                <w:lang w:val="en-US" w:eastAsia="zh-CN"/>
              </w:rPr>
            </w:pPr>
          </w:p>
        </w:tc>
        <w:tc>
          <w:tcPr>
            <w:tcW w:w="1785" w:type="dxa"/>
            <w:tcBorders>
              <w:tl2br w:val="nil"/>
              <w:tr2bl w:val="nil"/>
            </w:tcBorders>
            <w:noWrap w:val="0"/>
            <w:vAlign w:val="center"/>
          </w:tcPr>
          <w:p w14:paraId="7A80E924">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一级</w:t>
            </w:r>
          </w:p>
        </w:tc>
        <w:tc>
          <w:tcPr>
            <w:tcW w:w="1485" w:type="dxa"/>
            <w:tcBorders>
              <w:tl2br w:val="nil"/>
              <w:tr2bl w:val="nil"/>
            </w:tcBorders>
            <w:noWrap w:val="0"/>
            <w:vAlign w:val="center"/>
          </w:tcPr>
          <w:p w14:paraId="070B5756">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二级</w:t>
            </w:r>
          </w:p>
        </w:tc>
        <w:tc>
          <w:tcPr>
            <w:tcW w:w="1470" w:type="dxa"/>
            <w:tcBorders>
              <w:tl2br w:val="nil"/>
              <w:tr2bl w:val="nil"/>
            </w:tcBorders>
            <w:noWrap w:val="0"/>
            <w:vAlign w:val="center"/>
          </w:tcPr>
          <w:p w14:paraId="5B95BB99">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三级</w:t>
            </w:r>
          </w:p>
        </w:tc>
        <w:tc>
          <w:tcPr>
            <w:tcW w:w="1965" w:type="dxa"/>
            <w:vMerge w:val="continue"/>
            <w:tcBorders>
              <w:tl2br w:val="nil"/>
              <w:tr2bl w:val="nil"/>
            </w:tcBorders>
            <w:noWrap w:val="0"/>
            <w:vAlign w:val="center"/>
          </w:tcPr>
          <w:p w14:paraId="114CB1D6">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vertAlign w:val="baseline"/>
                <w:lang w:val="en-US" w:eastAsia="zh-CN"/>
              </w:rPr>
            </w:pPr>
          </w:p>
        </w:tc>
        <w:tc>
          <w:tcPr>
            <w:tcW w:w="683" w:type="dxa"/>
            <w:vMerge w:val="continue"/>
            <w:tcBorders>
              <w:tl2br w:val="nil"/>
              <w:tr2bl w:val="nil"/>
            </w:tcBorders>
            <w:noWrap w:val="0"/>
            <w:vAlign w:val="center"/>
          </w:tcPr>
          <w:p w14:paraId="58B5CDC5">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vertAlign w:val="baseline"/>
                <w:lang w:val="en-US" w:eastAsia="zh-CN"/>
              </w:rPr>
            </w:pPr>
          </w:p>
        </w:tc>
      </w:tr>
      <w:tr w14:paraId="0D591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4" w:type="dxa"/>
            <w:tcBorders>
              <w:tl2br w:val="nil"/>
              <w:tr2bl w:val="nil"/>
            </w:tcBorders>
            <w:noWrap w:val="0"/>
            <w:vAlign w:val="center"/>
          </w:tcPr>
          <w:p w14:paraId="0AFF93F5">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水功能区管理要求</w:t>
            </w:r>
          </w:p>
        </w:tc>
        <w:tc>
          <w:tcPr>
            <w:tcW w:w="1785" w:type="dxa"/>
            <w:tcBorders>
              <w:tl2br w:val="nil"/>
              <w:tr2bl w:val="nil"/>
            </w:tcBorders>
            <w:noWrap w:val="0"/>
            <w:vAlign w:val="center"/>
          </w:tcPr>
          <w:p w14:paraId="7636D8DD">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宋体" w:hAnsi="宋体" w:eastAsia="宋体" w:cs="宋体"/>
                <w:b w:val="0"/>
                <w:bCs w:val="0"/>
                <w:sz w:val="21"/>
                <w:szCs w:val="21"/>
                <w:highlight w:val="none"/>
              </w:rPr>
              <w:t>涉及一级水功能区中的保护区、保留区、缓冲区及二级水功能区中饮用水水源区</w:t>
            </w:r>
          </w:p>
        </w:tc>
        <w:tc>
          <w:tcPr>
            <w:tcW w:w="1485" w:type="dxa"/>
            <w:tcBorders>
              <w:tl2br w:val="nil"/>
              <w:tr2bl w:val="nil"/>
            </w:tcBorders>
            <w:noWrap w:val="0"/>
            <w:vAlign w:val="center"/>
          </w:tcPr>
          <w:p w14:paraId="495C5A48">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涉及二级水功能区中的工业、农业、渔业、景观娱乐用水区</w:t>
            </w:r>
          </w:p>
        </w:tc>
        <w:tc>
          <w:tcPr>
            <w:tcW w:w="1470" w:type="dxa"/>
            <w:tcBorders>
              <w:tl2br w:val="nil"/>
              <w:tr2bl w:val="nil"/>
            </w:tcBorders>
            <w:noWrap w:val="0"/>
            <w:vAlign w:val="center"/>
          </w:tcPr>
          <w:p w14:paraId="6ADE4DF8">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宋体" w:hAnsi="宋体" w:eastAsia="宋体" w:cs="宋体"/>
                <w:b w:val="0"/>
                <w:bCs w:val="0"/>
                <w:sz w:val="21"/>
                <w:szCs w:val="21"/>
                <w:highlight w:val="none"/>
              </w:rPr>
              <w:t>涉及二级水功能区中的排污控制区和过渡区</w:t>
            </w:r>
          </w:p>
        </w:tc>
        <w:tc>
          <w:tcPr>
            <w:tcW w:w="1965" w:type="dxa"/>
            <w:tcBorders>
              <w:tl2br w:val="nil"/>
              <w:tr2bl w:val="nil"/>
            </w:tcBorders>
            <w:noWrap w:val="0"/>
            <w:vAlign w:val="center"/>
          </w:tcPr>
          <w:p w14:paraId="04F78862">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纳污水体龙荫港暂未划定水功能区</w:t>
            </w:r>
          </w:p>
        </w:tc>
        <w:tc>
          <w:tcPr>
            <w:tcW w:w="683" w:type="dxa"/>
            <w:tcBorders>
              <w:tl2br w:val="nil"/>
              <w:tr2bl w:val="nil"/>
            </w:tcBorders>
            <w:noWrap w:val="0"/>
            <w:vAlign w:val="center"/>
          </w:tcPr>
          <w:p w14:paraId="17B924E2">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三级</w:t>
            </w:r>
          </w:p>
        </w:tc>
      </w:tr>
      <w:tr w14:paraId="459BC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4" w:type="dxa"/>
            <w:tcBorders>
              <w:tl2br w:val="nil"/>
              <w:tr2bl w:val="nil"/>
            </w:tcBorders>
            <w:noWrap w:val="0"/>
            <w:vAlign w:val="center"/>
          </w:tcPr>
          <w:p w14:paraId="1B3D8DE8">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水功能区水域纳污现状</w:t>
            </w:r>
          </w:p>
        </w:tc>
        <w:tc>
          <w:tcPr>
            <w:tcW w:w="1785" w:type="dxa"/>
            <w:tcBorders>
              <w:tl2br w:val="nil"/>
              <w:tr2bl w:val="nil"/>
            </w:tcBorders>
            <w:noWrap w:val="0"/>
            <w:vAlign w:val="center"/>
          </w:tcPr>
          <w:p w14:paraId="6079A613">
            <w:pPr>
              <w:keepNext w:val="0"/>
              <w:keepLines w:val="0"/>
              <w:pageBreakBefore w:val="0"/>
              <w:tabs>
                <w:tab w:val="left" w:pos="840"/>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现状污染物入河量超出水功能区水域纳污能力</w:t>
            </w:r>
          </w:p>
        </w:tc>
        <w:tc>
          <w:tcPr>
            <w:tcW w:w="1485" w:type="dxa"/>
            <w:tcBorders>
              <w:tl2br w:val="nil"/>
              <w:tr2bl w:val="nil"/>
            </w:tcBorders>
            <w:noWrap w:val="0"/>
            <w:vAlign w:val="center"/>
          </w:tcPr>
          <w:p w14:paraId="27066E1C">
            <w:pPr>
              <w:keepNext w:val="0"/>
              <w:keepLines w:val="0"/>
              <w:pageBreakBefore w:val="0"/>
              <w:tabs>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现状污染物入河量接近水功能区水域纳污能力</w:t>
            </w:r>
          </w:p>
        </w:tc>
        <w:tc>
          <w:tcPr>
            <w:tcW w:w="1470" w:type="dxa"/>
            <w:tcBorders>
              <w:tl2br w:val="nil"/>
              <w:tr2bl w:val="nil"/>
            </w:tcBorders>
            <w:noWrap w:val="0"/>
            <w:vAlign w:val="center"/>
          </w:tcPr>
          <w:p w14:paraId="14A51AA1">
            <w:pPr>
              <w:keepNext w:val="0"/>
              <w:keepLines w:val="0"/>
              <w:pageBreakBefore w:val="0"/>
              <w:tabs>
                <w:tab w:val="left" w:pos="312"/>
                <w:tab w:val="left" w:pos="522"/>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现状污染物入河量远小于水功能区水域纳污能力</w:t>
            </w:r>
          </w:p>
        </w:tc>
        <w:tc>
          <w:tcPr>
            <w:tcW w:w="1965" w:type="dxa"/>
            <w:tcBorders>
              <w:tl2br w:val="nil"/>
              <w:tr2bl w:val="nil"/>
            </w:tcBorders>
            <w:noWrap w:val="0"/>
            <w:vAlign w:val="center"/>
          </w:tcPr>
          <w:p w14:paraId="71EFCB99">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FF0000"/>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现状污染物入河量接近水功能区水域纳污能力</w:t>
            </w:r>
          </w:p>
        </w:tc>
        <w:tc>
          <w:tcPr>
            <w:tcW w:w="683" w:type="dxa"/>
            <w:tcBorders>
              <w:tl2br w:val="nil"/>
              <w:tr2bl w:val="nil"/>
            </w:tcBorders>
            <w:noWrap w:val="0"/>
            <w:vAlign w:val="center"/>
          </w:tcPr>
          <w:p w14:paraId="2581ADD3">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cs="Times New Roman"/>
                <w:b w:val="0"/>
                <w:bCs w:val="0"/>
                <w:color w:val="000000"/>
                <w:sz w:val="21"/>
                <w:szCs w:val="21"/>
                <w:highlight w:val="none"/>
                <w:vertAlign w:val="baseline"/>
                <w:lang w:val="en-US" w:eastAsia="zh-CN"/>
              </w:rPr>
              <w:t>二</w:t>
            </w:r>
            <w:r>
              <w:rPr>
                <w:rFonts w:hint="eastAsia" w:ascii="Times New Roman" w:hAnsi="Times New Roman" w:eastAsia="宋体" w:cs="Times New Roman"/>
                <w:b w:val="0"/>
                <w:bCs w:val="0"/>
                <w:color w:val="000000"/>
                <w:sz w:val="21"/>
                <w:szCs w:val="21"/>
                <w:highlight w:val="none"/>
                <w:vertAlign w:val="baseline"/>
                <w:lang w:val="en-US" w:eastAsia="zh-CN"/>
              </w:rPr>
              <w:t>级</w:t>
            </w:r>
          </w:p>
        </w:tc>
      </w:tr>
      <w:tr w14:paraId="22D93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4" w:type="dxa"/>
            <w:tcBorders>
              <w:tl2br w:val="nil"/>
              <w:tr2bl w:val="nil"/>
            </w:tcBorders>
            <w:noWrap w:val="0"/>
            <w:vAlign w:val="center"/>
          </w:tcPr>
          <w:p w14:paraId="3BFF8452">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水生态现状</w:t>
            </w:r>
          </w:p>
        </w:tc>
        <w:tc>
          <w:tcPr>
            <w:tcW w:w="1785" w:type="dxa"/>
            <w:tcBorders>
              <w:tl2br w:val="nil"/>
              <w:tr2bl w:val="nil"/>
            </w:tcBorders>
            <w:noWrap w:val="0"/>
            <w:vAlign w:val="center"/>
          </w:tcPr>
          <w:p w14:paraId="45D63998">
            <w:pPr>
              <w:keepNext w:val="0"/>
              <w:keepLines w:val="0"/>
              <w:pageBreakBefore w:val="0"/>
              <w:tabs>
                <w:tab w:val="left" w:pos="840"/>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现状生态问题敏感；相关水域现状排污对水文情势和水生态环境产生明显影响，同时存在水温或水体富营养化影响问题</w:t>
            </w:r>
          </w:p>
        </w:tc>
        <w:tc>
          <w:tcPr>
            <w:tcW w:w="1485" w:type="dxa"/>
            <w:tcBorders>
              <w:tl2br w:val="nil"/>
              <w:tr2bl w:val="nil"/>
            </w:tcBorders>
            <w:noWrap w:val="0"/>
            <w:vAlign w:val="center"/>
          </w:tcPr>
          <w:p w14:paraId="1D2FD71C">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现状生态问题较为敏感；相关水域现状排污对水文情势和水生态环境产生一定影响</w:t>
            </w:r>
          </w:p>
        </w:tc>
        <w:tc>
          <w:tcPr>
            <w:tcW w:w="1470" w:type="dxa"/>
            <w:tcBorders>
              <w:tl2br w:val="nil"/>
              <w:tr2bl w:val="nil"/>
            </w:tcBorders>
            <w:noWrap w:val="0"/>
            <w:vAlign w:val="center"/>
          </w:tcPr>
          <w:p w14:paraId="46094C67">
            <w:pPr>
              <w:keepNext w:val="0"/>
              <w:keepLines w:val="0"/>
              <w:pageBreakBefore w:val="0"/>
              <w:tabs>
                <w:tab w:val="left" w:pos="312"/>
                <w:tab w:val="left" w:pos="522"/>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现状无敏感生态问题；相关水域现状排污对水生态环境无影响或影响轻微</w:t>
            </w:r>
          </w:p>
        </w:tc>
        <w:tc>
          <w:tcPr>
            <w:tcW w:w="1965" w:type="dxa"/>
            <w:tcBorders>
              <w:tl2br w:val="nil"/>
              <w:tr2bl w:val="nil"/>
            </w:tcBorders>
            <w:noWrap w:val="0"/>
            <w:vAlign w:val="center"/>
          </w:tcPr>
          <w:p w14:paraId="2B483A25">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highlight w:val="none"/>
                <w:lang w:val="en-US" w:eastAsia="zh-CN"/>
              </w:rPr>
              <w:t>本</w:t>
            </w:r>
            <w:r>
              <w:rPr>
                <w:rFonts w:hint="default" w:ascii="Times New Roman" w:hAnsi="Times New Roman" w:eastAsia="宋体" w:cs="Times New Roman"/>
                <w:highlight w:val="none"/>
                <w:lang w:val="en-US" w:eastAsia="zh-CN"/>
              </w:rPr>
              <w:t>入河排污口</w:t>
            </w:r>
            <w:r>
              <w:rPr>
                <w:rFonts w:hint="eastAsia" w:ascii="Times New Roman" w:hAnsi="Times New Roman" w:eastAsia="宋体" w:cs="Times New Roman"/>
                <w:b w:val="0"/>
                <w:bCs w:val="0"/>
                <w:color w:val="000000"/>
                <w:sz w:val="21"/>
                <w:szCs w:val="21"/>
                <w:highlight w:val="none"/>
                <w:vertAlign w:val="baseline"/>
                <w:lang w:val="en-US" w:eastAsia="zh-CN"/>
              </w:rPr>
              <w:t>所在区域现状均无敏感生态问题，相关水域现状排污均对水生态环境无影响。</w:t>
            </w:r>
          </w:p>
        </w:tc>
        <w:tc>
          <w:tcPr>
            <w:tcW w:w="683" w:type="dxa"/>
            <w:tcBorders>
              <w:tl2br w:val="nil"/>
              <w:tr2bl w:val="nil"/>
            </w:tcBorders>
            <w:noWrap w:val="0"/>
            <w:vAlign w:val="center"/>
          </w:tcPr>
          <w:p w14:paraId="6B50C01B">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三级</w:t>
            </w:r>
          </w:p>
        </w:tc>
      </w:tr>
      <w:tr w14:paraId="13CFB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4" w:type="dxa"/>
            <w:tcBorders>
              <w:tl2br w:val="nil"/>
              <w:tr2bl w:val="nil"/>
            </w:tcBorders>
            <w:noWrap w:val="0"/>
            <w:vAlign w:val="center"/>
          </w:tcPr>
          <w:p w14:paraId="330B297B">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污染物排放种类</w:t>
            </w:r>
          </w:p>
        </w:tc>
        <w:tc>
          <w:tcPr>
            <w:tcW w:w="1785" w:type="dxa"/>
            <w:tcBorders>
              <w:tl2br w:val="nil"/>
              <w:tr2bl w:val="nil"/>
            </w:tcBorders>
            <w:noWrap w:val="0"/>
            <w:vAlign w:val="center"/>
          </w:tcPr>
          <w:p w14:paraId="74531B07">
            <w:pPr>
              <w:keepNext w:val="0"/>
              <w:keepLines w:val="0"/>
              <w:pageBreakBefore w:val="0"/>
              <w:tabs>
                <w:tab w:val="left" w:pos="840"/>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所排放废污水含有毒有机物、重金属、放射性或持久性化学污染物</w:t>
            </w:r>
          </w:p>
        </w:tc>
        <w:tc>
          <w:tcPr>
            <w:tcW w:w="1485" w:type="dxa"/>
            <w:tcBorders>
              <w:tl2br w:val="nil"/>
              <w:tr2bl w:val="nil"/>
            </w:tcBorders>
            <w:noWrap w:val="0"/>
            <w:vAlign w:val="center"/>
          </w:tcPr>
          <w:p w14:paraId="456E1F10">
            <w:pPr>
              <w:keepNext w:val="0"/>
              <w:keepLines w:val="0"/>
              <w:pageBreakBefore w:val="0"/>
              <w:tabs>
                <w:tab w:val="left" w:pos="522"/>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所排放废污水含有多种可降解化学污染物</w:t>
            </w:r>
          </w:p>
        </w:tc>
        <w:tc>
          <w:tcPr>
            <w:tcW w:w="1470" w:type="dxa"/>
            <w:tcBorders>
              <w:tl2br w:val="nil"/>
              <w:tr2bl w:val="nil"/>
            </w:tcBorders>
            <w:noWrap w:val="0"/>
            <w:vAlign w:val="center"/>
          </w:tcPr>
          <w:p w14:paraId="24D5A1E3">
            <w:pPr>
              <w:keepNext w:val="0"/>
              <w:keepLines w:val="0"/>
              <w:pageBreakBefore w:val="0"/>
              <w:tabs>
                <w:tab w:val="left" w:pos="312"/>
                <w:tab w:val="left" w:pos="522"/>
                <w:tab w:val="left" w:pos="1425"/>
              </w:tabs>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所排放废污水含有少量可降解的污染物</w:t>
            </w:r>
          </w:p>
        </w:tc>
        <w:tc>
          <w:tcPr>
            <w:tcW w:w="1965" w:type="dxa"/>
            <w:tcBorders>
              <w:tl2br w:val="nil"/>
              <w:tr2bl w:val="nil"/>
            </w:tcBorders>
            <w:noWrap w:val="0"/>
            <w:vAlign w:val="center"/>
          </w:tcPr>
          <w:p w14:paraId="74EB3855">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highlight w:val="none"/>
                <w:lang w:val="en-US" w:eastAsia="zh-CN"/>
              </w:rPr>
              <w:t>本</w:t>
            </w:r>
            <w:r>
              <w:rPr>
                <w:rFonts w:hint="default" w:ascii="Times New Roman" w:hAnsi="Times New Roman" w:eastAsia="宋体" w:cs="Times New Roman"/>
                <w:highlight w:val="none"/>
                <w:lang w:val="en-US" w:eastAsia="zh-CN"/>
              </w:rPr>
              <w:t>入河排污口</w:t>
            </w:r>
            <w:r>
              <w:rPr>
                <w:rFonts w:ascii="宋体" w:hAnsi="宋体" w:eastAsia="宋体" w:cs="宋体"/>
                <w:sz w:val="21"/>
                <w:szCs w:val="21"/>
                <w:highlight w:val="none"/>
              </w:rPr>
              <w:t>排放废污水含有多种可降解化学污染物</w:t>
            </w:r>
          </w:p>
        </w:tc>
        <w:tc>
          <w:tcPr>
            <w:tcW w:w="683" w:type="dxa"/>
            <w:tcBorders>
              <w:tl2br w:val="nil"/>
              <w:tr2bl w:val="nil"/>
            </w:tcBorders>
            <w:noWrap w:val="0"/>
            <w:vAlign w:val="center"/>
          </w:tcPr>
          <w:p w14:paraId="51625839">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二级</w:t>
            </w:r>
          </w:p>
        </w:tc>
      </w:tr>
      <w:tr w14:paraId="164D3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4" w:hRule="atLeast"/>
        </w:trPr>
        <w:tc>
          <w:tcPr>
            <w:tcW w:w="1134" w:type="dxa"/>
            <w:tcBorders>
              <w:tl2br w:val="nil"/>
              <w:tr2bl w:val="nil"/>
            </w:tcBorders>
            <w:noWrap w:val="0"/>
            <w:vAlign w:val="center"/>
          </w:tcPr>
          <w:p w14:paraId="0A806A08">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Calibri" w:eastAsia="宋体" w:cs="Times New Roman"/>
                <w:color w:val="auto"/>
                <w:kern w:val="2"/>
                <w:sz w:val="21"/>
                <w:szCs w:val="21"/>
                <w:highlight w:val="none"/>
                <w:u w:val="none"/>
                <w:lang w:val="en-US"/>
              </w:rPr>
              <w:t>废污水排放流量（缺水地区</w:t>
            </w:r>
            <w:r>
              <w:rPr>
                <w:rFonts w:ascii="Times New Roman" w:hAnsi="Times New Roman" w:eastAsia="宋体" w:cs="Times New Roman"/>
                <w:color w:val="auto"/>
                <w:kern w:val="2"/>
                <w:sz w:val="21"/>
                <w:szCs w:val="21"/>
                <w:highlight w:val="none"/>
                <w:u w:val="none"/>
                <w:lang w:val="en-US"/>
              </w:rPr>
              <w:t>m</w:t>
            </w:r>
            <w:r>
              <w:rPr>
                <w:rFonts w:ascii="Times New Roman" w:hAnsi="Times New Roman" w:eastAsia="宋体" w:cs="Times New Roman"/>
                <w:color w:val="auto"/>
                <w:kern w:val="2"/>
                <w:sz w:val="21"/>
                <w:szCs w:val="21"/>
                <w:highlight w:val="none"/>
                <w:u w:val="none"/>
                <w:vertAlign w:val="superscript"/>
                <w:lang w:val="en-US"/>
              </w:rPr>
              <w:t>3</w:t>
            </w:r>
            <w:r>
              <w:rPr>
                <w:rFonts w:ascii="Times New Roman" w:hAnsi="Times New Roman" w:eastAsia="宋体" w:cs="Times New Roman"/>
                <w:color w:val="auto"/>
                <w:kern w:val="2"/>
                <w:sz w:val="21"/>
                <w:szCs w:val="21"/>
                <w:highlight w:val="none"/>
                <w:u w:val="none"/>
                <w:lang w:val="en-US"/>
              </w:rPr>
              <w:t>/h</w:t>
            </w:r>
            <w:r>
              <w:rPr>
                <w:rFonts w:ascii="Times New Roman" w:hAnsi="Calibri" w:eastAsia="宋体" w:cs="Times New Roman"/>
                <w:color w:val="auto"/>
                <w:kern w:val="2"/>
                <w:sz w:val="21"/>
                <w:szCs w:val="21"/>
                <w:highlight w:val="none"/>
                <w:u w:val="none"/>
                <w:lang w:val="en-US"/>
              </w:rPr>
              <w:t>）</w:t>
            </w:r>
          </w:p>
        </w:tc>
        <w:tc>
          <w:tcPr>
            <w:tcW w:w="1785" w:type="dxa"/>
            <w:tcBorders>
              <w:tl2br w:val="nil"/>
              <w:tr2bl w:val="nil"/>
            </w:tcBorders>
            <w:noWrap w:val="0"/>
            <w:vAlign w:val="center"/>
          </w:tcPr>
          <w:p w14:paraId="5863D46B">
            <w:pPr>
              <w:keepNext w:val="0"/>
              <w:keepLines w:val="0"/>
              <w:pageBreakBefore w:val="0"/>
              <w:tabs>
                <w:tab w:val="left" w:pos="522"/>
              </w:tabs>
              <w:kinsoku/>
              <w:wordWrap/>
              <w:overflowPunct/>
              <w:topLinePunct w:val="0"/>
              <w:autoSpaceDE/>
              <w:autoSpaceDN/>
              <w:bidi w:val="0"/>
              <w:adjustRightInd w:val="0"/>
              <w:snapToGrid w:val="0"/>
              <w:spacing w:before="0" w:beforeLines="0" w:after="0" w:afterLines="0" w:line="240" w:lineRule="auto"/>
              <w:ind w:right="0" w:right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1000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300</w:t>
            </w:r>
            <w:r>
              <w:rPr>
                <w:rFonts w:ascii="Times New Roman" w:hAnsi="Calibri" w:eastAsia="宋体" w:cs="Times New Roman"/>
                <w:color w:val="auto"/>
                <w:kern w:val="2"/>
                <w:sz w:val="21"/>
                <w:szCs w:val="21"/>
                <w:highlight w:val="none"/>
                <w:u w:val="none"/>
                <w:lang w:val="en-US"/>
              </w:rPr>
              <w:t>）</w:t>
            </w:r>
          </w:p>
        </w:tc>
        <w:tc>
          <w:tcPr>
            <w:tcW w:w="1485" w:type="dxa"/>
            <w:tcBorders>
              <w:tl2br w:val="nil"/>
              <w:tr2bl w:val="nil"/>
            </w:tcBorders>
            <w:noWrap w:val="0"/>
            <w:vAlign w:val="center"/>
          </w:tcPr>
          <w:p w14:paraId="0F1819A3">
            <w:pPr>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textAlignment w:val="auto"/>
              <w:rPr>
                <w:rFonts w:hint="eastAsia" w:ascii="Times New Roman" w:hAnsi="Times New Roman" w:eastAsia="宋体" w:cs="Times New Roman"/>
                <w:b/>
                <w:bCs/>
                <w:sz w:val="21"/>
                <w:szCs w:val="21"/>
                <w:highlight w:val="none"/>
                <w:vertAlign w:val="baseline"/>
                <w:lang w:val="en-US" w:eastAsia="zh-CN"/>
              </w:rPr>
            </w:pPr>
            <w:r>
              <w:rPr>
                <w:rFonts w:ascii="Times New Roman" w:hAnsi="Times New Roman" w:eastAsia="宋体" w:cs="Times New Roman"/>
                <w:color w:val="auto"/>
                <w:kern w:val="2"/>
                <w:sz w:val="21"/>
                <w:szCs w:val="21"/>
                <w:highlight w:val="none"/>
                <w:u w:val="none"/>
                <w:lang w:val="en-US"/>
              </w:rPr>
              <w:t>1000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500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300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100</w:t>
            </w:r>
            <w:r>
              <w:rPr>
                <w:rFonts w:ascii="Times New Roman" w:hAnsi="Calibri" w:eastAsia="宋体" w:cs="Times New Roman"/>
                <w:color w:val="auto"/>
                <w:kern w:val="2"/>
                <w:sz w:val="21"/>
                <w:szCs w:val="21"/>
                <w:highlight w:val="none"/>
                <w:u w:val="none"/>
                <w:lang w:val="en-US"/>
              </w:rPr>
              <w:t>）</w:t>
            </w:r>
          </w:p>
        </w:tc>
        <w:tc>
          <w:tcPr>
            <w:tcW w:w="1470" w:type="dxa"/>
            <w:tcBorders>
              <w:tl2br w:val="nil"/>
              <w:tr2bl w:val="nil"/>
            </w:tcBorders>
            <w:noWrap w:val="0"/>
            <w:vAlign w:val="center"/>
          </w:tcPr>
          <w:p w14:paraId="22ECBB0D">
            <w:pPr>
              <w:keepNext w:val="0"/>
              <w:keepLines w:val="0"/>
              <w:pageBreakBefore w:val="0"/>
              <w:tabs>
                <w:tab w:val="left" w:pos="312"/>
                <w:tab w:val="left" w:pos="522"/>
              </w:tabs>
              <w:kinsoku/>
              <w:wordWrap/>
              <w:overflowPunct/>
              <w:topLinePunct w:val="0"/>
              <w:autoSpaceDE/>
              <w:autoSpaceDN/>
              <w:bidi w:val="0"/>
              <w:adjustRightInd w:val="0"/>
              <w:snapToGrid w:val="0"/>
              <w:spacing w:before="0" w:beforeLines="0" w:after="0" w:afterLines="0" w:line="240" w:lineRule="auto"/>
              <w:ind w:left="189" w:leftChars="0" w:right="0" w:rightChars="0" w:hanging="189" w:hangingChars="90"/>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500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100</w:t>
            </w:r>
            <w:r>
              <w:rPr>
                <w:rFonts w:ascii="Times New Roman" w:hAnsi="Calibri" w:eastAsia="宋体" w:cs="Times New Roman"/>
                <w:color w:val="auto"/>
                <w:kern w:val="2"/>
                <w:sz w:val="21"/>
                <w:szCs w:val="21"/>
                <w:highlight w:val="none"/>
                <w:u w:val="none"/>
                <w:lang w:val="en-US"/>
              </w:rPr>
              <w:t>）</w:t>
            </w:r>
          </w:p>
        </w:tc>
        <w:tc>
          <w:tcPr>
            <w:tcW w:w="1965" w:type="dxa"/>
            <w:tcBorders>
              <w:tl2br w:val="nil"/>
              <w:tr2bl w:val="nil"/>
            </w:tcBorders>
            <w:noWrap w:val="0"/>
            <w:vAlign w:val="center"/>
          </w:tcPr>
          <w:p w14:paraId="310AB8DC">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不属于缺水地区，排放流量为1250m</w:t>
            </w:r>
            <w:r>
              <w:rPr>
                <w:rFonts w:hint="eastAsia" w:ascii="Times New Roman" w:hAnsi="Times New Roman" w:eastAsia="宋体" w:cs="Times New Roman"/>
                <w:b w:val="0"/>
                <w:bCs w:val="0"/>
                <w:sz w:val="21"/>
                <w:szCs w:val="21"/>
                <w:highlight w:val="none"/>
                <w:vertAlign w:val="superscript"/>
                <w:lang w:val="en-US" w:eastAsia="zh-CN"/>
              </w:rPr>
              <w:t>3</w:t>
            </w:r>
            <w:r>
              <w:rPr>
                <w:rFonts w:hint="eastAsia" w:ascii="Times New Roman" w:hAnsi="Times New Roman" w:eastAsia="宋体" w:cs="Times New Roman"/>
                <w:b w:val="0"/>
                <w:bCs w:val="0"/>
                <w:sz w:val="21"/>
                <w:szCs w:val="21"/>
                <w:highlight w:val="none"/>
                <w:vertAlign w:val="baseline"/>
                <w:lang w:val="en-US" w:eastAsia="zh-CN"/>
              </w:rPr>
              <w:t>/h。</w:t>
            </w:r>
          </w:p>
        </w:tc>
        <w:tc>
          <w:tcPr>
            <w:tcW w:w="683" w:type="dxa"/>
            <w:tcBorders>
              <w:tl2br w:val="nil"/>
              <w:tr2bl w:val="nil"/>
            </w:tcBorders>
            <w:noWrap w:val="0"/>
            <w:vAlign w:val="center"/>
          </w:tcPr>
          <w:p w14:paraId="3D0DB679">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一级</w:t>
            </w:r>
          </w:p>
        </w:tc>
      </w:tr>
      <w:tr w14:paraId="5ABB0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9" w:hRule="atLeast"/>
        </w:trPr>
        <w:tc>
          <w:tcPr>
            <w:tcW w:w="1134" w:type="dxa"/>
            <w:tcBorders>
              <w:tl2br w:val="nil"/>
              <w:tr2bl w:val="nil"/>
            </w:tcBorders>
            <w:noWrap w:val="0"/>
            <w:vAlign w:val="center"/>
          </w:tcPr>
          <w:p w14:paraId="72A40A7F">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ascii="Times New Roman" w:hAnsi="Calibri"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年度废污水排放量</w:t>
            </w:r>
          </w:p>
        </w:tc>
        <w:tc>
          <w:tcPr>
            <w:tcW w:w="1785" w:type="dxa"/>
            <w:tcBorders>
              <w:tl2br w:val="nil"/>
              <w:tr2bl w:val="nil"/>
            </w:tcBorders>
            <w:noWrap w:val="0"/>
            <w:vAlign w:val="center"/>
          </w:tcPr>
          <w:p w14:paraId="368A4D8A">
            <w:pPr>
              <w:keepNext w:val="0"/>
              <w:keepLines w:val="0"/>
              <w:pageBreakBefore w:val="0"/>
              <w:tabs>
                <w:tab w:val="left" w:pos="522"/>
              </w:tabs>
              <w:kinsoku/>
              <w:wordWrap/>
              <w:overflowPunct/>
              <w:topLinePunct w:val="0"/>
              <w:autoSpaceDE/>
              <w:autoSpaceDN/>
              <w:bidi w:val="0"/>
              <w:adjustRightInd w:val="0"/>
              <w:snapToGrid w:val="0"/>
              <w:spacing w:before="0" w:beforeLines="0" w:after="0" w:afterLines="0" w:line="240" w:lineRule="auto"/>
              <w:ind w:left="0" w:leftChars="0" w:right="0" w:rightChars="0" w:firstLine="174" w:firstLineChars="83"/>
              <w:jc w:val="center"/>
              <w:textAlignment w:val="auto"/>
              <w:rPr>
                <w:rFonts w:hint="eastAsia" w:ascii="Times New Roman" w:hAnsi="Times New Roman"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大于</w:t>
            </w:r>
            <w:r>
              <w:rPr>
                <w:rFonts w:ascii="Times New Roman" w:hAnsi="Times New Roman" w:eastAsia="宋体" w:cs="Times New Roman"/>
                <w:color w:val="auto"/>
                <w:kern w:val="2"/>
                <w:sz w:val="21"/>
                <w:szCs w:val="21"/>
                <w:highlight w:val="none"/>
                <w:u w:val="none"/>
                <w:lang w:val="en-US"/>
              </w:rPr>
              <w:t>200</w:t>
            </w:r>
            <w:r>
              <w:rPr>
                <w:rFonts w:ascii="Times New Roman" w:hAnsi="Calibri" w:eastAsia="宋体" w:cs="Times New Roman"/>
                <w:color w:val="auto"/>
                <w:kern w:val="2"/>
                <w:sz w:val="21"/>
                <w:szCs w:val="21"/>
                <w:highlight w:val="none"/>
                <w:u w:val="none"/>
                <w:lang w:val="en-US"/>
              </w:rPr>
              <w:t>万吨</w:t>
            </w:r>
          </w:p>
        </w:tc>
        <w:tc>
          <w:tcPr>
            <w:tcW w:w="1485" w:type="dxa"/>
            <w:tcBorders>
              <w:tl2br w:val="nil"/>
              <w:tr2bl w:val="nil"/>
            </w:tcBorders>
            <w:noWrap w:val="0"/>
            <w:vAlign w:val="center"/>
          </w:tcPr>
          <w:p w14:paraId="026851F3">
            <w:pPr>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both"/>
              <w:textAlignment w:val="auto"/>
              <w:rPr>
                <w:rFonts w:ascii="Times New Roman" w:hAnsi="Times New Roman" w:eastAsia="宋体" w:cs="Times New Roman"/>
                <w:color w:val="auto"/>
                <w:kern w:val="2"/>
                <w:sz w:val="21"/>
                <w:szCs w:val="21"/>
                <w:highlight w:val="none"/>
                <w:u w:val="none"/>
                <w:lang w:val="en-US"/>
              </w:rPr>
            </w:pPr>
            <w:r>
              <w:rPr>
                <w:rFonts w:ascii="Times New Roman" w:hAnsi="Times New Roman" w:eastAsia="宋体" w:cs="Times New Roman"/>
                <w:color w:val="auto"/>
                <w:kern w:val="2"/>
                <w:sz w:val="21"/>
                <w:szCs w:val="21"/>
                <w:highlight w:val="none"/>
                <w:u w:val="none"/>
                <w:lang w:val="en-US"/>
              </w:rPr>
              <w:t>20</w:t>
            </w:r>
            <w:r>
              <w:rPr>
                <w:rFonts w:ascii="Times New Roman" w:hAnsi="Calibri" w:eastAsia="宋体" w:cs="Times New Roman"/>
                <w:color w:val="auto"/>
                <w:kern w:val="2"/>
                <w:sz w:val="21"/>
                <w:szCs w:val="21"/>
                <w:highlight w:val="none"/>
                <w:u w:val="none"/>
                <w:lang w:val="en-US"/>
              </w:rPr>
              <w:t>～</w:t>
            </w:r>
            <w:r>
              <w:rPr>
                <w:rFonts w:ascii="Times New Roman" w:hAnsi="Times New Roman" w:eastAsia="宋体" w:cs="Times New Roman"/>
                <w:color w:val="auto"/>
                <w:kern w:val="2"/>
                <w:sz w:val="21"/>
                <w:szCs w:val="21"/>
                <w:highlight w:val="none"/>
                <w:u w:val="none"/>
                <w:lang w:val="en-US"/>
              </w:rPr>
              <w:t>200</w:t>
            </w:r>
            <w:r>
              <w:rPr>
                <w:rFonts w:ascii="Times New Roman" w:hAnsi="Calibri" w:eastAsia="宋体" w:cs="Times New Roman"/>
                <w:color w:val="auto"/>
                <w:kern w:val="2"/>
                <w:sz w:val="21"/>
                <w:szCs w:val="21"/>
                <w:highlight w:val="none"/>
                <w:u w:val="none"/>
                <w:lang w:val="en-US"/>
              </w:rPr>
              <w:t>万吨</w:t>
            </w:r>
          </w:p>
        </w:tc>
        <w:tc>
          <w:tcPr>
            <w:tcW w:w="1470" w:type="dxa"/>
            <w:tcBorders>
              <w:tl2br w:val="nil"/>
              <w:tr2bl w:val="nil"/>
            </w:tcBorders>
            <w:noWrap w:val="0"/>
            <w:vAlign w:val="center"/>
          </w:tcPr>
          <w:p w14:paraId="1EBA93A7">
            <w:pPr>
              <w:keepNext w:val="0"/>
              <w:keepLines w:val="0"/>
              <w:pageBreakBefore w:val="0"/>
              <w:tabs>
                <w:tab w:val="left" w:pos="312"/>
                <w:tab w:val="left" w:pos="522"/>
              </w:tabs>
              <w:kinsoku/>
              <w:wordWrap/>
              <w:overflowPunct/>
              <w:topLinePunct w:val="0"/>
              <w:autoSpaceDE/>
              <w:autoSpaceDN/>
              <w:bidi w:val="0"/>
              <w:adjustRightInd w:val="0"/>
              <w:snapToGrid w:val="0"/>
              <w:spacing w:before="0" w:beforeLines="0" w:after="0" w:afterLines="0" w:line="240" w:lineRule="auto"/>
              <w:ind w:left="189" w:leftChars="0" w:right="0" w:rightChars="0" w:hanging="189" w:hangingChars="90"/>
              <w:jc w:val="center"/>
              <w:textAlignment w:val="auto"/>
              <w:rPr>
                <w:rFonts w:hint="eastAsia" w:ascii="Times New Roman" w:hAnsi="Times New Roman"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小于</w:t>
            </w:r>
            <w:r>
              <w:rPr>
                <w:rFonts w:ascii="Times New Roman" w:hAnsi="Times New Roman" w:eastAsia="宋体" w:cs="Times New Roman"/>
                <w:color w:val="auto"/>
                <w:kern w:val="2"/>
                <w:sz w:val="21"/>
                <w:szCs w:val="21"/>
                <w:highlight w:val="none"/>
                <w:u w:val="none"/>
                <w:lang w:val="en-US"/>
              </w:rPr>
              <w:t>20</w:t>
            </w:r>
            <w:r>
              <w:rPr>
                <w:rFonts w:ascii="Times New Roman" w:hAnsi="Calibri" w:eastAsia="宋体" w:cs="Times New Roman"/>
                <w:color w:val="auto"/>
                <w:kern w:val="2"/>
                <w:sz w:val="21"/>
                <w:szCs w:val="21"/>
                <w:highlight w:val="none"/>
                <w:u w:val="none"/>
                <w:lang w:val="en-US"/>
              </w:rPr>
              <w:t>万吨</w:t>
            </w:r>
          </w:p>
        </w:tc>
        <w:tc>
          <w:tcPr>
            <w:tcW w:w="1965" w:type="dxa"/>
            <w:tcBorders>
              <w:tl2br w:val="nil"/>
              <w:tr2bl w:val="nil"/>
            </w:tcBorders>
            <w:noWrap w:val="0"/>
            <w:vAlign w:val="center"/>
          </w:tcPr>
          <w:p w14:paraId="50A5DA0A">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highlight w:val="none"/>
                <w:lang w:val="en-US" w:eastAsia="zh-CN"/>
              </w:rPr>
              <w:t>本</w:t>
            </w:r>
            <w:r>
              <w:rPr>
                <w:rFonts w:hint="default" w:ascii="Times New Roman" w:hAnsi="Times New Roman" w:eastAsia="宋体" w:cs="Times New Roman"/>
                <w:highlight w:val="none"/>
                <w:lang w:val="en-US" w:eastAsia="zh-CN"/>
              </w:rPr>
              <w:t>入河排污口</w:t>
            </w:r>
            <w:r>
              <w:rPr>
                <w:rFonts w:hint="eastAsia" w:ascii="Times New Roman" w:hAnsi="Times New Roman" w:eastAsia="宋体" w:cs="Times New Roman"/>
                <w:b w:val="0"/>
                <w:bCs w:val="0"/>
                <w:sz w:val="21"/>
                <w:szCs w:val="21"/>
                <w:highlight w:val="none"/>
                <w:vertAlign w:val="baseline"/>
                <w:lang w:val="en-US" w:eastAsia="zh-CN"/>
              </w:rPr>
              <w:t>年排放量为1095万吨，大于200万吨。</w:t>
            </w:r>
          </w:p>
        </w:tc>
        <w:tc>
          <w:tcPr>
            <w:tcW w:w="683" w:type="dxa"/>
            <w:tcBorders>
              <w:tl2br w:val="nil"/>
              <w:tr2bl w:val="nil"/>
            </w:tcBorders>
            <w:noWrap w:val="0"/>
            <w:vAlign w:val="center"/>
          </w:tcPr>
          <w:p w14:paraId="249C0151">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一级</w:t>
            </w:r>
          </w:p>
        </w:tc>
      </w:tr>
      <w:tr w14:paraId="18882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 w:hRule="atLeast"/>
        </w:trPr>
        <w:tc>
          <w:tcPr>
            <w:tcW w:w="1134" w:type="dxa"/>
            <w:tcBorders>
              <w:tl2br w:val="nil"/>
              <w:tr2bl w:val="nil"/>
            </w:tcBorders>
            <w:noWrap w:val="0"/>
            <w:vAlign w:val="center"/>
          </w:tcPr>
          <w:p w14:paraId="0756C912">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ascii="Times New Roman" w:hAnsi="Calibri"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区域水资源状况</w:t>
            </w:r>
          </w:p>
        </w:tc>
        <w:tc>
          <w:tcPr>
            <w:tcW w:w="1785" w:type="dxa"/>
            <w:tcBorders>
              <w:tl2br w:val="nil"/>
              <w:tr2bl w:val="nil"/>
            </w:tcBorders>
            <w:noWrap w:val="0"/>
            <w:vAlign w:val="center"/>
          </w:tcPr>
          <w:p w14:paraId="07989CA2">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ascii="Times New Roman" w:hAnsi="Calibri"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用水紧缺，取用水量达到或超出所分配用水指标</w:t>
            </w:r>
          </w:p>
        </w:tc>
        <w:tc>
          <w:tcPr>
            <w:tcW w:w="1485" w:type="dxa"/>
            <w:tcBorders>
              <w:tl2br w:val="nil"/>
              <w:tr2bl w:val="nil"/>
            </w:tcBorders>
            <w:noWrap w:val="0"/>
            <w:vAlign w:val="center"/>
          </w:tcPr>
          <w:p w14:paraId="3A526BA2">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水资源量一般，取用水量小于或接近所分配用水指标</w:t>
            </w:r>
          </w:p>
        </w:tc>
        <w:tc>
          <w:tcPr>
            <w:tcW w:w="1470" w:type="dxa"/>
            <w:tcBorders>
              <w:tl2br w:val="nil"/>
              <w:tr2bl w:val="nil"/>
            </w:tcBorders>
            <w:noWrap w:val="0"/>
            <w:vAlign w:val="center"/>
          </w:tcPr>
          <w:p w14:paraId="59203DEA">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ascii="Times New Roman" w:hAnsi="Calibri" w:eastAsia="宋体" w:cs="Times New Roman"/>
                <w:color w:val="auto"/>
                <w:kern w:val="2"/>
                <w:sz w:val="21"/>
                <w:szCs w:val="21"/>
                <w:highlight w:val="none"/>
                <w:u w:val="none"/>
                <w:lang w:val="en-US"/>
              </w:rPr>
            </w:pPr>
            <w:r>
              <w:rPr>
                <w:rFonts w:ascii="Times New Roman" w:hAnsi="Calibri" w:eastAsia="宋体" w:cs="Times New Roman"/>
                <w:color w:val="auto"/>
                <w:kern w:val="2"/>
                <w:sz w:val="21"/>
                <w:szCs w:val="21"/>
                <w:highlight w:val="none"/>
                <w:u w:val="none"/>
                <w:lang w:val="en-US"/>
              </w:rPr>
              <w:t>水资源丰沛，取用水量远小于所分配用水指标</w:t>
            </w:r>
          </w:p>
        </w:tc>
        <w:tc>
          <w:tcPr>
            <w:tcW w:w="1965" w:type="dxa"/>
            <w:tcBorders>
              <w:tl2br w:val="nil"/>
              <w:tr2bl w:val="nil"/>
            </w:tcBorders>
            <w:noWrap w:val="0"/>
            <w:vAlign w:val="center"/>
          </w:tcPr>
          <w:p w14:paraId="2D1953AE">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highlight w:val="none"/>
                <w:lang w:val="en-US" w:eastAsia="zh-CN"/>
              </w:rPr>
              <w:t>本</w:t>
            </w:r>
            <w:r>
              <w:rPr>
                <w:rFonts w:hint="default" w:ascii="Times New Roman" w:hAnsi="Times New Roman" w:eastAsia="宋体" w:cs="Times New Roman"/>
                <w:highlight w:val="none"/>
                <w:lang w:val="en-US" w:eastAsia="zh-CN"/>
              </w:rPr>
              <w:t>入河排污口</w:t>
            </w:r>
            <w:r>
              <w:rPr>
                <w:rFonts w:hint="eastAsia" w:ascii="Times New Roman" w:hAnsi="Times New Roman" w:eastAsia="宋体" w:cs="Times New Roman"/>
                <w:b w:val="0"/>
                <w:bCs w:val="0"/>
                <w:sz w:val="21"/>
                <w:szCs w:val="21"/>
                <w:highlight w:val="none"/>
                <w:vertAlign w:val="baseline"/>
                <w:lang w:val="en-US" w:eastAsia="zh-CN"/>
              </w:rPr>
              <w:t>所在区域水资源丰沛，且项目不涉及水资源利用。</w:t>
            </w:r>
          </w:p>
        </w:tc>
        <w:tc>
          <w:tcPr>
            <w:tcW w:w="683" w:type="dxa"/>
            <w:tcBorders>
              <w:tl2br w:val="nil"/>
              <w:tr2bl w:val="nil"/>
            </w:tcBorders>
            <w:noWrap w:val="0"/>
            <w:vAlign w:val="center"/>
          </w:tcPr>
          <w:p w14:paraId="3814E571">
            <w:pPr>
              <w:pStyle w:val="3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三级</w:t>
            </w:r>
          </w:p>
        </w:tc>
      </w:tr>
    </w:tbl>
    <w:p w14:paraId="0A83AF18">
      <w:pPr>
        <w:pStyle w:val="5"/>
        <w:numPr>
          <w:ilvl w:val="0"/>
          <w:numId w:val="0"/>
        </w:numPr>
        <w:bidi w:val="0"/>
        <w:ind w:left="0" w:leftChars="0" w:firstLine="0" w:firstLineChars="0"/>
        <w:rPr>
          <w:rFonts w:hint="default"/>
          <w:highlight w:val="none"/>
          <w:lang w:val="en-US" w:eastAsia="zh-CN"/>
        </w:rPr>
      </w:pPr>
      <w:bookmarkStart w:id="56" w:name="_Toc22220"/>
      <w:r>
        <w:rPr>
          <w:rFonts w:hint="eastAsia"/>
          <w:highlight w:val="none"/>
          <w:lang w:val="en-US" w:eastAsia="zh-CN"/>
        </w:rPr>
        <w:t>1.6 论证范围及规模</w:t>
      </w:r>
      <w:bookmarkEnd w:id="56"/>
    </w:p>
    <w:p w14:paraId="3781AF58">
      <w:pPr>
        <w:pStyle w:val="6"/>
        <w:bidi w:val="0"/>
        <w:rPr>
          <w:rFonts w:hint="default"/>
          <w:highlight w:val="none"/>
          <w:lang w:val="en-US" w:eastAsia="zh-CN"/>
        </w:rPr>
      </w:pPr>
      <w:r>
        <w:rPr>
          <w:rFonts w:hint="eastAsia"/>
          <w:highlight w:val="none"/>
          <w:lang w:val="en-US" w:eastAsia="zh-CN"/>
        </w:rPr>
        <w:t>1.6.1 论证规模</w:t>
      </w:r>
    </w:p>
    <w:p w14:paraId="44740FC3">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根据</w:t>
      </w:r>
      <w:r>
        <w:rPr>
          <w:rFonts w:hint="default" w:ascii="Times New Roman" w:hAnsi="Times New Roman" w:eastAsia="宋体" w:cs="Times New Roman"/>
          <w:highlight w:val="none"/>
          <w:lang w:val="en-US" w:eastAsia="zh-CN"/>
        </w:rPr>
        <w:t>衡阳市生态环境局关于《南岳区城镇污水收集处理及配套设施建设项目（厂区部分）环境影响报告表》的批复（岳环发（2023）3号）</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南岳区</w:t>
      </w:r>
      <w:r>
        <w:rPr>
          <w:rFonts w:hint="eastAsia" w:ascii="Times New Roman" w:hAnsi="Times New Roman" w:eastAsia="宋体" w:cs="Times New Roman"/>
          <w:highlight w:val="none"/>
          <w:lang w:val="en-US" w:eastAsia="zh-CN"/>
        </w:rPr>
        <w:t>污水处理厂</w:t>
      </w:r>
      <w:r>
        <w:rPr>
          <w:rFonts w:hint="eastAsia" w:cs="Times New Roman"/>
          <w:highlight w:val="none"/>
          <w:lang w:val="en-US" w:eastAsia="zh-CN"/>
        </w:rPr>
        <w:t>扩建及</w:t>
      </w:r>
      <w:r>
        <w:rPr>
          <w:rFonts w:hint="eastAsia" w:ascii="Times New Roman" w:hAnsi="Times New Roman" w:eastAsia="宋体" w:cs="Times New Roman"/>
          <w:highlight w:val="none"/>
          <w:lang w:val="en-US" w:eastAsia="zh-CN"/>
        </w:rPr>
        <w:t>提质改造建成后</w:t>
      </w:r>
      <w:r>
        <w:rPr>
          <w:rFonts w:hint="default" w:ascii="Times New Roman" w:hAnsi="Times New Roman" w:eastAsia="宋体" w:cs="Times New Roman"/>
          <w:highlight w:val="none"/>
          <w:lang w:val="en-US" w:eastAsia="zh-CN"/>
        </w:rPr>
        <w:t>污水处理规模达到3万m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/d</w:t>
      </w:r>
      <w:r>
        <w:rPr>
          <w:rFonts w:hint="eastAsia" w:ascii="Times New Roman" w:hAnsi="Times New Roman" w:eastAsia="宋体" w:cs="Times New Roman"/>
          <w:highlight w:val="none"/>
          <w:lang w:val="en-US" w:eastAsia="zh-CN"/>
        </w:rPr>
        <w:t>。</w:t>
      </w:r>
    </w:p>
    <w:p w14:paraId="69B5C55C">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因此，本次衡阳市南岳区污水处理厂入河排污口设置论证规模按3万m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/d进行论证，后续污水处理厂规模增大需重新进行论证。</w:t>
      </w:r>
    </w:p>
    <w:p w14:paraId="7D6DB4A4">
      <w:pPr>
        <w:pStyle w:val="6"/>
        <w:bidi w:val="0"/>
        <w:rPr>
          <w:rFonts w:hint="default"/>
          <w:highlight w:val="none"/>
          <w:lang w:val="en-US" w:eastAsia="zh-CN"/>
        </w:rPr>
      </w:pPr>
      <w:r>
        <w:rPr>
          <w:rFonts w:hint="eastAsia"/>
          <w:highlight w:val="none"/>
          <w:lang w:val="en-US" w:eastAsia="zh-CN"/>
        </w:rPr>
        <w:t>1.6.2 论证范围</w:t>
      </w:r>
    </w:p>
    <w:p w14:paraId="7062932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kern w:val="2"/>
          <w:sz w:val="24"/>
          <w:szCs w:val="20"/>
          <w:highlight w:val="none"/>
          <w:lang w:val="en-US" w:eastAsia="zh-CN" w:bidi="ar-SA"/>
        </w:rPr>
      </w:pPr>
      <w:r>
        <w:rPr>
          <w:rFonts w:hint="default" w:ascii="Times New Roman" w:hAnsi="Times New Roman" w:cs="Times New Roman"/>
          <w:b w:val="0"/>
          <w:bCs w:val="0"/>
          <w:color w:val="000000"/>
          <w:sz w:val="24"/>
          <w:szCs w:val="24"/>
          <w:highlight w:val="none"/>
          <w:lang w:val="en-US" w:eastAsia="zh-CN"/>
        </w:rPr>
        <w:t>衡阳市南岳</w:t>
      </w:r>
      <w:r>
        <w:rPr>
          <w:rFonts w:hint="eastAsia" w:ascii="Times New Roman" w:hAnsi="Times New Roman" w:cs="Times New Roman"/>
          <w:b w:val="0"/>
          <w:bCs w:val="0"/>
          <w:color w:val="000000"/>
          <w:sz w:val="24"/>
          <w:szCs w:val="24"/>
          <w:highlight w:val="none"/>
          <w:lang w:val="en-US" w:eastAsia="zh-CN"/>
        </w:rPr>
        <w:t>区</w:t>
      </w:r>
      <w:r>
        <w:rPr>
          <w:rFonts w:hint="default" w:ascii="Times New Roman" w:hAnsi="Times New Roman" w:cs="Times New Roman"/>
          <w:b w:val="0"/>
          <w:bCs w:val="0"/>
          <w:color w:val="000000"/>
          <w:sz w:val="24"/>
          <w:szCs w:val="24"/>
          <w:highlight w:val="none"/>
          <w:lang w:val="en-US" w:eastAsia="zh-CN"/>
        </w:rPr>
        <w:t>污水处理厂位于衡阳市南岳区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红星村老屋组，中心地理坐标为东经111°45′9.41421″，北纬27°13′15.94469″</w:t>
      </w:r>
      <w:r>
        <w:rPr>
          <w:rFonts w:hint="eastAsia" w:ascii="Times New Roman" w:hAnsi="Times New Roman" w:cs="Times New Roman"/>
          <w:b w:val="0"/>
          <w:bCs w:val="0"/>
          <w:color w:val="000000"/>
          <w:sz w:val="24"/>
          <w:szCs w:val="24"/>
          <w:highlight w:val="none"/>
          <w:lang w:val="en-US" w:eastAsia="zh-CN"/>
        </w:rPr>
        <w:t>。</w:t>
      </w:r>
      <w:r>
        <w:rPr>
          <w:rFonts w:hint="default" w:ascii="Times New Roman" w:hAnsi="Times New Roman" w:cs="Times New Roman"/>
          <w:b w:val="0"/>
          <w:bCs w:val="0"/>
          <w:color w:val="000000"/>
          <w:sz w:val="24"/>
          <w:szCs w:val="24"/>
          <w:highlight w:val="none"/>
          <w:lang w:val="en-US" w:eastAsia="zh-CN"/>
        </w:rPr>
        <w:t>南岳</w:t>
      </w:r>
      <w:r>
        <w:rPr>
          <w:rFonts w:hint="eastAsia" w:ascii="Times New Roman" w:hAnsi="Times New Roman" w:cs="Times New Roman"/>
          <w:b w:val="0"/>
          <w:bCs w:val="0"/>
          <w:color w:val="000000"/>
          <w:sz w:val="24"/>
          <w:szCs w:val="24"/>
          <w:highlight w:val="none"/>
          <w:lang w:val="en-US" w:eastAsia="zh-CN"/>
        </w:rPr>
        <w:t>区</w:t>
      </w:r>
      <w:r>
        <w:rPr>
          <w:rFonts w:hint="default" w:ascii="Times New Roman" w:hAnsi="Times New Roman" w:cs="Times New Roman"/>
          <w:b w:val="0"/>
          <w:bCs w:val="0"/>
          <w:color w:val="000000"/>
          <w:sz w:val="24"/>
          <w:szCs w:val="24"/>
          <w:highlight w:val="none"/>
          <w:lang w:val="en-US" w:eastAsia="zh-CN"/>
        </w:rPr>
        <w:t>污水处理厂</w:t>
      </w:r>
      <w:r>
        <w:rPr>
          <w:rFonts w:hint="eastAsia" w:ascii="Times New Roman" w:hAnsi="Times New Roman" w:cs="Times New Roman"/>
          <w:b w:val="0"/>
          <w:bCs w:val="0"/>
          <w:color w:val="000000"/>
          <w:sz w:val="24"/>
          <w:szCs w:val="24"/>
          <w:highlight w:val="none"/>
          <w:lang w:val="en-US" w:eastAsia="zh-CN"/>
        </w:rPr>
        <w:t>入河排污口设置于</w:t>
      </w:r>
      <w:r>
        <w:rPr>
          <w:rFonts w:hint="default" w:ascii="Times New Roman" w:hAnsi="Times New Roman" w:cs="Times New Roman"/>
          <w:b w:val="0"/>
          <w:bCs w:val="0"/>
          <w:color w:val="000000"/>
          <w:sz w:val="24"/>
          <w:szCs w:val="24"/>
          <w:highlight w:val="none"/>
          <w:lang w:val="en-US" w:eastAsia="zh-CN"/>
        </w:rPr>
        <w:t>衡阳市南岳区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（南岳区龙荫港左岸），坐标为</w:t>
      </w:r>
      <w:r>
        <w:rPr>
          <w:rFonts w:hint="eastAsia" w:ascii="Times New Roman" w:hAnsi="Times New Roman" w:eastAsia="宋体" w:cs="Times New Roman"/>
          <w:sz w:val="24"/>
          <w:szCs w:val="24"/>
          <w:highlight w:val="none"/>
          <w:lang w:val="en-US" w:eastAsia="zh-CN"/>
        </w:rPr>
        <w:t>东经</w:t>
      </w:r>
      <w:r>
        <w:rPr>
          <w:rFonts w:hint="default" w:ascii="Times New Roman" w:hAnsi="Times New Roman" w:eastAsia="宋体" w:cs="Times New Roman"/>
          <w:sz w:val="24"/>
          <w:szCs w:val="24"/>
          <w:highlight w:val="none"/>
          <w:lang w:val="en-US" w:eastAsia="zh-CN"/>
        </w:rPr>
        <w:t>112°45′8.53308″</w:t>
      </w:r>
      <w:r>
        <w:rPr>
          <w:rFonts w:hint="eastAsia" w:ascii="Times New Roman" w:hAnsi="Times New Roman" w:eastAsia="宋体" w:cs="Times New Roman"/>
          <w:sz w:val="24"/>
          <w:szCs w:val="24"/>
          <w:highlight w:val="none"/>
          <w:lang w:val="en-US" w:eastAsia="zh-CN"/>
        </w:rPr>
        <w:t>，北纬</w:t>
      </w:r>
      <w:r>
        <w:rPr>
          <w:rFonts w:hint="default" w:ascii="Times New Roman" w:hAnsi="Times New Roman" w:eastAsia="宋体" w:cs="Times New Roman"/>
          <w:sz w:val="24"/>
          <w:szCs w:val="24"/>
          <w:highlight w:val="none"/>
          <w:lang w:val="en-US" w:eastAsia="zh-CN"/>
        </w:rPr>
        <w:t>27°13′</w:t>
      </w:r>
      <w:r>
        <w:rPr>
          <w:rFonts w:hint="eastAsia" w:ascii="Times New Roman" w:hAnsi="Times New Roman" w:eastAsia="宋体" w:cs="Times New Roman"/>
          <w:sz w:val="24"/>
          <w:szCs w:val="24"/>
          <w:highlight w:val="none"/>
          <w:lang w:val="en-US" w:eastAsia="zh-CN"/>
        </w:rPr>
        <w:t>12.36000</w:t>
      </w:r>
      <w:r>
        <w:rPr>
          <w:rFonts w:hint="default" w:ascii="Times New Roman" w:hAnsi="Times New Roman" w:eastAsia="宋体" w:cs="Times New Roman"/>
          <w:sz w:val="24"/>
          <w:szCs w:val="24"/>
          <w:highlight w:val="none"/>
          <w:lang w:val="en-US" w:eastAsia="zh-CN"/>
        </w:rPr>
        <w:t>″</w:t>
      </w:r>
      <w:r>
        <w:rPr>
          <w:rFonts w:hint="eastAsia" w:ascii="Times New Roman" w:hAnsi="Times New Roman" w:cs="Times New Roman"/>
          <w:b w:val="0"/>
          <w:bCs w:val="0"/>
          <w:color w:val="000000"/>
          <w:sz w:val="24"/>
          <w:szCs w:val="24"/>
          <w:highlight w:val="none"/>
          <w:lang w:val="en-US" w:eastAsia="zh-CN"/>
        </w:rPr>
        <w:t>。尾水</w:t>
      </w:r>
      <w:r>
        <w:rPr>
          <w:rFonts w:hint="eastAsia" w:cs="Times New Roman"/>
          <w:b w:val="0"/>
          <w:bCs w:val="0"/>
          <w:color w:val="000000"/>
          <w:sz w:val="24"/>
          <w:szCs w:val="24"/>
          <w:highlight w:val="none"/>
          <w:lang w:val="en-US" w:eastAsia="zh-CN"/>
        </w:rPr>
        <w:t>入河</w:t>
      </w:r>
      <w:r>
        <w:rPr>
          <w:rFonts w:hint="eastAsia" w:ascii="Times New Roman" w:hAnsi="Times New Roman" w:cs="Times New Roman"/>
          <w:b w:val="0"/>
          <w:bCs w:val="0"/>
          <w:color w:val="000000"/>
          <w:sz w:val="24"/>
          <w:szCs w:val="24"/>
          <w:highlight w:val="none"/>
          <w:lang w:val="en-US" w:eastAsia="zh-CN"/>
        </w:rPr>
        <w:t>路径为由厂区经约50m长专用污水管道排入</w:t>
      </w:r>
      <w:r>
        <w:rPr>
          <w:rFonts w:hint="eastAsia" w:ascii="Times New Roman" w:hAnsi="Times New Roman"/>
          <w:color w:val="000000"/>
          <w:sz w:val="24"/>
          <w:szCs w:val="24"/>
          <w:highlight w:val="none"/>
        </w:rPr>
        <w:t>龙荫港</w:t>
      </w:r>
      <w:r>
        <w:rPr>
          <w:rFonts w:hint="eastAsia" w:ascii="Times New Roman" w:hAnsi="Times New Roman" w:cs="Times New Roman"/>
          <w:b w:val="0"/>
          <w:bCs w:val="0"/>
          <w:color w:val="000000"/>
          <w:sz w:val="24"/>
          <w:szCs w:val="24"/>
          <w:highlight w:val="none"/>
          <w:lang w:val="en-US" w:eastAsia="zh-CN"/>
        </w:rPr>
        <w:t>，最终经</w:t>
      </w:r>
      <w:r>
        <w:rPr>
          <w:rFonts w:hint="eastAsia" w:ascii="Times New Roman" w:hAnsi="Times New Roman"/>
          <w:color w:val="000000"/>
          <w:sz w:val="24"/>
          <w:szCs w:val="24"/>
          <w:highlight w:val="none"/>
        </w:rPr>
        <w:t>龙荫港</w:t>
      </w:r>
      <w:r>
        <w:rPr>
          <w:rFonts w:hint="eastAsia" w:ascii="Times New Roman" w:hAnsi="Times New Roman"/>
          <w:color w:val="000000"/>
          <w:sz w:val="24"/>
          <w:szCs w:val="24"/>
          <w:highlight w:val="none"/>
          <w:lang w:val="en-US" w:eastAsia="zh-CN"/>
        </w:rPr>
        <w:t>流经约17.16km后汇入湘江。</w:t>
      </w:r>
    </w:p>
    <w:p w14:paraId="44463B3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kern w:val="2"/>
          <w:sz w:val="24"/>
          <w:szCs w:val="20"/>
          <w:highlight w:val="none"/>
          <w:lang w:val="en-US" w:eastAsia="zh-CN" w:bidi="ar-SA"/>
        </w:rPr>
      </w:pPr>
      <w:r>
        <w:rPr>
          <w:rFonts w:hint="eastAsia" w:ascii="Times New Roman" w:hAnsi="Times New Roman" w:eastAsia="宋体" w:cs="Times New Roman"/>
          <w:kern w:val="2"/>
          <w:sz w:val="24"/>
          <w:szCs w:val="20"/>
          <w:highlight w:val="none"/>
          <w:lang w:val="en-US" w:eastAsia="zh-CN" w:bidi="ar-SA"/>
        </w:rPr>
        <w:t>按照《入河排污口管理技术导则》（SL532-2011）中要求，“可能受入河排污口影响</w:t>
      </w:r>
      <w:r>
        <w:rPr>
          <w:rFonts w:hint="default" w:ascii="Times New Roman" w:hAnsi="Times New Roman" w:eastAsia="宋体" w:cs="Times New Roman"/>
          <w:kern w:val="2"/>
          <w:sz w:val="24"/>
          <w:szCs w:val="20"/>
          <w:highlight w:val="none"/>
          <w:lang w:val="en-US" w:eastAsia="zh-CN" w:bidi="ar-SA"/>
        </w:rPr>
        <w:t>的主要水域和其影响范围内的第三方取、用水户</w:t>
      </w:r>
      <w:r>
        <w:rPr>
          <w:rFonts w:hint="eastAsia" w:ascii="Times New Roman" w:hAnsi="Times New Roman" w:eastAsia="宋体" w:cs="Times New Roman"/>
          <w:kern w:val="2"/>
          <w:sz w:val="24"/>
          <w:szCs w:val="20"/>
          <w:highlight w:val="none"/>
          <w:lang w:val="en-US" w:eastAsia="zh-CN" w:bidi="ar-SA"/>
        </w:rPr>
        <w:t>”，</w:t>
      </w:r>
      <w:r>
        <w:rPr>
          <w:rFonts w:hint="default" w:ascii="Times New Roman" w:hAnsi="Times New Roman" w:eastAsia="宋体" w:cs="Times New Roman"/>
          <w:kern w:val="2"/>
          <w:sz w:val="24"/>
          <w:szCs w:val="20"/>
          <w:highlight w:val="none"/>
          <w:lang w:val="en-US" w:eastAsia="zh-CN" w:bidi="ar-SA"/>
        </w:rPr>
        <w:t>原则上应纳入论证范围。论证工作的基础单元为水功能区，其中入河排污口所在水功能区和可能受到影响的周边水功能区是论证的重点区域；涉及鱼类产卵场等生态敏感点的论证范围不限于上述水功能区。</w:t>
      </w:r>
    </w:p>
    <w:p w14:paraId="6D4D1AD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s="Times New Roman"/>
          <w:color w:val="auto"/>
          <w:spacing w:val="-1"/>
          <w:sz w:val="24"/>
          <w:szCs w:val="24"/>
          <w:highlight w:val="none"/>
          <w:u w:val="none"/>
          <w:lang w:val="en-US" w:eastAsia="zh-CN" w:bidi="zh-CN"/>
        </w:rPr>
      </w:pPr>
      <w:r>
        <w:rPr>
          <w:rFonts w:hint="eastAsia" w:ascii="Times New Roman" w:hAnsi="Times New Roman" w:eastAsia="宋体" w:cs="Times New Roman"/>
          <w:kern w:val="2"/>
          <w:sz w:val="24"/>
          <w:szCs w:val="20"/>
          <w:highlight w:val="none"/>
          <w:lang w:val="en-US" w:eastAsia="zh-CN" w:bidi="ar-SA"/>
        </w:rPr>
        <w:t>本项目尾水纳污水体主要为湘江支流龙荫港。根据调查，</w:t>
      </w:r>
      <w:r>
        <w:rPr>
          <w:rFonts w:hint="eastAsia" w:ascii="Times New Roman" w:hAnsi="Times New Roman" w:eastAsia="宋体" w:cs="Times New Roman"/>
          <w:color w:val="auto"/>
          <w:spacing w:val="-1"/>
          <w:sz w:val="24"/>
          <w:szCs w:val="24"/>
          <w:highlight w:val="none"/>
          <w:u w:val="none"/>
          <w:lang w:val="en-US" w:eastAsia="zh-CN" w:bidi="zh-CN"/>
        </w:rPr>
        <w:t>本排污口</w:t>
      </w:r>
      <w:r>
        <w:rPr>
          <w:rFonts w:hint="eastAsia" w:cs="Times New Roman"/>
          <w:color w:val="auto"/>
          <w:spacing w:val="-1"/>
          <w:sz w:val="24"/>
          <w:szCs w:val="24"/>
          <w:highlight w:val="none"/>
          <w:u w:val="none"/>
          <w:lang w:val="en-US" w:eastAsia="zh-CN" w:bidi="zh-CN"/>
        </w:rPr>
        <w:t>上游最近饮用水源保护区为上游5.6km处衡阳市南岳区兴隆水库饮用水水源保护区，排污口下游无饮用水水源保护区。</w:t>
      </w:r>
    </w:p>
    <w:p w14:paraId="12FCE01D">
      <w:pPr>
        <w:keepNext w:val="0"/>
        <w:keepLines w:val="0"/>
        <w:pageBreakBefore w:val="0"/>
        <w:widowControl w:val="0"/>
        <w:kinsoku/>
        <w:wordWrap/>
        <w:overflowPunct/>
        <w:topLinePunct w:val="0"/>
        <w:autoSpaceDE/>
        <w:autoSpaceDN/>
        <w:bidi w:val="0"/>
        <w:adjustRightInd w:val="0"/>
        <w:snapToGrid w:val="0"/>
        <w:ind w:firstLine="476" w:firstLineChars="200"/>
        <w:jc w:val="both"/>
        <w:textAlignment w:val="auto"/>
        <w:rPr>
          <w:rFonts w:hint="default" w:cs="Times New Roman"/>
          <w:i w:val="0"/>
          <w:caps w:val="0"/>
          <w:color w:val="auto"/>
          <w:spacing w:val="0"/>
          <w:sz w:val="24"/>
          <w:szCs w:val="24"/>
          <w:highlight w:val="none"/>
          <w:u w:val="none"/>
          <w:shd w:val="clear" w:color="auto" w:fill="auto"/>
          <w:lang w:val="en-US" w:eastAsia="zh-CN"/>
        </w:rPr>
      </w:pPr>
      <w:r>
        <w:rPr>
          <w:rFonts w:hint="eastAsia" w:cs="Times New Roman"/>
          <w:color w:val="auto"/>
          <w:spacing w:val="-1"/>
          <w:sz w:val="24"/>
          <w:szCs w:val="24"/>
          <w:highlight w:val="none"/>
          <w:u w:val="none"/>
          <w:lang w:val="en-US" w:eastAsia="zh-CN" w:bidi="zh-CN"/>
        </w:rPr>
        <w:t>根据《湖南省水功能区划（修编）》（湖南省水利厅2014年12月）、</w:t>
      </w:r>
      <w:r>
        <w:rPr>
          <w:rFonts w:hint="eastAsia" w:ascii="Times New Roman" w:hAnsi="Times New Roman" w:eastAsia="宋体" w:cs="Times New Roman"/>
          <w:sz w:val="24"/>
          <w:szCs w:val="24"/>
          <w:highlight w:val="none"/>
        </w:rPr>
        <w:t>《衡阳市水功能区划》（2010~2020）</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i w:val="0"/>
          <w:caps w:val="0"/>
          <w:color w:val="auto"/>
          <w:spacing w:val="0"/>
          <w:sz w:val="24"/>
          <w:szCs w:val="24"/>
          <w:highlight w:val="none"/>
          <w:u w:val="none"/>
          <w:shd w:val="clear" w:color="auto" w:fill="auto"/>
        </w:rPr>
        <w:t>《湖南省衡阳市水资源综合规划报告（2020-2035年）》</w:t>
      </w:r>
      <w:r>
        <w:rPr>
          <w:rFonts w:hint="eastAsia" w:cs="Times New Roman"/>
          <w:color w:val="auto"/>
          <w:spacing w:val="-1"/>
          <w:sz w:val="24"/>
          <w:szCs w:val="24"/>
          <w:highlight w:val="none"/>
          <w:u w:val="none"/>
          <w:lang w:val="en-US" w:eastAsia="zh-CN" w:bidi="zh-CN"/>
        </w:rPr>
        <w:t>，</w:t>
      </w:r>
      <w:r>
        <w:rPr>
          <w:rFonts w:hint="eastAsia" w:cs="Times New Roman"/>
          <w:i w:val="0"/>
          <w:caps w:val="0"/>
          <w:color w:val="auto"/>
          <w:spacing w:val="0"/>
          <w:sz w:val="24"/>
          <w:szCs w:val="24"/>
          <w:highlight w:val="none"/>
          <w:u w:val="none"/>
          <w:shd w:val="clear" w:color="auto" w:fill="auto"/>
          <w:lang w:val="en-US" w:eastAsia="zh-CN"/>
        </w:rPr>
        <w:t>龙荫港暂</w:t>
      </w:r>
      <w:r>
        <w:rPr>
          <w:rFonts w:hint="eastAsia" w:cs="Times New Roman"/>
          <w:i w:val="0"/>
          <w:caps w:val="0"/>
          <w:color w:val="auto"/>
          <w:spacing w:val="0"/>
          <w:sz w:val="24"/>
          <w:szCs w:val="24"/>
          <w:highlight w:val="none"/>
          <w:u w:val="none"/>
          <w:shd w:val="clear" w:color="auto" w:fill="auto"/>
          <w:lang w:eastAsia="zh-CN"/>
        </w:rPr>
        <w:t>未划分水环境功能区类别，水体功能主要为农业用水，水质目标</w:t>
      </w:r>
      <w:r>
        <w:rPr>
          <w:rFonts w:hint="eastAsia" w:cs="Times New Roman"/>
          <w:i w:val="0"/>
          <w:caps w:val="0"/>
          <w:color w:val="auto"/>
          <w:spacing w:val="0"/>
          <w:sz w:val="24"/>
          <w:szCs w:val="24"/>
          <w:highlight w:val="none"/>
          <w:u w:val="none"/>
          <w:shd w:val="clear" w:color="auto" w:fill="auto"/>
          <w:lang w:val="en-US" w:eastAsia="zh-CN"/>
        </w:rPr>
        <w:t>参照</w:t>
      </w:r>
      <w:r>
        <w:rPr>
          <w:rFonts w:hint="eastAsia" w:cs="Times New Roman"/>
          <w:i w:val="0"/>
          <w:caps w:val="0"/>
          <w:color w:val="auto"/>
          <w:spacing w:val="0"/>
          <w:sz w:val="24"/>
          <w:szCs w:val="24"/>
          <w:highlight w:val="none"/>
          <w:u w:val="none"/>
          <w:shd w:val="clear" w:color="auto" w:fill="auto"/>
          <w:lang w:eastAsia="zh-CN"/>
        </w:rPr>
        <w:t>执行《</w:t>
      </w:r>
      <w:r>
        <w:rPr>
          <w:rFonts w:hint="eastAsia" w:cs="Times New Roman"/>
          <w:i w:val="0"/>
          <w:caps w:val="0"/>
          <w:color w:val="auto"/>
          <w:spacing w:val="0"/>
          <w:sz w:val="24"/>
          <w:szCs w:val="24"/>
          <w:highlight w:val="none"/>
          <w:u w:val="none"/>
          <w:shd w:val="clear" w:color="auto" w:fill="auto"/>
          <w:lang w:val="en-US" w:eastAsia="zh-CN"/>
        </w:rPr>
        <w:t>地表水环境质量标准</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GB3838-2002</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中III</w:t>
      </w:r>
      <w:r>
        <w:rPr>
          <w:rFonts w:hint="eastAsia" w:cs="Times New Roman"/>
          <w:i w:val="0"/>
          <w:caps w:val="0"/>
          <w:color w:val="auto"/>
          <w:spacing w:val="0"/>
          <w:sz w:val="24"/>
          <w:szCs w:val="24"/>
          <w:highlight w:val="none"/>
          <w:u w:val="none"/>
          <w:shd w:val="clear" w:color="auto" w:fill="auto"/>
          <w:lang w:eastAsia="zh-CN"/>
        </w:rPr>
        <w:t>类</w:t>
      </w:r>
      <w:r>
        <w:rPr>
          <w:rFonts w:hint="eastAsia" w:cs="Times New Roman"/>
          <w:i w:val="0"/>
          <w:caps w:val="0"/>
          <w:color w:val="auto"/>
          <w:spacing w:val="0"/>
          <w:sz w:val="24"/>
          <w:szCs w:val="24"/>
          <w:highlight w:val="none"/>
          <w:u w:val="none"/>
          <w:shd w:val="clear" w:color="auto" w:fill="auto"/>
          <w:lang w:val="en-US" w:eastAsia="zh-CN"/>
        </w:rPr>
        <w:t>标准；龙荫港入湘江段属于湘江衡东～衡山保留区，水质目标为III类。</w:t>
      </w:r>
    </w:p>
    <w:p w14:paraId="563C4F7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kern w:val="2"/>
          <w:sz w:val="24"/>
          <w:szCs w:val="20"/>
          <w:highlight w:val="none"/>
          <w:lang w:val="en-US" w:eastAsia="zh-CN" w:bidi="ar-SA"/>
        </w:rPr>
        <w:t>根据本报告6.1章节，入河排污口影响范围应结合充分混合长度、污染带长度、预测结果达到背景浓度的长度等确定。根据混合过程段长度计算结果，南岳区污水处理厂尾水经管道排入龙荫港，充分混合长度为龙荫港下游</w:t>
      </w:r>
      <w:r>
        <w:rPr>
          <w:rFonts w:hint="eastAsia" w:ascii="Times New Roman" w:hAnsi="Times New Roman" w:eastAsia="宋体" w:cs="Times New Roman"/>
          <w:color w:val="000000"/>
          <w:sz w:val="24"/>
          <w:szCs w:val="24"/>
          <w:highlight w:val="none"/>
          <w:lang w:val="en-US" w:eastAsia="zh-CN"/>
        </w:rPr>
        <w:t>319.2</w:t>
      </w:r>
      <w:r>
        <w:rPr>
          <w:rFonts w:hint="default" w:ascii="Times New Roman" w:hAnsi="Times New Roman" w:eastAsia="宋体" w:cs="Times New Roman"/>
          <w:color w:val="000000"/>
          <w:sz w:val="24"/>
          <w:szCs w:val="24"/>
          <w:highlight w:val="none"/>
          <w:lang w:val="en-US" w:eastAsia="zh-CN"/>
        </w:rPr>
        <w:t>m</w:t>
      </w:r>
      <w:r>
        <w:rPr>
          <w:rFonts w:hint="eastAsia" w:ascii="Times New Roman" w:hAnsi="Times New Roman" w:eastAsia="宋体" w:cs="Times New Roman"/>
          <w:color w:val="000000"/>
          <w:sz w:val="24"/>
          <w:szCs w:val="24"/>
          <w:highlight w:val="none"/>
          <w:lang w:val="en-US" w:eastAsia="zh-CN"/>
        </w:rPr>
        <w:t>。</w:t>
      </w:r>
    </w:p>
    <w:p w14:paraId="4E49B71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kern w:val="2"/>
          <w:sz w:val="24"/>
          <w:szCs w:val="20"/>
          <w:highlight w:val="none"/>
          <w:lang w:val="en-US" w:eastAsia="zh-CN" w:bidi="ar-SA"/>
        </w:rPr>
      </w:pPr>
      <w:r>
        <w:rPr>
          <w:rFonts w:hint="eastAsia" w:ascii="Times New Roman" w:hAnsi="Times New Roman" w:eastAsia="宋体" w:cs="Times New Roman"/>
          <w:kern w:val="2"/>
          <w:sz w:val="24"/>
          <w:szCs w:val="20"/>
          <w:highlight w:val="none"/>
          <w:lang w:val="en-US" w:eastAsia="zh-CN" w:bidi="ar-SA"/>
        </w:rPr>
        <w:t>根据预测结果可知，本</w:t>
      </w:r>
      <w:r>
        <w:rPr>
          <w:rFonts w:hint="eastAsia" w:cs="Times New Roman"/>
          <w:kern w:val="2"/>
          <w:sz w:val="24"/>
          <w:szCs w:val="20"/>
          <w:highlight w:val="none"/>
          <w:lang w:val="en-US" w:eastAsia="zh-CN" w:bidi="ar-SA"/>
        </w:rPr>
        <w:t>入河</w:t>
      </w:r>
      <w:r>
        <w:rPr>
          <w:rFonts w:hint="eastAsia" w:ascii="Times New Roman" w:hAnsi="Times New Roman" w:eastAsia="宋体" w:cs="Times New Roman"/>
          <w:kern w:val="2"/>
          <w:sz w:val="24"/>
          <w:szCs w:val="20"/>
          <w:highlight w:val="none"/>
          <w:lang w:val="en-US" w:eastAsia="zh-CN" w:bidi="ar-SA"/>
        </w:rPr>
        <w:t>排污口尾水正常</w:t>
      </w:r>
      <w:r>
        <w:rPr>
          <w:rFonts w:hint="eastAsia" w:cs="Times New Roman"/>
          <w:kern w:val="2"/>
          <w:sz w:val="24"/>
          <w:szCs w:val="20"/>
          <w:highlight w:val="none"/>
          <w:lang w:val="en-US" w:eastAsia="zh-CN" w:bidi="ar-SA"/>
        </w:rPr>
        <w:t>工</w:t>
      </w:r>
      <w:r>
        <w:rPr>
          <w:rFonts w:hint="eastAsia" w:ascii="Times New Roman" w:hAnsi="Times New Roman" w:eastAsia="宋体" w:cs="Times New Roman"/>
          <w:kern w:val="2"/>
          <w:sz w:val="24"/>
          <w:szCs w:val="20"/>
          <w:highlight w:val="none"/>
          <w:lang w:val="en-US" w:eastAsia="zh-CN" w:bidi="ar-SA"/>
        </w:rPr>
        <w:t>况下，龙荫港枯水期水质CODcr、NH</w:t>
      </w:r>
      <w:r>
        <w:rPr>
          <w:rFonts w:hint="eastAsia" w:ascii="Times New Roman" w:hAnsi="Times New Roman" w:eastAsia="宋体" w:cs="Times New Roman"/>
          <w:kern w:val="2"/>
          <w:sz w:val="24"/>
          <w:szCs w:val="20"/>
          <w:highlight w:val="none"/>
          <w:vertAlign w:val="subscript"/>
          <w:lang w:val="en-US" w:eastAsia="zh-CN" w:bidi="ar-SA"/>
        </w:rPr>
        <w:t>3</w:t>
      </w:r>
      <w:r>
        <w:rPr>
          <w:rFonts w:hint="eastAsia" w:ascii="Times New Roman" w:hAnsi="Times New Roman" w:eastAsia="宋体" w:cs="Times New Roman"/>
          <w:kern w:val="2"/>
          <w:sz w:val="24"/>
          <w:szCs w:val="20"/>
          <w:highlight w:val="none"/>
          <w:lang w:val="en-US" w:eastAsia="zh-CN" w:bidi="ar-SA"/>
        </w:rPr>
        <w:t>-N、TP预测浓度均可达到《地表水环境质量标准》（GB3838-2002）III类水质标准，对水环境影响较小。</w:t>
      </w:r>
    </w:p>
    <w:p w14:paraId="7E41AEA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参照《环境影响评价技术导则 地表水环境》（HJ2.3-2018）中应满足覆盖对照断面、控制断面与消减断面等关心断面的要求，本</w:t>
      </w:r>
      <w:r>
        <w:rPr>
          <w:rFonts w:hint="eastAsia" w:cs="Times New Roman"/>
          <w:color w:val="000000"/>
          <w:kern w:val="2"/>
          <w:sz w:val="24"/>
          <w:szCs w:val="20"/>
          <w:highlight w:val="none"/>
          <w:lang w:val="en-US" w:eastAsia="zh-CN" w:bidi="ar-SA"/>
        </w:rPr>
        <w:t>入河</w:t>
      </w:r>
      <w:r>
        <w:rPr>
          <w:rFonts w:hint="eastAsia" w:ascii="Times New Roman" w:hAnsi="Times New Roman" w:eastAsia="宋体" w:cs="Times New Roman"/>
          <w:color w:val="000000"/>
          <w:kern w:val="2"/>
          <w:sz w:val="24"/>
          <w:szCs w:val="20"/>
          <w:highlight w:val="none"/>
          <w:lang w:val="en-US" w:eastAsia="zh-CN" w:bidi="ar-SA"/>
        </w:rPr>
        <w:t>排污口下游4.5km设有常规监测断面龙荫港梅桥村断面。</w:t>
      </w:r>
    </w:p>
    <w:p w14:paraId="31A842E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bCs/>
          <w:sz w:val="28"/>
          <w:szCs w:val="28"/>
          <w:highlight w:val="none"/>
          <w:lang w:val="en-US" w:eastAsia="zh-CN"/>
        </w:rPr>
        <w:sectPr>
          <w:footerReference r:id="rId5"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eastAsia" w:ascii="Times New Roman" w:hAnsi="Times New Roman" w:eastAsia="宋体" w:cs="Times New Roman"/>
          <w:color w:val="000000"/>
          <w:kern w:val="2"/>
          <w:sz w:val="24"/>
          <w:szCs w:val="20"/>
          <w:highlight w:val="none"/>
          <w:lang w:val="en-US" w:eastAsia="zh-CN" w:bidi="ar-SA"/>
        </w:rPr>
        <w:t>综上所述，确定本</w:t>
      </w:r>
      <w:r>
        <w:rPr>
          <w:rFonts w:hint="eastAsia" w:cs="Times New Roman"/>
          <w:color w:val="000000"/>
          <w:kern w:val="2"/>
          <w:sz w:val="24"/>
          <w:szCs w:val="20"/>
          <w:highlight w:val="none"/>
          <w:lang w:val="en-US" w:eastAsia="zh-CN" w:bidi="ar-SA"/>
        </w:rPr>
        <w:t>入河</w:t>
      </w:r>
      <w:r>
        <w:rPr>
          <w:rFonts w:hint="eastAsia" w:ascii="Times New Roman" w:hAnsi="Times New Roman" w:eastAsia="宋体" w:cs="Times New Roman"/>
          <w:color w:val="000000"/>
          <w:kern w:val="2"/>
          <w:sz w:val="24"/>
          <w:szCs w:val="20"/>
          <w:highlight w:val="none"/>
          <w:lang w:val="en-US" w:eastAsia="zh-CN" w:bidi="ar-SA"/>
        </w:rPr>
        <w:t>排污口论证范围为入河排污口</w:t>
      </w:r>
      <w:r>
        <w:rPr>
          <w:rFonts w:hint="eastAsia" w:cs="Times New Roman"/>
          <w:color w:val="000000"/>
          <w:kern w:val="2"/>
          <w:sz w:val="24"/>
          <w:szCs w:val="20"/>
          <w:highlight w:val="none"/>
          <w:lang w:val="en-US" w:eastAsia="zh-CN" w:bidi="ar-SA"/>
        </w:rPr>
        <w:t>入</w:t>
      </w:r>
      <w:r>
        <w:rPr>
          <w:rFonts w:hint="eastAsia" w:ascii="Times New Roman" w:hAnsi="Times New Roman"/>
          <w:color w:val="000000"/>
          <w:sz w:val="24"/>
          <w:szCs w:val="24"/>
          <w:highlight w:val="none"/>
        </w:rPr>
        <w:t>龙荫港</w:t>
      </w:r>
      <w:r>
        <w:rPr>
          <w:rFonts w:hint="eastAsia" w:ascii="Times New Roman" w:hAnsi="Times New Roman" w:eastAsia="宋体" w:cs="Times New Roman"/>
          <w:color w:val="000000"/>
          <w:kern w:val="2"/>
          <w:sz w:val="24"/>
          <w:szCs w:val="20"/>
          <w:highlight w:val="none"/>
          <w:lang w:val="en-US" w:eastAsia="zh-CN" w:bidi="ar-SA"/>
        </w:rPr>
        <w:t>上游500m至下游5000m；项目论证范围内无大型水工建筑，有龙荫港支流汇入，本</w:t>
      </w:r>
      <w:r>
        <w:rPr>
          <w:rFonts w:hint="eastAsia" w:cs="Times New Roman"/>
          <w:color w:val="000000"/>
          <w:kern w:val="2"/>
          <w:sz w:val="24"/>
          <w:szCs w:val="20"/>
          <w:highlight w:val="none"/>
          <w:lang w:val="en-US" w:eastAsia="zh-CN" w:bidi="ar-SA"/>
        </w:rPr>
        <w:t>入河</w:t>
      </w:r>
      <w:r>
        <w:rPr>
          <w:rFonts w:hint="eastAsia" w:cs="Times New Roman"/>
          <w:color w:val="auto"/>
          <w:spacing w:val="-1"/>
          <w:sz w:val="24"/>
          <w:szCs w:val="24"/>
          <w:highlight w:val="none"/>
          <w:u w:val="none"/>
          <w:lang w:val="en-US" w:eastAsia="zh-CN" w:bidi="zh-CN"/>
        </w:rPr>
        <w:t>排污口</w:t>
      </w:r>
      <w:r>
        <w:rPr>
          <w:rFonts w:hint="eastAsia" w:ascii="Times New Roman" w:hAnsi="Times New Roman" w:eastAsia="宋体" w:cs="Times New Roman"/>
          <w:color w:val="000000"/>
          <w:kern w:val="2"/>
          <w:sz w:val="24"/>
          <w:szCs w:val="20"/>
          <w:highlight w:val="none"/>
          <w:lang w:val="en-US" w:eastAsia="zh-CN" w:bidi="ar-SA"/>
        </w:rPr>
        <w:t>论证范围内</w:t>
      </w:r>
      <w:r>
        <w:rPr>
          <w:rFonts w:hint="eastAsia" w:cs="Times New Roman"/>
          <w:color w:val="auto"/>
          <w:spacing w:val="-1"/>
          <w:sz w:val="24"/>
          <w:szCs w:val="24"/>
          <w:highlight w:val="none"/>
          <w:u w:val="none"/>
          <w:lang w:val="en-US" w:eastAsia="zh-CN" w:bidi="zh-CN"/>
        </w:rPr>
        <w:t>无重要取排水口，下游主要为周边零散农灌取水</w:t>
      </w:r>
      <w:r>
        <w:rPr>
          <w:rFonts w:hint="eastAsia" w:ascii="Times New Roman" w:hAnsi="Times New Roman" w:eastAsia="宋体" w:cs="Times New Roman"/>
          <w:color w:val="000000"/>
          <w:kern w:val="2"/>
          <w:sz w:val="24"/>
          <w:szCs w:val="20"/>
          <w:highlight w:val="none"/>
          <w:lang w:val="en-US" w:eastAsia="zh-CN" w:bidi="ar-SA"/>
        </w:rPr>
        <w:t>。项目论证范围详见下图1.6-1。</w:t>
      </w:r>
    </w:p>
    <w:p w14:paraId="52DBB5D3">
      <w:pPr>
        <w:rPr>
          <w:highlight w:val="none"/>
        </w:rPr>
      </w:pPr>
    </w:p>
    <w:p w14:paraId="674942E2">
      <w:pPr>
        <w:rPr>
          <w:highlight w:val="none"/>
        </w:rPr>
      </w:pPr>
    </w:p>
    <w:p w14:paraId="01910067">
      <w:pPr>
        <w:rPr>
          <w:highlight w:val="none"/>
        </w:rPr>
      </w:pPr>
    </w:p>
    <w:p w14:paraId="1C90FF69">
      <w:pPr>
        <w:rPr>
          <w:highlight w:val="none"/>
        </w:rPr>
      </w:pPr>
      <w:r>
        <w:rPr>
          <w:highlight w:val="none"/>
        </w:rPr>
        <w:drawing>
          <wp:inline distT="0" distB="0" distL="114300" distR="114300">
            <wp:extent cx="5406390" cy="6243320"/>
            <wp:effectExtent l="0" t="0" r="3810" b="508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8"/>
                    <a:stretch>
                      <a:fillRect/>
                    </a:stretch>
                  </pic:blipFill>
                  <pic:spPr>
                    <a:xfrm>
                      <a:off x="0" y="0"/>
                      <a:ext cx="5406390" cy="6243320"/>
                    </a:xfrm>
                    <a:prstGeom prst="rect">
                      <a:avLst/>
                    </a:prstGeom>
                    <a:noFill/>
                    <a:ln>
                      <a:noFill/>
                    </a:ln>
                  </pic:spPr>
                </pic:pic>
              </a:graphicData>
            </a:graphic>
          </wp:inline>
        </w:drawing>
      </w:r>
    </w:p>
    <w:p w14:paraId="406F7781">
      <w:pPr>
        <w:rPr>
          <w:highlight w:val="none"/>
        </w:rPr>
      </w:pPr>
      <w:r>
        <w:rPr>
          <w:rFonts w:hint="eastAsia"/>
          <w:b/>
          <w:bCs/>
          <w:highlight w:val="none"/>
          <w:lang w:val="en-US" w:eastAsia="zh-CN"/>
        </w:rPr>
        <w:t>图1.6-1 论证范围图</w:t>
      </w:r>
      <w:bookmarkStart w:id="57" w:name="_Toc13584"/>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3397885</wp:posOffset>
                </wp:positionH>
                <wp:positionV relativeFrom="paragraph">
                  <wp:posOffset>780415</wp:posOffset>
                </wp:positionV>
                <wp:extent cx="944245" cy="276225"/>
                <wp:effectExtent l="0" t="0" r="0" b="0"/>
                <wp:wrapNone/>
                <wp:docPr id="14" name="文本框 22"/>
                <wp:cNvGraphicFramePr/>
                <a:graphic xmlns:a="http://schemas.openxmlformats.org/drawingml/2006/main">
                  <a:graphicData uri="http://schemas.microsoft.com/office/word/2010/wordprocessingShape">
                    <wps:wsp>
                      <wps:cNvSpPr txBox="1"/>
                      <wps:spPr>
                        <a:xfrm>
                          <a:off x="0" y="0"/>
                          <a:ext cx="944245" cy="276225"/>
                        </a:xfrm>
                        <a:prstGeom prst="rect">
                          <a:avLst/>
                        </a:prstGeom>
                        <a:noFill/>
                        <a:ln>
                          <a:noFill/>
                        </a:ln>
                      </wps:spPr>
                      <wps:txbx>
                        <w:txbxContent>
                          <w:p w14:paraId="51231E94">
                            <w:pPr>
                              <w:rPr>
                                <w:rFonts w:hint="default" w:eastAsia="宋体"/>
                                <w:b/>
                                <w:bCs/>
                                <w:color w:val="FFFFFF"/>
                                <w:lang w:val="en-US" w:eastAsia="zh-CN"/>
                              </w:rPr>
                            </w:pPr>
                            <w:r>
                              <w:rPr>
                                <w:rFonts w:hint="eastAsia"/>
                                <w:b/>
                                <w:bCs/>
                                <w:color w:val="FFFFFF"/>
                                <w:lang w:val="en-US" w:eastAsia="zh-CN"/>
                              </w:rPr>
                              <w:t>水流方向</w:t>
                            </w:r>
                          </w:p>
                        </w:txbxContent>
                      </wps:txbx>
                      <wps:bodyPr vert="horz" wrap="square" anchor="t" anchorCtr="0" upright="1"/>
                    </wps:wsp>
                  </a:graphicData>
                </a:graphic>
              </wp:anchor>
            </w:drawing>
          </mc:Choice>
          <mc:Fallback>
            <w:pict>
              <v:shape id="文本框 22" o:spid="_x0000_s1026" o:spt="202" type="#_x0000_t202" style="position:absolute;left:0pt;margin-left:267.55pt;margin-top:61.45pt;height:21.75pt;width:74.35pt;z-index:251661312;mso-width-relative:page;mso-height-relative:page;" filled="f" stroked="f" coordsize="21600,21600" o:gfxdata="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hdEUtgAAAALAQAADwAAAAAAAAABACAAAAAiAAAAZHJz&#10;L2Rvd25yZXYueG1sUEsBAhQAFAAAAAgAh07iQGhauCjLAQAAggMAAA4AAAAAAAAAAQAgAAAAJwEA&#10;AGRycy9lMm9Eb2MueG1sUEsFBgAAAAAGAAYAWQEAAGQFAAAAAA==&#10;">
                <v:fill on="f" focussize="0,0"/>
                <v:stroke on="f"/>
                <v:imagedata o:title=""/>
                <o:lock v:ext="edit" aspectratio="f"/>
                <v:textbox>
                  <w:txbxContent>
                    <w:p w14:paraId="51231E94">
                      <w:pPr>
                        <w:rPr>
                          <w:rFonts w:hint="default" w:eastAsia="宋体"/>
                          <w:b/>
                          <w:bCs/>
                          <w:color w:val="FFFFFF"/>
                          <w:lang w:val="en-US" w:eastAsia="zh-CN"/>
                        </w:rPr>
                      </w:pPr>
                      <w:r>
                        <w:rPr>
                          <w:rFonts w:hint="eastAsia"/>
                          <w:b/>
                          <w:bCs/>
                          <w:color w:val="FFFFFF"/>
                          <w:lang w:val="en-US" w:eastAsia="zh-CN"/>
                        </w:rPr>
                        <w:t>水流方向</w:t>
                      </w:r>
                    </w:p>
                  </w:txbxContent>
                </v:textbox>
              </v:shape>
            </w:pict>
          </mc:Fallback>
        </mc:AlternateContent>
      </w:r>
      <w:r>
        <w:rPr>
          <w:sz w:val="21"/>
          <w:highlight w:val="none"/>
        </w:rPr>
        <mc:AlternateContent>
          <mc:Choice Requires="wps">
            <w:drawing>
              <wp:anchor distT="0" distB="0" distL="114300" distR="114300" simplePos="0" relativeHeight="251660288" behindDoc="0" locked="0" layoutInCell="1" allowOverlap="1">
                <wp:simplePos x="0" y="0"/>
                <wp:positionH relativeFrom="column">
                  <wp:posOffset>3274695</wp:posOffset>
                </wp:positionH>
                <wp:positionV relativeFrom="paragraph">
                  <wp:posOffset>866140</wp:posOffset>
                </wp:positionV>
                <wp:extent cx="533400" cy="295275"/>
                <wp:effectExtent l="6985" t="12700" r="12065" b="15875"/>
                <wp:wrapNone/>
                <wp:docPr id="13" name="直线 21"/>
                <wp:cNvGraphicFramePr/>
                <a:graphic xmlns:a="http://schemas.openxmlformats.org/drawingml/2006/main">
                  <a:graphicData uri="http://schemas.microsoft.com/office/word/2010/wordprocessingShape">
                    <wps:wsp>
                      <wps:cNvCnPr/>
                      <wps:spPr>
                        <a:xfrm>
                          <a:off x="0" y="0"/>
                          <a:ext cx="533400" cy="295275"/>
                        </a:xfrm>
                        <a:prstGeom prst="line">
                          <a:avLst/>
                        </a:prstGeom>
                        <a:ln w="28575" cap="flat" cmpd="sng">
                          <a:solidFill>
                            <a:srgbClr val="FFFFFF"/>
                          </a:solidFill>
                          <a:prstDash val="solid"/>
                          <a:headEnd type="none" w="med" len="med"/>
                          <a:tailEnd type="arrow" w="med" len="med"/>
                        </a:ln>
                      </wps:spPr>
                      <wps:bodyPr upright="1"/>
                    </wps:wsp>
                  </a:graphicData>
                </a:graphic>
              </wp:anchor>
            </w:drawing>
          </mc:Choice>
          <mc:Fallback>
            <w:pict>
              <v:line id="直线 21" o:spid="_x0000_s1026" o:spt="20" style="position:absolute;left:0pt;margin-left:257.85pt;margin-top:68.2pt;height:23.25pt;width:42pt;z-index:251660288;mso-width-relative:page;mso-height-relative:page;" filled="f" stroked="t" coordsize="21600,21600" o:gfxdata="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lEhS2wAAAAsBAAAPAAAAAAAAAAEAIAAAACIAAABkcnMvZG93bnJldi54bWxQSwEC&#10;FAAUAAAACACHTuJAXDX9cfEBAADjAwAADgAAAAAAAAABACAAAAAqAQAAZHJzL2Uyb0RvYy54bWxQ&#10;SwUGAAAAAAYABgBZAQAAjQUAAAAA&#10;">
                <v:fill on="f" focussize="0,0"/>
                <v:stroke weight="2.25pt" color="#FFFFFF" joinstyle="round" endarrow="open"/>
                <v:imagedata o:title=""/>
                <o:lock v:ext="edit" aspectratio="f"/>
              </v:line>
            </w:pict>
          </mc:Fallback>
        </mc:AlternateContent>
      </w:r>
    </w:p>
    <w:p w14:paraId="36AF1EED">
      <w:pPr>
        <w:rPr>
          <w:rFonts w:hint="default" w:ascii="Times New Roman" w:hAnsi="Times New Roman" w:eastAsia="宋体" w:cs="Times New Roman"/>
          <w:b/>
          <w:bCs/>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57AC3070">
      <w:pPr>
        <w:pStyle w:val="5"/>
        <w:numPr>
          <w:ilvl w:val="0"/>
          <w:numId w:val="0"/>
        </w:numPr>
        <w:bidi w:val="0"/>
        <w:ind w:leftChars="0"/>
        <w:rPr>
          <w:rFonts w:hint="default"/>
          <w:color w:val="auto"/>
          <w:highlight w:val="none"/>
          <w:u w:val="none"/>
          <w:lang w:val="en-US" w:eastAsia="zh-CN"/>
        </w:rPr>
      </w:pPr>
      <w:bookmarkStart w:id="58" w:name="_Toc5464"/>
      <w:r>
        <w:rPr>
          <w:rFonts w:hint="default"/>
          <w:color w:val="auto"/>
          <w:highlight w:val="none"/>
          <w:u w:val="none"/>
          <w:lang w:val="en-US" w:eastAsia="zh-CN"/>
        </w:rPr>
        <w:t>1.</w:t>
      </w:r>
      <w:r>
        <w:rPr>
          <w:rFonts w:hint="eastAsia"/>
          <w:color w:val="auto"/>
          <w:highlight w:val="none"/>
          <w:u w:val="none"/>
          <w:lang w:val="en-US" w:eastAsia="zh-CN"/>
        </w:rPr>
        <w:t xml:space="preserve">7 </w:t>
      </w:r>
      <w:r>
        <w:rPr>
          <w:rFonts w:hint="default"/>
          <w:color w:val="auto"/>
          <w:highlight w:val="none"/>
          <w:u w:val="none"/>
          <w:lang w:val="en-US" w:eastAsia="zh-CN"/>
        </w:rPr>
        <w:t>论证</w:t>
      </w:r>
      <w:r>
        <w:rPr>
          <w:rFonts w:hint="eastAsia"/>
          <w:color w:val="auto"/>
          <w:highlight w:val="none"/>
          <w:u w:val="none"/>
          <w:lang w:val="en-US" w:eastAsia="zh-CN"/>
        </w:rPr>
        <w:t>水平年</w:t>
      </w:r>
      <w:bookmarkEnd w:id="57"/>
      <w:bookmarkEnd w:id="58"/>
    </w:p>
    <w:p w14:paraId="5952D2F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ascii="Times New Roman" w:hAnsi="Times New Roman" w:eastAsia="宋体" w:cs="Times New Roman"/>
          <w:color w:val="000000"/>
          <w:sz w:val="24"/>
          <w:highlight w:val="none"/>
        </w:rPr>
        <w:t>入河排污口设置论证水平年的确定尽量与国民经济和社会发展规划、流域或区域水资源规划等有关规定水平年相协调。</w:t>
      </w:r>
    </w:p>
    <w:p w14:paraId="65F90E3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综合考虑论证范围内的社会经济发展情况，河流水文特征变化情况以及资料的实际情况，确定本次入河排污口论证的现状水平年为2022年，论证规划水平年为2030年。</w:t>
      </w:r>
    </w:p>
    <w:p w14:paraId="35940C8A">
      <w:pPr>
        <w:pStyle w:val="5"/>
        <w:numPr>
          <w:ilvl w:val="0"/>
          <w:numId w:val="0"/>
        </w:numPr>
        <w:bidi w:val="0"/>
        <w:ind w:leftChars="0"/>
        <w:rPr>
          <w:rFonts w:hint="default"/>
          <w:highlight w:val="none"/>
          <w:lang w:val="en-US" w:eastAsia="zh-CN"/>
        </w:rPr>
      </w:pPr>
      <w:bookmarkStart w:id="59" w:name="_Toc8408"/>
      <w:r>
        <w:rPr>
          <w:rFonts w:hint="eastAsia"/>
          <w:highlight w:val="none"/>
          <w:lang w:val="en-US" w:eastAsia="zh-CN"/>
        </w:rPr>
        <w:t>1.8 论证工作程序</w:t>
      </w:r>
      <w:bookmarkEnd w:id="59"/>
    </w:p>
    <w:p w14:paraId="19EE0C1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1、现场查勘与资料收集</w:t>
      </w:r>
    </w:p>
    <w:p w14:paraId="1910C39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根据入河排污口设置的初步方案，组织相关技术人员对现场进行查勘、测量、调查和收集本项目基本情况资料，主要包括：</w:t>
      </w:r>
    </w:p>
    <w:p w14:paraId="212278D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（1）工程所在区域的自然环境和社会环境；</w:t>
      </w:r>
    </w:p>
    <w:p w14:paraId="28DE4C8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（2）工程基本情况、排污量、废污水的处理工艺流程、处理达标情况；</w:t>
      </w:r>
    </w:p>
    <w:p w14:paraId="31C4ADA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（3）排污口设置河段的水文、水质、水功能区和水生态资料及相关图表；</w:t>
      </w:r>
    </w:p>
    <w:p w14:paraId="55888F8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（4）收集可能影响的其它取水用户资料等。</w:t>
      </w:r>
    </w:p>
    <w:p w14:paraId="274AF51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bookmarkStart w:id="60" w:name="_Toc10147"/>
      <w:r>
        <w:rPr>
          <w:rFonts w:hint="default" w:ascii="Times New Roman" w:hAnsi="Times New Roman" w:eastAsia="宋体" w:cs="Times New Roman"/>
          <w:sz w:val="24"/>
          <w:szCs w:val="24"/>
          <w:highlight w:val="none"/>
          <w:lang w:val="en-US" w:eastAsia="zh-CN"/>
        </w:rPr>
        <w:t>2、资料的整理与分析</w:t>
      </w:r>
      <w:bookmarkEnd w:id="60"/>
    </w:p>
    <w:p w14:paraId="77EA7CB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对所收集的资料进行分析整理，明确本工程的基本布局、工艺流程、入河排污口的设置、主要污染物的排放量、排放时间、污染物的基本特性等基本情况；分析排污口所在水功能区纳污总量资料收集、所在河段的水资源保护目标、水环境现状和水生态现状、水功能区的划分情况以及其他取水用户的分布情况等。</w:t>
      </w:r>
    </w:p>
    <w:p w14:paraId="538A36C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3、建立数学模型，进行预测模拟</w:t>
      </w:r>
    </w:p>
    <w:p w14:paraId="12211AA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水功能区水质和水生态保护要求，结合废污水处理排放情况，项目所处河段河道水文特性，按照《水域纳污能力计算规程》，选定合适的数学模型，拟定模型预测计算工况，进行污染物扩散浓度预测计算，统计分析不同条件下入河废污水的影响程度及范围。</w:t>
      </w:r>
    </w:p>
    <w:p w14:paraId="498760F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4、影响分析</w:t>
      </w:r>
    </w:p>
    <w:p w14:paraId="74C375D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计算结果，得出的入河排污口污染物排放产生的影响范围，以及所处河段水生态现状，论证分析入河排污口对龙荫港的影响程度。论证分析排污口对下游水功能区内第三方取用水安全的影响，提出入河排污口设置的制约因素。</w:t>
      </w:r>
    </w:p>
    <w:p w14:paraId="72F0BC2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5、排污口设置合理性分析</w:t>
      </w:r>
    </w:p>
    <w:p w14:paraId="4B6C716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根据影响分析论证的结果，综合考虑水功能区（水域）水质和生态保护要求、第三方权益等因素，分析入河排污口位置、排放浓度和总量是否符合有关要求，论证排污口设置的合理性。</w:t>
      </w:r>
    </w:p>
    <w:p w14:paraId="7CBCBC0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6、结论与建议</w:t>
      </w:r>
    </w:p>
    <w:p w14:paraId="28822B0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根据入河排污口设置情况及水功能区相关要求，经综合分析后，给出入河排污口设置的结论及合理性建议。</w:t>
      </w:r>
    </w:p>
    <w:p w14:paraId="4FE71EC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入河排污口设置论证工作程序见下图</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w:t>
      </w:r>
    </w:p>
    <w:p w14:paraId="2D4207C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sz w:val="20"/>
          <w:highlight w:val="none"/>
        </w:rPr>
      </w:pPr>
      <w:r>
        <w:rPr>
          <w:rFonts w:ascii="Times New Roman" w:hAnsi="Times New Roman" w:cs="Times New Roman"/>
          <w:color w:val="000000"/>
          <w:sz w:val="20"/>
          <w:highlight w:val="none"/>
        </w:rPr>
        <w:drawing>
          <wp:inline distT="0" distB="0" distL="114300" distR="114300">
            <wp:extent cx="5429250" cy="5676265"/>
            <wp:effectExtent l="0" t="0" r="0" b="635"/>
            <wp:docPr id="16" name="图片 27" descr="1623136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descr="1623136330(1)"/>
                    <pic:cNvPicPr>
                      <a:picLocks noChangeAspect="1"/>
                    </pic:cNvPicPr>
                  </pic:nvPicPr>
                  <pic:blipFill>
                    <a:blip r:embed="rId9"/>
                    <a:stretch>
                      <a:fillRect/>
                    </a:stretch>
                  </pic:blipFill>
                  <pic:spPr>
                    <a:xfrm>
                      <a:off x="0" y="0"/>
                      <a:ext cx="5429250" cy="5676265"/>
                    </a:xfrm>
                    <a:prstGeom prst="rect">
                      <a:avLst/>
                    </a:prstGeom>
                    <a:noFill/>
                    <a:ln>
                      <a:noFill/>
                    </a:ln>
                  </pic:spPr>
                </pic:pic>
              </a:graphicData>
            </a:graphic>
          </wp:inline>
        </w:drawing>
      </w:r>
      <w:r>
        <w:rPr>
          <w:rFonts w:hint="default" w:ascii="Times New Roman" w:hAnsi="Times New Roman" w:cs="Times New Roman"/>
          <w:b/>
          <w:bCs/>
          <w:color w:val="000000"/>
          <w:sz w:val="21"/>
          <w:szCs w:val="21"/>
          <w:highlight w:val="none"/>
        </w:rPr>
        <w:t>图1.</w:t>
      </w:r>
      <w:r>
        <w:rPr>
          <w:rFonts w:hint="eastAsia" w:cs="Times New Roman"/>
          <w:b/>
          <w:bCs/>
          <w:color w:val="000000"/>
          <w:sz w:val="21"/>
          <w:szCs w:val="21"/>
          <w:highlight w:val="none"/>
          <w:lang w:val="en-US" w:eastAsia="zh-CN"/>
        </w:rPr>
        <w:t>8</w:t>
      </w:r>
      <w:r>
        <w:rPr>
          <w:rFonts w:hint="default" w:ascii="Times New Roman" w:hAnsi="Times New Roman" w:cs="Times New Roman"/>
          <w:b/>
          <w:bCs/>
          <w:color w:val="000000"/>
          <w:sz w:val="21"/>
          <w:szCs w:val="21"/>
          <w:highlight w:val="none"/>
        </w:rPr>
        <w:t>-1 论证工作程序图</w:t>
      </w:r>
    </w:p>
    <w:p w14:paraId="45BF9281">
      <w:pPr>
        <w:pStyle w:val="5"/>
        <w:numPr>
          <w:ilvl w:val="0"/>
          <w:numId w:val="0"/>
        </w:numPr>
        <w:bidi w:val="0"/>
        <w:ind w:left="0" w:leftChars="0" w:firstLine="0" w:firstLineChars="0"/>
        <w:rPr>
          <w:rFonts w:hint="default"/>
          <w:highlight w:val="none"/>
          <w:lang w:val="en-US" w:eastAsia="zh-CN"/>
        </w:rPr>
      </w:pPr>
      <w:bookmarkStart w:id="61" w:name="_Toc5856"/>
      <w:r>
        <w:rPr>
          <w:rFonts w:hint="eastAsia"/>
          <w:highlight w:val="none"/>
          <w:lang w:val="en-US" w:eastAsia="zh-CN"/>
        </w:rPr>
        <w:t>1.9 论证的主要内容</w:t>
      </w:r>
      <w:bookmarkEnd w:id="61"/>
    </w:p>
    <w:p w14:paraId="0D3B4E23">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（1）建设项目基本情况；</w:t>
      </w:r>
    </w:p>
    <w:p w14:paraId="6BA439DE">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（2）拟建排污口所在水功能区（水域）水质及纳污现状分析；</w:t>
      </w:r>
    </w:p>
    <w:p w14:paraId="2BED8926">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（3）入河排污口可行性分析论证及设置情况；</w:t>
      </w:r>
    </w:p>
    <w:p w14:paraId="4A808D7E">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（4）入河排污口对水域水质影响分析；</w:t>
      </w:r>
    </w:p>
    <w:p w14:paraId="1F29EBF2">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（5）入河排污口对水域水生态影响分析；</w:t>
      </w:r>
    </w:p>
    <w:p w14:paraId="43A4089A">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（6）入河排污口对地下水影响分析；</w:t>
      </w:r>
    </w:p>
    <w:p w14:paraId="547E7B6A">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（7）入河排污口对有利害关系的第三者权益的影响分析； </w:t>
      </w:r>
    </w:p>
    <w:p w14:paraId="7E573C94">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（8）入河排污口合理性分析；</w:t>
      </w:r>
    </w:p>
    <w:p w14:paraId="59CCE734">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bCs/>
          <w:color w:val="000000"/>
          <w:sz w:val="24"/>
          <w:szCs w:val="24"/>
          <w:highlight w:val="none"/>
          <w:lang w:val="en-US" w:eastAsia="zh-CN" w:bidi="ar-SA"/>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Times New Roman"/>
          <w:highlight w:val="none"/>
          <w:lang w:val="en-US" w:eastAsia="zh-CN"/>
        </w:rPr>
        <w:t>（9）结论与建议。</w:t>
      </w:r>
    </w:p>
    <w:p w14:paraId="305D48E3">
      <w:pPr>
        <w:pStyle w:val="5"/>
        <w:numPr>
          <w:ilvl w:val="0"/>
          <w:numId w:val="0"/>
        </w:numPr>
        <w:bidi w:val="0"/>
        <w:ind w:leftChars="0"/>
        <w:jc w:val="center"/>
        <w:outlineLvl w:val="0"/>
        <w:rPr>
          <w:rStyle w:val="35"/>
          <w:rFonts w:hint="eastAsia" w:ascii="Times New Roman" w:hAnsi="Times New Roman" w:eastAsia="宋体" w:cs="Times New Roman"/>
          <w:b/>
          <w:color w:val="000000"/>
          <w:highlight w:val="none"/>
          <w:lang w:val="en-US" w:eastAsia="zh-CN"/>
        </w:rPr>
      </w:pPr>
      <w:bookmarkStart w:id="62" w:name="_Toc24929"/>
      <w:r>
        <w:rPr>
          <w:rStyle w:val="35"/>
          <w:rFonts w:hint="eastAsia" w:ascii="Times New Roman" w:hAnsi="Times New Roman" w:eastAsia="宋体" w:cs="Times New Roman"/>
          <w:b/>
          <w:color w:val="000000"/>
          <w:highlight w:val="none"/>
          <w:lang w:val="en-US" w:eastAsia="zh-CN"/>
        </w:rPr>
        <w:t>第二章  项目概况</w:t>
      </w:r>
      <w:bookmarkEnd w:id="62"/>
    </w:p>
    <w:p w14:paraId="09A3F571">
      <w:pPr>
        <w:pStyle w:val="5"/>
        <w:numPr>
          <w:ilvl w:val="0"/>
          <w:numId w:val="0"/>
        </w:numPr>
        <w:bidi w:val="0"/>
        <w:ind w:leftChars="0"/>
        <w:rPr>
          <w:rFonts w:hint="default"/>
          <w:color w:val="000000"/>
          <w:highlight w:val="none"/>
          <w:lang w:val="en-US" w:eastAsia="zh-CN"/>
        </w:rPr>
      </w:pPr>
      <w:bookmarkStart w:id="63" w:name="_Toc22915"/>
      <w:r>
        <w:rPr>
          <w:rFonts w:hint="eastAsia"/>
          <w:color w:val="000000"/>
          <w:highlight w:val="none"/>
          <w:lang w:val="en-US" w:eastAsia="zh-CN"/>
        </w:rPr>
        <w:t>2.1 项目</w:t>
      </w:r>
      <w:r>
        <w:rPr>
          <w:rStyle w:val="35"/>
          <w:rFonts w:hint="eastAsia" w:ascii="Times New Roman" w:hAnsi="Times New Roman" w:eastAsia="宋体" w:cs="Times New Roman"/>
          <w:b/>
          <w:color w:val="000000"/>
          <w:highlight w:val="none"/>
          <w:lang w:val="en-US" w:eastAsia="zh-CN"/>
        </w:rPr>
        <w:t>概况</w:t>
      </w:r>
      <w:bookmarkEnd w:id="63"/>
    </w:p>
    <w:p w14:paraId="355188F7">
      <w:pPr>
        <w:keepNext w:val="0"/>
        <w:keepLines w:val="0"/>
        <w:pageBreakBefore w:val="0"/>
        <w:widowControl w:val="0"/>
        <w:kinsoku/>
        <w:wordWrap/>
        <w:overflowPunct/>
        <w:topLinePunct w:val="0"/>
        <w:autoSpaceDE/>
        <w:autoSpaceDN/>
        <w:bidi w:val="0"/>
        <w:adjustRightInd w:val="0"/>
        <w:snapToGrid w:val="0"/>
        <w:ind w:firstLine="482" w:firstLineChars="200"/>
        <w:jc w:val="both"/>
        <w:textAlignment w:val="auto"/>
        <w:rPr>
          <w:rFonts w:hint="default"/>
          <w:b/>
          <w:bCs/>
          <w:color w:val="000000"/>
          <w:sz w:val="24"/>
          <w:szCs w:val="24"/>
          <w:highlight w:val="none"/>
          <w:lang w:val="en-US" w:eastAsia="zh-CN"/>
        </w:rPr>
      </w:pPr>
      <w:r>
        <w:rPr>
          <w:rFonts w:hint="eastAsia"/>
          <w:b/>
          <w:bCs/>
          <w:color w:val="000000"/>
          <w:sz w:val="24"/>
          <w:szCs w:val="24"/>
          <w:highlight w:val="none"/>
          <w:lang w:val="en-US" w:eastAsia="zh-CN"/>
        </w:rPr>
        <w:t>1、工程基本情况</w:t>
      </w:r>
    </w:p>
    <w:p w14:paraId="14005DB7">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（1）项目名称：</w:t>
      </w:r>
      <w:r>
        <w:rPr>
          <w:rFonts w:hint="default" w:ascii="Times New Roman" w:hAnsi="Times New Roman" w:eastAsia="宋体" w:cs="Times New Roman"/>
          <w:color w:val="000000"/>
          <w:sz w:val="24"/>
          <w:szCs w:val="24"/>
          <w:highlight w:val="none"/>
          <w:lang w:val="en-US" w:eastAsia="zh-CN"/>
        </w:rPr>
        <w:t>南岳区</w:t>
      </w:r>
      <w:r>
        <w:rPr>
          <w:rFonts w:hint="eastAsia" w:ascii="Times New Roman" w:hAnsi="Times New Roman" w:eastAsia="宋体" w:cs="Times New Roman"/>
          <w:color w:val="000000"/>
          <w:sz w:val="24"/>
          <w:szCs w:val="24"/>
          <w:highlight w:val="none"/>
          <w:lang w:val="en-US" w:eastAsia="zh-CN"/>
        </w:rPr>
        <w:t>污水处理厂入河排污口设置论证报告；</w:t>
      </w:r>
    </w:p>
    <w:p w14:paraId="084AD1F2">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（2）建设单位：南岳区住房和城乡建设局</w:t>
      </w:r>
      <w:r>
        <w:rPr>
          <w:rFonts w:hint="eastAsia" w:ascii="Times New Roman" w:hAnsi="Times New Roman" w:eastAsia="宋体" w:cs="Times New Roman"/>
          <w:color w:val="000000"/>
          <w:sz w:val="24"/>
          <w:szCs w:val="24"/>
          <w:highlight w:val="none"/>
          <w:lang w:val="en-US" w:eastAsia="zh-CN"/>
        </w:rPr>
        <w:t>；</w:t>
      </w:r>
    </w:p>
    <w:p w14:paraId="57C4BAB8">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（3）项目性质：</w:t>
      </w:r>
      <w:r>
        <w:rPr>
          <w:rFonts w:hint="eastAsia" w:cs="Times New Roman"/>
          <w:color w:val="000000"/>
          <w:sz w:val="24"/>
          <w:szCs w:val="24"/>
          <w:highlight w:val="none"/>
          <w:lang w:val="en-US" w:eastAsia="zh-CN"/>
        </w:rPr>
        <w:t>新建</w:t>
      </w:r>
      <w:r>
        <w:rPr>
          <w:rFonts w:hint="eastAsia" w:ascii="Times New Roman" w:hAnsi="Times New Roman" w:eastAsia="宋体" w:cs="Times New Roman"/>
          <w:color w:val="000000"/>
          <w:sz w:val="24"/>
          <w:szCs w:val="24"/>
          <w:highlight w:val="none"/>
          <w:lang w:val="en-US" w:eastAsia="zh-CN"/>
        </w:rPr>
        <w:t>；</w:t>
      </w:r>
    </w:p>
    <w:p w14:paraId="1751793B">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（4）建设地点：</w:t>
      </w:r>
      <w:r>
        <w:rPr>
          <w:rFonts w:hint="default" w:ascii="Times New Roman" w:hAnsi="Times New Roman" w:eastAsia="宋体" w:cs="Times New Roman"/>
          <w:color w:val="000000"/>
          <w:sz w:val="24"/>
          <w:szCs w:val="24"/>
          <w:highlight w:val="none"/>
          <w:lang w:val="en-US" w:eastAsia="zh-CN"/>
        </w:rPr>
        <w:t>南岳区</w:t>
      </w:r>
      <w:r>
        <w:rPr>
          <w:rFonts w:hint="eastAsia" w:ascii="Times New Roman" w:hAnsi="Times New Roman" w:eastAsia="宋体" w:cs="Times New Roman"/>
          <w:color w:val="000000"/>
          <w:sz w:val="24"/>
          <w:szCs w:val="24"/>
          <w:highlight w:val="none"/>
          <w:lang w:val="en-US" w:eastAsia="zh-CN"/>
        </w:rPr>
        <w:t>污水处理厂位于衡阳市</w:t>
      </w:r>
      <w:r>
        <w:rPr>
          <w:rFonts w:hint="default" w:ascii="Times New Roman" w:hAnsi="Times New Roman" w:eastAsia="宋体" w:cs="Times New Roman"/>
          <w:color w:val="000000"/>
          <w:sz w:val="24"/>
          <w:szCs w:val="24"/>
          <w:highlight w:val="none"/>
          <w:lang w:val="en-US" w:eastAsia="zh-CN"/>
        </w:rPr>
        <w:t>南岳区</w:t>
      </w:r>
      <w:r>
        <w:rPr>
          <w:rFonts w:hint="eastAsia" w:ascii="Times New Roman" w:hAnsi="Times New Roman" w:eastAsia="宋体" w:cs="Times New Roman"/>
          <w:color w:val="000000"/>
          <w:sz w:val="24"/>
          <w:szCs w:val="24"/>
          <w:highlight w:val="none"/>
          <w:lang w:val="en-US" w:eastAsia="zh-CN"/>
        </w:rPr>
        <w:t>南岳镇</w:t>
      </w:r>
      <w:r>
        <w:rPr>
          <w:rFonts w:hint="default" w:ascii="Times New Roman" w:hAnsi="Times New Roman" w:eastAsia="宋体" w:cs="Times New Roman"/>
          <w:color w:val="000000"/>
          <w:sz w:val="24"/>
          <w:szCs w:val="24"/>
          <w:highlight w:val="none"/>
          <w:lang w:val="en-US" w:eastAsia="zh-CN"/>
        </w:rPr>
        <w:t>红星村老屋组，中心地理坐标为东经111°45′9.41421″，北纬27°13′15.94469″</w:t>
      </w:r>
      <w:r>
        <w:rPr>
          <w:rFonts w:hint="eastAsia" w:ascii="Times New Roman" w:hAnsi="Times New Roman" w:eastAsia="宋体" w:cs="Times New Roman"/>
          <w:color w:val="000000"/>
          <w:sz w:val="24"/>
          <w:szCs w:val="24"/>
          <w:highlight w:val="none"/>
          <w:lang w:val="en-US" w:eastAsia="zh-CN"/>
        </w:rPr>
        <w:t>；</w:t>
      </w:r>
    </w:p>
    <w:p w14:paraId="27E1A1CC">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（5）行业类别：D4620污水处理及其再生利用；</w:t>
      </w:r>
    </w:p>
    <w:p w14:paraId="55F8948F">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（6）</w:t>
      </w:r>
      <w:r>
        <w:rPr>
          <w:rFonts w:hint="eastAsia" w:cs="Times New Roman"/>
          <w:color w:val="000000"/>
          <w:sz w:val="24"/>
          <w:szCs w:val="24"/>
          <w:highlight w:val="none"/>
          <w:lang w:val="en-US" w:eastAsia="zh-CN"/>
        </w:rPr>
        <w:t>处理</w:t>
      </w:r>
      <w:r>
        <w:rPr>
          <w:rFonts w:hint="eastAsia" w:ascii="Times New Roman" w:hAnsi="Times New Roman" w:eastAsia="宋体" w:cs="Times New Roman"/>
          <w:color w:val="000000"/>
          <w:sz w:val="24"/>
          <w:szCs w:val="24"/>
          <w:highlight w:val="none"/>
          <w:lang w:val="en-US" w:eastAsia="zh-CN"/>
        </w:rPr>
        <w:t>规模：3万m</w:t>
      </w:r>
      <w:r>
        <w:rPr>
          <w:rFonts w:hint="eastAsia" w:ascii="Times New Roman" w:hAnsi="Times New Roman" w:eastAsia="宋体" w:cs="Times New Roman"/>
          <w:color w:val="000000"/>
          <w:sz w:val="24"/>
          <w:szCs w:val="24"/>
          <w:highlight w:val="none"/>
          <w:vertAlign w:val="superscript"/>
          <w:lang w:val="en-US" w:eastAsia="zh-CN"/>
        </w:rPr>
        <w:t>3</w:t>
      </w:r>
      <w:r>
        <w:rPr>
          <w:rFonts w:hint="eastAsia" w:ascii="Times New Roman" w:hAnsi="Times New Roman" w:eastAsia="宋体" w:cs="Times New Roman"/>
          <w:color w:val="000000"/>
          <w:sz w:val="24"/>
          <w:szCs w:val="24"/>
          <w:highlight w:val="none"/>
          <w:lang w:val="en-US" w:eastAsia="zh-CN"/>
        </w:rPr>
        <w:t>/d</w:t>
      </w:r>
      <w:r>
        <w:rPr>
          <w:rFonts w:hint="eastAsia" w:cs="Times New Roman"/>
          <w:color w:val="000000"/>
          <w:sz w:val="24"/>
          <w:szCs w:val="24"/>
          <w:highlight w:val="none"/>
          <w:lang w:val="en-US" w:eastAsia="zh-CN"/>
        </w:rPr>
        <w:t>。</w:t>
      </w:r>
    </w:p>
    <w:p w14:paraId="6D1DBAD6">
      <w:pPr>
        <w:keepNext w:val="0"/>
        <w:keepLines w:val="0"/>
        <w:pageBreakBefore w:val="0"/>
        <w:widowControl w:val="0"/>
        <w:kinsoku/>
        <w:wordWrap/>
        <w:overflowPunct/>
        <w:topLinePunct w:val="0"/>
        <w:autoSpaceDE/>
        <w:autoSpaceDN/>
        <w:bidi w:val="0"/>
        <w:adjustRightInd w:val="0"/>
        <w:snapToGrid w:val="0"/>
        <w:ind w:firstLine="482" w:firstLineChars="200"/>
        <w:jc w:val="both"/>
        <w:textAlignment w:val="auto"/>
        <w:rPr>
          <w:rFonts w:hint="default"/>
          <w:b/>
          <w:bCs/>
          <w:color w:val="000000"/>
          <w:sz w:val="24"/>
          <w:szCs w:val="24"/>
          <w:highlight w:val="none"/>
          <w:lang w:val="en-US" w:eastAsia="zh-CN"/>
        </w:rPr>
      </w:pPr>
      <w:r>
        <w:rPr>
          <w:rFonts w:hint="eastAsia"/>
          <w:b/>
          <w:bCs/>
          <w:color w:val="000000"/>
          <w:sz w:val="24"/>
          <w:szCs w:val="24"/>
          <w:highlight w:val="none"/>
          <w:lang w:val="en-US" w:eastAsia="zh-CN"/>
        </w:rPr>
        <w:t>2、排污口设置基本情况</w:t>
      </w:r>
    </w:p>
    <w:p w14:paraId="5CF787BA">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（1）入河排污口位置：位于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南岳镇</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红星村老屋组</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（南岳区龙荫港左岸），坐标为东经</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112°45′8.53308″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，北纬</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27°13′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12.36000</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13FC10C8">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（2）入河排污口性质：新建；</w:t>
      </w:r>
    </w:p>
    <w:p w14:paraId="0247947B">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（3）入河排污口类型：</w:t>
      </w:r>
      <w:r>
        <w:rPr>
          <w:rFonts w:hint="eastAsia" w:cs="Times New Roman"/>
          <w:color w:val="000000" w:themeColor="text1"/>
          <w:sz w:val="24"/>
          <w:szCs w:val="24"/>
          <w:highlight w:val="none"/>
          <w:u w:val="none"/>
          <w:lang w:val="en-US" w:eastAsia="zh-CN"/>
          <w14:textFill>
            <w14:solidFill>
              <w14:schemeClr w14:val="tx1"/>
            </w14:solidFill>
          </w14:textFill>
        </w:rPr>
        <w:t>城镇污水处理厂排污口</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2F21E07E">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排污口排放方式：</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连续</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排放</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78B3A29E">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（5）排污口入河方式：</w:t>
      </w:r>
      <w:r>
        <w:rPr>
          <w:rFonts w:hint="eastAsia" w:cs="Times New Roman"/>
          <w:color w:val="000000" w:themeColor="text1"/>
          <w:sz w:val="24"/>
          <w:szCs w:val="24"/>
          <w:highlight w:val="none"/>
          <w:u w:val="none"/>
          <w:lang w:val="en-US" w:eastAsia="zh-CN"/>
          <w14:textFill>
            <w14:solidFill>
              <w14:schemeClr w14:val="tx1"/>
            </w14:solidFill>
          </w14:textFill>
        </w:rPr>
        <w:t>尾水经厂区约50m专用排污管道通过入河排污口排入龙荫港</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4A741028">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排污口规模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：3.0万m</w:t>
      </w:r>
      <w:r>
        <w:rPr>
          <w:rFonts w:hint="eastAsia"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/d；</w:t>
      </w:r>
    </w:p>
    <w:p w14:paraId="00EA4C36">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（7）执行标准：尾水排放执行《湖南省城镇污水处理厂主要水污染物排放标准》（</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DB43/T1546-2018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）一级标准。</w:t>
      </w:r>
    </w:p>
    <w:p w14:paraId="6E8889B8">
      <w:pPr>
        <w:pStyle w:val="5"/>
        <w:numPr>
          <w:ilvl w:val="0"/>
          <w:numId w:val="0"/>
        </w:numPr>
        <w:bidi w:val="0"/>
        <w:ind w:leftChars="0"/>
        <w:rPr>
          <w:rFonts w:hint="default"/>
          <w:color w:val="000000" w:themeColor="text1"/>
          <w:highlight w:val="none"/>
          <w:u w:val="none"/>
          <w:lang w:val="en-US" w:eastAsia="zh-CN"/>
          <w14:textFill>
            <w14:solidFill>
              <w14:schemeClr w14:val="tx1"/>
            </w14:solidFill>
          </w14:textFill>
        </w:rPr>
      </w:pPr>
      <w:bookmarkStart w:id="64" w:name="_Toc4571"/>
      <w:r>
        <w:rPr>
          <w:rFonts w:hint="eastAsia"/>
          <w:color w:val="000000" w:themeColor="text1"/>
          <w:highlight w:val="none"/>
          <w:u w:val="none"/>
          <w:lang w:val="en-US" w:eastAsia="zh-CN"/>
          <w14:textFill>
            <w14:solidFill>
              <w14:schemeClr w14:val="tx1"/>
            </w14:solidFill>
          </w14:textFill>
        </w:rPr>
        <w:t>2.2 污水处理厂概况</w:t>
      </w:r>
      <w:bookmarkEnd w:id="64"/>
    </w:p>
    <w:p w14:paraId="6CC7C95B">
      <w:pPr>
        <w:pStyle w:val="6"/>
        <w:rPr>
          <w:rFonts w:hint="default"/>
          <w:highlight w:val="none"/>
          <w:lang w:val="en-US" w:eastAsia="zh-CN"/>
        </w:rPr>
      </w:pPr>
      <w:bookmarkStart w:id="65" w:name="_Toc20362"/>
      <w:bookmarkStart w:id="66" w:name="_Toc27315"/>
      <w:r>
        <w:rPr>
          <w:rFonts w:hint="eastAsia"/>
          <w:highlight w:val="none"/>
          <w:lang w:val="en-US" w:eastAsia="zh-CN"/>
        </w:rPr>
        <w:t>2.2.1 厂区主要建设内容</w:t>
      </w:r>
      <w:bookmarkEnd w:id="65"/>
      <w:bookmarkEnd w:id="66"/>
    </w:p>
    <w:p w14:paraId="79FE2DBD">
      <w:pPr>
        <w:keepNext w:val="0"/>
        <w:keepLines w:val="0"/>
        <w:pageBreakBefore w:val="0"/>
        <w:widowControl w:val="0"/>
        <w:kinsoku/>
        <w:wordWrap/>
        <w:overflowPunct/>
        <w:topLinePunct w:val="0"/>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南岳区污水处理厂扩建及提质改造后建设内容见下表2.2-1</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21BAD9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bCs/>
          <w:color w:val="000000" w:themeColor="text1"/>
          <w:sz w:val="24"/>
          <w:szCs w:val="24"/>
          <w:highlight w:val="none"/>
          <w:u w:val="none"/>
          <w:lang w:val="en-US" w:eastAsia="zh-CN"/>
          <w14:textFill>
            <w14:solidFill>
              <w14:schemeClr w14:val="tx1"/>
            </w14:solidFill>
          </w14:textFill>
        </w:rPr>
      </w:pPr>
      <w:r>
        <w:rPr>
          <w:rFonts w:hint="eastAsia"/>
          <w:b/>
          <w:bCs/>
          <w:color w:val="000000" w:themeColor="text1"/>
          <w:highlight w:val="none"/>
          <w:u w:val="none"/>
          <w14:textFill>
            <w14:solidFill>
              <w14:schemeClr w14:val="tx1"/>
            </w14:solidFill>
          </w14:textFill>
        </w:rPr>
        <w:t>表2</w:t>
      </w:r>
      <w:r>
        <w:rPr>
          <w:rFonts w:hint="eastAsia"/>
          <w:b/>
          <w:bCs/>
          <w:color w:val="000000" w:themeColor="text1"/>
          <w:highlight w:val="none"/>
          <w:u w:val="none"/>
          <w:lang w:val="en-US" w:eastAsia="zh-CN"/>
          <w14:textFill>
            <w14:solidFill>
              <w14:schemeClr w14:val="tx1"/>
            </w14:solidFill>
          </w14:textFill>
        </w:rPr>
        <w:t>.2</w:t>
      </w:r>
      <w:r>
        <w:rPr>
          <w:rFonts w:hint="eastAsia"/>
          <w:b/>
          <w:bCs/>
          <w:color w:val="000000" w:themeColor="text1"/>
          <w:highlight w:val="none"/>
          <w:u w:val="none"/>
          <w14:textFill>
            <w14:solidFill>
              <w14:schemeClr w14:val="tx1"/>
            </w14:solidFill>
          </w14:textFill>
        </w:rPr>
        <w:t>-</w:t>
      </w:r>
      <w:r>
        <w:rPr>
          <w:rFonts w:hint="eastAsia"/>
          <w:b/>
          <w:bCs/>
          <w:color w:val="000000" w:themeColor="text1"/>
          <w:highlight w:val="none"/>
          <w:u w:val="none"/>
          <w:lang w:val="en-US" w:eastAsia="zh-CN"/>
          <w14:textFill>
            <w14:solidFill>
              <w14:schemeClr w14:val="tx1"/>
            </w14:solidFill>
          </w14:textFill>
        </w:rPr>
        <w:t>1 厂区主要</w:t>
      </w:r>
      <w:r>
        <w:rPr>
          <w:rFonts w:hint="eastAsia"/>
          <w:b/>
          <w:bCs/>
          <w:color w:val="000000" w:themeColor="text1"/>
          <w:highlight w:val="none"/>
          <w:u w:val="none"/>
          <w14:textFill>
            <w14:solidFill>
              <w14:schemeClr w14:val="tx1"/>
            </w14:solidFill>
          </w14:textFill>
        </w:rPr>
        <w:t>建设内容一览表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8"/>
        <w:gridCol w:w="1423"/>
        <w:gridCol w:w="4311"/>
        <w:gridCol w:w="1610"/>
      </w:tblGrid>
      <w:tr w14:paraId="15676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1178" w:type="dxa"/>
            <w:tcBorders>
              <w:tl2br w:val="nil"/>
              <w:tr2bl w:val="nil"/>
            </w:tcBorders>
            <w:noWrap w:val="0"/>
            <w:vAlign w:val="center"/>
          </w:tcPr>
          <w:p w14:paraId="525CF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工程类别</w:t>
            </w:r>
          </w:p>
        </w:tc>
        <w:tc>
          <w:tcPr>
            <w:tcW w:w="1423" w:type="dxa"/>
            <w:tcBorders>
              <w:tl2br w:val="nil"/>
              <w:tr2bl w:val="nil"/>
            </w:tcBorders>
            <w:noWrap w:val="0"/>
            <w:vAlign w:val="center"/>
          </w:tcPr>
          <w:p w14:paraId="41F1F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工程名称</w:t>
            </w:r>
          </w:p>
        </w:tc>
        <w:tc>
          <w:tcPr>
            <w:tcW w:w="4311" w:type="dxa"/>
            <w:tcBorders>
              <w:tl2br w:val="nil"/>
              <w:tr2bl w:val="nil"/>
            </w:tcBorders>
            <w:noWrap w:val="0"/>
            <w:vAlign w:val="center"/>
          </w:tcPr>
          <w:p w14:paraId="5344B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主要建设内容及规模</w:t>
            </w:r>
          </w:p>
        </w:tc>
        <w:tc>
          <w:tcPr>
            <w:tcW w:w="1610" w:type="dxa"/>
            <w:tcBorders>
              <w:tl2br w:val="nil"/>
              <w:tr2bl w:val="nil"/>
            </w:tcBorders>
            <w:noWrap w:val="0"/>
            <w:vAlign w:val="center"/>
          </w:tcPr>
          <w:p w14:paraId="39C47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备注</w:t>
            </w:r>
          </w:p>
        </w:tc>
      </w:tr>
      <w:tr w14:paraId="76E1F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atLeast"/>
        </w:trPr>
        <w:tc>
          <w:tcPr>
            <w:tcW w:w="1178" w:type="dxa"/>
            <w:vMerge w:val="restart"/>
            <w:tcBorders>
              <w:tl2br w:val="nil"/>
              <w:tr2bl w:val="nil"/>
            </w:tcBorders>
            <w:noWrap w:val="0"/>
            <w:vAlign w:val="center"/>
          </w:tcPr>
          <w:p w14:paraId="6BE50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污水处理主体设施</w:t>
            </w:r>
          </w:p>
        </w:tc>
        <w:tc>
          <w:tcPr>
            <w:tcW w:w="1423" w:type="dxa"/>
            <w:tcBorders>
              <w:tl2br w:val="nil"/>
              <w:tr2bl w:val="nil"/>
            </w:tcBorders>
            <w:noWrap w:val="0"/>
            <w:vAlign w:val="center"/>
          </w:tcPr>
          <w:p w14:paraId="337D1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粗格栅及提升泵房</w:t>
            </w:r>
          </w:p>
        </w:tc>
        <w:tc>
          <w:tcPr>
            <w:tcW w:w="4311" w:type="dxa"/>
            <w:tcBorders>
              <w:tl2br w:val="nil"/>
              <w:tr2bl w:val="nil"/>
            </w:tcBorders>
            <w:noWrap w:val="0"/>
            <w:vAlign w:val="center"/>
          </w:tcPr>
          <w:p w14:paraId="5FD7C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2座</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一</w:t>
            </w:r>
            <w:r>
              <w:rPr>
                <w:rFonts w:hint="eastAsia"/>
                <w:color w:val="000000" w:themeColor="text1"/>
                <w:sz w:val="21"/>
                <w:szCs w:val="21"/>
                <w:highlight w:val="none"/>
                <w:u w:val="none"/>
                <w:lang w:val="en-US"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二期共用1座，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w:t>
            </w:r>
            <w:r>
              <w:rPr>
                <w:rFonts w:hint="eastAsia"/>
                <w:b w:val="0"/>
                <w:color w:val="000000" w:themeColor="text1"/>
                <w:sz w:val="21"/>
                <w:szCs w:val="21"/>
                <w:highlight w:val="none"/>
                <w:u w:val="none"/>
                <w14:textFill>
                  <w14:solidFill>
                    <w14:schemeClr w14:val="tx1"/>
                  </w14:solidFill>
                </w14:textFill>
              </w:rPr>
              <w:t>2万m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三期扩建1座，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77FDBA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处理规模共计3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r>
      <w:tr w14:paraId="0D5A4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trPr>
        <w:tc>
          <w:tcPr>
            <w:tcW w:w="1178" w:type="dxa"/>
            <w:vMerge w:val="continue"/>
            <w:tcBorders>
              <w:tl2br w:val="nil"/>
              <w:tr2bl w:val="nil"/>
            </w:tcBorders>
            <w:noWrap w:val="0"/>
            <w:vAlign w:val="center"/>
          </w:tcPr>
          <w:p w14:paraId="2A31F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26396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细格栅及旋流沉砂池</w:t>
            </w:r>
          </w:p>
        </w:tc>
        <w:tc>
          <w:tcPr>
            <w:tcW w:w="4311" w:type="dxa"/>
            <w:tcBorders>
              <w:tl2br w:val="nil"/>
              <w:tr2bl w:val="nil"/>
            </w:tcBorders>
            <w:noWrap w:val="0"/>
            <w:vAlign w:val="center"/>
          </w:tcPr>
          <w:p w14:paraId="1E4EBA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2座</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一</w:t>
            </w:r>
            <w:r>
              <w:rPr>
                <w:rFonts w:hint="eastAsia"/>
                <w:color w:val="000000" w:themeColor="text1"/>
                <w:sz w:val="21"/>
                <w:szCs w:val="21"/>
                <w:highlight w:val="none"/>
                <w:u w:val="none"/>
                <w:lang w:val="en-US"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二期共用1座，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w:t>
            </w:r>
            <w:r>
              <w:rPr>
                <w:rFonts w:hint="eastAsia"/>
                <w:b w:val="0"/>
                <w:color w:val="000000" w:themeColor="text1"/>
                <w:sz w:val="21"/>
                <w:szCs w:val="21"/>
                <w:highlight w:val="none"/>
                <w:u w:val="none"/>
                <w14:textFill>
                  <w14:solidFill>
                    <w14:schemeClr w14:val="tx1"/>
                  </w14:solidFill>
                </w14:textFill>
              </w:rPr>
              <w:t>2万m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三期扩建1座，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33887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处理规模共计3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r>
      <w:tr w14:paraId="1318B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1EFB1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21437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活性污泥池</w:t>
            </w:r>
          </w:p>
        </w:tc>
        <w:tc>
          <w:tcPr>
            <w:tcW w:w="4311" w:type="dxa"/>
            <w:tcBorders>
              <w:tl2br w:val="nil"/>
              <w:tr2bl w:val="nil"/>
            </w:tcBorders>
            <w:noWrap w:val="0"/>
            <w:vAlign w:val="center"/>
          </w:tcPr>
          <w:p w14:paraId="59F41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3座，一</w:t>
            </w:r>
            <w:r>
              <w:rPr>
                <w:rFonts w:hint="eastAsia"/>
                <w:color w:val="000000" w:themeColor="text1"/>
                <w:sz w:val="21"/>
                <w:szCs w:val="21"/>
                <w:highlight w:val="none"/>
                <w:u w:val="none"/>
                <w:lang w:val="en-US" w:eastAsia="zh-CN"/>
                <w14:textFill>
                  <w14:solidFill>
                    <w14:schemeClr w14:val="tx1"/>
                  </w14:solidFill>
                </w14:textFill>
              </w:rPr>
              <w:t>、二期各建设1座处理规模为</w:t>
            </w:r>
            <w:r>
              <w:rPr>
                <w:rFonts w:hint="eastAsia"/>
                <w:b w:val="0"/>
                <w:color w:val="000000" w:themeColor="text1"/>
                <w:sz w:val="21"/>
                <w:szCs w:val="21"/>
                <w:highlight w:val="none"/>
                <w:u w:val="none"/>
                <w:lang w:val="en-US" w:eastAsia="zh-CN"/>
                <w14:textFill>
                  <w14:solidFill>
                    <w14:schemeClr w14:val="tx1"/>
                  </w14:solidFill>
                </w14:textFill>
              </w:rPr>
              <w:t>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val="en-US" w:eastAsia="zh-CN"/>
                <w14:textFill>
                  <w14:solidFill>
                    <w14:schemeClr w14:val="tx1"/>
                  </w14:solidFill>
                </w14:textFill>
              </w:rPr>
              <w:t>的改良型氧化沟；三期扩建1座处理规模为1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val="en-US" w:eastAsia="zh-CN"/>
                <w14:textFill>
                  <w14:solidFill>
                    <w14:schemeClr w14:val="tx1"/>
                  </w14:solidFill>
                </w14:textFill>
              </w:rPr>
              <w:t>的A</w:t>
            </w:r>
            <w:r>
              <w:rPr>
                <w:rFonts w:hint="eastAsia"/>
                <w:b w:val="0"/>
                <w:color w:val="000000" w:themeColor="text1"/>
                <w:sz w:val="21"/>
                <w:szCs w:val="21"/>
                <w:highlight w:val="none"/>
                <w:u w:val="none"/>
                <w:vertAlign w:val="superscript"/>
                <w:lang w:val="en-US" w:eastAsia="zh-CN"/>
                <w14:textFill>
                  <w14:solidFill>
                    <w14:schemeClr w14:val="tx1"/>
                  </w14:solidFill>
                </w14:textFill>
              </w:rPr>
              <w:t>2</w:t>
            </w:r>
            <w:r>
              <w:rPr>
                <w:rFonts w:hint="eastAsia"/>
                <w:b w:val="0"/>
                <w:color w:val="000000" w:themeColor="text1"/>
                <w:sz w:val="21"/>
                <w:szCs w:val="21"/>
                <w:highlight w:val="none"/>
                <w:u w:val="none"/>
                <w:lang w:val="en-US" w:eastAsia="zh-CN"/>
                <w14:textFill>
                  <w14:solidFill>
                    <w14:schemeClr w14:val="tx1"/>
                  </w14:solidFill>
                </w14:textFill>
              </w:rPr>
              <w:t>O生化池。</w:t>
            </w:r>
          </w:p>
        </w:tc>
        <w:tc>
          <w:tcPr>
            <w:tcW w:w="1610" w:type="dxa"/>
            <w:tcBorders>
              <w:tl2br w:val="nil"/>
              <w:tr2bl w:val="nil"/>
            </w:tcBorders>
            <w:noWrap w:val="0"/>
            <w:vAlign w:val="center"/>
          </w:tcPr>
          <w:p w14:paraId="46404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处理规模共计3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r>
      <w:tr w14:paraId="54CA2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23979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3FEEA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lang w:val="en-US" w:eastAsia="zh-CN"/>
                <w14:textFill>
                  <w14:solidFill>
                    <w14:schemeClr w14:val="tx1"/>
                  </w14:solidFill>
                </w14:textFill>
              </w:rPr>
              <w:t>周进周出</w:t>
            </w:r>
            <w:r>
              <w:rPr>
                <w:rFonts w:hint="eastAsia"/>
                <w:b w:val="0"/>
                <w:color w:val="000000" w:themeColor="text1"/>
                <w:sz w:val="21"/>
                <w:szCs w:val="21"/>
                <w:highlight w:val="none"/>
                <w:u w:val="none"/>
                <w14:textFill>
                  <w14:solidFill>
                    <w14:schemeClr w14:val="tx1"/>
                  </w14:solidFill>
                </w14:textFill>
              </w:rPr>
              <w:t>二沉池</w:t>
            </w:r>
          </w:p>
        </w:tc>
        <w:tc>
          <w:tcPr>
            <w:tcW w:w="4311" w:type="dxa"/>
            <w:tcBorders>
              <w:tl2br w:val="nil"/>
              <w:tr2bl w:val="nil"/>
            </w:tcBorders>
            <w:noWrap w:val="0"/>
            <w:vAlign w:val="center"/>
          </w:tcPr>
          <w:p w14:paraId="742927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3座，一</w:t>
            </w:r>
            <w:r>
              <w:rPr>
                <w:rFonts w:hint="eastAsia"/>
                <w:color w:val="000000" w:themeColor="text1"/>
                <w:sz w:val="21"/>
                <w:szCs w:val="21"/>
                <w:highlight w:val="none"/>
                <w:u w:val="none"/>
                <w:lang w:val="en-US" w:eastAsia="zh-CN"/>
                <w14:textFill>
                  <w14:solidFill>
                    <w14:schemeClr w14:val="tx1"/>
                  </w14:solidFill>
                </w14:textFill>
              </w:rPr>
              <w:t>、二期各建设处理规模为</w:t>
            </w:r>
            <w:r>
              <w:rPr>
                <w:rFonts w:hint="eastAsia"/>
                <w:b w:val="0"/>
                <w:color w:val="000000" w:themeColor="text1"/>
                <w:sz w:val="21"/>
                <w:szCs w:val="21"/>
                <w:highlight w:val="none"/>
                <w:u w:val="none"/>
                <w:lang w:val="en-US" w:eastAsia="zh-CN"/>
                <w14:textFill>
                  <w14:solidFill>
                    <w14:schemeClr w14:val="tx1"/>
                  </w14:solidFill>
                </w14:textFill>
              </w:rPr>
              <w:t>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val="en-US" w:eastAsia="zh-CN"/>
                <w14:textFill>
                  <w14:solidFill>
                    <w14:schemeClr w14:val="tx1"/>
                  </w14:solidFill>
                </w14:textFill>
              </w:rPr>
              <w:t>的周进周出</w:t>
            </w:r>
            <w:r>
              <w:rPr>
                <w:rFonts w:hint="eastAsia"/>
                <w:b w:val="0"/>
                <w:color w:val="000000" w:themeColor="text1"/>
                <w:sz w:val="21"/>
                <w:szCs w:val="21"/>
                <w:highlight w:val="none"/>
                <w:u w:val="none"/>
                <w14:textFill>
                  <w14:solidFill>
                    <w14:schemeClr w14:val="tx1"/>
                  </w14:solidFill>
                </w14:textFill>
              </w:rPr>
              <w:t>二沉池</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三期扩建1座，</w:t>
            </w:r>
            <w:r>
              <w:rPr>
                <w:rFonts w:hint="eastAsia"/>
                <w:color w:val="000000" w:themeColor="text1"/>
                <w:sz w:val="21"/>
                <w:szCs w:val="21"/>
                <w:highlight w:val="none"/>
                <w:u w:val="none"/>
                <w:lang w:val="en-US" w:eastAsia="zh-CN"/>
                <w14:textFill>
                  <w14:solidFill>
                    <w14:schemeClr w14:val="tx1"/>
                  </w14:solidFill>
                </w14:textFill>
              </w:rPr>
              <w:t>处理规模为</w:t>
            </w:r>
            <w:r>
              <w:rPr>
                <w:rFonts w:hint="eastAsia"/>
                <w:b w:val="0"/>
                <w:color w:val="000000" w:themeColor="text1"/>
                <w:sz w:val="21"/>
                <w:szCs w:val="21"/>
                <w:highlight w:val="none"/>
                <w:u w:val="none"/>
                <w:lang w:val="en-US" w:eastAsia="zh-CN"/>
                <w14:textFill>
                  <w14:solidFill>
                    <w14:schemeClr w14:val="tx1"/>
                  </w14:solidFill>
                </w14:textFill>
              </w:rPr>
              <w:t>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540AA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处理规模共计3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r>
      <w:tr w14:paraId="6E2F6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1D44E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7C7C2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污泥泵房</w:t>
            </w:r>
          </w:p>
        </w:tc>
        <w:tc>
          <w:tcPr>
            <w:tcW w:w="4311" w:type="dxa"/>
            <w:tcBorders>
              <w:tl2br w:val="nil"/>
              <w:tr2bl w:val="nil"/>
            </w:tcBorders>
            <w:noWrap w:val="0"/>
            <w:vAlign w:val="center"/>
          </w:tcPr>
          <w:p w14:paraId="20510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2座</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一</w:t>
            </w:r>
            <w:r>
              <w:rPr>
                <w:rFonts w:hint="eastAsia"/>
                <w:color w:val="000000" w:themeColor="text1"/>
                <w:sz w:val="21"/>
                <w:szCs w:val="21"/>
                <w:highlight w:val="none"/>
                <w:u w:val="none"/>
                <w:lang w:val="en-US"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二期共用1座，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w:t>
            </w:r>
            <w:r>
              <w:rPr>
                <w:rFonts w:hint="eastAsia"/>
                <w:b w:val="0"/>
                <w:color w:val="000000" w:themeColor="text1"/>
                <w:sz w:val="21"/>
                <w:szCs w:val="21"/>
                <w:highlight w:val="none"/>
                <w:u w:val="none"/>
                <w14:textFill>
                  <w14:solidFill>
                    <w14:schemeClr w14:val="tx1"/>
                  </w14:solidFill>
                </w14:textFill>
              </w:rPr>
              <w:t>2万m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三期扩建1座，</w:t>
            </w:r>
            <w:r>
              <w:rPr>
                <w:rFonts w:hint="eastAsia"/>
                <w:b w:val="0"/>
                <w:color w:val="000000" w:themeColor="text1"/>
                <w:sz w:val="21"/>
                <w:szCs w:val="21"/>
                <w:highlight w:val="none"/>
                <w:u w:val="none"/>
                <w14:textFill>
                  <w14:solidFill>
                    <w14:schemeClr w14:val="tx1"/>
                  </w14:solidFill>
                </w14:textFill>
              </w:rPr>
              <w:t>处理规模</w:t>
            </w:r>
            <w:r>
              <w:rPr>
                <w:rFonts w:hint="eastAsia"/>
                <w:b w:val="0"/>
                <w:color w:val="000000" w:themeColor="text1"/>
                <w:sz w:val="21"/>
                <w:szCs w:val="21"/>
                <w:highlight w:val="none"/>
                <w:u w:val="none"/>
                <w:lang w:val="en-US" w:eastAsia="zh-CN"/>
                <w14:textFill>
                  <w14:solidFill>
                    <w14:schemeClr w14:val="tx1"/>
                  </w14:solidFill>
                </w14:textFill>
              </w:rPr>
              <w:t>为1</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340F0C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处理规模共计3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r>
      <w:tr w14:paraId="5B55A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1E1F6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444F8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污泥深度脱水间</w:t>
            </w:r>
            <w:r>
              <w:rPr>
                <w:rFonts w:hint="eastAsia"/>
                <w:b w:val="0"/>
                <w:color w:val="000000" w:themeColor="text1"/>
                <w:sz w:val="21"/>
                <w:szCs w:val="21"/>
                <w:highlight w:val="none"/>
                <w:u w:val="none"/>
                <w:lang w:eastAsia="zh-CN"/>
                <w14:textFill>
                  <w14:solidFill>
                    <w14:schemeClr w14:val="tx1"/>
                  </w14:solidFill>
                </w14:textFill>
              </w:rPr>
              <w:t>（</w:t>
            </w:r>
            <w:r>
              <w:rPr>
                <w:rFonts w:hint="eastAsia"/>
                <w:b w:val="0"/>
                <w:color w:val="000000" w:themeColor="text1"/>
                <w:sz w:val="21"/>
                <w:szCs w:val="21"/>
                <w:highlight w:val="none"/>
                <w:u w:val="none"/>
                <w:lang w:val="en-US" w:eastAsia="zh-CN"/>
                <w14:textFill>
                  <w14:solidFill>
                    <w14:schemeClr w14:val="tx1"/>
                  </w14:solidFill>
                </w14:textFill>
              </w:rPr>
              <w:t>含</w:t>
            </w:r>
            <w:r>
              <w:rPr>
                <w:rFonts w:hint="eastAsia"/>
                <w:b w:val="0"/>
                <w:color w:val="000000" w:themeColor="text1"/>
                <w:sz w:val="21"/>
                <w:szCs w:val="21"/>
                <w:highlight w:val="none"/>
                <w:u w:val="none"/>
                <w14:textFill>
                  <w14:solidFill>
                    <w14:schemeClr w14:val="tx1"/>
                  </w14:solidFill>
                </w14:textFill>
              </w:rPr>
              <w:t>加药间</w:t>
            </w:r>
            <w:r>
              <w:rPr>
                <w:rFonts w:hint="eastAsia"/>
                <w:b w:val="0"/>
                <w:color w:val="000000" w:themeColor="text1"/>
                <w:sz w:val="21"/>
                <w:szCs w:val="21"/>
                <w:highlight w:val="none"/>
                <w:u w:val="none"/>
                <w:lang w:eastAsia="zh-CN"/>
                <w14:textFill>
                  <w14:solidFill>
                    <w14:schemeClr w14:val="tx1"/>
                  </w14:solidFill>
                </w14:textFill>
              </w:rPr>
              <w:t>）</w:t>
            </w:r>
          </w:p>
        </w:tc>
        <w:tc>
          <w:tcPr>
            <w:tcW w:w="4311" w:type="dxa"/>
            <w:tcBorders>
              <w:tl2br w:val="nil"/>
              <w:tr2bl w:val="nil"/>
            </w:tcBorders>
            <w:noWrap w:val="0"/>
            <w:vAlign w:val="center"/>
          </w:tcPr>
          <w:p w14:paraId="577853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1座，处理规模3万m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63E1B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r>
      <w:tr w14:paraId="203C4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62281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62B67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高效沉淀池</w:t>
            </w:r>
          </w:p>
        </w:tc>
        <w:tc>
          <w:tcPr>
            <w:tcW w:w="4311" w:type="dxa"/>
            <w:tcBorders>
              <w:tl2br w:val="nil"/>
              <w:tr2bl w:val="nil"/>
            </w:tcBorders>
            <w:noWrap w:val="0"/>
            <w:vAlign w:val="center"/>
          </w:tcPr>
          <w:p w14:paraId="1B0CC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lang w:val="en-US" w:eastAsia="zh-CN"/>
                <w14:textFill>
                  <w14:solidFill>
                    <w14:schemeClr w14:val="tx1"/>
                  </w14:solidFill>
                </w14:textFill>
              </w:rPr>
              <w:t>1座，</w:t>
            </w:r>
            <w:r>
              <w:rPr>
                <w:rFonts w:hint="eastAsia"/>
                <w:b w:val="0"/>
                <w:color w:val="000000" w:themeColor="text1"/>
                <w:sz w:val="21"/>
                <w:szCs w:val="21"/>
                <w:highlight w:val="none"/>
                <w:u w:val="none"/>
                <w14:textFill>
                  <w14:solidFill>
                    <w14:schemeClr w14:val="tx1"/>
                  </w14:solidFill>
                </w14:textFill>
              </w:rPr>
              <w:t>集机械混合池、机械絮凝池和斜管沉淀池于一体，处理规模为3万m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525AB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三期共用</w:t>
            </w:r>
          </w:p>
        </w:tc>
      </w:tr>
      <w:tr w14:paraId="7E727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65BF0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4716C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反硝化深床滤池</w:t>
            </w:r>
          </w:p>
        </w:tc>
        <w:tc>
          <w:tcPr>
            <w:tcW w:w="4311" w:type="dxa"/>
            <w:tcBorders>
              <w:tl2br w:val="nil"/>
              <w:tr2bl w:val="nil"/>
            </w:tcBorders>
            <w:noWrap w:val="0"/>
            <w:vAlign w:val="center"/>
          </w:tcPr>
          <w:p w14:paraId="1A6AB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1座，</w:t>
            </w:r>
            <w:r>
              <w:rPr>
                <w:rFonts w:hint="eastAsia"/>
                <w:b w:val="0"/>
                <w:color w:val="000000" w:themeColor="text1"/>
                <w:sz w:val="21"/>
                <w:szCs w:val="21"/>
                <w:highlight w:val="none"/>
                <w:u w:val="none"/>
                <w14:textFill>
                  <w14:solidFill>
                    <w14:schemeClr w14:val="tx1"/>
                  </w14:solidFill>
                </w14:textFill>
              </w:rPr>
              <w:t>处理规模为3万m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/d，共一座，分4格，Kz=1.45</w:t>
            </w:r>
            <w:r>
              <w:rPr>
                <w:rFonts w:hint="eastAsia"/>
                <w:b w:val="0"/>
                <w:color w:val="000000" w:themeColor="text1"/>
                <w:sz w:val="21"/>
                <w:szCs w:val="21"/>
                <w:highlight w:val="none"/>
                <w:u w:val="none"/>
                <w:lang w:eastAsia="zh-CN"/>
                <w14:textFill>
                  <w14:solidFill>
                    <w14:schemeClr w14:val="tx1"/>
                  </w14:solidFill>
                </w14:textFill>
              </w:rPr>
              <w:t>。</w:t>
            </w:r>
          </w:p>
        </w:tc>
        <w:tc>
          <w:tcPr>
            <w:tcW w:w="1610" w:type="dxa"/>
            <w:tcBorders>
              <w:tl2br w:val="nil"/>
              <w:tr2bl w:val="nil"/>
            </w:tcBorders>
            <w:noWrap w:val="0"/>
            <w:vAlign w:val="center"/>
          </w:tcPr>
          <w:p w14:paraId="0812E7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三期共用</w:t>
            </w:r>
          </w:p>
        </w:tc>
      </w:tr>
      <w:tr w14:paraId="60781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562B3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073B8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lang w:val="en-US" w:eastAsia="zh-CN"/>
                <w14:textFill>
                  <w14:solidFill>
                    <w14:schemeClr w14:val="tx1"/>
                  </w14:solidFill>
                </w14:textFill>
              </w:rPr>
              <w:t>紫外线消毒池</w:t>
            </w:r>
          </w:p>
        </w:tc>
        <w:tc>
          <w:tcPr>
            <w:tcW w:w="4311" w:type="dxa"/>
            <w:tcBorders>
              <w:tl2br w:val="nil"/>
              <w:tr2bl w:val="nil"/>
            </w:tcBorders>
            <w:noWrap w:val="0"/>
            <w:vAlign w:val="center"/>
          </w:tcPr>
          <w:p w14:paraId="5CD2C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1座，处理规模3万m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p>
        </w:tc>
        <w:tc>
          <w:tcPr>
            <w:tcW w:w="1610" w:type="dxa"/>
            <w:tcBorders>
              <w:tl2br w:val="nil"/>
              <w:tr2bl w:val="nil"/>
            </w:tcBorders>
            <w:noWrap w:val="0"/>
            <w:vAlign w:val="center"/>
          </w:tcPr>
          <w:p w14:paraId="06C6D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三期共用</w:t>
            </w:r>
          </w:p>
        </w:tc>
      </w:tr>
      <w:tr w14:paraId="21F25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07367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c>
          <w:tcPr>
            <w:tcW w:w="1423" w:type="dxa"/>
            <w:tcBorders>
              <w:tl2br w:val="nil"/>
              <w:tr2bl w:val="nil"/>
            </w:tcBorders>
            <w:noWrap w:val="0"/>
            <w:vAlign w:val="center"/>
          </w:tcPr>
          <w:p w14:paraId="1A82C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变配电间</w:t>
            </w:r>
            <w:r>
              <w:rPr>
                <w:rFonts w:hint="eastAsia"/>
                <w:color w:val="000000" w:themeColor="text1"/>
                <w:sz w:val="21"/>
                <w:szCs w:val="21"/>
                <w:highlight w:val="none"/>
                <w:u w:val="none"/>
                <w:lang w:val="en-US" w:eastAsia="zh-CN"/>
                <w14:textFill>
                  <w14:solidFill>
                    <w14:schemeClr w14:val="tx1"/>
                  </w14:solidFill>
                </w14:textFill>
              </w:rPr>
              <w:t>、鼓风机房</w:t>
            </w:r>
          </w:p>
        </w:tc>
        <w:tc>
          <w:tcPr>
            <w:tcW w:w="4311" w:type="dxa"/>
            <w:tcBorders>
              <w:tl2br w:val="nil"/>
              <w:tr2bl w:val="nil"/>
            </w:tcBorders>
            <w:noWrap w:val="0"/>
            <w:vAlign w:val="center"/>
          </w:tcPr>
          <w:p w14:paraId="3BFCA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1座，满足处理规模为3</w:t>
            </w:r>
            <w:r>
              <w:rPr>
                <w:rFonts w:hint="eastAsia"/>
                <w:b w:val="0"/>
                <w:color w:val="000000" w:themeColor="text1"/>
                <w:sz w:val="21"/>
                <w:szCs w:val="21"/>
                <w:highlight w:val="none"/>
                <w:u w:val="none"/>
                <w14:textFill>
                  <w14:solidFill>
                    <w14:schemeClr w14:val="tx1"/>
                  </w14:solidFill>
                </w14:textFill>
              </w:rPr>
              <w:t>万m</w:t>
            </w:r>
            <w:r>
              <w:rPr>
                <w:rFonts w:hint="eastAsia"/>
                <w:b w:val="0"/>
                <w:color w:val="000000" w:themeColor="text1"/>
                <w:sz w:val="21"/>
                <w:szCs w:val="21"/>
                <w:highlight w:val="none"/>
                <w:u w:val="none"/>
                <w:vertAlign w:val="superscript"/>
                <w14:textFill>
                  <w14:solidFill>
                    <w14:schemeClr w14:val="tx1"/>
                  </w14:solidFill>
                </w14:textFill>
              </w:rPr>
              <w:t>3</w:t>
            </w:r>
            <w:r>
              <w:rPr>
                <w:rFonts w:hint="eastAsia"/>
                <w:b w:val="0"/>
                <w:color w:val="000000" w:themeColor="text1"/>
                <w:sz w:val="21"/>
                <w:szCs w:val="21"/>
                <w:highlight w:val="none"/>
                <w:u w:val="none"/>
                <w14:textFill>
                  <w14:solidFill>
                    <w14:schemeClr w14:val="tx1"/>
                  </w14:solidFill>
                </w14:textFill>
              </w:rPr>
              <w:t>/d</w:t>
            </w:r>
            <w:r>
              <w:rPr>
                <w:rFonts w:hint="eastAsia"/>
                <w:b w:val="0"/>
                <w:color w:val="000000" w:themeColor="text1"/>
                <w:sz w:val="21"/>
                <w:szCs w:val="21"/>
                <w:highlight w:val="none"/>
                <w:u w:val="none"/>
                <w:lang w:val="en-US" w:eastAsia="zh-CN"/>
                <w14:textFill>
                  <w14:solidFill>
                    <w14:schemeClr w14:val="tx1"/>
                  </w14:solidFill>
                </w14:textFill>
              </w:rPr>
              <w:t>的要求。</w:t>
            </w:r>
          </w:p>
        </w:tc>
        <w:tc>
          <w:tcPr>
            <w:tcW w:w="1610" w:type="dxa"/>
            <w:tcBorders>
              <w:tl2br w:val="nil"/>
              <w:tr2bl w:val="nil"/>
            </w:tcBorders>
            <w:noWrap w:val="0"/>
            <w:vAlign w:val="center"/>
          </w:tcPr>
          <w:p w14:paraId="4C4FE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r>
      <w:tr w14:paraId="055D2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tcBorders>
              <w:tl2br w:val="nil"/>
              <w:tr2bl w:val="nil"/>
            </w:tcBorders>
            <w:noWrap w:val="0"/>
            <w:vAlign w:val="center"/>
          </w:tcPr>
          <w:p w14:paraId="458F705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b w:val="0"/>
                <w:color w:val="000000" w:themeColor="text1"/>
                <w:sz w:val="21"/>
                <w:szCs w:val="21"/>
                <w:highlight w:val="none"/>
                <w:u w:val="none"/>
                <w14:textFill>
                  <w14:solidFill>
                    <w14:schemeClr w14:val="tx1"/>
                  </w14:solidFill>
                </w14:textFill>
              </w:rPr>
              <w:t>辅助工程</w:t>
            </w:r>
          </w:p>
        </w:tc>
        <w:tc>
          <w:tcPr>
            <w:tcW w:w="1423" w:type="dxa"/>
            <w:tcBorders>
              <w:tl2br w:val="nil"/>
              <w:tr2bl w:val="nil"/>
            </w:tcBorders>
            <w:noWrap w:val="0"/>
            <w:vAlign w:val="center"/>
          </w:tcPr>
          <w:p w14:paraId="2FE65FA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综合楼</w:t>
            </w:r>
          </w:p>
        </w:tc>
        <w:tc>
          <w:tcPr>
            <w:tcW w:w="4311" w:type="dxa"/>
            <w:tcBorders>
              <w:tl2br w:val="nil"/>
              <w:tr2bl w:val="nil"/>
            </w:tcBorders>
            <w:noWrap w:val="0"/>
            <w:vAlign w:val="center"/>
          </w:tcPr>
          <w:p w14:paraId="2202E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建筑面积1124.2m</w:t>
            </w:r>
            <w:r>
              <w:rPr>
                <w:rFonts w:hint="eastAsia"/>
                <w:b w:val="0"/>
                <w:color w:val="000000" w:themeColor="text1"/>
                <w:sz w:val="21"/>
                <w:szCs w:val="21"/>
                <w:highlight w:val="none"/>
                <w:u w:val="none"/>
                <w:vertAlign w:val="superscript"/>
                <w14:textFill>
                  <w14:solidFill>
                    <w14:schemeClr w14:val="tx1"/>
                  </w14:solidFill>
                </w14:textFill>
              </w:rPr>
              <w:t>2</w:t>
            </w:r>
            <w:r>
              <w:rPr>
                <w:rFonts w:hint="eastAsia"/>
                <w:b w:val="0"/>
                <w:color w:val="000000" w:themeColor="text1"/>
                <w:sz w:val="21"/>
                <w:szCs w:val="21"/>
                <w:highlight w:val="none"/>
                <w:u w:val="none"/>
                <w14:textFill>
                  <w14:solidFill>
                    <w14:schemeClr w14:val="tx1"/>
                  </w14:solidFill>
                </w14:textFill>
              </w:rPr>
              <w:t>，三层，含办公室、化验、传达。</w:t>
            </w:r>
          </w:p>
        </w:tc>
        <w:tc>
          <w:tcPr>
            <w:tcW w:w="1610" w:type="dxa"/>
            <w:tcBorders>
              <w:tl2br w:val="nil"/>
              <w:tr2bl w:val="nil"/>
            </w:tcBorders>
            <w:noWrap w:val="0"/>
            <w:vAlign w:val="center"/>
          </w:tcPr>
          <w:p w14:paraId="2FE80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依托现有</w:t>
            </w:r>
          </w:p>
        </w:tc>
      </w:tr>
      <w:tr w14:paraId="69286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restart"/>
            <w:tcBorders>
              <w:tl2br w:val="nil"/>
              <w:tr2bl w:val="nil"/>
            </w:tcBorders>
            <w:noWrap w:val="0"/>
            <w:vAlign w:val="center"/>
          </w:tcPr>
          <w:p w14:paraId="08BC1B1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lang w:val="en-US" w:eastAsia="zh-CN"/>
                <w14:textFill>
                  <w14:solidFill>
                    <w14:schemeClr w14:val="tx1"/>
                  </w14:solidFill>
                </w14:textFill>
              </w:rPr>
              <w:t>环保工程</w:t>
            </w:r>
          </w:p>
        </w:tc>
        <w:tc>
          <w:tcPr>
            <w:tcW w:w="1423" w:type="dxa"/>
            <w:tcBorders>
              <w:tl2br w:val="nil"/>
              <w:tr2bl w:val="nil"/>
            </w:tcBorders>
            <w:noWrap w:val="0"/>
            <w:vAlign w:val="center"/>
          </w:tcPr>
          <w:p w14:paraId="518E474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废气</w:t>
            </w:r>
            <w:r>
              <w:rPr>
                <w:rFonts w:hint="eastAsia"/>
                <w:b w:val="0"/>
                <w:color w:val="000000" w:themeColor="text1"/>
                <w:sz w:val="21"/>
                <w:szCs w:val="21"/>
                <w:highlight w:val="none"/>
                <w:u w:val="none"/>
                <w:lang w:val="en-US" w:eastAsia="zh-CN"/>
                <w14:textFill>
                  <w14:solidFill>
                    <w14:schemeClr w14:val="tx1"/>
                  </w14:solidFill>
                </w14:textFill>
              </w:rPr>
              <w:t>处理</w:t>
            </w:r>
          </w:p>
        </w:tc>
        <w:tc>
          <w:tcPr>
            <w:tcW w:w="4311" w:type="dxa"/>
            <w:tcBorders>
              <w:tl2br w:val="nil"/>
              <w:tr2bl w:val="nil"/>
            </w:tcBorders>
            <w:noWrap w:val="0"/>
            <w:vAlign w:val="center"/>
          </w:tcPr>
          <w:p w14:paraId="40D2C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一、二期格栅、脱水机房产生的恶臭设置集气罩</w:t>
            </w:r>
            <w:r>
              <w:rPr>
                <w:rFonts w:hint="eastAsia"/>
                <w:b w:val="0"/>
                <w:color w:val="000000" w:themeColor="text1"/>
                <w:sz w:val="21"/>
                <w:szCs w:val="21"/>
                <w:highlight w:val="none"/>
                <w:u w:val="none"/>
                <w:lang w:val="en-US" w:eastAsia="zh-CN"/>
                <w14:textFill>
                  <w14:solidFill>
                    <w14:schemeClr w14:val="tx1"/>
                  </w14:solidFill>
                </w14:textFill>
              </w:rPr>
              <w:t>与</w:t>
            </w:r>
            <w:r>
              <w:rPr>
                <w:rFonts w:hint="eastAsia"/>
                <w:b w:val="0"/>
                <w:color w:val="000000" w:themeColor="text1"/>
                <w:sz w:val="21"/>
                <w:szCs w:val="21"/>
                <w:highlight w:val="none"/>
                <w:u w:val="none"/>
                <w14:textFill>
                  <w14:solidFill>
                    <w14:schemeClr w14:val="tx1"/>
                  </w14:solidFill>
                </w14:textFill>
              </w:rPr>
              <w:t>三期扩建的预处理、A</w:t>
            </w:r>
            <w:r>
              <w:rPr>
                <w:rFonts w:hint="eastAsia"/>
                <w:b w:val="0"/>
                <w:color w:val="000000" w:themeColor="text1"/>
                <w:sz w:val="21"/>
                <w:szCs w:val="21"/>
                <w:highlight w:val="none"/>
                <w:u w:val="none"/>
                <w:vertAlign w:val="superscript"/>
                <w:lang w:val="en-US" w:eastAsia="zh-CN"/>
                <w14:textFill>
                  <w14:solidFill>
                    <w14:schemeClr w14:val="tx1"/>
                  </w14:solidFill>
                </w14:textFill>
              </w:rPr>
              <w:t>2</w:t>
            </w:r>
            <w:r>
              <w:rPr>
                <w:rFonts w:hint="eastAsia"/>
                <w:b w:val="0"/>
                <w:color w:val="000000" w:themeColor="text1"/>
                <w:sz w:val="21"/>
                <w:szCs w:val="21"/>
                <w:highlight w:val="none"/>
                <w:u w:val="none"/>
                <w14:textFill>
                  <w14:solidFill>
                    <w14:schemeClr w14:val="tx1"/>
                  </w14:solidFill>
                </w14:textFill>
              </w:rPr>
              <w:t>O</w:t>
            </w:r>
            <w:r>
              <w:rPr>
                <w:rFonts w:hint="eastAsia"/>
                <w:b w:val="0"/>
                <w:color w:val="000000" w:themeColor="text1"/>
                <w:sz w:val="21"/>
                <w:szCs w:val="21"/>
                <w:highlight w:val="none"/>
                <w:u w:val="none"/>
                <w:lang w:val="en-US" w:eastAsia="zh-CN"/>
                <w14:textFill>
                  <w14:solidFill>
                    <w14:schemeClr w14:val="tx1"/>
                  </w14:solidFill>
                </w14:textFill>
              </w:rPr>
              <w:t>生化</w:t>
            </w:r>
            <w:r>
              <w:rPr>
                <w:rFonts w:hint="eastAsia"/>
                <w:b w:val="0"/>
                <w:color w:val="000000" w:themeColor="text1"/>
                <w:sz w:val="21"/>
                <w:szCs w:val="21"/>
                <w:highlight w:val="none"/>
                <w:u w:val="none"/>
                <w14:textFill>
                  <w14:solidFill>
                    <w14:schemeClr w14:val="tx1"/>
                  </w14:solidFill>
                </w14:textFill>
              </w:rPr>
              <w:t>池、污泥脱水间产生的恶臭</w:t>
            </w:r>
            <w:r>
              <w:rPr>
                <w:rFonts w:hint="eastAsia"/>
                <w:b w:val="0"/>
                <w:color w:val="000000" w:themeColor="text1"/>
                <w:sz w:val="21"/>
                <w:szCs w:val="21"/>
                <w:highlight w:val="none"/>
                <w:u w:val="none"/>
                <w:lang w:val="en-US" w:eastAsia="zh-CN"/>
                <w14:textFill>
                  <w14:solidFill>
                    <w14:schemeClr w14:val="tx1"/>
                  </w14:solidFill>
                </w14:textFill>
              </w:rPr>
              <w:t>经</w:t>
            </w:r>
            <w:r>
              <w:rPr>
                <w:rFonts w:hint="eastAsia"/>
                <w:b w:val="0"/>
                <w:color w:val="000000" w:themeColor="text1"/>
                <w:sz w:val="21"/>
                <w:szCs w:val="21"/>
                <w:highlight w:val="none"/>
                <w:u w:val="none"/>
                <w14:textFill>
                  <w14:solidFill>
                    <w14:schemeClr w14:val="tx1"/>
                  </w14:solidFill>
                </w14:textFill>
              </w:rPr>
              <w:t>除臭装置处理后经15m排气筒排放。</w:t>
            </w:r>
          </w:p>
        </w:tc>
        <w:tc>
          <w:tcPr>
            <w:tcW w:w="1610" w:type="dxa"/>
            <w:tcBorders>
              <w:tl2br w:val="nil"/>
              <w:tr2bl w:val="nil"/>
            </w:tcBorders>
            <w:noWrap w:val="0"/>
            <w:vAlign w:val="center"/>
          </w:tcPr>
          <w:p w14:paraId="0A934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28D8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7137139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lang w:val="en-US" w:eastAsia="zh-CN"/>
                <w14:textFill>
                  <w14:solidFill>
                    <w14:schemeClr w14:val="tx1"/>
                  </w14:solidFill>
                </w14:textFill>
              </w:rPr>
            </w:pPr>
          </w:p>
        </w:tc>
        <w:tc>
          <w:tcPr>
            <w:tcW w:w="1423" w:type="dxa"/>
            <w:tcBorders>
              <w:tl2br w:val="nil"/>
              <w:tr2bl w:val="nil"/>
            </w:tcBorders>
            <w:noWrap w:val="0"/>
            <w:vAlign w:val="center"/>
          </w:tcPr>
          <w:p w14:paraId="295AB28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废水</w:t>
            </w:r>
            <w:r>
              <w:rPr>
                <w:rFonts w:hint="eastAsia"/>
                <w:b w:val="0"/>
                <w:color w:val="000000" w:themeColor="text1"/>
                <w:sz w:val="21"/>
                <w:szCs w:val="21"/>
                <w:highlight w:val="none"/>
                <w:u w:val="none"/>
                <w:lang w:val="en-US" w:eastAsia="zh-CN"/>
                <w14:textFill>
                  <w14:solidFill>
                    <w14:schemeClr w14:val="tx1"/>
                  </w14:solidFill>
                </w14:textFill>
              </w:rPr>
              <w:t>处理</w:t>
            </w:r>
          </w:p>
        </w:tc>
        <w:tc>
          <w:tcPr>
            <w:tcW w:w="4311" w:type="dxa"/>
            <w:tcBorders>
              <w:tl2br w:val="nil"/>
              <w:tr2bl w:val="nil"/>
            </w:tcBorders>
            <w:noWrap w:val="0"/>
            <w:vAlign w:val="center"/>
          </w:tcPr>
          <w:p w14:paraId="00490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纳入三期主体工程处理</w:t>
            </w:r>
          </w:p>
        </w:tc>
        <w:tc>
          <w:tcPr>
            <w:tcW w:w="1610" w:type="dxa"/>
            <w:tcBorders>
              <w:tl2br w:val="nil"/>
              <w:tr2bl w:val="nil"/>
            </w:tcBorders>
            <w:noWrap w:val="0"/>
            <w:vAlign w:val="center"/>
          </w:tcPr>
          <w:p w14:paraId="1385D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w:t>
            </w:r>
          </w:p>
        </w:tc>
      </w:tr>
      <w:tr w14:paraId="71AC4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7479575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lang w:val="en-US" w:eastAsia="zh-CN"/>
                <w14:textFill>
                  <w14:solidFill>
                    <w14:schemeClr w14:val="tx1"/>
                  </w14:solidFill>
                </w14:textFill>
              </w:rPr>
            </w:pPr>
          </w:p>
        </w:tc>
        <w:tc>
          <w:tcPr>
            <w:tcW w:w="1423" w:type="dxa"/>
            <w:tcBorders>
              <w:tl2br w:val="nil"/>
              <w:tr2bl w:val="nil"/>
            </w:tcBorders>
            <w:noWrap w:val="0"/>
            <w:vAlign w:val="center"/>
          </w:tcPr>
          <w:p w14:paraId="17A243C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噪声</w:t>
            </w:r>
            <w:r>
              <w:rPr>
                <w:rFonts w:hint="eastAsia"/>
                <w:b w:val="0"/>
                <w:color w:val="000000" w:themeColor="text1"/>
                <w:sz w:val="21"/>
                <w:szCs w:val="21"/>
                <w:highlight w:val="none"/>
                <w:u w:val="none"/>
                <w:lang w:val="en-US" w:eastAsia="zh-CN"/>
                <w14:textFill>
                  <w14:solidFill>
                    <w14:schemeClr w14:val="tx1"/>
                  </w14:solidFill>
                </w14:textFill>
              </w:rPr>
              <w:t>防治</w:t>
            </w:r>
          </w:p>
        </w:tc>
        <w:tc>
          <w:tcPr>
            <w:tcW w:w="4311" w:type="dxa"/>
            <w:tcBorders>
              <w:tl2br w:val="nil"/>
              <w:tr2bl w:val="nil"/>
            </w:tcBorders>
            <w:noWrap w:val="0"/>
            <w:vAlign w:val="center"/>
          </w:tcPr>
          <w:p w14:paraId="7EBB9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color w:val="000000" w:themeColor="text1"/>
                <w:sz w:val="21"/>
                <w:szCs w:val="21"/>
                <w:highlight w:val="none"/>
                <w:u w:val="none"/>
                <w14:textFill>
                  <w14:solidFill>
                    <w14:schemeClr w14:val="tx1"/>
                  </w14:solidFill>
                </w14:textFill>
              </w:rPr>
              <w:t>鼓风机设立隔音厂房、采取隔声、减振等措施。</w:t>
            </w:r>
          </w:p>
        </w:tc>
        <w:tc>
          <w:tcPr>
            <w:tcW w:w="1610" w:type="dxa"/>
            <w:tcBorders>
              <w:tl2br w:val="nil"/>
              <w:tr2bl w:val="nil"/>
            </w:tcBorders>
            <w:noWrap w:val="0"/>
            <w:vAlign w:val="center"/>
          </w:tcPr>
          <w:p w14:paraId="597C49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777C5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8" w:type="dxa"/>
            <w:vMerge w:val="continue"/>
            <w:tcBorders>
              <w:tl2br w:val="nil"/>
              <w:tr2bl w:val="nil"/>
            </w:tcBorders>
            <w:noWrap w:val="0"/>
            <w:vAlign w:val="center"/>
          </w:tcPr>
          <w:p w14:paraId="7F0AE28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lang w:val="en-US" w:eastAsia="zh-CN"/>
                <w14:textFill>
                  <w14:solidFill>
                    <w14:schemeClr w14:val="tx1"/>
                  </w14:solidFill>
                </w14:textFill>
              </w:rPr>
            </w:pPr>
          </w:p>
        </w:tc>
        <w:tc>
          <w:tcPr>
            <w:tcW w:w="1423" w:type="dxa"/>
            <w:tcBorders>
              <w:tl2br w:val="nil"/>
              <w:tr2bl w:val="nil"/>
            </w:tcBorders>
            <w:noWrap w:val="0"/>
            <w:vAlign w:val="center"/>
          </w:tcPr>
          <w:p w14:paraId="4AB1FB0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eastAsia="宋体"/>
                <w:b w:val="0"/>
                <w:color w:val="000000" w:themeColor="text1"/>
                <w:sz w:val="21"/>
                <w:szCs w:val="21"/>
                <w:highlight w:val="none"/>
                <w:u w:val="none"/>
                <w:lang w:val="en-US" w:eastAsia="zh-CN"/>
                <w14:textFill>
                  <w14:solidFill>
                    <w14:schemeClr w14:val="tx1"/>
                  </w14:solidFill>
                </w14:textFill>
              </w:rPr>
            </w:pPr>
            <w:r>
              <w:rPr>
                <w:rFonts w:hint="eastAsia"/>
                <w:b w:val="0"/>
                <w:color w:val="000000" w:themeColor="text1"/>
                <w:sz w:val="21"/>
                <w:szCs w:val="21"/>
                <w:highlight w:val="none"/>
                <w:u w:val="none"/>
                <w:lang w:val="en-US" w:eastAsia="zh-CN"/>
                <w14:textFill>
                  <w14:solidFill>
                    <w14:schemeClr w14:val="tx1"/>
                  </w14:solidFill>
                </w14:textFill>
              </w:rPr>
              <w:t>固废处置</w:t>
            </w:r>
          </w:p>
        </w:tc>
        <w:tc>
          <w:tcPr>
            <w:tcW w:w="4311" w:type="dxa"/>
            <w:tcBorders>
              <w:tl2br w:val="nil"/>
              <w:tr2bl w:val="nil"/>
            </w:tcBorders>
            <w:noWrap w:val="0"/>
            <w:vAlign w:val="center"/>
          </w:tcPr>
          <w:p w14:paraId="3E7FE93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b w:val="0"/>
                <w:bCs/>
                <w:color w:val="000000" w:themeColor="text1"/>
                <w:sz w:val="21"/>
                <w:szCs w:val="21"/>
                <w:highlight w:val="none"/>
                <w:u w:val="none"/>
                <w14:textFill>
                  <w14:solidFill>
                    <w14:schemeClr w14:val="tx1"/>
                  </w14:solidFill>
                </w14:textFill>
              </w:rPr>
            </w:pPr>
            <w:r>
              <w:rPr>
                <w:rFonts w:hint="eastAsia"/>
                <w:b w:val="0"/>
                <w:bCs/>
                <w:color w:val="000000" w:themeColor="text1"/>
                <w:sz w:val="21"/>
                <w:szCs w:val="21"/>
                <w:highlight w:val="none"/>
                <w:u w:val="none"/>
                <w14:textFill>
                  <w14:solidFill>
                    <w14:schemeClr w14:val="tx1"/>
                  </w14:solidFill>
                </w14:textFill>
              </w:rPr>
              <w:t>格栅渣送至垃圾中转站压缩后送至垃圾焚烧厂焚烧；污泥送至垃圾焚烧厂焚烧；废矿物油、在线监测及化验室产生的废液、废包装空桶/含油抹布手套等危险废物暂存于危废暂存间后交有资质单位处置。</w:t>
            </w:r>
          </w:p>
          <w:p w14:paraId="65152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b w:val="0"/>
                <w:color w:val="000000" w:themeColor="text1"/>
                <w:sz w:val="21"/>
                <w:szCs w:val="21"/>
                <w:highlight w:val="none"/>
                <w:u w:val="none"/>
                <w14:textFill>
                  <w14:solidFill>
                    <w14:schemeClr w14:val="tx1"/>
                  </w14:solidFill>
                </w14:textFill>
              </w:rPr>
            </w:pPr>
            <w:r>
              <w:rPr>
                <w:rFonts w:hint="eastAsia"/>
                <w:b w:val="0"/>
                <w:bCs/>
                <w:color w:val="000000" w:themeColor="text1"/>
                <w:sz w:val="21"/>
                <w:szCs w:val="21"/>
                <w:highlight w:val="none"/>
                <w:u w:val="none"/>
                <w14:textFill>
                  <w14:solidFill>
                    <w14:schemeClr w14:val="tx1"/>
                  </w14:solidFill>
                </w14:textFill>
              </w:rPr>
              <w:t>格栅渣、污泥等在工序旁设置垃圾篓暂存；危险废物暂存于危废暂存间，危废暂存间位于厂区西南侧，面积约15m</w:t>
            </w:r>
            <w:r>
              <w:rPr>
                <w:rFonts w:hint="eastAsia"/>
                <w:b w:val="0"/>
                <w:bCs/>
                <w:color w:val="000000" w:themeColor="text1"/>
                <w:sz w:val="21"/>
                <w:szCs w:val="21"/>
                <w:highlight w:val="none"/>
                <w:u w:val="none"/>
                <w:vertAlign w:val="superscript"/>
                <w14:textFill>
                  <w14:solidFill>
                    <w14:schemeClr w14:val="tx1"/>
                  </w14:solidFill>
                </w14:textFill>
              </w:rPr>
              <w:t>2</w:t>
            </w:r>
            <w:r>
              <w:rPr>
                <w:rFonts w:hint="eastAsia"/>
                <w:b w:val="0"/>
                <w:bCs/>
                <w:color w:val="000000" w:themeColor="text1"/>
                <w:sz w:val="21"/>
                <w:szCs w:val="21"/>
                <w:highlight w:val="none"/>
                <w:u w:val="none"/>
                <w14:textFill>
                  <w14:solidFill>
                    <w14:schemeClr w14:val="tx1"/>
                  </w14:solidFill>
                </w14:textFill>
              </w:rPr>
              <w:t>，危废暂存间按要求设置。</w:t>
            </w:r>
          </w:p>
        </w:tc>
        <w:tc>
          <w:tcPr>
            <w:tcW w:w="1610" w:type="dxa"/>
            <w:tcBorders>
              <w:tl2br w:val="nil"/>
              <w:tr2bl w:val="nil"/>
            </w:tcBorders>
            <w:noWrap w:val="0"/>
            <w:vAlign w:val="center"/>
          </w:tcPr>
          <w:p w14:paraId="48C13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000000" w:themeColor="text1"/>
                <w:sz w:val="21"/>
                <w:szCs w:val="21"/>
                <w:highlight w:val="none"/>
                <w:u w:val="none"/>
                <w:vertAlign w:val="baseline"/>
                <w:lang w:val="en-US" w:eastAsia="zh-CN"/>
                <w14:textFill>
                  <w14:solidFill>
                    <w14:schemeClr w14:val="tx1"/>
                  </w14:solidFill>
                </w14:textFill>
              </w:rPr>
            </w:pPr>
            <w:r>
              <w:rPr>
                <w:rFonts w:hint="eastAsia" w:cs="Times New Roman"/>
                <w:color w:val="000000" w:themeColor="text1"/>
                <w:sz w:val="21"/>
                <w:szCs w:val="21"/>
                <w:highlight w:val="none"/>
                <w:u w:val="none"/>
                <w:vertAlign w:val="baseline"/>
                <w:lang w:val="en-US" w:eastAsia="zh-CN"/>
                <w14:textFill>
                  <w14:solidFill>
                    <w14:schemeClr w14:val="tx1"/>
                  </w14:solidFill>
                </w14:textFill>
              </w:rPr>
              <w:t>依托现有</w:t>
            </w:r>
          </w:p>
        </w:tc>
      </w:tr>
    </w:tbl>
    <w:p w14:paraId="0A6C0E8B">
      <w:pPr>
        <w:pStyle w:val="6"/>
        <w:rPr>
          <w:rFonts w:hint="default"/>
          <w:highlight w:val="none"/>
          <w:lang w:val="en-US" w:eastAsia="zh-CN"/>
        </w:rPr>
      </w:pPr>
      <w:r>
        <w:rPr>
          <w:rFonts w:hint="eastAsia"/>
          <w:highlight w:val="none"/>
          <w:lang w:val="en-US" w:eastAsia="zh-CN"/>
        </w:rPr>
        <w:t>2.2.3 厂区主要设备</w:t>
      </w:r>
    </w:p>
    <w:p w14:paraId="55E7A1F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cs="Times New Roman"/>
          <w:color w:val="000000"/>
          <w:sz w:val="24"/>
          <w:szCs w:val="24"/>
          <w:highlight w:val="none"/>
          <w:lang w:val="en-US" w:eastAsia="zh-CN"/>
        </w:rPr>
        <w:t>南岳区污水处理厂扩建及提质改造后主要设备</w:t>
      </w:r>
      <w:r>
        <w:rPr>
          <w:rFonts w:hint="eastAsia"/>
          <w:sz w:val="24"/>
          <w:szCs w:val="24"/>
          <w:highlight w:val="none"/>
          <w:lang w:val="en-US" w:eastAsia="zh-CN"/>
        </w:rPr>
        <w:t>见下表2.2-2。</w:t>
      </w:r>
    </w:p>
    <w:p w14:paraId="588E163A">
      <w:pPr>
        <w:pStyle w:val="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14:textFill>
            <w14:solidFill>
              <w14:schemeClr w14:val="tx1"/>
            </w14:solidFill>
          </w14:textFill>
        </w:rPr>
        <w:t>表2</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.2-2 厂区主要</w:t>
      </w:r>
      <w:r>
        <w:rPr>
          <w:rFonts w:hint="eastAsia" w:ascii="Times New Roman" w:hAnsi="Times New Roman" w:eastAsia="宋体" w:cs="Times New Roman"/>
          <w:color w:val="000000" w:themeColor="text1"/>
          <w:sz w:val="21"/>
          <w:szCs w:val="21"/>
          <w:highlight w:val="none"/>
          <w:u w:val="none"/>
          <w14:textFill>
            <w14:solidFill>
              <w14:schemeClr w14:val="tx1"/>
            </w14:solidFill>
          </w14:textFill>
        </w:rPr>
        <w:t>设备一览表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1263"/>
        <w:gridCol w:w="3460"/>
        <w:gridCol w:w="912"/>
        <w:gridCol w:w="1186"/>
      </w:tblGrid>
      <w:tr w14:paraId="48176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tcBorders>
              <w:tl2br w:val="nil"/>
              <w:tr2bl w:val="nil"/>
            </w:tcBorders>
            <w:noWrap w:val="0"/>
            <w:vAlign w:val="center"/>
          </w:tcPr>
          <w:p w14:paraId="1F0BCAF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vertAlign w:val="baseli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分区</w:t>
            </w:r>
          </w:p>
        </w:tc>
        <w:tc>
          <w:tcPr>
            <w:tcW w:w="1263" w:type="dxa"/>
            <w:tcBorders>
              <w:tl2br w:val="nil"/>
              <w:tr2bl w:val="nil"/>
            </w:tcBorders>
            <w:noWrap w:val="0"/>
            <w:vAlign w:val="center"/>
          </w:tcPr>
          <w:p w14:paraId="548CC9B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vertAlign w:val="baseli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名称</w:t>
            </w:r>
          </w:p>
        </w:tc>
        <w:tc>
          <w:tcPr>
            <w:tcW w:w="3460" w:type="dxa"/>
            <w:tcBorders>
              <w:tl2br w:val="nil"/>
              <w:tr2bl w:val="nil"/>
            </w:tcBorders>
            <w:noWrap w:val="0"/>
            <w:vAlign w:val="center"/>
          </w:tcPr>
          <w:p w14:paraId="3D4BC92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vertAlign w:val="baseli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规格参数</w:t>
            </w:r>
          </w:p>
        </w:tc>
        <w:tc>
          <w:tcPr>
            <w:tcW w:w="912" w:type="dxa"/>
            <w:tcBorders>
              <w:tl2br w:val="nil"/>
              <w:tr2bl w:val="nil"/>
            </w:tcBorders>
            <w:noWrap w:val="0"/>
            <w:vAlign w:val="center"/>
          </w:tcPr>
          <w:p w14:paraId="15DC0E9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vertAlign w:val="baseline"/>
                <w14:textFill>
                  <w14:solidFill>
                    <w14:schemeClr w14:val="tx1"/>
                  </w14:solidFill>
                </w14:textFill>
              </w:rPr>
            </w:pPr>
            <w:r>
              <w:rPr>
                <w:b w:val="0"/>
                <w:bCs w:val="0"/>
                <w:color w:val="000000" w:themeColor="text1"/>
                <w:sz w:val="21"/>
                <w:szCs w:val="21"/>
                <w:highlight w:val="none"/>
                <w:u w:val="none"/>
                <w14:textFill>
                  <w14:solidFill>
                    <w14:schemeClr w14:val="tx1"/>
                  </w14:solidFill>
                </w14:textFill>
              </w:rPr>
              <w:t>数量</w:t>
            </w:r>
          </w:p>
        </w:tc>
        <w:tc>
          <w:tcPr>
            <w:tcW w:w="1186" w:type="dxa"/>
            <w:tcBorders>
              <w:tl2br w:val="nil"/>
              <w:tr2bl w:val="nil"/>
            </w:tcBorders>
            <w:noWrap w:val="0"/>
            <w:vAlign w:val="center"/>
          </w:tcPr>
          <w:p w14:paraId="38BDF7D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vertAlign w:val="baseli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备注</w:t>
            </w:r>
          </w:p>
        </w:tc>
      </w:tr>
      <w:tr w14:paraId="39BDD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46F0BAB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粗格栅及提升泵站</w:t>
            </w:r>
          </w:p>
        </w:tc>
        <w:tc>
          <w:tcPr>
            <w:tcW w:w="1263" w:type="dxa"/>
            <w:tcBorders>
              <w:tl2br w:val="nil"/>
              <w:tr2bl w:val="nil"/>
            </w:tcBorders>
            <w:noWrap w:val="0"/>
            <w:vAlign w:val="center"/>
          </w:tcPr>
          <w:p w14:paraId="1E4FAF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格栅机</w:t>
            </w:r>
          </w:p>
        </w:tc>
        <w:tc>
          <w:tcPr>
            <w:tcW w:w="3460" w:type="dxa"/>
            <w:tcBorders>
              <w:tl2br w:val="nil"/>
              <w:tr2bl w:val="nil"/>
            </w:tcBorders>
            <w:noWrap w:val="0"/>
            <w:vAlign w:val="center"/>
          </w:tcPr>
          <w:p w14:paraId="3689A95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SHG-600回转式粗格栅除污机，N=1.1kW</w:t>
            </w:r>
          </w:p>
        </w:tc>
        <w:tc>
          <w:tcPr>
            <w:tcW w:w="912" w:type="dxa"/>
            <w:tcBorders>
              <w:tl2br w:val="nil"/>
              <w:tr2bl w:val="nil"/>
            </w:tcBorders>
            <w:noWrap w:val="0"/>
            <w:vAlign w:val="center"/>
          </w:tcPr>
          <w:p w14:paraId="1BBFD4B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restart"/>
            <w:tcBorders>
              <w:tl2br w:val="nil"/>
              <w:tr2bl w:val="nil"/>
            </w:tcBorders>
            <w:noWrap w:val="0"/>
            <w:vAlign w:val="center"/>
          </w:tcPr>
          <w:p w14:paraId="58FA1C5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eastAsia="宋体"/>
                <w:b w:val="0"/>
                <w:bCs w:val="0"/>
                <w:color w:val="000000" w:themeColor="text1"/>
                <w:sz w:val="21"/>
                <w:szCs w:val="21"/>
                <w:highlight w:val="none"/>
                <w:u w:val="none"/>
                <w:lang w:val="en-US" w:eastAsia="zh-CN"/>
                <w14:textFill>
                  <w14:solidFill>
                    <w14:schemeClr w14:val="tx1"/>
                  </w14:solidFill>
                </w14:textFill>
              </w:rPr>
              <w:t>一、二期</w:t>
            </w:r>
            <w:r>
              <w:rPr>
                <w:rFonts w:hint="eastAsia"/>
                <w:b w:val="0"/>
                <w:bCs w:val="0"/>
                <w:color w:val="000000" w:themeColor="text1"/>
                <w:sz w:val="21"/>
                <w:szCs w:val="21"/>
                <w:highlight w:val="none"/>
                <w:u w:val="none"/>
                <w:lang w:val="en-US" w:eastAsia="zh-CN"/>
                <w14:textFill>
                  <w14:solidFill>
                    <w14:schemeClr w14:val="tx1"/>
                  </w14:solidFill>
                </w14:textFill>
              </w:rPr>
              <w:t>设备</w:t>
            </w:r>
          </w:p>
        </w:tc>
      </w:tr>
      <w:tr w14:paraId="256F0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1697" w:type="dxa"/>
            <w:vMerge w:val="continue"/>
            <w:tcBorders>
              <w:tl2br w:val="nil"/>
              <w:tr2bl w:val="nil"/>
            </w:tcBorders>
            <w:noWrap w:val="0"/>
            <w:vAlign w:val="center"/>
          </w:tcPr>
          <w:p w14:paraId="0C979CA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5AFED0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方形闸门</w:t>
            </w:r>
          </w:p>
        </w:tc>
        <w:tc>
          <w:tcPr>
            <w:tcW w:w="3460" w:type="dxa"/>
            <w:tcBorders>
              <w:tl2br w:val="nil"/>
              <w:tr2bl w:val="nil"/>
            </w:tcBorders>
            <w:noWrap w:val="0"/>
            <w:vAlign w:val="center"/>
          </w:tcPr>
          <w:p w14:paraId="5DE6120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2000mm×1400mm</w:t>
            </w:r>
          </w:p>
        </w:tc>
        <w:tc>
          <w:tcPr>
            <w:tcW w:w="912" w:type="dxa"/>
            <w:tcBorders>
              <w:tl2br w:val="nil"/>
              <w:tr2bl w:val="nil"/>
            </w:tcBorders>
            <w:noWrap w:val="0"/>
            <w:vAlign w:val="center"/>
          </w:tcPr>
          <w:p w14:paraId="719B2DC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continue"/>
            <w:tcBorders>
              <w:tl2br w:val="nil"/>
              <w:tr2bl w:val="nil"/>
            </w:tcBorders>
            <w:noWrap w:val="0"/>
            <w:vAlign w:val="center"/>
          </w:tcPr>
          <w:p w14:paraId="6ABFED0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p>
        </w:tc>
      </w:tr>
      <w:tr w14:paraId="64190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2BF97C1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4A12457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宋体" w:hAnsi="宋体" w:eastAsia="宋体" w:cs="宋体"/>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潜污泵</w:t>
            </w:r>
          </w:p>
        </w:tc>
        <w:tc>
          <w:tcPr>
            <w:tcW w:w="3460" w:type="dxa"/>
            <w:tcBorders>
              <w:tl2br w:val="nil"/>
              <w:tr2bl w:val="nil"/>
            </w:tcBorders>
            <w:noWrap w:val="0"/>
            <w:vAlign w:val="center"/>
          </w:tcPr>
          <w:p w14:paraId="44974D0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宋体" w:hAnsi="宋体" w:eastAsia="宋体" w:cs="宋体"/>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WQ1680-14-110</w:t>
            </w:r>
          </w:p>
        </w:tc>
        <w:tc>
          <w:tcPr>
            <w:tcW w:w="912" w:type="dxa"/>
            <w:tcBorders>
              <w:tl2br w:val="nil"/>
              <w:tr2bl w:val="nil"/>
            </w:tcBorders>
            <w:noWrap w:val="0"/>
            <w:vAlign w:val="center"/>
          </w:tcPr>
          <w:p w14:paraId="2141C5D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5台</w:t>
            </w:r>
          </w:p>
        </w:tc>
        <w:tc>
          <w:tcPr>
            <w:tcW w:w="1186" w:type="dxa"/>
            <w:vMerge w:val="continue"/>
            <w:tcBorders>
              <w:tl2br w:val="nil"/>
              <w:tr2bl w:val="nil"/>
            </w:tcBorders>
            <w:noWrap w:val="0"/>
            <w:vAlign w:val="center"/>
          </w:tcPr>
          <w:p w14:paraId="5367C34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p>
        </w:tc>
      </w:tr>
      <w:tr w14:paraId="26943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699D190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6465781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宋体" w:hAnsi="宋体" w:eastAsia="宋体" w:cs="宋体"/>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粗格栅</w:t>
            </w:r>
          </w:p>
        </w:tc>
        <w:tc>
          <w:tcPr>
            <w:tcW w:w="3460" w:type="dxa"/>
            <w:tcBorders>
              <w:tl2br w:val="nil"/>
              <w:tr2bl w:val="nil"/>
            </w:tcBorders>
            <w:noWrap w:val="0"/>
            <w:vAlign w:val="center"/>
          </w:tcPr>
          <w:p w14:paraId="2F0DCDF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宋体" w:hAnsi="宋体" w:eastAsia="宋体" w:cs="宋体"/>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机架不锈钢；耙齿尼龙66；进水渠：渠宽0.7m；栅条间隙：20mm；格栅倾角：75º；格栅净宽：0.6m</w:t>
            </w:r>
          </w:p>
        </w:tc>
        <w:tc>
          <w:tcPr>
            <w:tcW w:w="912" w:type="dxa"/>
            <w:tcBorders>
              <w:tl2br w:val="nil"/>
              <w:tr2bl w:val="nil"/>
            </w:tcBorders>
            <w:noWrap w:val="0"/>
            <w:vAlign w:val="center"/>
          </w:tcPr>
          <w:p w14:paraId="346F49E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restart"/>
            <w:tcBorders>
              <w:tl2br w:val="nil"/>
              <w:tr2bl w:val="nil"/>
            </w:tcBorders>
            <w:noWrap w:val="0"/>
            <w:vAlign w:val="center"/>
          </w:tcPr>
          <w:p w14:paraId="105CAAE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51121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2836EA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46F223F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钢闸门</w:t>
            </w:r>
          </w:p>
        </w:tc>
        <w:tc>
          <w:tcPr>
            <w:tcW w:w="3460" w:type="dxa"/>
            <w:tcBorders>
              <w:tl2br w:val="nil"/>
              <w:tr2bl w:val="nil"/>
            </w:tcBorders>
            <w:noWrap w:val="0"/>
            <w:vAlign w:val="center"/>
          </w:tcPr>
          <w:p w14:paraId="2393356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不锈钢</w:t>
            </w:r>
          </w:p>
        </w:tc>
        <w:tc>
          <w:tcPr>
            <w:tcW w:w="912" w:type="dxa"/>
            <w:tcBorders>
              <w:tl2br w:val="nil"/>
              <w:tr2bl w:val="nil"/>
            </w:tcBorders>
            <w:noWrap w:val="0"/>
            <w:vAlign w:val="center"/>
          </w:tcPr>
          <w:p w14:paraId="73EF245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4台</w:t>
            </w:r>
          </w:p>
        </w:tc>
        <w:tc>
          <w:tcPr>
            <w:tcW w:w="1186" w:type="dxa"/>
            <w:vMerge w:val="continue"/>
            <w:tcBorders>
              <w:tl2br w:val="nil"/>
              <w:tr2bl w:val="nil"/>
            </w:tcBorders>
            <w:noWrap w:val="0"/>
            <w:vAlign w:val="center"/>
          </w:tcPr>
          <w:p w14:paraId="478177F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51958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316E16A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66F5566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潜污泵</w:t>
            </w:r>
          </w:p>
        </w:tc>
        <w:tc>
          <w:tcPr>
            <w:tcW w:w="3460" w:type="dxa"/>
            <w:tcBorders>
              <w:tl2br w:val="nil"/>
              <w:tr2bl w:val="nil"/>
            </w:tcBorders>
            <w:noWrap w:val="0"/>
            <w:vAlign w:val="center"/>
          </w:tcPr>
          <w:p w14:paraId="5DB9135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WQ300-10-18.5型潜污泵</w:t>
            </w:r>
          </w:p>
        </w:tc>
        <w:tc>
          <w:tcPr>
            <w:tcW w:w="912" w:type="dxa"/>
            <w:tcBorders>
              <w:tl2br w:val="nil"/>
              <w:tr2bl w:val="nil"/>
            </w:tcBorders>
            <w:noWrap w:val="0"/>
            <w:vAlign w:val="center"/>
          </w:tcPr>
          <w:p w14:paraId="04C3CA8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continue"/>
            <w:tcBorders>
              <w:tl2br w:val="nil"/>
              <w:tr2bl w:val="nil"/>
            </w:tcBorders>
            <w:noWrap w:val="0"/>
            <w:vAlign w:val="center"/>
          </w:tcPr>
          <w:p w14:paraId="0FF39ED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5F0E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32956C5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1426C4E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潜污泵</w:t>
            </w:r>
          </w:p>
        </w:tc>
        <w:tc>
          <w:tcPr>
            <w:tcW w:w="3460" w:type="dxa"/>
            <w:tcBorders>
              <w:tl2br w:val="nil"/>
              <w:tr2bl w:val="nil"/>
            </w:tcBorders>
            <w:noWrap w:val="0"/>
            <w:vAlign w:val="center"/>
          </w:tcPr>
          <w:p w14:paraId="4545DF8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WQ700-11-37型潜污泵</w:t>
            </w:r>
          </w:p>
        </w:tc>
        <w:tc>
          <w:tcPr>
            <w:tcW w:w="912" w:type="dxa"/>
            <w:tcBorders>
              <w:tl2br w:val="nil"/>
              <w:tr2bl w:val="nil"/>
            </w:tcBorders>
            <w:noWrap w:val="0"/>
            <w:vAlign w:val="center"/>
          </w:tcPr>
          <w:p w14:paraId="174E303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1台</w:t>
            </w:r>
          </w:p>
        </w:tc>
        <w:tc>
          <w:tcPr>
            <w:tcW w:w="1186" w:type="dxa"/>
            <w:vMerge w:val="continue"/>
            <w:tcBorders>
              <w:tl2br w:val="nil"/>
              <w:tr2bl w:val="nil"/>
            </w:tcBorders>
            <w:noWrap w:val="0"/>
            <w:vAlign w:val="center"/>
          </w:tcPr>
          <w:p w14:paraId="271D8DC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16D54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749019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细格栅及旋流沉砂池</w:t>
            </w:r>
          </w:p>
        </w:tc>
        <w:tc>
          <w:tcPr>
            <w:tcW w:w="1263" w:type="dxa"/>
            <w:tcBorders>
              <w:tl2br w:val="nil"/>
              <w:tr2bl w:val="nil"/>
            </w:tcBorders>
            <w:noWrap w:val="0"/>
            <w:vAlign w:val="center"/>
          </w:tcPr>
          <w:p w14:paraId="278A8D6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阶梯式细格栅</w:t>
            </w:r>
          </w:p>
        </w:tc>
        <w:tc>
          <w:tcPr>
            <w:tcW w:w="3460" w:type="dxa"/>
            <w:tcBorders>
              <w:tl2br w:val="nil"/>
              <w:tr2bl w:val="nil"/>
            </w:tcBorders>
            <w:noWrap w:val="0"/>
            <w:vAlign w:val="center"/>
          </w:tcPr>
          <w:p w14:paraId="02B9DFC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JTGS1600</w:t>
            </w:r>
          </w:p>
        </w:tc>
        <w:tc>
          <w:tcPr>
            <w:tcW w:w="912" w:type="dxa"/>
            <w:tcBorders>
              <w:tl2br w:val="nil"/>
              <w:tr2bl w:val="nil"/>
            </w:tcBorders>
            <w:noWrap w:val="0"/>
            <w:vAlign w:val="center"/>
          </w:tcPr>
          <w:p w14:paraId="0B21269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restart"/>
            <w:tcBorders>
              <w:tl2br w:val="nil"/>
              <w:tr2bl w:val="nil"/>
            </w:tcBorders>
            <w:noWrap w:val="0"/>
            <w:vAlign w:val="center"/>
          </w:tcPr>
          <w:p w14:paraId="6A74D57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eastAsia="宋体"/>
                <w:b w:val="0"/>
                <w:bCs w:val="0"/>
                <w:color w:val="000000" w:themeColor="text1"/>
                <w:sz w:val="21"/>
                <w:szCs w:val="21"/>
                <w:highlight w:val="none"/>
                <w:u w:val="none"/>
                <w:lang w:val="en-US" w:eastAsia="zh-CN"/>
                <w14:textFill>
                  <w14:solidFill>
                    <w14:schemeClr w14:val="tx1"/>
                  </w14:solidFill>
                </w14:textFill>
              </w:rPr>
              <w:t>一、二期</w:t>
            </w:r>
            <w:r>
              <w:rPr>
                <w:rFonts w:hint="eastAsia"/>
                <w:b w:val="0"/>
                <w:bCs w:val="0"/>
                <w:color w:val="000000" w:themeColor="text1"/>
                <w:sz w:val="21"/>
                <w:szCs w:val="21"/>
                <w:highlight w:val="none"/>
                <w:u w:val="none"/>
                <w:lang w:val="en-US" w:eastAsia="zh-CN"/>
                <w14:textFill>
                  <w14:solidFill>
                    <w14:schemeClr w14:val="tx1"/>
                  </w14:solidFill>
                </w14:textFill>
              </w:rPr>
              <w:t>设备</w:t>
            </w:r>
          </w:p>
        </w:tc>
      </w:tr>
      <w:tr w14:paraId="02B3CD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64E9A00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58196A3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砂水分离器</w:t>
            </w:r>
          </w:p>
        </w:tc>
        <w:tc>
          <w:tcPr>
            <w:tcW w:w="3460" w:type="dxa"/>
            <w:tcBorders>
              <w:tl2br w:val="nil"/>
              <w:tr2bl w:val="nil"/>
            </w:tcBorders>
            <w:noWrap w:val="0"/>
            <w:vAlign w:val="center"/>
          </w:tcPr>
          <w:p w14:paraId="30E5AAE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SK-400</w:t>
            </w:r>
          </w:p>
        </w:tc>
        <w:tc>
          <w:tcPr>
            <w:tcW w:w="912" w:type="dxa"/>
            <w:tcBorders>
              <w:tl2br w:val="nil"/>
              <w:tr2bl w:val="nil"/>
            </w:tcBorders>
            <w:noWrap w:val="0"/>
            <w:vAlign w:val="center"/>
          </w:tcPr>
          <w:p w14:paraId="31D6FA4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1台</w:t>
            </w:r>
          </w:p>
        </w:tc>
        <w:tc>
          <w:tcPr>
            <w:tcW w:w="1186" w:type="dxa"/>
            <w:vMerge w:val="continue"/>
            <w:tcBorders>
              <w:tl2br w:val="nil"/>
              <w:tr2bl w:val="nil"/>
            </w:tcBorders>
            <w:noWrap w:val="0"/>
            <w:vAlign w:val="center"/>
          </w:tcPr>
          <w:p w14:paraId="5E58116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C632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2C04E0E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402E8EB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固液分离器</w:t>
            </w:r>
          </w:p>
        </w:tc>
        <w:tc>
          <w:tcPr>
            <w:tcW w:w="3460" w:type="dxa"/>
            <w:tcBorders>
              <w:tl2br w:val="nil"/>
              <w:tr2bl w:val="nil"/>
            </w:tcBorders>
            <w:noWrap w:val="0"/>
            <w:vAlign w:val="center"/>
          </w:tcPr>
          <w:p w14:paraId="1FBEEFD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XGC型</w:t>
            </w:r>
          </w:p>
        </w:tc>
        <w:tc>
          <w:tcPr>
            <w:tcW w:w="912" w:type="dxa"/>
            <w:tcBorders>
              <w:tl2br w:val="nil"/>
              <w:tr2bl w:val="nil"/>
            </w:tcBorders>
            <w:noWrap w:val="0"/>
            <w:vAlign w:val="center"/>
          </w:tcPr>
          <w:p w14:paraId="6950E2F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2台</w:t>
            </w:r>
          </w:p>
        </w:tc>
        <w:tc>
          <w:tcPr>
            <w:tcW w:w="1186" w:type="dxa"/>
            <w:vMerge w:val="continue"/>
            <w:tcBorders>
              <w:tl2br w:val="nil"/>
              <w:tr2bl w:val="nil"/>
            </w:tcBorders>
            <w:noWrap w:val="0"/>
            <w:vAlign w:val="center"/>
          </w:tcPr>
          <w:p w14:paraId="55B6A8C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1AEB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41C2DFB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2AF576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旋流式除砂机</w:t>
            </w:r>
          </w:p>
        </w:tc>
        <w:tc>
          <w:tcPr>
            <w:tcW w:w="3460" w:type="dxa"/>
            <w:tcBorders>
              <w:tl2br w:val="nil"/>
              <w:tr2bl w:val="nil"/>
            </w:tcBorders>
            <w:noWrap w:val="0"/>
            <w:vAlign w:val="center"/>
          </w:tcPr>
          <w:p w14:paraId="0C694A5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XCP型</w:t>
            </w:r>
          </w:p>
        </w:tc>
        <w:tc>
          <w:tcPr>
            <w:tcW w:w="912" w:type="dxa"/>
            <w:tcBorders>
              <w:tl2br w:val="nil"/>
              <w:tr2bl w:val="nil"/>
            </w:tcBorders>
            <w:noWrap w:val="0"/>
            <w:vAlign w:val="center"/>
          </w:tcPr>
          <w:p w14:paraId="1315308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2台</w:t>
            </w:r>
          </w:p>
        </w:tc>
        <w:tc>
          <w:tcPr>
            <w:tcW w:w="1186" w:type="dxa"/>
            <w:vMerge w:val="continue"/>
            <w:tcBorders>
              <w:tl2br w:val="nil"/>
              <w:tr2bl w:val="nil"/>
            </w:tcBorders>
            <w:noWrap w:val="0"/>
            <w:vAlign w:val="center"/>
          </w:tcPr>
          <w:p w14:paraId="4E583B9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29619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5E56BCD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1E3568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排泥泵</w:t>
            </w:r>
          </w:p>
        </w:tc>
        <w:tc>
          <w:tcPr>
            <w:tcW w:w="3460" w:type="dxa"/>
            <w:tcBorders>
              <w:tl2br w:val="nil"/>
              <w:tr2bl w:val="nil"/>
            </w:tcBorders>
            <w:noWrap w:val="0"/>
            <w:vAlign w:val="center"/>
          </w:tcPr>
          <w:p w14:paraId="3DEF26B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CP3127.180</w:t>
            </w:r>
          </w:p>
        </w:tc>
        <w:tc>
          <w:tcPr>
            <w:tcW w:w="912" w:type="dxa"/>
            <w:tcBorders>
              <w:tl2br w:val="nil"/>
              <w:tr2bl w:val="nil"/>
            </w:tcBorders>
            <w:noWrap w:val="0"/>
            <w:vAlign w:val="center"/>
          </w:tcPr>
          <w:p w14:paraId="2FC0078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3台</w:t>
            </w:r>
          </w:p>
        </w:tc>
        <w:tc>
          <w:tcPr>
            <w:tcW w:w="1186" w:type="dxa"/>
            <w:vMerge w:val="continue"/>
            <w:tcBorders>
              <w:tl2br w:val="nil"/>
              <w:tr2bl w:val="nil"/>
            </w:tcBorders>
            <w:noWrap w:val="0"/>
            <w:vAlign w:val="center"/>
          </w:tcPr>
          <w:p w14:paraId="0417331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446FB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1F2E67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6E330E5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细格栅</w:t>
            </w:r>
          </w:p>
        </w:tc>
        <w:tc>
          <w:tcPr>
            <w:tcW w:w="3460" w:type="dxa"/>
            <w:tcBorders>
              <w:tl2br w:val="nil"/>
              <w:tr2bl w:val="nil"/>
            </w:tcBorders>
            <w:noWrap w:val="0"/>
            <w:vAlign w:val="center"/>
          </w:tcPr>
          <w:p w14:paraId="7BED0EB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栅条间隙：5mm；渠宽：0.7m；渠深：1.8m；栅前水深1.0m；格栅倾角：45º</w:t>
            </w:r>
          </w:p>
        </w:tc>
        <w:tc>
          <w:tcPr>
            <w:tcW w:w="912" w:type="dxa"/>
            <w:tcBorders>
              <w:tl2br w:val="nil"/>
              <w:tr2bl w:val="nil"/>
            </w:tcBorders>
            <w:noWrap w:val="0"/>
            <w:vAlign w:val="center"/>
          </w:tcPr>
          <w:p w14:paraId="1958438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1座</w:t>
            </w:r>
          </w:p>
        </w:tc>
        <w:tc>
          <w:tcPr>
            <w:tcW w:w="1186" w:type="dxa"/>
            <w:vMerge w:val="restart"/>
            <w:tcBorders>
              <w:tl2br w:val="nil"/>
              <w:tr2bl w:val="nil"/>
            </w:tcBorders>
            <w:noWrap w:val="0"/>
            <w:vAlign w:val="center"/>
          </w:tcPr>
          <w:p w14:paraId="5E1782C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015CE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50AD8E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47EE61A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除污机</w:t>
            </w:r>
          </w:p>
        </w:tc>
        <w:tc>
          <w:tcPr>
            <w:tcW w:w="3460" w:type="dxa"/>
            <w:tcBorders>
              <w:tl2br w:val="nil"/>
              <w:tr2bl w:val="nil"/>
            </w:tcBorders>
            <w:noWrap w:val="0"/>
            <w:vAlign w:val="center"/>
          </w:tcPr>
          <w:p w14:paraId="1048E10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HF-600循环式齿耙除污机，N=1.1 kW</w:t>
            </w:r>
          </w:p>
        </w:tc>
        <w:tc>
          <w:tcPr>
            <w:tcW w:w="912" w:type="dxa"/>
            <w:tcBorders>
              <w:tl2br w:val="nil"/>
              <w:tr2bl w:val="nil"/>
            </w:tcBorders>
            <w:noWrap w:val="0"/>
            <w:vAlign w:val="center"/>
          </w:tcPr>
          <w:p w14:paraId="7709061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2台</w:t>
            </w:r>
          </w:p>
        </w:tc>
        <w:tc>
          <w:tcPr>
            <w:tcW w:w="1186" w:type="dxa"/>
            <w:vMerge w:val="continue"/>
            <w:tcBorders>
              <w:tl2br w:val="nil"/>
              <w:tr2bl w:val="nil"/>
            </w:tcBorders>
            <w:noWrap w:val="0"/>
            <w:vAlign w:val="center"/>
          </w:tcPr>
          <w:p w14:paraId="2FFB4B9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0DB9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791D62C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780216A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输送机</w:t>
            </w:r>
          </w:p>
        </w:tc>
        <w:tc>
          <w:tcPr>
            <w:tcW w:w="3460" w:type="dxa"/>
            <w:tcBorders>
              <w:tl2br w:val="nil"/>
              <w:tr2bl w:val="nil"/>
            </w:tcBorders>
            <w:noWrap w:val="0"/>
            <w:vAlign w:val="center"/>
          </w:tcPr>
          <w:p w14:paraId="76BEB12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CTLSY-260无轴螺旋输送机，N=1.5 kW</w:t>
            </w:r>
          </w:p>
        </w:tc>
        <w:tc>
          <w:tcPr>
            <w:tcW w:w="912" w:type="dxa"/>
            <w:tcBorders>
              <w:tl2br w:val="nil"/>
              <w:tr2bl w:val="nil"/>
            </w:tcBorders>
            <w:noWrap w:val="0"/>
            <w:vAlign w:val="center"/>
          </w:tcPr>
          <w:p w14:paraId="1A6D4B3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1台</w:t>
            </w:r>
          </w:p>
        </w:tc>
        <w:tc>
          <w:tcPr>
            <w:tcW w:w="1186" w:type="dxa"/>
            <w:vMerge w:val="continue"/>
            <w:tcBorders>
              <w:tl2br w:val="nil"/>
              <w:tr2bl w:val="nil"/>
            </w:tcBorders>
            <w:noWrap w:val="0"/>
            <w:vAlign w:val="center"/>
          </w:tcPr>
          <w:p w14:paraId="559D16C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22139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DAFA9C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64F5906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旋流式沉砂池</w:t>
            </w:r>
          </w:p>
        </w:tc>
        <w:tc>
          <w:tcPr>
            <w:tcW w:w="3460" w:type="dxa"/>
            <w:tcBorders>
              <w:tl2br w:val="nil"/>
              <w:tr2bl w:val="nil"/>
            </w:tcBorders>
            <w:noWrap w:val="0"/>
            <w:vAlign w:val="center"/>
          </w:tcPr>
          <w:p w14:paraId="7DDDC7D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沉砂池直径：=2430mm；水力表面负荷：q=142.9m</w:t>
            </w:r>
            <w:r>
              <w:rPr>
                <w:rFonts w:hint="eastAsia"/>
                <w:b w:val="0"/>
                <w:bCs w:val="0"/>
                <w:color w:val="000000" w:themeColor="text1"/>
                <w:kern w:val="2"/>
                <w:sz w:val="21"/>
                <w:szCs w:val="21"/>
                <w:highlight w:val="none"/>
                <w:u w:val="none"/>
                <w:vertAlign w:val="superscript"/>
                <w14:textFill>
                  <w14:solidFill>
                    <w14:schemeClr w14:val="tx1"/>
                  </w14:solidFill>
                </w14:textFill>
              </w:rPr>
              <w:t>3</w:t>
            </w:r>
            <w:r>
              <w:rPr>
                <w:rFonts w:hint="eastAsia"/>
                <w:b w:val="0"/>
                <w:bCs w:val="0"/>
                <w:color w:val="000000" w:themeColor="text1"/>
                <w:kern w:val="2"/>
                <w:sz w:val="21"/>
                <w:szCs w:val="21"/>
                <w:highlight w:val="none"/>
                <w:u w:val="none"/>
                <w14:textFill>
                  <w14:solidFill>
                    <w14:schemeClr w14:val="tx1"/>
                  </w14:solidFill>
                </w14:textFill>
              </w:rPr>
              <w:t>/（m</w:t>
            </w:r>
            <w:r>
              <w:rPr>
                <w:rFonts w:hint="eastAsia"/>
                <w:b w:val="0"/>
                <w:bCs w:val="0"/>
                <w:color w:val="000000" w:themeColor="text1"/>
                <w:kern w:val="2"/>
                <w:sz w:val="21"/>
                <w:szCs w:val="21"/>
                <w:highlight w:val="none"/>
                <w:u w:val="none"/>
                <w:vertAlign w:val="superscript"/>
                <w14:textFill>
                  <w14:solidFill>
                    <w14:schemeClr w14:val="tx1"/>
                  </w14:solidFill>
                </w14:textFill>
              </w:rPr>
              <w:t>2</w:t>
            </w:r>
            <w:r>
              <w:rPr>
                <w:rFonts w:hint="eastAsia"/>
                <w:b w:val="0"/>
                <w:bCs w:val="0"/>
                <w:color w:val="000000" w:themeColor="text1"/>
                <w:kern w:val="2"/>
                <w:sz w:val="21"/>
                <w:szCs w:val="21"/>
                <w:highlight w:val="none"/>
                <w:u w:val="none"/>
                <w14:textFill>
                  <w14:solidFill>
                    <w14:schemeClr w14:val="tx1"/>
                  </w14:solidFill>
                </w14:textFill>
              </w:rPr>
              <w:t>·h）；水力停留时间：30s；进水渠宽：0.45m；出水渠宽：0.9m。</w:t>
            </w:r>
          </w:p>
        </w:tc>
        <w:tc>
          <w:tcPr>
            <w:tcW w:w="912" w:type="dxa"/>
            <w:tcBorders>
              <w:tl2br w:val="nil"/>
              <w:tr2bl w:val="nil"/>
            </w:tcBorders>
            <w:noWrap w:val="0"/>
            <w:vAlign w:val="center"/>
          </w:tcPr>
          <w:p w14:paraId="271656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1座</w:t>
            </w:r>
          </w:p>
        </w:tc>
        <w:tc>
          <w:tcPr>
            <w:tcW w:w="1186" w:type="dxa"/>
            <w:vMerge w:val="continue"/>
            <w:tcBorders>
              <w:tl2br w:val="nil"/>
              <w:tr2bl w:val="nil"/>
            </w:tcBorders>
            <w:noWrap w:val="0"/>
            <w:vAlign w:val="center"/>
          </w:tcPr>
          <w:p w14:paraId="16F6DA4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7475B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0D30A87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2901872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旋流式除砂机</w:t>
            </w:r>
          </w:p>
        </w:tc>
        <w:tc>
          <w:tcPr>
            <w:tcW w:w="3460" w:type="dxa"/>
            <w:tcBorders>
              <w:tl2br w:val="nil"/>
              <w:tr2bl w:val="nil"/>
            </w:tcBorders>
            <w:noWrap w:val="0"/>
            <w:vAlign w:val="center"/>
          </w:tcPr>
          <w:p w14:paraId="5E41A9A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叶轮直径1000mm，N=1.5kW</w:t>
            </w:r>
          </w:p>
        </w:tc>
        <w:tc>
          <w:tcPr>
            <w:tcW w:w="912" w:type="dxa"/>
            <w:tcBorders>
              <w:tl2br w:val="nil"/>
              <w:tr2bl w:val="nil"/>
            </w:tcBorders>
            <w:noWrap w:val="0"/>
            <w:vAlign w:val="center"/>
          </w:tcPr>
          <w:p w14:paraId="4319124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2台</w:t>
            </w:r>
          </w:p>
        </w:tc>
        <w:tc>
          <w:tcPr>
            <w:tcW w:w="1186" w:type="dxa"/>
            <w:vMerge w:val="continue"/>
            <w:tcBorders>
              <w:tl2br w:val="nil"/>
              <w:tr2bl w:val="nil"/>
            </w:tcBorders>
            <w:noWrap w:val="0"/>
            <w:vAlign w:val="center"/>
          </w:tcPr>
          <w:p w14:paraId="7E0BF8F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7D240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490BEFD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778B3A1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砂水分离器</w:t>
            </w:r>
          </w:p>
        </w:tc>
        <w:tc>
          <w:tcPr>
            <w:tcW w:w="3460" w:type="dxa"/>
            <w:tcBorders>
              <w:tl2br w:val="nil"/>
              <w:tr2bl w:val="nil"/>
            </w:tcBorders>
            <w:noWrap w:val="0"/>
            <w:vAlign w:val="center"/>
          </w:tcPr>
          <w:p w14:paraId="5B807CF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螺旋外径220mm，处理量18~43m</w:t>
            </w:r>
            <w:r>
              <w:rPr>
                <w:rFonts w:hint="eastAsia"/>
                <w:b w:val="0"/>
                <w:bCs w:val="0"/>
                <w:color w:val="000000" w:themeColor="text1"/>
                <w:kern w:val="2"/>
                <w:sz w:val="21"/>
                <w:szCs w:val="21"/>
                <w:highlight w:val="none"/>
                <w:u w:val="none"/>
                <w:vertAlign w:val="superscript"/>
                <w14:textFill>
                  <w14:solidFill>
                    <w14:schemeClr w14:val="tx1"/>
                  </w14:solidFill>
                </w14:textFill>
              </w:rPr>
              <w:t>3</w:t>
            </w:r>
            <w:r>
              <w:rPr>
                <w:rFonts w:hint="eastAsia"/>
                <w:b w:val="0"/>
                <w:bCs w:val="0"/>
                <w:color w:val="000000" w:themeColor="text1"/>
                <w:kern w:val="2"/>
                <w:sz w:val="21"/>
                <w:szCs w:val="21"/>
                <w:highlight w:val="none"/>
                <w:u w:val="none"/>
                <w14:textFill>
                  <w14:solidFill>
                    <w14:schemeClr w14:val="tx1"/>
                  </w14:solidFill>
                </w14:textFill>
              </w:rPr>
              <w:t>/h，N=0.37kW</w:t>
            </w:r>
          </w:p>
        </w:tc>
        <w:tc>
          <w:tcPr>
            <w:tcW w:w="912" w:type="dxa"/>
            <w:tcBorders>
              <w:tl2br w:val="nil"/>
              <w:tr2bl w:val="nil"/>
            </w:tcBorders>
            <w:noWrap w:val="0"/>
            <w:vAlign w:val="center"/>
          </w:tcPr>
          <w:p w14:paraId="2EED2F8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kern w:val="2"/>
                <w:sz w:val="21"/>
                <w:szCs w:val="21"/>
                <w:highlight w:val="none"/>
                <w:u w:val="none"/>
                <w14:textFill>
                  <w14:solidFill>
                    <w14:schemeClr w14:val="tx1"/>
                  </w14:solidFill>
                </w14:textFill>
              </w:rPr>
              <w:t>1台</w:t>
            </w:r>
          </w:p>
        </w:tc>
        <w:tc>
          <w:tcPr>
            <w:tcW w:w="1186" w:type="dxa"/>
            <w:vMerge w:val="continue"/>
            <w:tcBorders>
              <w:tl2br w:val="nil"/>
              <w:tr2bl w:val="nil"/>
            </w:tcBorders>
            <w:noWrap w:val="0"/>
            <w:vAlign w:val="center"/>
          </w:tcPr>
          <w:p w14:paraId="786470C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22B3A0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41EC93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CDA443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固液分离器</w:t>
            </w:r>
          </w:p>
        </w:tc>
        <w:tc>
          <w:tcPr>
            <w:tcW w:w="3460" w:type="dxa"/>
            <w:tcBorders>
              <w:tl2br w:val="nil"/>
              <w:tr2bl w:val="nil"/>
            </w:tcBorders>
            <w:noWrap w:val="0"/>
            <w:vAlign w:val="center"/>
          </w:tcPr>
          <w:p w14:paraId="4FA640E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XGC型</w:t>
            </w:r>
          </w:p>
        </w:tc>
        <w:tc>
          <w:tcPr>
            <w:tcW w:w="912" w:type="dxa"/>
            <w:tcBorders>
              <w:tl2br w:val="nil"/>
              <w:tr2bl w:val="nil"/>
            </w:tcBorders>
            <w:noWrap w:val="0"/>
            <w:vAlign w:val="center"/>
          </w:tcPr>
          <w:p w14:paraId="0A8D225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kern w:val="2"/>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2台</w:t>
            </w:r>
          </w:p>
        </w:tc>
        <w:tc>
          <w:tcPr>
            <w:tcW w:w="1186" w:type="dxa"/>
            <w:vMerge w:val="continue"/>
            <w:tcBorders>
              <w:tl2br w:val="nil"/>
              <w:tr2bl w:val="nil"/>
            </w:tcBorders>
            <w:noWrap w:val="0"/>
            <w:vAlign w:val="center"/>
          </w:tcPr>
          <w:p w14:paraId="77709C8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5885F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209722A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改良型氧化沟</w:t>
            </w:r>
          </w:p>
        </w:tc>
        <w:tc>
          <w:tcPr>
            <w:tcW w:w="1263" w:type="dxa"/>
            <w:tcBorders>
              <w:tl2br w:val="nil"/>
              <w:tr2bl w:val="nil"/>
            </w:tcBorders>
            <w:noWrap w:val="0"/>
            <w:vAlign w:val="center"/>
          </w:tcPr>
          <w:p w14:paraId="2A93D26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b w:val="0"/>
                <w:bCs w:val="0"/>
                <w:color w:val="000000" w:themeColor="text1"/>
                <w:sz w:val="21"/>
                <w:szCs w:val="21"/>
                <w:highlight w:val="none"/>
                <w:u w:val="none"/>
                <w14:textFill>
                  <w14:solidFill>
                    <w14:schemeClr w14:val="tx1"/>
                  </w14:solidFill>
                </w14:textFill>
              </w:rPr>
              <w:t>减速机</w:t>
            </w:r>
          </w:p>
        </w:tc>
        <w:tc>
          <w:tcPr>
            <w:tcW w:w="3460" w:type="dxa"/>
            <w:tcBorders>
              <w:tl2br w:val="nil"/>
              <w:tr2bl w:val="nil"/>
            </w:tcBorders>
            <w:noWrap w:val="0"/>
            <w:vAlign w:val="center"/>
          </w:tcPr>
          <w:p w14:paraId="3CCB79F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w:t>
            </w:r>
          </w:p>
        </w:tc>
        <w:tc>
          <w:tcPr>
            <w:tcW w:w="912" w:type="dxa"/>
            <w:tcBorders>
              <w:tl2br w:val="nil"/>
              <w:tr2bl w:val="nil"/>
            </w:tcBorders>
            <w:noWrap w:val="0"/>
            <w:vAlign w:val="center"/>
          </w:tcPr>
          <w:p w14:paraId="647D22C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台</w:t>
            </w:r>
          </w:p>
        </w:tc>
        <w:tc>
          <w:tcPr>
            <w:tcW w:w="1186" w:type="dxa"/>
            <w:vMerge w:val="restart"/>
            <w:tcBorders>
              <w:tl2br w:val="nil"/>
              <w:tr2bl w:val="nil"/>
            </w:tcBorders>
            <w:noWrap w:val="0"/>
            <w:vAlign w:val="center"/>
          </w:tcPr>
          <w:p w14:paraId="70C5DA6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eastAsia="宋体"/>
                <w:b w:val="0"/>
                <w:bCs w:val="0"/>
                <w:color w:val="000000" w:themeColor="text1"/>
                <w:sz w:val="21"/>
                <w:szCs w:val="21"/>
                <w:highlight w:val="none"/>
                <w:u w:val="none"/>
                <w:lang w:val="en-US" w:eastAsia="zh-CN"/>
                <w14:textFill>
                  <w14:solidFill>
                    <w14:schemeClr w14:val="tx1"/>
                  </w14:solidFill>
                </w14:textFill>
              </w:rPr>
              <w:t>一、二期</w:t>
            </w:r>
            <w:r>
              <w:rPr>
                <w:rFonts w:hint="eastAsia"/>
                <w:b w:val="0"/>
                <w:bCs w:val="0"/>
                <w:color w:val="000000" w:themeColor="text1"/>
                <w:sz w:val="21"/>
                <w:szCs w:val="21"/>
                <w:highlight w:val="none"/>
                <w:u w:val="none"/>
                <w:lang w:val="en-US" w:eastAsia="zh-CN"/>
                <w14:textFill>
                  <w14:solidFill>
                    <w14:schemeClr w14:val="tx1"/>
                  </w14:solidFill>
                </w14:textFill>
              </w:rPr>
              <w:t>设备</w:t>
            </w:r>
          </w:p>
        </w:tc>
      </w:tr>
      <w:tr w14:paraId="031EF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35AC053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1D29FBD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推流器</w:t>
            </w:r>
          </w:p>
        </w:tc>
        <w:tc>
          <w:tcPr>
            <w:tcW w:w="3460" w:type="dxa"/>
            <w:tcBorders>
              <w:tl2br w:val="nil"/>
              <w:tr2bl w:val="nil"/>
            </w:tcBorders>
            <w:noWrap w:val="0"/>
            <w:vAlign w:val="center"/>
          </w:tcPr>
          <w:p w14:paraId="632384A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4410.011</w:t>
            </w:r>
          </w:p>
        </w:tc>
        <w:tc>
          <w:tcPr>
            <w:tcW w:w="912" w:type="dxa"/>
            <w:tcBorders>
              <w:tl2br w:val="nil"/>
              <w:tr2bl w:val="nil"/>
            </w:tcBorders>
            <w:noWrap w:val="0"/>
            <w:vAlign w:val="center"/>
          </w:tcPr>
          <w:p w14:paraId="3C18F32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台</w:t>
            </w:r>
          </w:p>
        </w:tc>
        <w:tc>
          <w:tcPr>
            <w:tcW w:w="1186" w:type="dxa"/>
            <w:vMerge w:val="continue"/>
            <w:tcBorders>
              <w:tl2br w:val="nil"/>
              <w:tr2bl w:val="nil"/>
            </w:tcBorders>
            <w:noWrap w:val="0"/>
            <w:vAlign w:val="center"/>
          </w:tcPr>
          <w:p w14:paraId="6A3D6B9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AB9B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31EDC22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4659DA4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曝气设备</w:t>
            </w:r>
          </w:p>
        </w:tc>
        <w:tc>
          <w:tcPr>
            <w:tcW w:w="3460" w:type="dxa"/>
            <w:tcBorders>
              <w:tl2br w:val="nil"/>
              <w:tr2bl w:val="nil"/>
            </w:tcBorders>
            <w:noWrap w:val="0"/>
            <w:vAlign w:val="center"/>
          </w:tcPr>
          <w:p w14:paraId="5FF11BC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AMG75.58.336</w:t>
            </w:r>
          </w:p>
        </w:tc>
        <w:tc>
          <w:tcPr>
            <w:tcW w:w="912" w:type="dxa"/>
            <w:tcBorders>
              <w:tl2br w:val="nil"/>
              <w:tr2bl w:val="nil"/>
            </w:tcBorders>
            <w:noWrap w:val="0"/>
            <w:vAlign w:val="center"/>
          </w:tcPr>
          <w:p w14:paraId="69FB4AD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台</w:t>
            </w:r>
          </w:p>
        </w:tc>
        <w:tc>
          <w:tcPr>
            <w:tcW w:w="1186" w:type="dxa"/>
            <w:vMerge w:val="continue"/>
            <w:tcBorders>
              <w:tl2br w:val="nil"/>
              <w:tr2bl w:val="nil"/>
            </w:tcBorders>
            <w:noWrap w:val="0"/>
            <w:vAlign w:val="center"/>
          </w:tcPr>
          <w:p w14:paraId="52BA4BC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635FD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DB854D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F7612A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推流器</w:t>
            </w:r>
          </w:p>
        </w:tc>
        <w:tc>
          <w:tcPr>
            <w:tcW w:w="3460" w:type="dxa"/>
            <w:tcBorders>
              <w:tl2br w:val="nil"/>
              <w:tr2bl w:val="nil"/>
            </w:tcBorders>
            <w:noWrap w:val="0"/>
            <w:vAlign w:val="center"/>
          </w:tcPr>
          <w:p w14:paraId="1BA85DBA">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AFG40.230.35</w:t>
            </w:r>
          </w:p>
        </w:tc>
        <w:tc>
          <w:tcPr>
            <w:tcW w:w="912" w:type="dxa"/>
            <w:tcBorders>
              <w:tl2br w:val="nil"/>
              <w:tr2bl w:val="nil"/>
            </w:tcBorders>
            <w:noWrap w:val="0"/>
            <w:vAlign w:val="center"/>
          </w:tcPr>
          <w:p w14:paraId="48A1038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16</w:t>
            </w:r>
            <w:r>
              <w:rPr>
                <w:rFonts w:hint="eastAsia"/>
                <w:b w:val="0"/>
                <w:bCs w:val="0"/>
                <w:color w:val="000000" w:themeColor="text1"/>
                <w:sz w:val="21"/>
                <w:szCs w:val="21"/>
                <w:highlight w:val="none"/>
                <w:u w:val="none"/>
                <w14:textFill>
                  <w14:solidFill>
                    <w14:schemeClr w14:val="tx1"/>
                  </w14:solidFill>
                </w14:textFill>
              </w:rPr>
              <w:t>台</w:t>
            </w:r>
          </w:p>
        </w:tc>
        <w:tc>
          <w:tcPr>
            <w:tcW w:w="1186" w:type="dxa"/>
            <w:vMerge w:val="continue"/>
            <w:tcBorders>
              <w:tl2br w:val="nil"/>
              <w:tr2bl w:val="nil"/>
            </w:tcBorders>
            <w:noWrap w:val="0"/>
            <w:vAlign w:val="center"/>
          </w:tcPr>
          <w:p w14:paraId="103E2A5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7AE2D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7577AC2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5B76BDE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混合液内回流泵</w:t>
            </w:r>
          </w:p>
        </w:tc>
        <w:tc>
          <w:tcPr>
            <w:tcW w:w="3460" w:type="dxa"/>
            <w:tcBorders>
              <w:tl2br w:val="nil"/>
              <w:tr2bl w:val="nil"/>
            </w:tcBorders>
            <w:noWrap w:val="0"/>
            <w:vAlign w:val="center"/>
          </w:tcPr>
          <w:p w14:paraId="5EADC67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QZ3434-2.8-45</w:t>
            </w:r>
          </w:p>
        </w:tc>
        <w:tc>
          <w:tcPr>
            <w:tcW w:w="912" w:type="dxa"/>
            <w:tcBorders>
              <w:tl2br w:val="nil"/>
              <w:tr2bl w:val="nil"/>
            </w:tcBorders>
            <w:noWrap w:val="0"/>
            <w:vAlign w:val="center"/>
          </w:tcPr>
          <w:p w14:paraId="48D1997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2台</w:t>
            </w:r>
          </w:p>
        </w:tc>
        <w:tc>
          <w:tcPr>
            <w:tcW w:w="1186" w:type="dxa"/>
            <w:vMerge w:val="continue"/>
            <w:tcBorders>
              <w:tl2br w:val="nil"/>
              <w:tr2bl w:val="nil"/>
            </w:tcBorders>
            <w:noWrap w:val="0"/>
            <w:vAlign w:val="center"/>
          </w:tcPr>
          <w:p w14:paraId="5E18D3B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337F4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tcBorders>
              <w:tl2br w:val="nil"/>
              <w:tr2bl w:val="nil"/>
            </w:tcBorders>
            <w:noWrap w:val="0"/>
            <w:vAlign w:val="center"/>
          </w:tcPr>
          <w:p w14:paraId="2188901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A</w:t>
            </w:r>
            <w:r>
              <w:rPr>
                <w:rFonts w:hint="eastAsia"/>
                <w:b w:val="0"/>
                <w:bCs w:val="0"/>
                <w:color w:val="000000" w:themeColor="text1"/>
                <w:sz w:val="21"/>
                <w:szCs w:val="21"/>
                <w:highlight w:val="none"/>
                <w:u w:val="none"/>
                <w:vertAlign w:val="superscript"/>
                <w14:textFill>
                  <w14:solidFill>
                    <w14:schemeClr w14:val="tx1"/>
                  </w14:solidFill>
                </w14:textFill>
              </w:rPr>
              <w:t>2</w:t>
            </w:r>
            <w:r>
              <w:rPr>
                <w:rFonts w:hint="eastAsia"/>
                <w:b w:val="0"/>
                <w:bCs w:val="0"/>
                <w:color w:val="000000" w:themeColor="text1"/>
                <w:sz w:val="21"/>
                <w:szCs w:val="21"/>
                <w:highlight w:val="none"/>
                <w:u w:val="none"/>
                <w14:textFill>
                  <w14:solidFill>
                    <w14:schemeClr w14:val="tx1"/>
                  </w14:solidFill>
                </w14:textFill>
              </w:rPr>
              <w:t>O生</w:t>
            </w:r>
            <w:r>
              <w:rPr>
                <w:rFonts w:hint="eastAsia"/>
                <w:b w:val="0"/>
                <w:bCs w:val="0"/>
                <w:color w:val="000000" w:themeColor="text1"/>
                <w:sz w:val="21"/>
                <w:szCs w:val="21"/>
                <w:highlight w:val="none"/>
                <w:u w:val="none"/>
                <w:lang w:val="en-US" w:eastAsia="zh-CN"/>
                <w14:textFill>
                  <w14:solidFill>
                    <w14:schemeClr w14:val="tx1"/>
                  </w14:solidFill>
                </w14:textFill>
              </w:rPr>
              <w:t>化</w:t>
            </w:r>
            <w:r>
              <w:rPr>
                <w:rFonts w:hint="eastAsia"/>
                <w:b w:val="0"/>
                <w:bCs w:val="0"/>
                <w:color w:val="000000" w:themeColor="text1"/>
                <w:sz w:val="21"/>
                <w:szCs w:val="21"/>
                <w:highlight w:val="none"/>
                <w:u w:val="none"/>
                <w14:textFill>
                  <w14:solidFill>
                    <w14:schemeClr w14:val="tx1"/>
                  </w14:solidFill>
                </w14:textFill>
              </w:rPr>
              <w:t>池</w:t>
            </w:r>
          </w:p>
        </w:tc>
        <w:tc>
          <w:tcPr>
            <w:tcW w:w="1263" w:type="dxa"/>
            <w:tcBorders>
              <w:tl2br w:val="nil"/>
              <w:tr2bl w:val="nil"/>
            </w:tcBorders>
            <w:noWrap w:val="0"/>
            <w:vAlign w:val="center"/>
          </w:tcPr>
          <w:p w14:paraId="741BDF3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b w:val="0"/>
                <w:bCs w:val="0"/>
                <w:color w:val="000000" w:themeColor="text1"/>
                <w:sz w:val="21"/>
                <w:szCs w:val="21"/>
                <w:highlight w:val="none"/>
                <w:u w:val="none"/>
                <w14:textFill>
                  <w14:solidFill>
                    <w14:schemeClr w14:val="tx1"/>
                  </w14:solidFill>
                </w14:textFill>
              </w:rPr>
              <w:t>A</w:t>
            </w:r>
            <w:r>
              <w:rPr>
                <w:b w:val="0"/>
                <w:bCs w:val="0"/>
                <w:color w:val="000000" w:themeColor="text1"/>
                <w:sz w:val="21"/>
                <w:szCs w:val="21"/>
                <w:highlight w:val="none"/>
                <w:u w:val="none"/>
                <w:vertAlign w:val="superscript"/>
                <w14:textFill>
                  <w14:solidFill>
                    <w14:schemeClr w14:val="tx1"/>
                  </w14:solidFill>
                </w14:textFill>
              </w:rPr>
              <w:t>2</w:t>
            </w:r>
            <w:r>
              <w:rPr>
                <w:b w:val="0"/>
                <w:bCs w:val="0"/>
                <w:color w:val="000000" w:themeColor="text1"/>
                <w:sz w:val="21"/>
                <w:szCs w:val="21"/>
                <w:highlight w:val="none"/>
                <w:u w:val="none"/>
                <w14:textFill>
                  <w14:solidFill>
                    <w14:schemeClr w14:val="tx1"/>
                  </w14:solidFill>
                </w14:textFill>
              </w:rPr>
              <w:t>O生化池</w:t>
            </w:r>
          </w:p>
        </w:tc>
        <w:tc>
          <w:tcPr>
            <w:tcW w:w="3460" w:type="dxa"/>
            <w:tcBorders>
              <w:tl2br w:val="nil"/>
              <w:tr2bl w:val="nil"/>
            </w:tcBorders>
            <w:noWrap w:val="0"/>
            <w:vAlign w:val="center"/>
          </w:tcPr>
          <w:p w14:paraId="40404D0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宋体" w:hAnsi="宋体" w:eastAsia="宋体" w:cs="宋体"/>
                <w:b w:val="0"/>
                <w:bCs w:val="0"/>
                <w:color w:val="000000" w:themeColor="text1"/>
                <w:sz w:val="21"/>
                <w:szCs w:val="21"/>
                <w:highlight w:val="none"/>
                <w:u w:val="none"/>
                <w14:textFill>
                  <w14:solidFill>
                    <w14:schemeClr w14:val="tx1"/>
                  </w14:solidFill>
                </w14:textFill>
              </w:rPr>
            </w:pPr>
            <w:r>
              <w:rPr>
                <w:b w:val="0"/>
                <w:bCs w:val="0"/>
                <w:color w:val="000000" w:themeColor="text1"/>
                <w:sz w:val="21"/>
                <w:szCs w:val="21"/>
                <w:highlight w:val="none"/>
                <w:u w:val="none"/>
                <w14:textFill>
                  <w14:solidFill>
                    <w14:schemeClr w14:val="tx1"/>
                  </w14:solidFill>
                </w14:textFill>
              </w:rPr>
              <w:t>污泥负荷：Fw＝0.068kgBOD5/kgMLVSS·d</w:t>
            </w:r>
            <w:r>
              <w:rPr>
                <w:rFonts w:hint="eastAsia"/>
                <w:b w:val="0"/>
                <w:bCs w:val="0"/>
                <w:color w:val="000000" w:themeColor="text1"/>
                <w:sz w:val="21"/>
                <w:szCs w:val="21"/>
                <w:highlight w:val="none"/>
                <w:u w:val="none"/>
                <w14:textFill>
                  <w14:solidFill>
                    <w14:schemeClr w14:val="tx1"/>
                  </w14:solidFill>
                </w14:textFill>
              </w:rPr>
              <w:t>；</w:t>
            </w:r>
            <w:r>
              <w:rPr>
                <w:b w:val="0"/>
                <w:bCs w:val="0"/>
                <w:color w:val="000000" w:themeColor="text1"/>
                <w:sz w:val="21"/>
                <w:szCs w:val="21"/>
                <w:highlight w:val="none"/>
                <w:u w:val="none"/>
                <w14:textFill>
                  <w14:solidFill>
                    <w14:schemeClr w14:val="tx1"/>
                  </w14:solidFill>
                </w14:textFill>
              </w:rPr>
              <w:t>悬浮固体浓度：MLSS＝3700mg/L</w:t>
            </w:r>
            <w:r>
              <w:rPr>
                <w:rFonts w:hint="eastAsia"/>
                <w:b w:val="0"/>
                <w:bCs w:val="0"/>
                <w:color w:val="000000" w:themeColor="text1"/>
                <w:sz w:val="21"/>
                <w:szCs w:val="21"/>
                <w:highlight w:val="none"/>
                <w:u w:val="none"/>
                <w14:textFill>
                  <w14:solidFill>
                    <w14:schemeClr w14:val="tx1"/>
                  </w14:solidFill>
                </w14:textFill>
              </w:rPr>
              <w:t>；</w:t>
            </w:r>
            <w:r>
              <w:rPr>
                <w:b w:val="0"/>
                <w:bCs w:val="0"/>
                <w:color w:val="000000" w:themeColor="text1"/>
                <w:sz w:val="21"/>
                <w:szCs w:val="21"/>
                <w:highlight w:val="none"/>
                <w:u w:val="none"/>
                <w14:textFill>
                  <w14:solidFill>
                    <w14:schemeClr w14:val="tx1"/>
                  </w14:solidFill>
                </w14:textFill>
              </w:rPr>
              <w:t>总水力停留时间：t＝15.59hr</w:t>
            </w:r>
            <w:r>
              <w:rPr>
                <w:rFonts w:hint="eastAsia"/>
                <w:b w:val="0"/>
                <w:bCs w:val="0"/>
                <w:color w:val="000000" w:themeColor="text1"/>
                <w:sz w:val="21"/>
                <w:szCs w:val="21"/>
                <w:highlight w:val="none"/>
                <w:u w:val="none"/>
                <w14:textFill>
                  <w14:solidFill>
                    <w14:schemeClr w14:val="tx1"/>
                  </w14:solidFill>
                </w14:textFill>
              </w:rPr>
              <w:t>；</w:t>
            </w:r>
            <w:r>
              <w:rPr>
                <w:b w:val="0"/>
                <w:bCs w:val="0"/>
                <w:color w:val="000000" w:themeColor="text1"/>
                <w:sz w:val="21"/>
                <w:szCs w:val="21"/>
                <w:highlight w:val="none"/>
                <w:u w:val="none"/>
                <w14:textFill>
                  <w14:solidFill>
                    <w14:schemeClr w14:val="tx1"/>
                  </w14:solidFill>
                </w14:textFill>
              </w:rPr>
              <w:t>平面尺寸：L×B＝49.00m×30.00m</w:t>
            </w:r>
            <w:r>
              <w:rPr>
                <w:rFonts w:hint="eastAsia"/>
                <w:b w:val="0"/>
                <w:bCs w:val="0"/>
                <w:color w:val="000000" w:themeColor="text1"/>
                <w:sz w:val="21"/>
                <w:szCs w:val="21"/>
                <w:highlight w:val="none"/>
                <w:u w:val="none"/>
                <w14:textFill>
                  <w14:solidFill>
                    <w14:schemeClr w14:val="tx1"/>
                  </w14:solidFill>
                </w14:textFill>
              </w:rPr>
              <w:t>；</w:t>
            </w:r>
            <w:r>
              <w:rPr>
                <w:b w:val="0"/>
                <w:bCs w:val="0"/>
                <w:color w:val="000000" w:themeColor="text1"/>
                <w:sz w:val="21"/>
                <w:szCs w:val="21"/>
                <w:highlight w:val="none"/>
                <w:u w:val="none"/>
                <w14:textFill>
                  <w14:solidFill>
                    <w14:schemeClr w14:val="tx1"/>
                  </w14:solidFill>
                </w14:textFill>
              </w:rPr>
              <w:t>有效水深：H＝6.0m</w:t>
            </w:r>
            <w:r>
              <w:rPr>
                <w:rFonts w:hint="eastAsia"/>
                <w:b w:val="0"/>
                <w:bCs w:val="0"/>
                <w:color w:val="000000" w:themeColor="text1"/>
                <w:sz w:val="21"/>
                <w:szCs w:val="21"/>
                <w:highlight w:val="none"/>
                <w:u w:val="none"/>
                <w14:textFill>
                  <w14:solidFill>
                    <w14:schemeClr w14:val="tx1"/>
                  </w14:solidFill>
                </w14:textFill>
              </w:rPr>
              <w:t>；</w:t>
            </w:r>
            <w:r>
              <w:rPr>
                <w:b w:val="0"/>
                <w:bCs w:val="0"/>
                <w:color w:val="000000" w:themeColor="text1"/>
                <w:sz w:val="21"/>
                <w:szCs w:val="21"/>
                <w:highlight w:val="none"/>
                <w:u w:val="none"/>
                <w14:textFill>
                  <w14:solidFill>
                    <w14:schemeClr w14:val="tx1"/>
                  </w14:solidFill>
                </w14:textFill>
              </w:rPr>
              <w:t>有效容积：V＝8445m</w:t>
            </w:r>
            <w:r>
              <w:rPr>
                <w:b w:val="0"/>
                <w:bCs w:val="0"/>
                <w:color w:val="000000" w:themeColor="text1"/>
                <w:sz w:val="21"/>
                <w:szCs w:val="21"/>
                <w:highlight w:val="none"/>
                <w:u w:val="none"/>
                <w:vertAlign w:val="superscript"/>
                <w14:textFill>
                  <w14:solidFill>
                    <w14:schemeClr w14:val="tx1"/>
                  </w14:solidFill>
                </w14:textFill>
              </w:rPr>
              <w:t>3</w:t>
            </w:r>
          </w:p>
        </w:tc>
        <w:tc>
          <w:tcPr>
            <w:tcW w:w="912" w:type="dxa"/>
            <w:tcBorders>
              <w:tl2br w:val="nil"/>
              <w:tr2bl w:val="nil"/>
            </w:tcBorders>
            <w:noWrap w:val="0"/>
            <w:vAlign w:val="center"/>
          </w:tcPr>
          <w:p w14:paraId="53B1BD9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1座两格</w:t>
            </w:r>
          </w:p>
        </w:tc>
        <w:tc>
          <w:tcPr>
            <w:tcW w:w="1186" w:type="dxa"/>
            <w:tcBorders>
              <w:tl2br w:val="nil"/>
              <w:tr2bl w:val="nil"/>
            </w:tcBorders>
            <w:noWrap w:val="0"/>
            <w:vAlign w:val="center"/>
          </w:tcPr>
          <w:p w14:paraId="0ED7230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46039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4C5BD27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辐流式二沉池</w:t>
            </w:r>
          </w:p>
        </w:tc>
        <w:tc>
          <w:tcPr>
            <w:tcW w:w="1263" w:type="dxa"/>
            <w:tcBorders>
              <w:tl2br w:val="nil"/>
              <w:tr2bl w:val="nil"/>
            </w:tcBorders>
            <w:noWrap w:val="0"/>
            <w:vAlign w:val="center"/>
          </w:tcPr>
          <w:p w14:paraId="5F94C57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辐流式二沉池</w:t>
            </w:r>
          </w:p>
        </w:tc>
        <w:tc>
          <w:tcPr>
            <w:tcW w:w="3460" w:type="dxa"/>
            <w:tcBorders>
              <w:tl2br w:val="nil"/>
              <w:tr2bl w:val="nil"/>
            </w:tcBorders>
            <w:noWrap w:val="0"/>
            <w:vAlign w:val="center"/>
          </w:tcPr>
          <w:p w14:paraId="562A976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池内径D=28m；表面负荷1.0m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/（m</w:t>
            </w:r>
            <w:r>
              <w:rPr>
                <w:rFonts w:hint="eastAsia"/>
                <w:b w:val="0"/>
                <w:bCs w:val="0"/>
                <w:color w:val="000000" w:themeColor="text1"/>
                <w:sz w:val="21"/>
                <w:szCs w:val="21"/>
                <w:highlight w:val="none"/>
                <w:u w:val="none"/>
                <w:vertAlign w:val="superscript"/>
                <w14:textFill>
                  <w14:solidFill>
                    <w14:schemeClr w14:val="tx1"/>
                  </w14:solidFill>
                </w14:textFill>
              </w:rPr>
              <w:t>2</w:t>
            </w:r>
            <w:r>
              <w:rPr>
                <w:rFonts w:hint="eastAsia"/>
                <w:b w:val="0"/>
                <w:bCs w:val="0"/>
                <w:color w:val="000000" w:themeColor="text1"/>
                <w:sz w:val="21"/>
                <w:szCs w:val="21"/>
                <w:highlight w:val="none"/>
                <w:u w:val="none"/>
                <w14:textFill>
                  <w14:solidFill>
                    <w14:schemeClr w14:val="tx1"/>
                  </w14:solidFill>
                </w14:textFill>
              </w:rPr>
              <w:t>·h）</w:t>
            </w:r>
          </w:p>
        </w:tc>
        <w:tc>
          <w:tcPr>
            <w:tcW w:w="912" w:type="dxa"/>
            <w:tcBorders>
              <w:tl2br w:val="nil"/>
              <w:tr2bl w:val="nil"/>
            </w:tcBorders>
            <w:noWrap w:val="0"/>
            <w:vAlign w:val="center"/>
          </w:tcPr>
          <w:p w14:paraId="45A5DF6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座</w:t>
            </w:r>
          </w:p>
        </w:tc>
        <w:tc>
          <w:tcPr>
            <w:tcW w:w="1186" w:type="dxa"/>
            <w:vMerge w:val="restart"/>
            <w:tcBorders>
              <w:tl2br w:val="nil"/>
              <w:tr2bl w:val="nil"/>
            </w:tcBorders>
            <w:noWrap w:val="0"/>
            <w:vAlign w:val="center"/>
          </w:tcPr>
          <w:p w14:paraId="4446015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eastAsia="宋体"/>
                <w:b w:val="0"/>
                <w:bCs w:val="0"/>
                <w:color w:val="000000" w:themeColor="text1"/>
                <w:sz w:val="21"/>
                <w:szCs w:val="21"/>
                <w:highlight w:val="none"/>
                <w:u w:val="none"/>
                <w:lang w:val="en-US" w:eastAsia="zh-CN"/>
                <w14:textFill>
                  <w14:solidFill>
                    <w14:schemeClr w14:val="tx1"/>
                  </w14:solidFill>
                </w14:textFill>
              </w:rPr>
              <w:t>一、二期各1座，三期扩建1座</w:t>
            </w:r>
          </w:p>
        </w:tc>
      </w:tr>
      <w:tr w14:paraId="19ED0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163C90F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29C544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吸刮泥机</w:t>
            </w:r>
          </w:p>
        </w:tc>
        <w:tc>
          <w:tcPr>
            <w:tcW w:w="3460" w:type="dxa"/>
            <w:tcBorders>
              <w:tl2br w:val="nil"/>
              <w:tr2bl w:val="nil"/>
            </w:tcBorders>
            <w:noWrap w:val="0"/>
            <w:vAlign w:val="center"/>
          </w:tcPr>
          <w:p w14:paraId="6A25B3F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ZXJ-26单管中心传动吸刮泥机，N=0.55kW</w:t>
            </w:r>
          </w:p>
        </w:tc>
        <w:tc>
          <w:tcPr>
            <w:tcW w:w="912" w:type="dxa"/>
            <w:tcBorders>
              <w:tl2br w:val="nil"/>
              <w:tr2bl w:val="nil"/>
            </w:tcBorders>
            <w:noWrap w:val="0"/>
            <w:vAlign w:val="center"/>
          </w:tcPr>
          <w:p w14:paraId="09AEAEF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台</w:t>
            </w:r>
          </w:p>
        </w:tc>
        <w:tc>
          <w:tcPr>
            <w:tcW w:w="1186" w:type="dxa"/>
            <w:vMerge w:val="continue"/>
            <w:tcBorders>
              <w:tl2br w:val="nil"/>
              <w:tr2bl w:val="nil"/>
            </w:tcBorders>
            <w:noWrap w:val="0"/>
            <w:vAlign w:val="center"/>
          </w:tcPr>
          <w:p w14:paraId="28E06A5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13F8B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5FE2B8F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污泥泵站</w:t>
            </w:r>
          </w:p>
        </w:tc>
        <w:tc>
          <w:tcPr>
            <w:tcW w:w="1263" w:type="dxa"/>
            <w:tcBorders>
              <w:tl2br w:val="nil"/>
              <w:tr2bl w:val="nil"/>
            </w:tcBorders>
            <w:noWrap w:val="0"/>
            <w:vAlign w:val="center"/>
          </w:tcPr>
          <w:p w14:paraId="71DC975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剩余污泥泵</w:t>
            </w:r>
          </w:p>
        </w:tc>
        <w:tc>
          <w:tcPr>
            <w:tcW w:w="3460" w:type="dxa"/>
            <w:tcBorders>
              <w:tl2br w:val="nil"/>
              <w:tr2bl w:val="nil"/>
            </w:tcBorders>
            <w:noWrap w:val="0"/>
            <w:vAlign w:val="center"/>
          </w:tcPr>
          <w:p w14:paraId="7644606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Q=30m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 xml:space="preserve"> /h，H=10m，N=2.2 kW</w:t>
            </w:r>
          </w:p>
        </w:tc>
        <w:tc>
          <w:tcPr>
            <w:tcW w:w="912" w:type="dxa"/>
            <w:tcBorders>
              <w:tl2br w:val="nil"/>
              <w:tr2bl w:val="nil"/>
            </w:tcBorders>
            <w:noWrap w:val="0"/>
            <w:vAlign w:val="center"/>
          </w:tcPr>
          <w:p w14:paraId="0818C9A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4</w:t>
            </w:r>
            <w:r>
              <w:rPr>
                <w:rFonts w:hint="eastAsia"/>
                <w:b w:val="0"/>
                <w:bCs w:val="0"/>
                <w:color w:val="000000" w:themeColor="text1"/>
                <w:sz w:val="21"/>
                <w:szCs w:val="21"/>
                <w:highlight w:val="none"/>
                <w:u w:val="none"/>
                <w14:textFill>
                  <w14:solidFill>
                    <w14:schemeClr w14:val="tx1"/>
                  </w14:solidFill>
                </w14:textFill>
              </w:rPr>
              <w:t>台</w:t>
            </w:r>
          </w:p>
        </w:tc>
        <w:tc>
          <w:tcPr>
            <w:tcW w:w="1186" w:type="dxa"/>
            <w:tcBorders>
              <w:tl2br w:val="nil"/>
              <w:tr2bl w:val="nil"/>
            </w:tcBorders>
            <w:noWrap w:val="0"/>
            <w:vAlign w:val="center"/>
          </w:tcPr>
          <w:p w14:paraId="12D42AE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w:t>
            </w:r>
          </w:p>
        </w:tc>
      </w:tr>
      <w:tr w14:paraId="4F4AC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22715D4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034C0F2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回流污泥泵</w:t>
            </w:r>
          </w:p>
        </w:tc>
        <w:tc>
          <w:tcPr>
            <w:tcW w:w="3460" w:type="dxa"/>
            <w:tcBorders>
              <w:tl2br w:val="nil"/>
              <w:tr2bl w:val="nil"/>
            </w:tcBorders>
            <w:noWrap w:val="0"/>
            <w:vAlign w:val="center"/>
          </w:tcPr>
          <w:p w14:paraId="78F21C29">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Q=150m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/h，H=5m，N=7.5kW</w:t>
            </w:r>
          </w:p>
        </w:tc>
        <w:tc>
          <w:tcPr>
            <w:tcW w:w="912" w:type="dxa"/>
            <w:tcBorders>
              <w:tl2br w:val="nil"/>
              <w:tr2bl w:val="nil"/>
            </w:tcBorders>
            <w:noWrap w:val="0"/>
            <w:vAlign w:val="center"/>
          </w:tcPr>
          <w:p w14:paraId="0281141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6</w:t>
            </w:r>
            <w:r>
              <w:rPr>
                <w:rFonts w:hint="eastAsia"/>
                <w:b w:val="0"/>
                <w:bCs w:val="0"/>
                <w:color w:val="000000" w:themeColor="text1"/>
                <w:sz w:val="21"/>
                <w:szCs w:val="21"/>
                <w:highlight w:val="none"/>
                <w:u w:val="none"/>
                <w14:textFill>
                  <w14:solidFill>
                    <w14:schemeClr w14:val="tx1"/>
                  </w14:solidFill>
                </w14:textFill>
              </w:rPr>
              <w:t>台</w:t>
            </w:r>
          </w:p>
        </w:tc>
        <w:tc>
          <w:tcPr>
            <w:tcW w:w="1186" w:type="dxa"/>
            <w:tcBorders>
              <w:tl2br w:val="nil"/>
              <w:tr2bl w:val="nil"/>
            </w:tcBorders>
            <w:noWrap w:val="0"/>
            <w:vAlign w:val="center"/>
          </w:tcPr>
          <w:p w14:paraId="17C1CDC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w:t>
            </w:r>
          </w:p>
        </w:tc>
      </w:tr>
      <w:tr w14:paraId="33131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736362C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鼓风机房及变配电间</w:t>
            </w:r>
          </w:p>
        </w:tc>
        <w:tc>
          <w:tcPr>
            <w:tcW w:w="1263" w:type="dxa"/>
            <w:tcBorders>
              <w:tl2br w:val="nil"/>
              <w:tr2bl w:val="nil"/>
            </w:tcBorders>
            <w:noWrap w:val="0"/>
            <w:vAlign w:val="center"/>
          </w:tcPr>
          <w:p w14:paraId="7C595E3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鼓风机</w:t>
            </w:r>
          </w:p>
        </w:tc>
        <w:tc>
          <w:tcPr>
            <w:tcW w:w="3460" w:type="dxa"/>
            <w:tcBorders>
              <w:tl2br w:val="nil"/>
              <w:tr2bl w:val="nil"/>
            </w:tcBorders>
            <w:noWrap w:val="0"/>
            <w:vAlign w:val="center"/>
          </w:tcPr>
          <w:p w14:paraId="6D65B6FF">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NEX-D-TE50（Q=27.0m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/min，P=70.0kPa，N=38.0kW）</w:t>
            </w:r>
          </w:p>
        </w:tc>
        <w:tc>
          <w:tcPr>
            <w:tcW w:w="912" w:type="dxa"/>
            <w:tcBorders>
              <w:tl2br w:val="nil"/>
              <w:tr2bl w:val="nil"/>
            </w:tcBorders>
            <w:noWrap w:val="0"/>
            <w:vAlign w:val="center"/>
          </w:tcPr>
          <w:p w14:paraId="6D2EA33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2台</w:t>
            </w:r>
          </w:p>
        </w:tc>
        <w:tc>
          <w:tcPr>
            <w:tcW w:w="1186" w:type="dxa"/>
            <w:vMerge w:val="restart"/>
            <w:tcBorders>
              <w:tl2br w:val="nil"/>
              <w:tr2bl w:val="nil"/>
            </w:tcBorders>
            <w:noWrap w:val="0"/>
            <w:vAlign w:val="center"/>
          </w:tcPr>
          <w:p w14:paraId="54171D9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64055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06372B8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3D2E4C7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鼓风机</w:t>
            </w:r>
          </w:p>
        </w:tc>
        <w:tc>
          <w:tcPr>
            <w:tcW w:w="3460" w:type="dxa"/>
            <w:tcBorders>
              <w:tl2br w:val="nil"/>
              <w:tr2bl w:val="nil"/>
            </w:tcBorders>
            <w:noWrap w:val="0"/>
            <w:vAlign w:val="center"/>
          </w:tcPr>
          <w:p w14:paraId="03DB433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NEX-D-TE100（Q=58.0m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/min，P=70.0kPa，N=75.0kW）</w:t>
            </w:r>
          </w:p>
        </w:tc>
        <w:tc>
          <w:tcPr>
            <w:tcW w:w="912" w:type="dxa"/>
            <w:tcBorders>
              <w:tl2br w:val="nil"/>
              <w:tr2bl w:val="nil"/>
            </w:tcBorders>
            <w:noWrap w:val="0"/>
            <w:vAlign w:val="center"/>
          </w:tcPr>
          <w:p w14:paraId="3412597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1台</w:t>
            </w:r>
          </w:p>
        </w:tc>
        <w:tc>
          <w:tcPr>
            <w:tcW w:w="1186" w:type="dxa"/>
            <w:vMerge w:val="continue"/>
            <w:tcBorders>
              <w:tl2br w:val="nil"/>
              <w:tr2bl w:val="nil"/>
            </w:tcBorders>
            <w:noWrap w:val="0"/>
            <w:vAlign w:val="center"/>
          </w:tcPr>
          <w:p w14:paraId="6EB1AA0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460FE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021C9C3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7F89738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电动单梁悬挂起重机</w:t>
            </w:r>
          </w:p>
        </w:tc>
        <w:tc>
          <w:tcPr>
            <w:tcW w:w="3460" w:type="dxa"/>
            <w:tcBorders>
              <w:tl2br w:val="nil"/>
              <w:tr2bl w:val="nil"/>
            </w:tcBorders>
            <w:noWrap w:val="0"/>
            <w:vAlign w:val="center"/>
          </w:tcPr>
          <w:p w14:paraId="4833258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起重量10kN，起升高度6m，跨度8m，配CD1-6D电动葫芦，起重电机功率1.5kW，运行电机功率0.4×2+0.2kW</w:t>
            </w:r>
          </w:p>
        </w:tc>
        <w:tc>
          <w:tcPr>
            <w:tcW w:w="912" w:type="dxa"/>
            <w:tcBorders>
              <w:tl2br w:val="nil"/>
              <w:tr2bl w:val="nil"/>
            </w:tcBorders>
            <w:noWrap w:val="0"/>
            <w:vAlign w:val="center"/>
          </w:tcPr>
          <w:p w14:paraId="5BFCB288">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1台</w:t>
            </w:r>
          </w:p>
        </w:tc>
        <w:tc>
          <w:tcPr>
            <w:tcW w:w="1186" w:type="dxa"/>
            <w:vMerge w:val="continue"/>
            <w:tcBorders>
              <w:tl2br w:val="nil"/>
              <w:tr2bl w:val="nil"/>
            </w:tcBorders>
            <w:noWrap w:val="0"/>
            <w:vAlign w:val="center"/>
          </w:tcPr>
          <w:p w14:paraId="06E44154">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08587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tcBorders>
              <w:tl2br w:val="nil"/>
              <w:tr2bl w:val="nil"/>
            </w:tcBorders>
            <w:noWrap w:val="0"/>
            <w:vAlign w:val="center"/>
          </w:tcPr>
          <w:p w14:paraId="791CD6C3">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除臭系统</w:t>
            </w:r>
          </w:p>
        </w:tc>
        <w:tc>
          <w:tcPr>
            <w:tcW w:w="1263" w:type="dxa"/>
            <w:tcBorders>
              <w:tl2br w:val="nil"/>
              <w:tr2bl w:val="nil"/>
            </w:tcBorders>
            <w:noWrap w:val="0"/>
            <w:vAlign w:val="center"/>
          </w:tcPr>
          <w:p w14:paraId="72E6484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除臭装置</w:t>
            </w:r>
          </w:p>
        </w:tc>
        <w:tc>
          <w:tcPr>
            <w:tcW w:w="3460" w:type="dxa"/>
            <w:tcBorders>
              <w:tl2br w:val="nil"/>
              <w:tr2bl w:val="nil"/>
            </w:tcBorders>
            <w:noWrap w:val="0"/>
            <w:vAlign w:val="center"/>
          </w:tcPr>
          <w:p w14:paraId="6527A58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设计风量取40000m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/h，设计采用1套型号为NFHB-40000-GY-02的生物滤池除臭装置</w:t>
            </w:r>
          </w:p>
        </w:tc>
        <w:tc>
          <w:tcPr>
            <w:tcW w:w="912" w:type="dxa"/>
            <w:tcBorders>
              <w:tl2br w:val="nil"/>
              <w:tr2bl w:val="nil"/>
            </w:tcBorders>
            <w:noWrap w:val="0"/>
            <w:vAlign w:val="center"/>
          </w:tcPr>
          <w:p w14:paraId="7E0201F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1套</w:t>
            </w:r>
          </w:p>
        </w:tc>
        <w:tc>
          <w:tcPr>
            <w:tcW w:w="1186" w:type="dxa"/>
            <w:tcBorders>
              <w:tl2br w:val="nil"/>
              <w:tr2bl w:val="nil"/>
            </w:tcBorders>
            <w:noWrap w:val="0"/>
            <w:vAlign w:val="center"/>
          </w:tcPr>
          <w:p w14:paraId="0C761C8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47169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tcBorders>
              <w:tl2br w:val="nil"/>
              <w:tr2bl w:val="nil"/>
            </w:tcBorders>
            <w:noWrap w:val="0"/>
            <w:vAlign w:val="center"/>
          </w:tcPr>
          <w:p w14:paraId="5CC80C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高效沉淀池（设计规模3×10</w:t>
            </w:r>
            <w:r>
              <w:rPr>
                <w:rFonts w:hint="eastAsia"/>
                <w:b w:val="0"/>
                <w:bCs w:val="0"/>
                <w:color w:val="000000" w:themeColor="text1"/>
                <w:sz w:val="21"/>
                <w:szCs w:val="21"/>
                <w:highlight w:val="none"/>
                <w:u w:val="none"/>
                <w:vertAlign w:val="superscript"/>
                <w14:textFill>
                  <w14:solidFill>
                    <w14:schemeClr w14:val="tx1"/>
                  </w14:solidFill>
                </w14:textFill>
              </w:rPr>
              <w:t>4</w:t>
            </w:r>
            <w:r>
              <w:rPr>
                <w:rFonts w:hint="eastAsia"/>
                <w:b w:val="0"/>
                <w:bCs w:val="0"/>
                <w:color w:val="000000" w:themeColor="text1"/>
                <w:sz w:val="21"/>
                <w:szCs w:val="21"/>
                <w:highlight w:val="none"/>
                <w:u w:val="none"/>
                <w14:textFill>
                  <w14:solidFill>
                    <w14:schemeClr w14:val="tx1"/>
                  </w14:solidFill>
                </w14:textFill>
              </w:rPr>
              <w:t>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/d）</w:t>
            </w:r>
          </w:p>
        </w:tc>
        <w:tc>
          <w:tcPr>
            <w:tcW w:w="1263" w:type="dxa"/>
            <w:tcBorders>
              <w:tl2br w:val="nil"/>
              <w:tr2bl w:val="nil"/>
            </w:tcBorders>
            <w:noWrap w:val="0"/>
            <w:vAlign w:val="center"/>
          </w:tcPr>
          <w:p w14:paraId="6476C7C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高效沉淀池</w:t>
            </w:r>
          </w:p>
        </w:tc>
        <w:tc>
          <w:tcPr>
            <w:tcW w:w="3460" w:type="dxa"/>
            <w:tcBorders>
              <w:tl2br w:val="nil"/>
              <w:tr2bl w:val="nil"/>
            </w:tcBorders>
            <w:noWrap w:val="0"/>
            <w:vAlign w:val="center"/>
          </w:tcPr>
          <w:p w14:paraId="64081CB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混合时间：T=0.98min；絮凝时间：T=7.71min；沉淀池液面负荷：17.59m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/（m</w:t>
            </w:r>
            <w:r>
              <w:rPr>
                <w:rFonts w:hint="eastAsia"/>
                <w:b w:val="0"/>
                <w:bCs w:val="0"/>
                <w:color w:val="000000" w:themeColor="text1"/>
                <w:sz w:val="21"/>
                <w:szCs w:val="21"/>
                <w:highlight w:val="none"/>
                <w:u w:val="none"/>
                <w:vertAlign w:val="superscript"/>
                <w14:textFill>
                  <w14:solidFill>
                    <w14:schemeClr w14:val="tx1"/>
                  </w14:solidFill>
                </w14:textFill>
              </w:rPr>
              <w:t>2</w:t>
            </w:r>
            <w:r>
              <w:rPr>
                <w:rFonts w:hint="eastAsia"/>
                <w:b w:val="0"/>
                <w:bCs w:val="0"/>
                <w:color w:val="000000" w:themeColor="text1"/>
                <w:sz w:val="21"/>
                <w:szCs w:val="21"/>
                <w:highlight w:val="none"/>
                <w:u w:val="none"/>
                <w14:textFill>
                  <w14:solidFill>
                    <w14:schemeClr w14:val="tx1"/>
                  </w14:solidFill>
                </w14:textFill>
              </w:rPr>
              <w:t xml:space="preserve">·h）；单格尺寸：L×B×H=29.52m×18.11m×6.8m </w:t>
            </w:r>
          </w:p>
        </w:tc>
        <w:tc>
          <w:tcPr>
            <w:tcW w:w="912" w:type="dxa"/>
            <w:tcBorders>
              <w:tl2br w:val="nil"/>
              <w:tr2bl w:val="nil"/>
            </w:tcBorders>
            <w:noWrap w:val="0"/>
            <w:vAlign w:val="center"/>
          </w:tcPr>
          <w:p w14:paraId="1177A0D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1座</w:t>
            </w:r>
          </w:p>
        </w:tc>
        <w:tc>
          <w:tcPr>
            <w:tcW w:w="1186" w:type="dxa"/>
            <w:tcBorders>
              <w:tl2br w:val="nil"/>
              <w:tr2bl w:val="nil"/>
            </w:tcBorders>
            <w:noWrap w:val="0"/>
            <w:vAlign w:val="center"/>
          </w:tcPr>
          <w:p w14:paraId="682C2C3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0FD9A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tcBorders>
              <w:tl2br w:val="nil"/>
              <w:tr2bl w:val="nil"/>
            </w:tcBorders>
            <w:noWrap w:val="0"/>
            <w:vAlign w:val="center"/>
          </w:tcPr>
          <w:p w14:paraId="1F00236C">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反硝化深床滤池（设计规模3×10</w:t>
            </w:r>
            <w:r>
              <w:rPr>
                <w:rFonts w:hint="eastAsia"/>
                <w:b w:val="0"/>
                <w:bCs w:val="0"/>
                <w:color w:val="000000" w:themeColor="text1"/>
                <w:sz w:val="21"/>
                <w:szCs w:val="21"/>
                <w:highlight w:val="none"/>
                <w:u w:val="none"/>
                <w:vertAlign w:val="superscript"/>
                <w14:textFill>
                  <w14:solidFill>
                    <w14:schemeClr w14:val="tx1"/>
                  </w14:solidFill>
                </w14:textFill>
              </w:rPr>
              <w:t>4</w:t>
            </w:r>
            <w:r>
              <w:rPr>
                <w:rFonts w:hint="eastAsia"/>
                <w:b w:val="0"/>
                <w:bCs w:val="0"/>
                <w:color w:val="000000" w:themeColor="text1"/>
                <w:sz w:val="21"/>
                <w:szCs w:val="21"/>
                <w:highlight w:val="none"/>
                <w:u w:val="none"/>
                <w14:textFill>
                  <w14:solidFill>
                    <w14:schemeClr w14:val="tx1"/>
                  </w14:solidFill>
                </w14:textFill>
              </w:rPr>
              <w:t>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/d）</w:t>
            </w:r>
          </w:p>
        </w:tc>
        <w:tc>
          <w:tcPr>
            <w:tcW w:w="1263" w:type="dxa"/>
            <w:tcBorders>
              <w:tl2br w:val="nil"/>
              <w:tr2bl w:val="nil"/>
            </w:tcBorders>
            <w:noWrap w:val="0"/>
            <w:vAlign w:val="center"/>
          </w:tcPr>
          <w:p w14:paraId="0DECE8B6">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反硝化深床滤池</w:t>
            </w:r>
          </w:p>
        </w:tc>
        <w:tc>
          <w:tcPr>
            <w:tcW w:w="3460" w:type="dxa"/>
            <w:tcBorders>
              <w:tl2br w:val="nil"/>
              <w:tr2bl w:val="nil"/>
            </w:tcBorders>
            <w:noWrap w:val="0"/>
            <w:vAlign w:val="center"/>
          </w:tcPr>
          <w:p w14:paraId="0C60866F">
            <w:pPr>
              <w:pStyle w:val="78"/>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滤池格数：4格；单格滤池平面尺寸：L×B =3.90×14.5m；单格过滤面积：51.4m</w:t>
            </w:r>
            <w:r>
              <w:rPr>
                <w:rFonts w:hint="eastAsia"/>
                <w:b w:val="0"/>
                <w:bCs w:val="0"/>
                <w:color w:val="000000" w:themeColor="text1"/>
                <w:sz w:val="21"/>
                <w:szCs w:val="21"/>
                <w:highlight w:val="none"/>
                <w:u w:val="none"/>
                <w:vertAlign w:val="superscript"/>
                <w14:textFill>
                  <w14:solidFill>
                    <w14:schemeClr w14:val="tx1"/>
                  </w14:solidFill>
                </w14:textFill>
              </w:rPr>
              <w:t>2</w:t>
            </w:r>
            <w:r>
              <w:rPr>
                <w:rFonts w:hint="eastAsia"/>
                <w:b w:val="0"/>
                <w:bCs w:val="0"/>
                <w:color w:val="000000" w:themeColor="text1"/>
                <w:sz w:val="21"/>
                <w:szCs w:val="21"/>
                <w:highlight w:val="none"/>
                <w:u w:val="none"/>
                <w14:textFill>
                  <w14:solidFill>
                    <w14:schemeClr w14:val="tx1"/>
                  </w14:solidFill>
                </w14:textFill>
              </w:rPr>
              <w:t xml:space="preserve">；平均流量正常滤速：V1=4.96m/h；强制滤速（1格反冲洗时）：V2=6.61m/h；滤料：石英砂，粒径2-3mm，H=1.83m，不均匀系数1.35；滤料厚度：H=1830mm；承托层：卵石，粒径3-38mm，H=450mm </w:t>
            </w:r>
          </w:p>
          <w:p w14:paraId="4B3A1311">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滤砖层：H=190mm</w:t>
            </w:r>
          </w:p>
        </w:tc>
        <w:tc>
          <w:tcPr>
            <w:tcW w:w="912" w:type="dxa"/>
            <w:tcBorders>
              <w:tl2br w:val="nil"/>
              <w:tr2bl w:val="nil"/>
            </w:tcBorders>
            <w:noWrap w:val="0"/>
            <w:vAlign w:val="center"/>
          </w:tcPr>
          <w:p w14:paraId="35289B0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1座4格</w:t>
            </w:r>
          </w:p>
        </w:tc>
        <w:tc>
          <w:tcPr>
            <w:tcW w:w="1186" w:type="dxa"/>
            <w:tcBorders>
              <w:tl2br w:val="nil"/>
              <w:tr2bl w:val="nil"/>
            </w:tcBorders>
            <w:noWrap w:val="0"/>
            <w:vAlign w:val="center"/>
          </w:tcPr>
          <w:p w14:paraId="68E8687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5F930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restart"/>
            <w:tcBorders>
              <w:tl2br w:val="nil"/>
              <w:tr2bl w:val="nil"/>
            </w:tcBorders>
            <w:noWrap w:val="0"/>
            <w:vAlign w:val="center"/>
          </w:tcPr>
          <w:p w14:paraId="38C0152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紫外消毒池（设计规模3×10</w:t>
            </w:r>
            <w:r>
              <w:rPr>
                <w:rFonts w:hint="eastAsia"/>
                <w:b w:val="0"/>
                <w:bCs w:val="0"/>
                <w:color w:val="000000" w:themeColor="text1"/>
                <w:sz w:val="21"/>
                <w:szCs w:val="21"/>
                <w:highlight w:val="none"/>
                <w:u w:val="none"/>
                <w:vertAlign w:val="superscript"/>
                <w14:textFill>
                  <w14:solidFill>
                    <w14:schemeClr w14:val="tx1"/>
                  </w14:solidFill>
                </w14:textFill>
              </w:rPr>
              <w:t>4</w:t>
            </w:r>
            <w:r>
              <w:rPr>
                <w:rFonts w:hint="eastAsia"/>
                <w:b w:val="0"/>
                <w:bCs w:val="0"/>
                <w:color w:val="000000" w:themeColor="text1"/>
                <w:sz w:val="21"/>
                <w:szCs w:val="21"/>
                <w:highlight w:val="none"/>
                <w:u w:val="none"/>
                <w14:textFill>
                  <w14:solidFill>
                    <w14:schemeClr w14:val="tx1"/>
                  </w14:solidFill>
                </w14:textFill>
              </w:rPr>
              <w:t>m</w:t>
            </w:r>
            <w:r>
              <w:rPr>
                <w:rFonts w:hint="eastAsia"/>
                <w:b w:val="0"/>
                <w:bCs w:val="0"/>
                <w:color w:val="000000" w:themeColor="text1"/>
                <w:sz w:val="21"/>
                <w:szCs w:val="21"/>
                <w:highlight w:val="none"/>
                <w:u w:val="none"/>
                <w:vertAlign w:val="superscript"/>
                <w14:textFill>
                  <w14:solidFill>
                    <w14:schemeClr w14:val="tx1"/>
                  </w14:solidFill>
                </w14:textFill>
              </w:rPr>
              <w:t>3</w:t>
            </w:r>
            <w:r>
              <w:rPr>
                <w:rFonts w:hint="eastAsia"/>
                <w:b w:val="0"/>
                <w:bCs w:val="0"/>
                <w:color w:val="000000" w:themeColor="text1"/>
                <w:sz w:val="21"/>
                <w:szCs w:val="21"/>
                <w:highlight w:val="none"/>
                <w:u w:val="none"/>
                <w14:textFill>
                  <w14:solidFill>
                    <w14:schemeClr w14:val="tx1"/>
                  </w14:solidFill>
                </w14:textFill>
              </w:rPr>
              <w:t>/d）</w:t>
            </w:r>
          </w:p>
        </w:tc>
        <w:tc>
          <w:tcPr>
            <w:tcW w:w="1263" w:type="dxa"/>
            <w:tcBorders>
              <w:tl2br w:val="nil"/>
              <w:tr2bl w:val="nil"/>
            </w:tcBorders>
            <w:noWrap w:val="0"/>
            <w:vAlign w:val="center"/>
          </w:tcPr>
          <w:p w14:paraId="4D79B45E">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14:textFill>
                  <w14:solidFill>
                    <w14:schemeClr w14:val="tx1"/>
                  </w14:solidFill>
                </w14:textFill>
              </w:rPr>
              <w:t>紫外</w:t>
            </w:r>
            <w:r>
              <w:rPr>
                <w:rFonts w:hint="eastAsia"/>
                <w:b w:val="0"/>
                <w:bCs w:val="0"/>
                <w:color w:val="000000" w:themeColor="text1"/>
                <w:sz w:val="21"/>
                <w:szCs w:val="21"/>
                <w:highlight w:val="none"/>
                <w:u w:val="none"/>
                <w:lang w:val="en-US" w:eastAsia="zh-CN"/>
                <w14:textFill>
                  <w14:solidFill>
                    <w14:schemeClr w14:val="tx1"/>
                  </w14:solidFill>
                </w14:textFill>
              </w:rPr>
              <w:t>线消毒模块</w:t>
            </w:r>
          </w:p>
        </w:tc>
        <w:tc>
          <w:tcPr>
            <w:tcW w:w="3460" w:type="dxa"/>
            <w:tcBorders>
              <w:tl2br w:val="nil"/>
              <w:tr2bl w:val="nil"/>
            </w:tcBorders>
            <w:noWrap w:val="0"/>
            <w:vAlign w:val="center"/>
          </w:tcPr>
          <w:p w14:paraId="7180272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XARU-320W-8-8，每个模块组为64根灯管，共64×2=128根灯管</w:t>
            </w:r>
          </w:p>
        </w:tc>
        <w:tc>
          <w:tcPr>
            <w:tcW w:w="912" w:type="dxa"/>
            <w:tcBorders>
              <w:tl2br w:val="nil"/>
              <w:tr2bl w:val="nil"/>
            </w:tcBorders>
            <w:noWrap w:val="0"/>
            <w:vAlign w:val="center"/>
          </w:tcPr>
          <w:p w14:paraId="00CCC10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2套</w:t>
            </w:r>
          </w:p>
        </w:tc>
        <w:tc>
          <w:tcPr>
            <w:tcW w:w="1186" w:type="dxa"/>
            <w:vMerge w:val="restart"/>
            <w:tcBorders>
              <w:tl2br w:val="nil"/>
              <w:tr2bl w:val="nil"/>
            </w:tcBorders>
            <w:noWrap w:val="0"/>
            <w:vAlign w:val="center"/>
          </w:tcPr>
          <w:p w14:paraId="5462A94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三期新增</w:t>
            </w:r>
          </w:p>
        </w:tc>
      </w:tr>
      <w:tr w14:paraId="535A3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6A00143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1DB2B0A2">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镇流器控制柜</w:t>
            </w:r>
          </w:p>
        </w:tc>
        <w:tc>
          <w:tcPr>
            <w:tcW w:w="3460" w:type="dxa"/>
            <w:tcBorders>
              <w:tl2br w:val="nil"/>
              <w:tr2bl w:val="nil"/>
            </w:tcBorders>
            <w:noWrap w:val="0"/>
            <w:vAlign w:val="center"/>
          </w:tcPr>
          <w:p w14:paraId="5E19472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N=21.5W，紫外线消毒系统配套</w:t>
            </w:r>
          </w:p>
        </w:tc>
        <w:tc>
          <w:tcPr>
            <w:tcW w:w="912" w:type="dxa"/>
            <w:tcBorders>
              <w:tl2br w:val="nil"/>
              <w:tr2bl w:val="nil"/>
            </w:tcBorders>
            <w:noWrap w:val="0"/>
            <w:vAlign w:val="center"/>
          </w:tcPr>
          <w:p w14:paraId="0F0683C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2套</w:t>
            </w:r>
          </w:p>
        </w:tc>
        <w:tc>
          <w:tcPr>
            <w:tcW w:w="1186" w:type="dxa"/>
            <w:vMerge w:val="continue"/>
            <w:tcBorders>
              <w:tl2br w:val="nil"/>
              <w:tr2bl w:val="nil"/>
            </w:tcBorders>
            <w:noWrap w:val="0"/>
            <w:vAlign w:val="center"/>
          </w:tcPr>
          <w:p w14:paraId="1FA28A2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r w14:paraId="55D88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697" w:type="dxa"/>
            <w:vMerge w:val="continue"/>
            <w:tcBorders>
              <w:tl2br w:val="nil"/>
              <w:tr2bl w:val="nil"/>
            </w:tcBorders>
            <w:noWrap w:val="0"/>
            <w:vAlign w:val="center"/>
          </w:tcPr>
          <w:p w14:paraId="2666CD50">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p>
        </w:tc>
        <w:tc>
          <w:tcPr>
            <w:tcW w:w="1263" w:type="dxa"/>
            <w:tcBorders>
              <w:tl2br w:val="nil"/>
              <w:tr2bl w:val="nil"/>
            </w:tcBorders>
            <w:noWrap w:val="0"/>
            <w:vAlign w:val="center"/>
          </w:tcPr>
          <w:p w14:paraId="24AEFC1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空压机</w:t>
            </w:r>
          </w:p>
        </w:tc>
        <w:tc>
          <w:tcPr>
            <w:tcW w:w="3460" w:type="dxa"/>
            <w:tcBorders>
              <w:tl2br w:val="nil"/>
              <w:tr2bl w:val="nil"/>
            </w:tcBorders>
            <w:noWrap w:val="0"/>
            <w:vAlign w:val="center"/>
          </w:tcPr>
          <w:p w14:paraId="24A0B027">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N=1.5kW</w:t>
            </w:r>
          </w:p>
        </w:tc>
        <w:tc>
          <w:tcPr>
            <w:tcW w:w="912" w:type="dxa"/>
            <w:tcBorders>
              <w:tl2br w:val="nil"/>
              <w:tr2bl w:val="nil"/>
            </w:tcBorders>
            <w:noWrap w:val="0"/>
            <w:vAlign w:val="center"/>
          </w:tcPr>
          <w:p w14:paraId="126C1C8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r>
              <w:rPr>
                <w:rFonts w:hint="eastAsia"/>
                <w:b w:val="0"/>
                <w:bCs w:val="0"/>
                <w:color w:val="000000" w:themeColor="text1"/>
                <w:sz w:val="21"/>
                <w:szCs w:val="21"/>
                <w:highlight w:val="none"/>
                <w:u w:val="none"/>
                <w:lang w:val="en-US" w:eastAsia="zh-CN"/>
                <w14:textFill>
                  <w14:solidFill>
                    <w14:schemeClr w14:val="tx1"/>
                  </w14:solidFill>
                </w14:textFill>
              </w:rPr>
              <w:t>1台</w:t>
            </w:r>
          </w:p>
        </w:tc>
        <w:tc>
          <w:tcPr>
            <w:tcW w:w="1186" w:type="dxa"/>
            <w:vMerge w:val="continue"/>
            <w:tcBorders>
              <w:tl2br w:val="nil"/>
              <w:tr2bl w:val="nil"/>
            </w:tcBorders>
            <w:noWrap w:val="0"/>
            <w:vAlign w:val="center"/>
          </w:tcPr>
          <w:p w14:paraId="2DBF2C8B">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b w:val="0"/>
                <w:bCs w:val="0"/>
                <w:color w:val="000000" w:themeColor="text1"/>
                <w:sz w:val="21"/>
                <w:szCs w:val="21"/>
                <w:highlight w:val="none"/>
                <w:u w:val="none"/>
                <w:lang w:val="en-US" w:eastAsia="zh-CN"/>
                <w14:textFill>
                  <w14:solidFill>
                    <w14:schemeClr w14:val="tx1"/>
                  </w14:solidFill>
                </w14:textFill>
              </w:rPr>
            </w:pPr>
          </w:p>
        </w:tc>
      </w:tr>
    </w:tbl>
    <w:p w14:paraId="6D79A3CE">
      <w:pPr>
        <w:pStyle w:val="6"/>
        <w:keepNext w:val="0"/>
        <w:keepLines w:val="0"/>
        <w:pageBreakBefore w:val="0"/>
        <w:widowControl w:val="0"/>
        <w:kinsoku/>
        <w:wordWrap/>
        <w:overflowPunct/>
        <w:topLinePunct w:val="0"/>
        <w:autoSpaceDE/>
        <w:autoSpaceDN/>
        <w:bidi w:val="0"/>
        <w:adjustRightInd w:val="0"/>
        <w:snapToGrid w:val="0"/>
        <w:textAlignment w:val="auto"/>
        <w:outlineLvl w:val="2"/>
        <w:rPr>
          <w:rFonts w:hint="default"/>
          <w:highlight w:val="none"/>
          <w:lang w:val="en-US" w:eastAsia="zh-CN"/>
        </w:rPr>
      </w:pPr>
      <w:r>
        <w:rPr>
          <w:rFonts w:hint="eastAsia"/>
          <w:highlight w:val="none"/>
          <w:lang w:val="en-US" w:eastAsia="zh-CN"/>
        </w:rPr>
        <w:t>2.2.4 厂区污水处理工艺</w:t>
      </w:r>
    </w:p>
    <w:p w14:paraId="5A9A3ED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eastAsia" w:cs="Times New Roman"/>
          <w:sz w:val="24"/>
          <w:szCs w:val="24"/>
          <w:highlight w:val="none"/>
          <w:lang w:val="en-US" w:eastAsia="zh-CN"/>
        </w:rPr>
        <w:t>厂区</w:t>
      </w:r>
      <w:r>
        <w:rPr>
          <w:rFonts w:hint="eastAsia" w:ascii="Times New Roman" w:hAnsi="Times New Roman" w:eastAsia="宋体" w:cs="Times New Roman"/>
          <w:sz w:val="24"/>
          <w:szCs w:val="24"/>
          <w:highlight w:val="none"/>
          <w:lang w:val="en-US" w:eastAsia="zh-CN"/>
        </w:rPr>
        <w:t>污水处理工艺流程图</w:t>
      </w:r>
    </w:p>
    <w:p w14:paraId="6569D8F9">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highlight w:val="none"/>
          <w:lang w:val="en-US" w:eastAsia="zh-CN"/>
        </w:rPr>
      </w:pPr>
      <w:r>
        <w:rPr>
          <w:rFonts w:hint="eastAsia"/>
          <w:highlight w:val="none"/>
        </w:rPr>
        <w:drawing>
          <wp:inline distT="0" distB="0" distL="114300" distR="114300">
            <wp:extent cx="5496560" cy="3760470"/>
            <wp:effectExtent l="0" t="0" r="8890" b="11430"/>
            <wp:docPr id="17" name="图片 6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5" descr="wps"/>
                    <pic:cNvPicPr>
                      <a:picLocks noChangeAspect="1"/>
                    </pic:cNvPicPr>
                  </pic:nvPicPr>
                  <pic:blipFill>
                    <a:blip r:embed="rId10"/>
                    <a:srcRect l="4010" t="5003" r="1662" b="2983"/>
                    <a:stretch>
                      <a:fillRect/>
                    </a:stretch>
                  </pic:blipFill>
                  <pic:spPr>
                    <a:xfrm>
                      <a:off x="0" y="0"/>
                      <a:ext cx="5496560" cy="3760470"/>
                    </a:xfrm>
                    <a:prstGeom prst="rect">
                      <a:avLst/>
                    </a:prstGeom>
                    <a:noFill/>
                    <a:ln>
                      <a:noFill/>
                    </a:ln>
                  </pic:spPr>
                </pic:pic>
              </a:graphicData>
            </a:graphic>
          </wp:inline>
        </w:drawing>
      </w:r>
    </w:p>
    <w:p w14:paraId="5C163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cs="Times New Roman"/>
          <w:b/>
          <w:bCs/>
          <w:sz w:val="21"/>
          <w:szCs w:val="21"/>
          <w:highlight w:val="none"/>
          <w:lang w:val="en-US" w:eastAsia="zh-CN"/>
        </w:rPr>
        <w:t>图2.4-1 厂区污水处理</w:t>
      </w:r>
      <w:r>
        <w:rPr>
          <w:rFonts w:hint="default" w:ascii="Times New Roman" w:hAnsi="Times New Roman" w:cs="Times New Roman"/>
          <w:b/>
          <w:bCs/>
          <w:sz w:val="21"/>
          <w:szCs w:val="21"/>
          <w:highlight w:val="none"/>
          <w:lang w:val="en-US" w:eastAsia="zh-CN"/>
        </w:rPr>
        <w:t>工艺流程图</w:t>
      </w:r>
    </w:p>
    <w:p w14:paraId="190DB3C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（2）污水处理工艺简述</w:t>
      </w:r>
    </w:p>
    <w:p w14:paraId="749DC54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lang w:val="en-US" w:eastAsia="zh-CN"/>
          <w14:textFill>
            <w14:solidFill>
              <w14:schemeClr w14:val="tx1"/>
            </w14:solidFill>
          </w14:textFill>
        </w:rPr>
        <w:t>南岳区污水处理厂</w:t>
      </w:r>
      <w:r>
        <w:rPr>
          <w:rFonts w:hint="eastAsia" w:cs="Times New Roman"/>
          <w:color w:val="000000" w:themeColor="text1"/>
          <w:sz w:val="24"/>
          <w:szCs w:val="24"/>
          <w:highlight w:val="none"/>
          <w:u w:val="none"/>
          <w:lang w:val="en-US" w:eastAsia="zh-CN"/>
          <w14:textFill>
            <w14:solidFill>
              <w14:schemeClr w14:val="tx1"/>
            </w14:solidFill>
          </w14:textFill>
        </w:rPr>
        <w:t>扩建及提质改造后</w:t>
      </w:r>
      <w:r>
        <w:rPr>
          <w:rFonts w:hint="default"/>
          <w:color w:val="000000" w:themeColor="text1"/>
          <w:sz w:val="24"/>
          <w:szCs w:val="24"/>
          <w:highlight w:val="none"/>
          <w:u w:val="none"/>
          <w:lang w:val="en-US" w:eastAsia="zh-CN"/>
          <w14:textFill>
            <w14:solidFill>
              <w14:schemeClr w14:val="tx1"/>
            </w14:solidFill>
          </w14:textFill>
        </w:rPr>
        <w:t>采</w:t>
      </w:r>
      <w:r>
        <w:rPr>
          <w:rFonts w:hint="eastAsia"/>
          <w:color w:val="000000" w:themeColor="text1"/>
          <w:sz w:val="24"/>
          <w:szCs w:val="24"/>
          <w:highlight w:val="none"/>
          <w:u w:val="none"/>
          <w:lang w:val="en-US" w:eastAsia="zh-CN"/>
          <w14:textFill>
            <w14:solidFill>
              <w14:schemeClr w14:val="tx1"/>
            </w14:solidFill>
          </w14:textFill>
        </w:rPr>
        <w:t>用“预处理+活性污泥法（一、二期为改良型氧化沟、三期为A</w:t>
      </w:r>
      <w:r>
        <w:rPr>
          <w:rFonts w:hint="eastAsia"/>
          <w:color w:val="000000" w:themeColor="text1"/>
          <w:sz w:val="24"/>
          <w:szCs w:val="24"/>
          <w:highlight w:val="none"/>
          <w:u w:val="none"/>
          <w:vertAlign w:val="superscript"/>
          <w:lang w:val="en-US" w:eastAsia="zh-CN"/>
          <w14:textFill>
            <w14:solidFill>
              <w14:schemeClr w14:val="tx1"/>
            </w14:solidFill>
          </w14:textFill>
        </w:rPr>
        <w:t>2</w:t>
      </w:r>
      <w:r>
        <w:rPr>
          <w:rFonts w:hint="eastAsia"/>
          <w:color w:val="000000" w:themeColor="text1"/>
          <w:sz w:val="24"/>
          <w:szCs w:val="24"/>
          <w:highlight w:val="none"/>
          <w:u w:val="none"/>
          <w:lang w:val="en-US" w:eastAsia="zh-CN"/>
          <w14:textFill>
            <w14:solidFill>
              <w14:schemeClr w14:val="tx1"/>
            </w14:solidFill>
          </w14:textFill>
        </w:rPr>
        <w:t>O工艺）+二沉池+高效沉淀池+反硝化深床滤池+紫外线消毒”</w:t>
      </w:r>
      <w:r>
        <w:rPr>
          <w:rFonts w:hint="default"/>
          <w:color w:val="000000" w:themeColor="text1"/>
          <w:sz w:val="24"/>
          <w:szCs w:val="24"/>
          <w:highlight w:val="none"/>
          <w:u w:val="none"/>
          <w:lang w:val="en-US" w:eastAsia="zh-CN"/>
          <w14:textFill>
            <w14:solidFill>
              <w14:schemeClr w14:val="tx1"/>
            </w14:solidFill>
          </w14:textFill>
        </w:rPr>
        <w:t>的处理工艺</w:t>
      </w:r>
      <w:r>
        <w:rPr>
          <w:rFonts w:hint="eastAsia"/>
          <w:color w:val="000000" w:themeColor="text1"/>
          <w:sz w:val="24"/>
          <w:szCs w:val="24"/>
          <w:highlight w:val="none"/>
          <w:u w:val="none"/>
          <w:lang w:val="en-US" w:eastAsia="zh-CN"/>
          <w14:textFill>
            <w14:solidFill>
              <w14:schemeClr w14:val="tx1"/>
            </w14:solidFill>
          </w14:textFill>
        </w:rPr>
        <w:t>。其中</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预处理段主要包括粗格栅、细格栅、沉砂池</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；生化处理段主要采用活性污泥法，一</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二期采用改良型氧化沟+二沉池；三期采用</w:t>
      </w:r>
      <w:r>
        <w:rPr>
          <w:rFonts w:hint="default"/>
          <w:color w:val="000000" w:themeColor="text1"/>
          <w:sz w:val="24"/>
          <w:szCs w:val="24"/>
          <w:highlight w:val="none"/>
          <w:u w:val="none"/>
          <w:lang w:val="en-US" w:eastAsia="zh-CN"/>
          <w14:textFill>
            <w14:solidFill>
              <w14:schemeClr w14:val="tx1"/>
            </w14:solidFill>
          </w14:textFill>
        </w:rPr>
        <w:t>A</w:t>
      </w:r>
      <w:r>
        <w:rPr>
          <w:rFonts w:hint="eastAsia"/>
          <w:color w:val="000000" w:themeColor="text1"/>
          <w:sz w:val="24"/>
          <w:szCs w:val="24"/>
          <w:highlight w:val="none"/>
          <w:u w:val="none"/>
          <w:vertAlign w:val="superscript"/>
          <w:lang w:val="en-US" w:eastAsia="zh-CN"/>
          <w14:textFill>
            <w14:solidFill>
              <w14:schemeClr w14:val="tx1"/>
            </w14:solidFill>
          </w14:textFill>
        </w:rPr>
        <w:t>2</w:t>
      </w:r>
      <w:r>
        <w:rPr>
          <w:rFonts w:hint="default"/>
          <w:color w:val="000000" w:themeColor="text1"/>
          <w:sz w:val="24"/>
          <w:szCs w:val="24"/>
          <w:highlight w:val="none"/>
          <w:u w:val="none"/>
          <w:lang w:val="en-US" w:eastAsia="zh-CN"/>
          <w14:textFill>
            <w14:solidFill>
              <w14:schemeClr w14:val="tx1"/>
            </w14:solidFill>
          </w14:textFill>
        </w:rPr>
        <w:t>O工艺</w:t>
      </w:r>
      <w:r>
        <w:rPr>
          <w:rFonts w:hint="eastAsia"/>
          <w:color w:val="000000" w:themeColor="text1"/>
          <w:sz w:val="24"/>
          <w:szCs w:val="24"/>
          <w:highlight w:val="none"/>
          <w:u w:val="none"/>
          <w:lang w:val="en-US" w:eastAsia="zh-CN"/>
          <w14:textFill>
            <w14:solidFill>
              <w14:schemeClr w14:val="tx1"/>
            </w14:solidFill>
          </w14:textFill>
        </w:rPr>
        <w:t>+二沉池；深度处理</w:t>
      </w:r>
      <w:r>
        <w:rPr>
          <w:rFonts w:hint="default"/>
          <w:color w:val="000000" w:themeColor="text1"/>
          <w:sz w:val="24"/>
          <w:szCs w:val="24"/>
          <w:highlight w:val="none"/>
          <w:u w:val="none"/>
          <w:lang w:val="en-US" w:eastAsia="zh-CN"/>
          <w14:textFill>
            <w14:solidFill>
              <w14:schemeClr w14:val="tx1"/>
            </w14:solidFill>
          </w14:textFill>
        </w:rPr>
        <w:t>采用“高效沉淀池+反硝化深床滤池”工艺</w:t>
      </w:r>
      <w:r>
        <w:rPr>
          <w:rFonts w:hint="eastAsia"/>
          <w:color w:val="000000" w:themeColor="text1"/>
          <w:sz w:val="24"/>
          <w:szCs w:val="24"/>
          <w:highlight w:val="none"/>
          <w:u w:val="none"/>
          <w:lang w:val="en-US" w:eastAsia="zh-CN"/>
          <w14:textFill>
            <w14:solidFill>
              <w14:schemeClr w14:val="tx1"/>
            </w14:solidFill>
          </w14:textFill>
        </w:rPr>
        <w:t>；消毒工艺采用紫外线消毒。</w:t>
      </w:r>
    </w:p>
    <w:p w14:paraId="52BC136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预处理</w:t>
      </w:r>
      <w:r>
        <w:rPr>
          <w:rFonts w:hint="eastAsia" w:cs="Times New Roman"/>
          <w:color w:val="000000" w:themeColor="text1"/>
          <w:sz w:val="24"/>
          <w:szCs w:val="24"/>
          <w:highlight w:val="none"/>
          <w:u w:val="none"/>
          <w:lang w:val="en-US" w:eastAsia="zh-CN"/>
          <w14:textFill>
            <w14:solidFill>
              <w14:schemeClr w14:val="tx1"/>
            </w14:solidFill>
          </w14:textFill>
        </w:rPr>
        <w:t>工段</w:t>
      </w:r>
    </w:p>
    <w:p w14:paraId="704D55B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ascii="宋体" w:hAnsi="宋体" w:eastAsia="宋体" w:cs="宋体"/>
          <w:color w:val="000000" w:themeColor="text1"/>
          <w:sz w:val="24"/>
          <w:szCs w:val="24"/>
          <w:highlight w:val="none"/>
          <w:u w:val="none"/>
          <w14:textFill>
            <w14:solidFill>
              <w14:schemeClr w14:val="tx1"/>
            </w14:solidFill>
          </w14:textFill>
        </w:rPr>
        <w:t>来自城市管网的污水进入污水处理厂，</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再分别进入</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一</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二期共用预处理工段和三期预处理工段；预处理工段处理工艺相同，</w:t>
      </w:r>
      <w:r>
        <w:rPr>
          <w:rFonts w:ascii="宋体" w:hAnsi="宋体" w:eastAsia="宋体" w:cs="宋体"/>
          <w:color w:val="000000" w:themeColor="text1"/>
          <w:sz w:val="24"/>
          <w:szCs w:val="24"/>
          <w:highlight w:val="none"/>
          <w:u w:val="none"/>
          <w14:textFill>
            <w14:solidFill>
              <w14:schemeClr w14:val="tx1"/>
            </w14:solidFill>
          </w14:textFill>
        </w:rPr>
        <w:t>首先经粗格栅拦截直径大于15mm的悬浮物，然后由提升泵将污水泵入细格栅间，保证后续处理单元的顺畅和消除可能造成后续处理单元故障的悬浮物。接着进入旋流沉砂池去除砂砾等无机物。</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预处理工段产生的</w:t>
      </w:r>
      <w:r>
        <w:rPr>
          <w:rFonts w:ascii="宋体" w:hAnsi="宋体" w:eastAsia="宋体" w:cs="宋体"/>
          <w:color w:val="000000" w:themeColor="text1"/>
          <w:sz w:val="24"/>
          <w:szCs w:val="24"/>
          <w:highlight w:val="none"/>
          <w:u w:val="none"/>
          <w14:textFill>
            <w14:solidFill>
              <w14:schemeClr w14:val="tx1"/>
            </w14:solidFill>
          </w14:textFill>
        </w:rPr>
        <w:t>格栅</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渣</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砂外运处置。</w:t>
      </w:r>
    </w:p>
    <w:p w14:paraId="2CD8E89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②</w:t>
      </w:r>
      <w:r>
        <w:rPr>
          <w:rFonts w:hint="eastAsia" w:cs="Times New Roman"/>
          <w:color w:val="000000" w:themeColor="text1"/>
          <w:sz w:val="24"/>
          <w:szCs w:val="24"/>
          <w:highlight w:val="none"/>
          <w:u w:val="none"/>
          <w:lang w:val="en-US" w:eastAsia="zh-CN"/>
          <w14:textFill>
            <w14:solidFill>
              <w14:schemeClr w14:val="tx1"/>
            </w14:solidFill>
          </w14:textFill>
        </w:rPr>
        <w:t>生化处理段</w:t>
      </w:r>
    </w:p>
    <w:p w14:paraId="0F02F42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pPr>
      <w:r>
        <w:rPr>
          <w:rFonts w:hint="eastAsia" w:cs="Times New Roman"/>
          <w:color w:val="000000" w:themeColor="text1"/>
          <w:sz w:val="24"/>
          <w:szCs w:val="24"/>
          <w:highlight w:val="none"/>
          <w:u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改良型氧化沟+二沉池</w:t>
      </w:r>
    </w:p>
    <w:p w14:paraId="7597E40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经一</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二期共用预处理工段处理后的污水进入改良型氧化沟进行生化处理，再通过周进周出二沉池进行沉淀处置。</w:t>
      </w:r>
    </w:p>
    <w:p w14:paraId="7E56492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ascii="宋体" w:hAnsi="宋体" w:eastAsia="宋体" w:cs="宋体"/>
          <w:color w:val="000000" w:themeColor="text1"/>
          <w:sz w:val="24"/>
          <w:szCs w:val="24"/>
          <w:highlight w:val="none"/>
          <w:u w:val="none"/>
          <w14:textFill>
            <w14:solidFill>
              <w14:schemeClr w14:val="tx1"/>
            </w14:solidFill>
          </w14:textFill>
        </w:rPr>
        <w:t>改良型氧化沟，又名氧化渠，实际上它是活性污泥法的一种变型，使废水和活性污泥的混合液在环状的曝气沟渠中不断循环流动，根据废水水质的不同组合成不同比例的厌氧—缺氧—好氧—缺氧（厌氧）—好氧—缺氧—好氧的生物处理工艺。这种流程不但有良好的脱氮除磷效果，而且在厌氧和缺氧条件下能把大分子量的有机物裂解成易于好氧生物降解的低分子量有机物。</w:t>
      </w:r>
    </w:p>
    <w:p w14:paraId="1EEA736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pPr>
      <w:r>
        <w:rPr>
          <w:rFonts w:hint="eastAsia" w:cs="Times New Roman"/>
          <w:color w:val="000000" w:themeColor="text1"/>
          <w:sz w:val="24"/>
          <w:szCs w:val="24"/>
          <w:highlight w:val="none"/>
          <w:u w:val="none"/>
          <w:lang w:val="en-US" w:eastAsia="zh-CN" w:bidi="ar-SA"/>
          <w14:textFill>
            <w14:solidFill>
              <w14:schemeClr w14:val="tx1"/>
            </w14:solidFill>
          </w14:textFill>
        </w:rPr>
        <w:t>b.</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sz w:val="24"/>
          <w:szCs w:val="24"/>
          <w:highlight w:val="none"/>
          <w:u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O生化池+二沉池</w:t>
      </w:r>
    </w:p>
    <w:p w14:paraId="112E5F7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经</w:t>
      </w:r>
      <w:r>
        <w:rPr>
          <w:rFonts w:hint="eastAsia" w:cs="Times New Roman"/>
          <w:color w:val="000000" w:themeColor="text1"/>
          <w:sz w:val="24"/>
          <w:szCs w:val="24"/>
          <w:highlight w:val="none"/>
          <w:u w:val="none"/>
          <w:lang w:val="en-US" w:eastAsia="zh-CN" w:bidi="ar-SA"/>
          <w14:textFill>
            <w14:solidFill>
              <w14:schemeClr w14:val="tx1"/>
            </w14:solidFill>
          </w14:textFill>
        </w:rPr>
        <w:t>三期</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预处理工段处理后的污水进入A</w:t>
      </w:r>
      <w:r>
        <w:rPr>
          <w:rFonts w:hint="eastAsia" w:ascii="Times New Roman" w:hAnsi="Times New Roman" w:eastAsia="宋体" w:cs="Times New Roman"/>
          <w:color w:val="000000" w:themeColor="text1"/>
          <w:sz w:val="24"/>
          <w:szCs w:val="24"/>
          <w:highlight w:val="none"/>
          <w:u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O生化池进行生化处理，再通过周进周出二沉池进行沉淀处置。</w:t>
      </w:r>
    </w:p>
    <w:p w14:paraId="2BCF78E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A</w:t>
      </w:r>
      <w:r>
        <w:rPr>
          <w:rFonts w:hint="eastAsia"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O处理工艺</w:t>
      </w:r>
      <w:r>
        <w:rPr>
          <w:rFonts w:hint="eastAsia" w:cs="Times New Roman"/>
          <w:color w:val="000000" w:themeColor="text1"/>
          <w:sz w:val="24"/>
          <w:szCs w:val="24"/>
          <w:highlight w:val="none"/>
          <w:u w:val="none"/>
          <w:lang w:val="en-US" w:eastAsia="zh-CN"/>
          <w14:textFill>
            <w14:solidFill>
              <w14:schemeClr w14:val="tx1"/>
            </w14:solidFill>
          </w14:textFill>
        </w:rPr>
        <w:t>是指</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污水处理在</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厌氧-缺氧-好氧系统间运行</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，三期</w:t>
      </w:r>
      <w:r>
        <w:rPr>
          <w:rFonts w:hint="eastAsia" w:cs="Times New Roman"/>
          <w:color w:val="000000" w:themeColor="text1"/>
          <w:sz w:val="24"/>
          <w:szCs w:val="24"/>
          <w:highlight w:val="none"/>
          <w:u w:val="none"/>
          <w:lang w:val="en-US" w:eastAsia="zh-CN"/>
          <w14:textFill>
            <w14:solidFill>
              <w14:schemeClr w14:val="tx1"/>
            </w14:solidFill>
          </w14:textFill>
        </w:rPr>
        <w:t>工段</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sz w:val="24"/>
          <w:szCs w:val="24"/>
          <w:highlight w:val="none"/>
          <w:u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O生化池</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，增设了回流污泥预脱硝区和内回流，使回流污泥首先进入预脱硝区以利除磷，同时采用了分段进水，以控制和适应厌氧区、缺氧区对碳源的利用，优化了生物脱氮除磷效果。</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sz w:val="24"/>
          <w:szCs w:val="24"/>
          <w:highlight w:val="none"/>
          <w:u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O</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处理工艺为城市污水处理较为推荐的二级生化处理工艺，在城市污水处理厂运行较为广泛，对污水</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的有机物、</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脱氮除磷均有较好的处理效果</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7C1A242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③</w:t>
      </w:r>
      <w:r>
        <w:rPr>
          <w:rFonts w:hint="eastAsia" w:cs="Times New Roman"/>
          <w:color w:val="000000" w:themeColor="text1"/>
          <w:sz w:val="24"/>
          <w:szCs w:val="24"/>
          <w:highlight w:val="none"/>
          <w:u w:val="none"/>
          <w:lang w:val="en-US" w:eastAsia="zh-CN"/>
          <w14:textFill>
            <w14:solidFill>
              <w14:schemeClr w14:val="tx1"/>
            </w14:solidFill>
          </w14:textFill>
        </w:rPr>
        <w:t>深度处理工段</w:t>
      </w:r>
    </w:p>
    <w:p w14:paraId="1FA3A1E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一</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二</w:t>
      </w:r>
      <w:r>
        <w:rPr>
          <w:rFonts w:hint="eastAsia" w:cs="Times New Roman"/>
          <w:color w:val="000000" w:themeColor="text1"/>
          <w:sz w:val="24"/>
          <w:szCs w:val="24"/>
          <w:highlight w:val="none"/>
          <w:u w:val="none"/>
          <w:lang w:val="en-US" w:eastAsia="zh-CN" w:bidi="ar-SA"/>
          <w14:textFill>
            <w14:solidFill>
              <w14:schemeClr w14:val="tx1"/>
            </w14:solidFill>
          </w14:textFill>
        </w:rPr>
        <w:t>期</w:t>
      </w:r>
      <w:r>
        <w:rPr>
          <w:rFonts w:hint="eastAsia" w:cs="Times New Roman"/>
          <w:color w:val="000000" w:themeColor="text1"/>
          <w:sz w:val="24"/>
          <w:szCs w:val="24"/>
          <w:highlight w:val="none"/>
          <w:u w:val="none"/>
          <w:lang w:val="en-US" w:eastAsia="zh-CN"/>
          <w14:textFill>
            <w14:solidFill>
              <w14:schemeClr w14:val="tx1"/>
            </w14:solidFill>
          </w14:textFill>
        </w:rPr>
        <w:t>经生化处理后的废水通过</w:t>
      </w:r>
      <w:r>
        <w:rPr>
          <w:rFonts w:hint="eastAsia" w:cs="Times New Roman"/>
          <w:color w:val="000000" w:themeColor="text1"/>
          <w:sz w:val="24"/>
          <w:szCs w:val="24"/>
          <w:highlight w:val="none"/>
          <w:u w:val="none"/>
          <w:lang w:val="en-US" w:eastAsia="zh-CN" w:bidi="ar-SA"/>
          <w14:textFill>
            <w14:solidFill>
              <w14:schemeClr w14:val="tx1"/>
            </w14:solidFill>
          </w14:textFill>
        </w:rPr>
        <w:t>中间提升泵站与三期</w:t>
      </w:r>
      <w:r>
        <w:rPr>
          <w:rFonts w:hint="eastAsia" w:cs="Times New Roman"/>
          <w:color w:val="000000" w:themeColor="text1"/>
          <w:sz w:val="24"/>
          <w:szCs w:val="24"/>
          <w:highlight w:val="none"/>
          <w:u w:val="none"/>
          <w:lang w:val="en-US" w:eastAsia="zh-CN"/>
          <w14:textFill>
            <w14:solidFill>
              <w14:schemeClr w14:val="tx1"/>
            </w14:solidFill>
          </w14:textFill>
        </w:rPr>
        <w:t>经生化处理后的废水一同进入</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高效沉淀池</w:t>
      </w:r>
      <w:r>
        <w:rPr>
          <w:rFonts w:hint="eastAsia" w:cs="Times New Roman"/>
          <w:color w:val="000000" w:themeColor="text1"/>
          <w:sz w:val="24"/>
          <w:szCs w:val="24"/>
          <w:highlight w:val="none"/>
          <w:u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反硝化滤池</w:t>
      </w:r>
      <w:r>
        <w:rPr>
          <w:rFonts w:hint="eastAsia" w:cs="Times New Roman"/>
          <w:color w:val="000000" w:themeColor="text1"/>
          <w:sz w:val="24"/>
          <w:szCs w:val="24"/>
          <w:highlight w:val="none"/>
          <w:u w:val="none"/>
          <w:lang w:val="en-US" w:eastAsia="zh-CN"/>
          <w14:textFill>
            <w14:solidFill>
              <w14:schemeClr w14:val="tx1"/>
            </w14:solidFill>
          </w14:textFill>
        </w:rPr>
        <w:t>进行深度处理。</w:t>
      </w:r>
    </w:p>
    <w:p w14:paraId="19B1108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厂区提质改造后深度处理采用</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“高效沉淀池+反硝化滤池”</w:t>
      </w:r>
      <w:r>
        <w:rPr>
          <w:rFonts w:hint="eastAsia" w:cs="Times New Roman"/>
          <w:color w:val="000000" w:themeColor="text1"/>
          <w:sz w:val="24"/>
          <w:szCs w:val="24"/>
          <w:highlight w:val="none"/>
          <w:u w:val="none"/>
          <w:lang w:val="en-US" w:eastAsia="zh-CN"/>
          <w14:textFill>
            <w14:solidFill>
              <w14:schemeClr w14:val="tx1"/>
            </w14:solidFill>
          </w14:textFill>
        </w:rPr>
        <w:t>工艺。</w:t>
      </w:r>
    </w:p>
    <w:p w14:paraId="3B5C5B8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其中“</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高效沉淀池</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即为“絮凝沉淀（或澄清）+过滤”的工艺</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混凝沉淀过滤由于增加了沉淀池或澄清池，可以去除二级处理出水大部分污染物，对于需辅以化学除磷的工艺，可减轻滤池的负担，延长过滤周期，即使冬天进水水质较差时，滤池也能够正常运行。高效沉淀池加入PAC，可大幅度提高TP去除效率</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；“絮凝沉淀+过滤”由于加入絮凝剂对金属离子有一定的去除效果，采用PAM+PAC复合絮凝剂对废水中金属离子的去除效率可达70%以上。</w:t>
      </w:r>
    </w:p>
    <w:p w14:paraId="558C1FC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反硝化滤池</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是集生物脱氮及过滤功能合二为一的处理单元。</w:t>
      </w:r>
    </w:p>
    <w:p w14:paraId="33754D4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反硝化滤池采用特殊规格及形状的石英砂作为反硝化生物的挂膜介质，同时深床又是硝酸氮（NO</w:t>
      </w:r>
      <w:r>
        <w:rPr>
          <w:rFonts w:hint="eastAsia" w:ascii="Times New Roman" w:hAnsi="Times New Roman" w:eastAsia="宋体" w:cs="Times New Roman"/>
          <w:color w:val="000000" w:themeColor="text1"/>
          <w:sz w:val="24"/>
          <w:szCs w:val="24"/>
          <w:highlight w:val="none"/>
          <w:u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N）及悬浮物极好的去除构筑物。2~4毫米介质的比表面积较大。深介质的滤床足以避免窜流或穿透现象,即使前段处理工艺发生污泥膨胀或异常情况也可减少滤床水力穿透现象发生。介质有较好的悬浮物截留功效，在反冲洗周期区间，每m</w:t>
      </w:r>
      <w:r>
        <w:rPr>
          <w:rFonts w:hint="eastAsia"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过滤面积能保证截留≥7.3kg的固体悬浮物。固体物负荷高的特性大大延长了滤池过滤周期，减少了反冲洗次数，并能轻松应对峰值流量或处理厂污泥膨胀等异常情况。悬浮物不断的被截留会增加水头损失，因此需要反冲洗来去除截留的固体物。由于固体物负荷高、床体深，因此需要较高强度的反冲洗。滤池采用气、水协同进行反冲洗。反冲洗污水一般返回到前段处理单元。</w:t>
      </w:r>
    </w:p>
    <w:p w14:paraId="7C83EA0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去除TN：利用适量优质碳源，附着生长在石英砂表面上的反硝化细菌把NOx-N转换成N</w:t>
      </w:r>
      <w:r>
        <w:rPr>
          <w:rFonts w:hint="eastAsia" w:ascii="Times New Roman" w:hAnsi="Times New Roman" w:eastAsia="宋体" w:cs="Times New Roman"/>
          <w:color w:val="000000" w:themeColor="text1"/>
          <w:sz w:val="24"/>
          <w:szCs w:val="24"/>
          <w:highlight w:val="none"/>
          <w:u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完成脱氮反应过程，在前端硝化反应较完全的情况下，可稳定做到出水TN≤10mg/l.。在反硝化过程中，由于硝酸氮不断被还原为氮气，反硝化滤池中会逐渐集聚大量的氮气，一方面这些气体会使污水绕窜介质之间，这样增强了微生物与水流的接触，同时也提高了过滤效率。但是当池体内积聚过多的氮气气泡时，则会造成水头损失，这时就必须采用专用技术驱散氮气，恢复水头，每次持续2分钟左右。</w:t>
      </w:r>
    </w:p>
    <w:p w14:paraId="625478F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去除SS：通常每毫克SS中含BOD</w:t>
      </w:r>
      <w:r>
        <w:rPr>
          <w:rFonts w:hint="eastAsia" w:ascii="Times New Roman" w:hAnsi="Times New Roman" w:eastAsia="宋体" w:cs="Times New Roman"/>
          <w:color w:val="000000" w:themeColor="text1"/>
          <w:sz w:val="24"/>
          <w:szCs w:val="24"/>
          <w:highlight w:val="none"/>
          <w:u w:val="none"/>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0.4~0.5毫克，因此在去除固体悬浮物的同时，同时也降低了出水中的BOD</w:t>
      </w:r>
      <w:r>
        <w:rPr>
          <w:rFonts w:hint="eastAsia" w:ascii="Times New Roman" w:hAnsi="Times New Roman" w:eastAsia="宋体" w:cs="Times New Roman"/>
          <w:color w:val="000000" w:themeColor="text1"/>
          <w:sz w:val="24"/>
          <w:szCs w:val="24"/>
          <w:highlight w:val="none"/>
          <w:u w:val="none"/>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另外，出水中固体悬浮物含有氮、磷及其他重金属物质，去除固体悬浮物通常能降低部分上述杂质，配合适当的化学处理，能使出水总磷稳定降至0.5mg/L以下。反硝化滤池能轻松满足SS不大于8mg/L（通常SS5mg/L左右）的要求。</w:t>
      </w:r>
    </w:p>
    <w:p w14:paraId="1F33CD0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去除TP：微絮凝直接过滤除磷，是省去沉淀过程而将混凝反应与过滤过程在滤池内同步完成的一种接触絮凝过滤工艺技术。</w:t>
      </w:r>
    </w:p>
    <w:p w14:paraId="12D8D2D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④</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消毒工艺</w:t>
      </w:r>
    </w:p>
    <w:p w14:paraId="6933E85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厂区废水经上述三级处理后，最后通过紫外线消毒池进行消毒处理后外排龙荫港。</w:t>
      </w:r>
    </w:p>
    <w:p w14:paraId="6F15629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⑤</w:t>
      </w:r>
      <w:r>
        <w:rPr>
          <w:rFonts w:hint="eastAsia" w:ascii="宋体" w:hAnsi="宋体" w:cs="宋体"/>
          <w:color w:val="000000" w:themeColor="text1"/>
          <w:sz w:val="24"/>
          <w:szCs w:val="24"/>
          <w:highlight w:val="none"/>
          <w:u w:val="none"/>
          <w:lang w:val="en-US" w:eastAsia="zh-CN"/>
          <w14:textFill>
            <w14:solidFill>
              <w14:schemeClr w14:val="tx1"/>
            </w14:solidFill>
          </w14:textFill>
        </w:rPr>
        <w:t>污泥处理</w:t>
      </w:r>
    </w:p>
    <w:p w14:paraId="30241B7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二沉池及高效沉淀池剩余污泥，经污泥泵房进入污泥深度脱水间（含加药间）进行深度处理后外运处置。</w:t>
      </w:r>
    </w:p>
    <w:p w14:paraId="24E11D1C">
      <w:pPr>
        <w:pStyle w:val="6"/>
        <w:rPr>
          <w:rFonts w:hint="default"/>
          <w:highlight w:val="none"/>
          <w:lang w:val="en-US" w:eastAsia="zh-CN"/>
        </w:rPr>
      </w:pPr>
      <w:r>
        <w:rPr>
          <w:rFonts w:hint="eastAsia"/>
          <w:highlight w:val="none"/>
          <w:lang w:val="en-US" w:eastAsia="zh-CN"/>
        </w:rPr>
        <w:t>2.2.5 服务范围及人口</w:t>
      </w:r>
    </w:p>
    <w:p w14:paraId="108547A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南岳区污水处理厂服务范围为南岳区城区生活污水，近期</w:t>
      </w:r>
      <w:r>
        <w:rPr>
          <w:rFonts w:hint="default" w:ascii="Times New Roman" w:hAnsi="Times New Roman" w:eastAsia="宋体" w:cs="Times New Roman"/>
          <w:sz w:val="24"/>
          <w:szCs w:val="24"/>
          <w:highlight w:val="none"/>
          <w:lang w:val="en-US" w:eastAsia="zh-CN"/>
        </w:rPr>
        <w:t>2022</w:t>
      </w:r>
      <w:r>
        <w:rPr>
          <w:rFonts w:hint="eastAsia" w:ascii="Times New Roman" w:hAnsi="Times New Roman" w:eastAsia="宋体" w:cs="Times New Roman"/>
          <w:sz w:val="24"/>
          <w:szCs w:val="24"/>
          <w:highlight w:val="none"/>
          <w:lang w:val="en-US" w:eastAsia="zh-CN"/>
        </w:rPr>
        <w:t>年为</w:t>
      </w:r>
      <w:r>
        <w:rPr>
          <w:rFonts w:hint="default" w:ascii="Times New Roman" w:hAnsi="Times New Roman" w:eastAsia="宋体" w:cs="Times New Roman"/>
          <w:sz w:val="24"/>
          <w:szCs w:val="24"/>
          <w:highlight w:val="none"/>
          <w:lang w:val="en-US" w:eastAsia="zh-CN"/>
        </w:rPr>
        <w:t>8.8</w:t>
      </w:r>
      <w:r>
        <w:rPr>
          <w:rFonts w:hint="eastAsia" w:ascii="Times New Roman" w:hAnsi="Times New Roman" w:eastAsia="宋体" w:cs="Times New Roman"/>
          <w:sz w:val="24"/>
          <w:szCs w:val="24"/>
          <w:highlight w:val="none"/>
          <w:lang w:val="en-US" w:eastAsia="zh-CN"/>
        </w:rPr>
        <w:t>万人，远期</w:t>
      </w:r>
      <w:r>
        <w:rPr>
          <w:rFonts w:hint="default" w:ascii="Times New Roman" w:hAnsi="Times New Roman" w:eastAsia="宋体" w:cs="Times New Roman"/>
          <w:sz w:val="24"/>
          <w:szCs w:val="24"/>
          <w:highlight w:val="none"/>
          <w:lang w:val="en-US" w:eastAsia="zh-CN"/>
        </w:rPr>
        <w:t>2030</w:t>
      </w:r>
      <w:r>
        <w:rPr>
          <w:rFonts w:hint="eastAsia" w:ascii="Times New Roman" w:hAnsi="Times New Roman" w:eastAsia="宋体" w:cs="Times New Roman"/>
          <w:sz w:val="24"/>
          <w:szCs w:val="24"/>
          <w:highlight w:val="none"/>
          <w:lang w:val="en-US" w:eastAsia="zh-CN"/>
        </w:rPr>
        <w:t>年为</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万人。</w:t>
      </w:r>
    </w:p>
    <w:p w14:paraId="36026C4C">
      <w:pPr>
        <w:pStyle w:val="6"/>
        <w:rPr>
          <w:rFonts w:hint="eastAsia"/>
          <w:highlight w:val="none"/>
          <w:lang w:val="en-US" w:eastAsia="zh-CN"/>
        </w:rPr>
      </w:pPr>
      <w:r>
        <w:rPr>
          <w:rFonts w:hint="eastAsia"/>
          <w:highlight w:val="none"/>
          <w:lang w:val="en-US" w:eastAsia="zh-CN"/>
        </w:rPr>
        <w:t>2.2.6 设计进水水质及出水水质</w:t>
      </w:r>
    </w:p>
    <w:p w14:paraId="3EBBC21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（1）设计进水水质</w:t>
      </w:r>
    </w:p>
    <w:p w14:paraId="6269071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根据《南岳区城镇污水收集处理及配套设施建设项目可行性研究报告》、《南岳区城镇污水收集处理及配套设施建设项目（厂区部分）》相关内容，本项目污水处理厂设计进水水质详见下表。</w:t>
      </w:r>
    </w:p>
    <w:p w14:paraId="60E40B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000000"/>
          <w:highlight w:val="none"/>
          <w:lang w:val="en-US" w:eastAsia="zh-CN"/>
        </w:rPr>
      </w:pPr>
      <w:r>
        <w:rPr>
          <w:rFonts w:hint="eastAsia"/>
          <w:b/>
          <w:bCs/>
          <w:color w:val="000000"/>
          <w:highlight w:val="none"/>
          <w:lang w:val="en-US" w:eastAsia="zh-CN"/>
        </w:rPr>
        <w:t>表2.6-1 南岳区污水厂设计进水水质（单位：mg/L）</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19"/>
        <w:gridCol w:w="1219"/>
        <w:gridCol w:w="1219"/>
        <w:gridCol w:w="1220"/>
        <w:gridCol w:w="1220"/>
        <w:gridCol w:w="1220"/>
      </w:tblGrid>
      <w:tr w14:paraId="7E712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219" w:type="dxa"/>
            <w:tcBorders>
              <w:tl2br w:val="nil"/>
              <w:tr2bl w:val="nil"/>
            </w:tcBorders>
            <w:noWrap w:val="0"/>
            <w:vAlign w:val="center"/>
          </w:tcPr>
          <w:p w14:paraId="3A4C9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项目</w:t>
            </w:r>
          </w:p>
        </w:tc>
        <w:tc>
          <w:tcPr>
            <w:tcW w:w="1219" w:type="dxa"/>
            <w:tcBorders>
              <w:tl2br w:val="nil"/>
              <w:tr2bl w:val="nil"/>
            </w:tcBorders>
            <w:noWrap w:val="0"/>
            <w:vAlign w:val="center"/>
          </w:tcPr>
          <w:p w14:paraId="060AA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CODcr</w:t>
            </w:r>
          </w:p>
        </w:tc>
        <w:tc>
          <w:tcPr>
            <w:tcW w:w="1219" w:type="dxa"/>
            <w:tcBorders>
              <w:tl2br w:val="nil"/>
              <w:tr2bl w:val="nil"/>
            </w:tcBorders>
            <w:noWrap w:val="0"/>
            <w:vAlign w:val="center"/>
          </w:tcPr>
          <w:p w14:paraId="75BE1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BOD</w:t>
            </w:r>
            <w:r>
              <w:rPr>
                <w:rFonts w:hint="eastAsia"/>
                <w:highlight w:val="none"/>
                <w:vertAlign w:val="subscript"/>
                <w:lang w:val="en-US" w:eastAsia="zh-CN"/>
              </w:rPr>
              <w:t>5</w:t>
            </w:r>
          </w:p>
        </w:tc>
        <w:tc>
          <w:tcPr>
            <w:tcW w:w="1219" w:type="dxa"/>
            <w:tcBorders>
              <w:tl2br w:val="nil"/>
              <w:tr2bl w:val="nil"/>
            </w:tcBorders>
            <w:noWrap w:val="0"/>
            <w:vAlign w:val="center"/>
          </w:tcPr>
          <w:p w14:paraId="7EB406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SS</w:t>
            </w:r>
          </w:p>
        </w:tc>
        <w:tc>
          <w:tcPr>
            <w:tcW w:w="1220" w:type="dxa"/>
            <w:tcBorders>
              <w:tl2br w:val="nil"/>
              <w:tr2bl w:val="nil"/>
            </w:tcBorders>
            <w:noWrap w:val="0"/>
            <w:vAlign w:val="center"/>
          </w:tcPr>
          <w:p w14:paraId="454F4A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TN</w:t>
            </w:r>
          </w:p>
        </w:tc>
        <w:tc>
          <w:tcPr>
            <w:tcW w:w="1220" w:type="dxa"/>
            <w:tcBorders>
              <w:tl2br w:val="nil"/>
              <w:tr2bl w:val="nil"/>
            </w:tcBorders>
            <w:noWrap w:val="0"/>
            <w:vAlign w:val="center"/>
          </w:tcPr>
          <w:p w14:paraId="22627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NH</w:t>
            </w:r>
            <w:r>
              <w:rPr>
                <w:rFonts w:hint="eastAsia"/>
                <w:highlight w:val="none"/>
                <w:vertAlign w:val="subscript"/>
                <w:lang w:val="en-US" w:eastAsia="zh-CN"/>
              </w:rPr>
              <w:t>3</w:t>
            </w:r>
            <w:r>
              <w:rPr>
                <w:rFonts w:hint="eastAsia"/>
                <w:highlight w:val="none"/>
                <w:vertAlign w:val="baseline"/>
                <w:lang w:val="en-US" w:eastAsia="zh-CN"/>
              </w:rPr>
              <w:t>-N</w:t>
            </w:r>
          </w:p>
        </w:tc>
        <w:tc>
          <w:tcPr>
            <w:tcW w:w="1220" w:type="dxa"/>
            <w:tcBorders>
              <w:tl2br w:val="nil"/>
              <w:tr2bl w:val="nil"/>
            </w:tcBorders>
            <w:noWrap w:val="0"/>
            <w:vAlign w:val="center"/>
          </w:tcPr>
          <w:p w14:paraId="7C146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TP</w:t>
            </w:r>
          </w:p>
        </w:tc>
      </w:tr>
      <w:tr w14:paraId="29D41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219" w:type="dxa"/>
            <w:tcBorders>
              <w:tl2br w:val="nil"/>
              <w:tr2bl w:val="nil"/>
            </w:tcBorders>
            <w:noWrap w:val="0"/>
            <w:vAlign w:val="center"/>
          </w:tcPr>
          <w:p w14:paraId="5CCC89D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highlight w:val="none"/>
                <w:vertAlign w:val="baseline"/>
                <w:lang w:val="en-US" w:eastAsia="zh-CN"/>
              </w:rPr>
            </w:pPr>
            <w:r>
              <w:rPr>
                <w:rFonts w:hint="eastAsia"/>
                <w:highlight w:val="none"/>
                <w:vertAlign w:val="baseline"/>
                <w:lang w:val="en-US" w:eastAsia="zh-CN"/>
              </w:rPr>
              <w:t>进水水质</w:t>
            </w:r>
          </w:p>
        </w:tc>
        <w:tc>
          <w:tcPr>
            <w:tcW w:w="1219" w:type="dxa"/>
            <w:tcBorders>
              <w:tl2br w:val="nil"/>
              <w:tr2bl w:val="nil"/>
            </w:tcBorders>
            <w:noWrap w:val="0"/>
            <w:vAlign w:val="center"/>
          </w:tcPr>
          <w:p w14:paraId="29664E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260</w:t>
            </w:r>
          </w:p>
        </w:tc>
        <w:tc>
          <w:tcPr>
            <w:tcW w:w="1219" w:type="dxa"/>
            <w:tcBorders>
              <w:tl2br w:val="nil"/>
              <w:tr2bl w:val="nil"/>
            </w:tcBorders>
            <w:noWrap w:val="0"/>
            <w:vAlign w:val="center"/>
          </w:tcPr>
          <w:p w14:paraId="6BF53E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130</w:t>
            </w:r>
          </w:p>
        </w:tc>
        <w:tc>
          <w:tcPr>
            <w:tcW w:w="1219" w:type="dxa"/>
            <w:tcBorders>
              <w:tl2br w:val="nil"/>
              <w:tr2bl w:val="nil"/>
            </w:tcBorders>
            <w:noWrap w:val="0"/>
            <w:vAlign w:val="center"/>
          </w:tcPr>
          <w:p w14:paraId="66F4E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180</w:t>
            </w:r>
          </w:p>
        </w:tc>
        <w:tc>
          <w:tcPr>
            <w:tcW w:w="1220" w:type="dxa"/>
            <w:tcBorders>
              <w:tl2br w:val="nil"/>
              <w:tr2bl w:val="nil"/>
            </w:tcBorders>
            <w:noWrap w:val="0"/>
            <w:vAlign w:val="center"/>
          </w:tcPr>
          <w:p w14:paraId="75345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35</w:t>
            </w:r>
          </w:p>
        </w:tc>
        <w:tc>
          <w:tcPr>
            <w:tcW w:w="1220" w:type="dxa"/>
            <w:tcBorders>
              <w:tl2br w:val="nil"/>
              <w:tr2bl w:val="nil"/>
            </w:tcBorders>
            <w:noWrap w:val="0"/>
            <w:vAlign w:val="center"/>
          </w:tcPr>
          <w:p w14:paraId="05BE0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25</w:t>
            </w:r>
          </w:p>
        </w:tc>
        <w:tc>
          <w:tcPr>
            <w:tcW w:w="1220" w:type="dxa"/>
            <w:tcBorders>
              <w:tl2br w:val="nil"/>
              <w:tr2bl w:val="nil"/>
            </w:tcBorders>
            <w:noWrap w:val="0"/>
            <w:vAlign w:val="center"/>
          </w:tcPr>
          <w:p w14:paraId="7CFAE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w:t>
            </w:r>
          </w:p>
        </w:tc>
      </w:tr>
    </w:tbl>
    <w:p w14:paraId="5BE83D7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（2）设计出水水质</w:t>
      </w:r>
    </w:p>
    <w:p w14:paraId="6C96826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sz w:val="24"/>
          <w:szCs w:val="24"/>
          <w:highlight w:val="none"/>
          <w:lang w:val="en-US" w:eastAsia="zh-CN"/>
        </w:rPr>
        <w:t>根据关于《南岳区城镇污水收集处理及配套设施建设项目（厂区部分）环境影响报告表》的批复（衡阳市生态环境局，岳环发（2023）3号），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本入河排污口</w:t>
      </w:r>
      <w:r>
        <w:rPr>
          <w:rFonts w:hint="eastAsia" w:cs="Times New Roman"/>
          <w:color w:val="000000" w:themeColor="text1"/>
          <w:sz w:val="24"/>
          <w:szCs w:val="24"/>
          <w:highlight w:val="none"/>
          <w:u w:val="none"/>
          <w:lang w:val="en-US" w:eastAsia="zh-CN"/>
          <w14:textFill>
            <w14:solidFill>
              <w14:schemeClr w14:val="tx1"/>
            </w14:solidFill>
          </w14:textFill>
        </w:rPr>
        <w:t>尾水</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水质按《湖南省城镇污水处理厂主要水污染物排放标准》（</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DB43/T1546-2018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）一级标准执行，主要指标具体如下：</w:t>
      </w:r>
    </w:p>
    <w:p w14:paraId="161312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000000"/>
          <w:highlight w:val="none"/>
          <w:lang w:val="en-US" w:eastAsia="zh-CN"/>
        </w:rPr>
      </w:pPr>
      <w:r>
        <w:rPr>
          <w:rFonts w:hint="eastAsia"/>
          <w:b/>
          <w:bCs/>
          <w:color w:val="000000"/>
          <w:highlight w:val="none"/>
          <w:lang w:val="en-US" w:eastAsia="zh-CN"/>
        </w:rPr>
        <w:t>表2.6-2 南岳区污水厂设计出水水质（单位：mg/L）</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19"/>
        <w:gridCol w:w="1219"/>
        <w:gridCol w:w="1219"/>
        <w:gridCol w:w="1220"/>
        <w:gridCol w:w="1220"/>
        <w:gridCol w:w="1220"/>
      </w:tblGrid>
      <w:tr w14:paraId="690B2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219" w:type="dxa"/>
            <w:tcBorders>
              <w:tl2br w:val="nil"/>
              <w:tr2bl w:val="nil"/>
            </w:tcBorders>
            <w:noWrap w:val="0"/>
            <w:vAlign w:val="center"/>
          </w:tcPr>
          <w:p w14:paraId="3ED42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项目</w:t>
            </w:r>
          </w:p>
        </w:tc>
        <w:tc>
          <w:tcPr>
            <w:tcW w:w="1219" w:type="dxa"/>
            <w:tcBorders>
              <w:tl2br w:val="nil"/>
              <w:tr2bl w:val="nil"/>
            </w:tcBorders>
            <w:noWrap w:val="0"/>
            <w:vAlign w:val="center"/>
          </w:tcPr>
          <w:p w14:paraId="5AFCE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CODcr</w:t>
            </w:r>
          </w:p>
        </w:tc>
        <w:tc>
          <w:tcPr>
            <w:tcW w:w="1219" w:type="dxa"/>
            <w:tcBorders>
              <w:tl2br w:val="nil"/>
              <w:tr2bl w:val="nil"/>
            </w:tcBorders>
            <w:noWrap w:val="0"/>
            <w:vAlign w:val="center"/>
          </w:tcPr>
          <w:p w14:paraId="43D5A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BOD</w:t>
            </w:r>
            <w:r>
              <w:rPr>
                <w:rFonts w:hint="eastAsia"/>
                <w:highlight w:val="none"/>
                <w:vertAlign w:val="subscript"/>
                <w:lang w:val="en-US" w:eastAsia="zh-CN"/>
              </w:rPr>
              <w:t>5</w:t>
            </w:r>
          </w:p>
        </w:tc>
        <w:tc>
          <w:tcPr>
            <w:tcW w:w="1219" w:type="dxa"/>
            <w:tcBorders>
              <w:tl2br w:val="nil"/>
              <w:tr2bl w:val="nil"/>
            </w:tcBorders>
            <w:noWrap w:val="0"/>
            <w:vAlign w:val="center"/>
          </w:tcPr>
          <w:p w14:paraId="2BBD31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SS</w:t>
            </w:r>
          </w:p>
        </w:tc>
        <w:tc>
          <w:tcPr>
            <w:tcW w:w="1220" w:type="dxa"/>
            <w:tcBorders>
              <w:tl2br w:val="nil"/>
              <w:tr2bl w:val="nil"/>
            </w:tcBorders>
            <w:noWrap w:val="0"/>
            <w:vAlign w:val="center"/>
          </w:tcPr>
          <w:p w14:paraId="371454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TN</w:t>
            </w:r>
          </w:p>
        </w:tc>
        <w:tc>
          <w:tcPr>
            <w:tcW w:w="1220" w:type="dxa"/>
            <w:tcBorders>
              <w:tl2br w:val="nil"/>
              <w:tr2bl w:val="nil"/>
            </w:tcBorders>
            <w:noWrap w:val="0"/>
            <w:vAlign w:val="center"/>
          </w:tcPr>
          <w:p w14:paraId="34746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NH</w:t>
            </w:r>
            <w:r>
              <w:rPr>
                <w:rFonts w:hint="eastAsia"/>
                <w:highlight w:val="none"/>
                <w:vertAlign w:val="subscript"/>
                <w:lang w:val="en-US" w:eastAsia="zh-CN"/>
              </w:rPr>
              <w:t>3</w:t>
            </w:r>
            <w:r>
              <w:rPr>
                <w:rFonts w:hint="eastAsia"/>
                <w:highlight w:val="none"/>
                <w:vertAlign w:val="baseline"/>
                <w:lang w:val="en-US" w:eastAsia="zh-CN"/>
              </w:rPr>
              <w:t>-N</w:t>
            </w:r>
          </w:p>
        </w:tc>
        <w:tc>
          <w:tcPr>
            <w:tcW w:w="1220" w:type="dxa"/>
            <w:tcBorders>
              <w:tl2br w:val="nil"/>
              <w:tr2bl w:val="nil"/>
            </w:tcBorders>
            <w:noWrap w:val="0"/>
            <w:vAlign w:val="center"/>
          </w:tcPr>
          <w:p w14:paraId="6F6343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TP</w:t>
            </w:r>
          </w:p>
        </w:tc>
      </w:tr>
      <w:tr w14:paraId="07535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219" w:type="dxa"/>
            <w:tcBorders>
              <w:tl2br w:val="nil"/>
              <w:tr2bl w:val="nil"/>
            </w:tcBorders>
            <w:noWrap w:val="0"/>
            <w:vAlign w:val="center"/>
          </w:tcPr>
          <w:p w14:paraId="2B38B8F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highlight w:val="none"/>
                <w:vertAlign w:val="baseline"/>
                <w:lang w:val="en-US" w:eastAsia="zh-CN"/>
              </w:rPr>
            </w:pPr>
            <w:r>
              <w:rPr>
                <w:rFonts w:hint="eastAsia"/>
                <w:highlight w:val="none"/>
                <w:vertAlign w:val="baseline"/>
                <w:lang w:val="en-US" w:eastAsia="zh-CN"/>
              </w:rPr>
              <w:t>出水水质</w:t>
            </w:r>
          </w:p>
        </w:tc>
        <w:tc>
          <w:tcPr>
            <w:tcW w:w="1219" w:type="dxa"/>
            <w:tcBorders>
              <w:tl2br w:val="nil"/>
              <w:tr2bl w:val="nil"/>
            </w:tcBorders>
            <w:noWrap w:val="0"/>
            <w:vAlign w:val="center"/>
          </w:tcPr>
          <w:p w14:paraId="5FC014F0">
            <w:pPr>
              <w:adjustRightInd/>
              <w:snapToGrid/>
              <w:ind w:firstLine="0" w:firstLineChars="0"/>
              <w:jc w:val="center"/>
              <w:rPr>
                <w:rFonts w:hint="default"/>
                <w:highlight w:val="none"/>
                <w:vertAlign w:val="baseline"/>
                <w:lang w:val="en-US" w:eastAsia="zh-CN"/>
              </w:rPr>
            </w:pPr>
            <w:r>
              <w:rPr>
                <w:spacing w:val="0"/>
                <w:sz w:val="21"/>
                <w:szCs w:val="21"/>
                <w:highlight w:val="none"/>
              </w:rPr>
              <w:t>≤30</w:t>
            </w:r>
          </w:p>
        </w:tc>
        <w:tc>
          <w:tcPr>
            <w:tcW w:w="1219" w:type="dxa"/>
            <w:tcBorders>
              <w:tl2br w:val="nil"/>
              <w:tr2bl w:val="nil"/>
            </w:tcBorders>
            <w:noWrap w:val="0"/>
            <w:vAlign w:val="center"/>
          </w:tcPr>
          <w:p w14:paraId="7EB6C3F0">
            <w:pPr>
              <w:adjustRightInd/>
              <w:snapToGrid/>
              <w:ind w:firstLine="0" w:firstLineChars="0"/>
              <w:jc w:val="center"/>
              <w:rPr>
                <w:rFonts w:hint="default"/>
                <w:highlight w:val="none"/>
                <w:vertAlign w:val="baseline"/>
                <w:lang w:val="en-US" w:eastAsia="zh-CN"/>
              </w:rPr>
            </w:pPr>
            <w:r>
              <w:rPr>
                <w:spacing w:val="0"/>
                <w:sz w:val="21"/>
                <w:szCs w:val="21"/>
                <w:highlight w:val="none"/>
              </w:rPr>
              <w:t>≤10</w:t>
            </w:r>
          </w:p>
        </w:tc>
        <w:tc>
          <w:tcPr>
            <w:tcW w:w="1219" w:type="dxa"/>
            <w:tcBorders>
              <w:tl2br w:val="nil"/>
              <w:tr2bl w:val="nil"/>
            </w:tcBorders>
            <w:noWrap w:val="0"/>
            <w:vAlign w:val="center"/>
          </w:tcPr>
          <w:p w14:paraId="09F17587">
            <w:pPr>
              <w:adjustRightInd/>
              <w:snapToGrid/>
              <w:ind w:firstLine="0" w:firstLineChars="0"/>
              <w:jc w:val="center"/>
              <w:rPr>
                <w:rFonts w:hint="default"/>
                <w:highlight w:val="none"/>
                <w:vertAlign w:val="baseline"/>
                <w:lang w:val="en-US" w:eastAsia="zh-CN"/>
              </w:rPr>
            </w:pPr>
            <w:r>
              <w:rPr>
                <w:spacing w:val="0"/>
                <w:sz w:val="21"/>
                <w:szCs w:val="21"/>
                <w:highlight w:val="none"/>
              </w:rPr>
              <w:t>≤</w:t>
            </w:r>
            <w:r>
              <w:rPr>
                <w:rFonts w:hint="default"/>
                <w:spacing w:val="0"/>
                <w:sz w:val="21"/>
                <w:szCs w:val="21"/>
                <w:highlight w:val="none"/>
              </w:rPr>
              <w:t>10</w:t>
            </w:r>
          </w:p>
        </w:tc>
        <w:tc>
          <w:tcPr>
            <w:tcW w:w="1220" w:type="dxa"/>
            <w:tcBorders>
              <w:tl2br w:val="nil"/>
              <w:tr2bl w:val="nil"/>
            </w:tcBorders>
            <w:noWrap w:val="0"/>
            <w:vAlign w:val="center"/>
          </w:tcPr>
          <w:p w14:paraId="0C6464F9">
            <w:pPr>
              <w:adjustRightInd/>
              <w:snapToGrid/>
              <w:ind w:firstLine="0" w:firstLineChars="0"/>
              <w:jc w:val="center"/>
              <w:rPr>
                <w:rFonts w:hint="default"/>
                <w:highlight w:val="none"/>
                <w:vertAlign w:val="baseline"/>
                <w:lang w:val="en-US" w:eastAsia="zh-CN"/>
              </w:rPr>
            </w:pPr>
            <w:r>
              <w:rPr>
                <w:spacing w:val="0"/>
                <w:sz w:val="21"/>
                <w:szCs w:val="21"/>
                <w:highlight w:val="none"/>
              </w:rPr>
              <w:t>≤10</w:t>
            </w:r>
          </w:p>
        </w:tc>
        <w:tc>
          <w:tcPr>
            <w:tcW w:w="1220" w:type="dxa"/>
            <w:tcBorders>
              <w:tl2br w:val="nil"/>
              <w:tr2bl w:val="nil"/>
            </w:tcBorders>
            <w:noWrap w:val="0"/>
            <w:vAlign w:val="center"/>
          </w:tcPr>
          <w:p w14:paraId="7E7B7E02">
            <w:pPr>
              <w:adjustRightInd/>
              <w:snapToGrid/>
              <w:ind w:firstLine="0" w:firstLineChars="0"/>
              <w:jc w:val="center"/>
              <w:rPr>
                <w:rFonts w:hint="default"/>
                <w:highlight w:val="none"/>
                <w:vertAlign w:val="baseline"/>
                <w:lang w:val="en-US" w:eastAsia="zh-CN"/>
              </w:rPr>
            </w:pPr>
            <w:r>
              <w:rPr>
                <w:spacing w:val="0"/>
                <w:sz w:val="21"/>
                <w:szCs w:val="21"/>
                <w:highlight w:val="none"/>
              </w:rPr>
              <w:t>≤1.5（3）</w:t>
            </w:r>
          </w:p>
        </w:tc>
        <w:tc>
          <w:tcPr>
            <w:tcW w:w="1220" w:type="dxa"/>
            <w:tcBorders>
              <w:tl2br w:val="nil"/>
              <w:tr2bl w:val="nil"/>
            </w:tcBorders>
            <w:noWrap w:val="0"/>
            <w:vAlign w:val="center"/>
          </w:tcPr>
          <w:p w14:paraId="4CB6E303">
            <w:pPr>
              <w:adjustRightInd/>
              <w:snapToGrid/>
              <w:ind w:firstLine="0" w:firstLineChars="0"/>
              <w:jc w:val="center"/>
              <w:rPr>
                <w:rFonts w:hint="default"/>
                <w:highlight w:val="none"/>
                <w:vertAlign w:val="baseline"/>
                <w:lang w:val="en-US" w:eastAsia="zh-CN"/>
              </w:rPr>
            </w:pPr>
            <w:r>
              <w:rPr>
                <w:spacing w:val="0"/>
                <w:sz w:val="21"/>
                <w:szCs w:val="21"/>
                <w:highlight w:val="none"/>
              </w:rPr>
              <w:t>≤0.3</w:t>
            </w:r>
          </w:p>
        </w:tc>
      </w:tr>
    </w:tbl>
    <w:p w14:paraId="7EA50E57">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注：表中括号外数据为水温＞</w:t>
      </w:r>
      <w:r>
        <w:rPr>
          <w:rFonts w:hint="default" w:ascii="Times New Roman" w:hAnsi="Times New Roman" w:eastAsia="宋体" w:cs="Times New Roman"/>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val="en-US" w:eastAsia="zh-CN" w:bidi="ar"/>
        </w:rPr>
        <w:t>℃时的控制指标，括号内数据为水温</w:t>
      </w:r>
      <w:r>
        <w:rPr>
          <w:rFonts w:hint="default" w:ascii="Times New Roman" w:hAnsi="Times New Roman" w:eastAsia="宋体" w:cs="Times New Roman"/>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val="en-US" w:eastAsia="zh-CN" w:bidi="ar"/>
        </w:rPr>
        <w:t>℃时的控制指标。</w:t>
      </w:r>
    </w:p>
    <w:p w14:paraId="561BDC87">
      <w:pPr>
        <w:pStyle w:val="6"/>
        <w:rPr>
          <w:rFonts w:hint="default"/>
          <w:highlight w:val="none"/>
          <w:lang w:val="en-US" w:eastAsia="zh-CN"/>
        </w:rPr>
      </w:pPr>
      <w:r>
        <w:rPr>
          <w:rFonts w:hint="eastAsia"/>
          <w:highlight w:val="none"/>
          <w:lang w:val="en-US" w:eastAsia="zh-CN"/>
        </w:rPr>
        <w:t>2.2.7 厂区总</w:t>
      </w:r>
      <w:r>
        <w:rPr>
          <w:rFonts w:hint="default"/>
          <w:highlight w:val="none"/>
          <w:lang w:val="en-US" w:eastAsia="zh-CN"/>
        </w:rPr>
        <w:t>平面布置</w:t>
      </w:r>
    </w:p>
    <w:p w14:paraId="16532349">
      <w:pPr>
        <w:pStyle w:val="59"/>
        <w:ind w:firstLine="480"/>
        <w:rPr>
          <w:rFonts w:hint="default" w:eastAsia="宋体"/>
          <w:highlight w:val="none"/>
          <w:lang w:val="en-US" w:eastAsia="zh-CN"/>
        </w:rPr>
      </w:pPr>
      <w:r>
        <w:rPr>
          <w:rFonts w:hint="eastAsia"/>
          <w:highlight w:val="none"/>
          <w:lang w:val="en-US" w:eastAsia="zh-CN"/>
        </w:rPr>
        <w:t>南岳区污水处理厂主要可分为生产区和厂前区：</w:t>
      </w:r>
    </w:p>
    <w:p w14:paraId="47DBAB5C">
      <w:pPr>
        <w:pStyle w:val="59"/>
        <w:ind w:firstLine="480"/>
        <w:rPr>
          <w:highlight w:val="none"/>
        </w:rPr>
      </w:pPr>
      <w:r>
        <w:rPr>
          <w:highlight w:val="none"/>
        </w:rPr>
        <w:t>厂前区主要为综合楼（含办公、化验、宿舍、食堂）。生产区与厂前区之间设置绿化隔离带，以植树为主，广植草皮，保证厂前区良好的生态环境空间。</w:t>
      </w:r>
    </w:p>
    <w:p w14:paraId="4B38F069">
      <w:pPr>
        <w:pStyle w:val="59"/>
        <w:ind w:firstLine="480"/>
        <w:rPr>
          <w:rFonts w:hint="eastAsia" w:eastAsia="宋体"/>
          <w:color w:val="000000" w:themeColor="text1"/>
          <w:highlight w:val="none"/>
          <w:u w:val="none"/>
          <w:lang w:val="en-US" w:eastAsia="zh-CN"/>
          <w14:textFill>
            <w14:solidFill>
              <w14:schemeClr w14:val="tx1"/>
            </w14:solidFill>
          </w14:textFill>
        </w:rPr>
      </w:pPr>
      <w:r>
        <w:rPr>
          <w:color w:val="000000" w:themeColor="text1"/>
          <w:highlight w:val="none"/>
          <w:u w:val="none"/>
          <w14:textFill>
            <w14:solidFill>
              <w14:schemeClr w14:val="tx1"/>
            </w14:solidFill>
          </w14:textFill>
        </w:rPr>
        <w:t>生产区</w:t>
      </w:r>
      <w:r>
        <w:rPr>
          <w:rFonts w:hint="eastAsia"/>
          <w:color w:val="000000" w:themeColor="text1"/>
          <w:highlight w:val="none"/>
          <w:u w:val="none"/>
          <w:lang w:val="en-US" w:eastAsia="zh-CN"/>
          <w14:textFill>
            <w14:solidFill>
              <w14:schemeClr w14:val="tx1"/>
            </w14:solidFill>
          </w14:textFill>
        </w:rPr>
        <w:t>主要内容</w:t>
      </w:r>
      <w:r>
        <w:rPr>
          <w:color w:val="000000" w:themeColor="text1"/>
          <w:highlight w:val="none"/>
          <w:u w:val="none"/>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其中一</w:t>
      </w:r>
      <w:r>
        <w:rPr>
          <w:color w:val="000000" w:themeColor="text1"/>
          <w:highlight w:val="none"/>
          <w:u w:val="none"/>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二期主要包括</w:t>
      </w:r>
      <w:r>
        <w:rPr>
          <w:color w:val="000000" w:themeColor="text1"/>
          <w:highlight w:val="none"/>
          <w:u w:val="none"/>
          <w14:textFill>
            <w14:solidFill>
              <w14:schemeClr w14:val="tx1"/>
            </w14:solidFill>
          </w14:textFill>
        </w:rPr>
        <w:t>粗格栅及提升泵站、</w:t>
      </w:r>
      <w:r>
        <w:rPr>
          <w:rFonts w:hint="eastAsia"/>
          <w:b w:val="0"/>
          <w:color w:val="000000" w:themeColor="text1"/>
          <w:highlight w:val="none"/>
          <w:u w:val="none"/>
          <w14:textFill>
            <w14:solidFill>
              <w14:schemeClr w14:val="tx1"/>
            </w14:solidFill>
          </w14:textFill>
        </w:rPr>
        <w:t>细格栅及旋流沉砂池</w:t>
      </w:r>
      <w:r>
        <w:rPr>
          <w:color w:val="000000" w:themeColor="text1"/>
          <w:highlight w:val="none"/>
          <w:u w:val="none"/>
          <w14:textFill>
            <w14:solidFill>
              <w14:schemeClr w14:val="tx1"/>
            </w14:solidFill>
          </w14:textFill>
        </w:rPr>
        <w:t>、二沉池、</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改良型氧化沟</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生物池</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变配电间</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污泥泵房</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污泥脱水加药间</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污泥深度脱水间</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中间提升泵站及精密滤池</w:t>
      </w:r>
      <w:r>
        <w:rPr>
          <w:color w:val="000000" w:themeColor="text1"/>
          <w:highlight w:val="none"/>
          <w:u w:val="none"/>
          <w14:textFill>
            <w14:solidFill>
              <w14:schemeClr w14:val="tx1"/>
            </w14:solidFill>
          </w14:textFill>
        </w:rPr>
        <w:t>、</w:t>
      </w:r>
      <w:r>
        <w:rPr>
          <w:rFonts w:hint="eastAsia"/>
          <w:b w:val="0"/>
          <w:color w:val="000000" w:themeColor="text1"/>
          <w:highlight w:val="none"/>
          <w:u w:val="none"/>
          <w14:textFill>
            <w14:solidFill>
              <w14:schemeClr w14:val="tx1"/>
            </w14:solidFill>
          </w14:textFill>
        </w:rPr>
        <w:t>接触消毒池</w:t>
      </w:r>
      <w:r>
        <w:rPr>
          <w:rFonts w:hint="eastAsia"/>
          <w:b w:val="0"/>
          <w:color w:val="000000" w:themeColor="text1"/>
          <w:highlight w:val="none"/>
          <w:u w:val="none"/>
          <w:lang w:val="en-US" w:eastAsia="zh-CN"/>
          <w14:textFill>
            <w14:solidFill>
              <w14:schemeClr w14:val="tx1"/>
            </w14:solidFill>
          </w14:textFill>
        </w:rPr>
        <w:t>等；</w:t>
      </w:r>
      <w:r>
        <w:rPr>
          <w:rFonts w:hint="eastAsia"/>
          <w:color w:val="000000" w:themeColor="text1"/>
          <w:highlight w:val="none"/>
          <w:u w:val="none"/>
          <w:lang w:val="en-US" w:eastAsia="zh-CN"/>
          <w14:textFill>
            <w14:solidFill>
              <w14:schemeClr w14:val="tx1"/>
            </w14:solidFill>
          </w14:textFill>
        </w:rPr>
        <w:t>三期工程主要包括扩建1座</w:t>
      </w:r>
      <w:r>
        <w:rPr>
          <w:color w:val="000000" w:themeColor="text1"/>
          <w:highlight w:val="none"/>
          <w:u w:val="none"/>
          <w14:textFill>
            <w14:solidFill>
              <w14:schemeClr w14:val="tx1"/>
            </w14:solidFill>
          </w14:textFill>
        </w:rPr>
        <w:t>粗格栅及提升泵站、</w:t>
      </w:r>
      <w:r>
        <w:rPr>
          <w:rFonts w:hint="eastAsia"/>
          <w:b w:val="0"/>
          <w:color w:val="000000" w:themeColor="text1"/>
          <w:highlight w:val="none"/>
          <w:u w:val="none"/>
          <w14:textFill>
            <w14:solidFill>
              <w14:schemeClr w14:val="tx1"/>
            </w14:solidFill>
          </w14:textFill>
        </w:rPr>
        <w:t>细格栅及旋流沉砂池</w:t>
      </w:r>
      <w:r>
        <w:rPr>
          <w:color w:val="000000" w:themeColor="text1"/>
          <w:highlight w:val="none"/>
          <w:u w:val="none"/>
          <w14:textFill>
            <w14:solidFill>
              <w14:schemeClr w14:val="tx1"/>
            </w14:solidFill>
          </w14:textFill>
        </w:rPr>
        <w:t>、A</w:t>
      </w:r>
      <w:r>
        <w:rPr>
          <w:rFonts w:hint="eastAsia"/>
          <w:color w:val="000000" w:themeColor="text1"/>
          <w:highlight w:val="none"/>
          <w:u w:val="none"/>
          <w:vertAlign w:val="superscript"/>
          <w:lang w:val="en-US" w:eastAsia="zh-CN"/>
          <w14:textFill>
            <w14:solidFill>
              <w14:schemeClr w14:val="tx1"/>
            </w14:solidFill>
          </w14:textFill>
        </w:rPr>
        <w:t>2</w:t>
      </w:r>
      <w:r>
        <w:rPr>
          <w:color w:val="000000" w:themeColor="text1"/>
          <w:highlight w:val="none"/>
          <w:u w:val="none"/>
          <w14:textFill>
            <w14:solidFill>
              <w14:schemeClr w14:val="tx1"/>
            </w14:solidFill>
          </w14:textFill>
        </w:rPr>
        <w:t>O</w:t>
      </w:r>
      <w:r>
        <w:rPr>
          <w:rFonts w:hint="eastAsia"/>
          <w:color w:val="000000" w:themeColor="text1"/>
          <w:highlight w:val="none"/>
          <w:u w:val="none"/>
          <w:lang w:val="en-US" w:eastAsia="zh-CN"/>
          <w14:textFill>
            <w14:solidFill>
              <w14:schemeClr w14:val="tx1"/>
            </w14:solidFill>
          </w14:textFill>
        </w:rPr>
        <w:t>生化</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池</w:t>
      </w:r>
      <w:r>
        <w:rPr>
          <w:color w:val="000000" w:themeColor="text1"/>
          <w:highlight w:val="none"/>
          <w:u w:val="none"/>
          <w14:textFill>
            <w14:solidFill>
              <w14:schemeClr w14:val="tx1"/>
            </w14:solidFill>
          </w14:textFill>
        </w:rPr>
        <w:t>、二沉池、高效沉淀池、反硝化深床滤池</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停用一二期</w:t>
      </w:r>
      <w:r>
        <w:rPr>
          <w:rFonts w:hint="eastAsia"/>
          <w:b w:val="0"/>
          <w:color w:val="000000" w:themeColor="text1"/>
          <w:highlight w:val="none"/>
          <w:u w:val="none"/>
          <w14:textFill>
            <w14:solidFill>
              <w14:schemeClr w14:val="tx1"/>
            </w14:solidFill>
          </w14:textFill>
        </w:rPr>
        <w:t>中间提升泵站及精密滤池</w:t>
      </w:r>
      <w:r>
        <w:rPr>
          <w:rFonts w:hint="eastAsia"/>
          <w:color w:val="000000" w:themeColor="text1"/>
          <w:highlight w:val="none"/>
          <w:u w:val="none"/>
          <w:lang w:eastAsia="zh-CN"/>
          <w14:textFill>
            <w14:solidFill>
              <w14:schemeClr w14:val="tx1"/>
            </w14:solidFill>
          </w14:textFill>
        </w:rPr>
        <w:t>）</w:t>
      </w:r>
      <w:r>
        <w:rPr>
          <w:color w:val="000000" w:themeColor="text1"/>
          <w:highlight w:val="none"/>
          <w:u w:val="none"/>
          <w14:textFill>
            <w14:solidFill>
              <w14:schemeClr w14:val="tx1"/>
            </w14:solidFill>
          </w14:textFill>
        </w:rPr>
        <w:t>、</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紫外消毒池（</w:t>
      </w:r>
      <w:r>
        <w:rPr>
          <w:rFonts w:hint="eastAsia"/>
          <w:color w:val="000000" w:themeColor="text1"/>
          <w:highlight w:val="none"/>
          <w:u w:val="none"/>
          <w:lang w:val="en-US" w:eastAsia="zh-CN"/>
          <w14:textFill>
            <w14:solidFill>
              <w14:schemeClr w14:val="tx1"/>
            </w14:solidFill>
          </w14:textFill>
        </w:rPr>
        <w:t>停用一二期</w:t>
      </w:r>
      <w:r>
        <w:rPr>
          <w:rFonts w:hint="eastAsia"/>
          <w:b w:val="0"/>
          <w:color w:val="000000" w:themeColor="text1"/>
          <w:highlight w:val="none"/>
          <w:u w:val="none"/>
          <w14:textFill>
            <w14:solidFill>
              <w14:schemeClr w14:val="tx1"/>
            </w14:solidFill>
          </w14:textFill>
        </w:rPr>
        <w:t>接触消毒池</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rFonts w:hint="eastAsia"/>
          <w:b w:val="0"/>
          <w:color w:val="000000" w:themeColor="text1"/>
          <w:highlight w:val="none"/>
          <w:u w:val="none"/>
          <w14:textFill>
            <w14:solidFill>
              <w14:schemeClr w14:val="tx1"/>
            </w14:solidFill>
          </w14:textFill>
        </w:rPr>
        <w:t>污泥泵房</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改建</w:t>
      </w:r>
      <w:r>
        <w:rPr>
          <w:rFonts w:hint="eastAsia"/>
          <w:b w:val="0"/>
          <w:color w:val="000000" w:themeColor="text1"/>
          <w:highlight w:val="none"/>
          <w:u w:val="none"/>
          <w14:textFill>
            <w14:solidFill>
              <w14:schemeClr w14:val="tx1"/>
            </w14:solidFill>
          </w14:textFill>
        </w:rPr>
        <w:t>变配电间</w:t>
      </w:r>
      <w:r>
        <w:rPr>
          <w:rFonts w:hint="eastAsia"/>
          <w:b w:val="0"/>
          <w:color w:val="000000" w:themeColor="text1"/>
          <w:highlight w:val="none"/>
          <w:u w:val="none"/>
          <w:lang w:val="en-US" w:eastAsia="zh-CN"/>
          <w14:textFill>
            <w14:solidFill>
              <w14:schemeClr w14:val="tx1"/>
            </w14:solidFill>
          </w14:textFill>
        </w:rPr>
        <w:t>及鼓风机房等。</w:t>
      </w:r>
    </w:p>
    <w:p w14:paraId="16479836">
      <w:pPr>
        <w:pStyle w:val="59"/>
        <w:ind w:firstLine="480"/>
        <w:rPr>
          <w:rFonts w:hint="default"/>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生产区按工艺流程布设，三期扩建部分由西往东顺序布置粗格栅及提升泵站、</w:t>
      </w:r>
      <w:r>
        <w:rPr>
          <w:rFonts w:hint="eastAsia"/>
          <w:b w:val="0"/>
          <w:color w:val="000000" w:themeColor="text1"/>
          <w:highlight w:val="none"/>
          <w:u w:val="none"/>
          <w14:textFill>
            <w14:solidFill>
              <w14:schemeClr w14:val="tx1"/>
            </w14:solidFill>
          </w14:textFill>
        </w:rPr>
        <w:t>细格栅及旋流沉砂池</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r>
        <w:rPr>
          <w:color w:val="000000" w:themeColor="text1"/>
          <w:highlight w:val="none"/>
          <w:u w:val="none"/>
          <w14:textFill>
            <w14:solidFill>
              <w14:schemeClr w14:val="tx1"/>
            </w14:solidFill>
          </w14:textFill>
        </w:rPr>
        <w:t>A</w:t>
      </w:r>
      <w:r>
        <w:rPr>
          <w:rFonts w:hint="eastAsia"/>
          <w:color w:val="000000" w:themeColor="text1"/>
          <w:highlight w:val="none"/>
          <w:u w:val="none"/>
          <w:vertAlign w:val="superscript"/>
          <w:lang w:val="en-US" w:eastAsia="zh-CN"/>
          <w14:textFill>
            <w14:solidFill>
              <w14:schemeClr w14:val="tx1"/>
            </w14:solidFill>
          </w14:textFill>
        </w:rPr>
        <w:t>2</w:t>
      </w:r>
      <w:r>
        <w:rPr>
          <w:color w:val="000000" w:themeColor="text1"/>
          <w:highlight w:val="none"/>
          <w:u w:val="none"/>
          <w14:textFill>
            <w14:solidFill>
              <w14:schemeClr w14:val="tx1"/>
            </w14:solidFill>
          </w14:textFill>
        </w:rPr>
        <w:t>O</w:t>
      </w:r>
      <w:r>
        <w:rPr>
          <w:rFonts w:hint="eastAsia"/>
          <w:color w:val="000000" w:themeColor="text1"/>
          <w:highlight w:val="none"/>
          <w:u w:val="none"/>
          <w:lang w:val="en-US" w:eastAsia="zh-CN"/>
          <w14:textFill>
            <w14:solidFill>
              <w14:schemeClr w14:val="tx1"/>
            </w14:solidFill>
          </w14:textFill>
        </w:rPr>
        <w:t>生化</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池、鼓风机房及配电间、污泥泵站、二沉池、高效沉淀池、反硝化深床滤池、紫外消毒池、一期、二期在三期南面对称布置，中轴区域为粗格栅间及提升泵站、细格栅间及旋流沉砂池，改良型氧化沟和二沉池对称布置。一、二期二沉池出水经中间提升泵站至高效沉淀池、反硝化深床滤池、紫外消毒池再排出。</w:t>
      </w:r>
    </w:p>
    <w:p w14:paraId="3D4A9EDD">
      <w:pPr>
        <w:pStyle w:val="32"/>
        <w:rPr>
          <w:rFonts w:hint="default"/>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032A796B">
      <w:pPr>
        <w:pStyle w:val="5"/>
        <w:numPr>
          <w:ilvl w:val="0"/>
          <w:numId w:val="0"/>
        </w:numPr>
        <w:bidi w:val="0"/>
        <w:ind w:leftChars="0"/>
        <w:jc w:val="center"/>
        <w:outlineLvl w:val="0"/>
        <w:rPr>
          <w:rStyle w:val="35"/>
          <w:rFonts w:hint="default" w:ascii="Times New Roman" w:hAnsi="Times New Roman" w:eastAsia="宋体" w:cs="Times New Roman"/>
          <w:b/>
          <w:highlight w:val="none"/>
          <w:lang w:val="en-US" w:eastAsia="zh-CN"/>
        </w:rPr>
      </w:pPr>
      <w:bookmarkStart w:id="67" w:name="_Toc18311"/>
      <w:r>
        <w:rPr>
          <w:rStyle w:val="35"/>
          <w:rFonts w:hint="eastAsia" w:ascii="Times New Roman" w:hAnsi="Times New Roman" w:eastAsia="宋体" w:cs="Times New Roman"/>
          <w:b/>
          <w:highlight w:val="none"/>
          <w:lang w:val="en-US" w:eastAsia="zh-CN"/>
        </w:rPr>
        <w:t>第三章  项目所在区域概况</w:t>
      </w:r>
      <w:bookmarkEnd w:id="67"/>
    </w:p>
    <w:p w14:paraId="11574099">
      <w:pPr>
        <w:pStyle w:val="5"/>
        <w:numPr>
          <w:ilvl w:val="0"/>
          <w:numId w:val="0"/>
        </w:numPr>
        <w:bidi w:val="0"/>
        <w:ind w:left="0" w:leftChars="0" w:firstLine="0" w:firstLineChars="0"/>
        <w:rPr>
          <w:rFonts w:hint="eastAsia"/>
          <w:highlight w:val="none"/>
          <w:lang w:val="en-US" w:eastAsia="zh-CN"/>
        </w:rPr>
      </w:pPr>
      <w:bookmarkStart w:id="68" w:name="_Toc23779"/>
      <w:r>
        <w:rPr>
          <w:rFonts w:hint="eastAsia"/>
          <w:highlight w:val="none"/>
          <w:lang w:val="en-US" w:eastAsia="zh-CN"/>
        </w:rPr>
        <w:t>3</w:t>
      </w:r>
      <w:r>
        <w:rPr>
          <w:rFonts w:hint="default"/>
          <w:highlight w:val="none"/>
          <w:lang w:val="en-US" w:eastAsia="zh-CN"/>
        </w:rPr>
        <w:t>.</w:t>
      </w:r>
      <w:r>
        <w:rPr>
          <w:rFonts w:hint="eastAsia"/>
          <w:highlight w:val="none"/>
          <w:lang w:val="en-US" w:eastAsia="zh-CN"/>
        </w:rPr>
        <w:t xml:space="preserve">1 </w:t>
      </w:r>
      <w:r>
        <w:rPr>
          <w:rFonts w:hint="default"/>
          <w:highlight w:val="none"/>
          <w:lang w:val="en-US" w:eastAsia="en-US"/>
        </w:rPr>
        <w:t>自然环境</w:t>
      </w:r>
      <w:r>
        <w:rPr>
          <w:rFonts w:hint="eastAsia"/>
          <w:highlight w:val="none"/>
          <w:lang w:val="en-US" w:eastAsia="zh-CN"/>
        </w:rPr>
        <w:t>概况</w:t>
      </w:r>
      <w:bookmarkEnd w:id="68"/>
    </w:p>
    <w:p w14:paraId="7B75E49A">
      <w:pPr>
        <w:pStyle w:val="6"/>
        <w:bidi w:val="0"/>
        <w:rPr>
          <w:rFonts w:hint="default"/>
          <w:highlight w:val="none"/>
          <w:lang w:val="en-US" w:eastAsia="zh-CN"/>
        </w:rPr>
      </w:pPr>
      <w:r>
        <w:rPr>
          <w:rFonts w:hint="eastAsia"/>
          <w:highlight w:val="none"/>
          <w:lang w:val="en-US" w:eastAsia="zh-CN"/>
        </w:rPr>
        <w:t>3.1.1 地理位置</w:t>
      </w:r>
    </w:p>
    <w:p w14:paraId="12F14A7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南岳区位于湖南省中部偏东南，地处湘江之西北的湘中丘陵山区，衡阳市区之北侧，地处东经</w:t>
      </w:r>
      <w:r>
        <w:rPr>
          <w:rFonts w:hint="default" w:ascii="Times New Roman" w:hAnsi="Times New Roman" w:eastAsia="宋体" w:cs="Times New Roman"/>
          <w:color w:val="000000"/>
          <w:kern w:val="0"/>
          <w:sz w:val="24"/>
          <w:szCs w:val="24"/>
          <w:highlight w:val="none"/>
          <w:lang w:val="en-US" w:eastAsia="zh-CN" w:bidi="ar"/>
        </w:rPr>
        <w:t>112°33′44″</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112°46′34″</w:t>
      </w:r>
      <w:r>
        <w:rPr>
          <w:rFonts w:hint="eastAsia" w:ascii="宋体" w:hAnsi="宋体" w:eastAsia="宋体" w:cs="宋体"/>
          <w:color w:val="000000"/>
          <w:kern w:val="0"/>
          <w:sz w:val="24"/>
          <w:szCs w:val="24"/>
          <w:highlight w:val="none"/>
          <w:lang w:val="en-US" w:eastAsia="zh-CN" w:bidi="ar"/>
        </w:rPr>
        <w:t>，北纬</w:t>
      </w:r>
      <w:r>
        <w:rPr>
          <w:rFonts w:hint="default" w:ascii="Times New Roman" w:hAnsi="Times New Roman" w:eastAsia="宋体" w:cs="Times New Roman"/>
          <w:color w:val="000000"/>
          <w:kern w:val="0"/>
          <w:sz w:val="24"/>
          <w:szCs w:val="24"/>
          <w:highlight w:val="none"/>
          <w:lang w:val="en-US" w:eastAsia="zh-CN" w:bidi="ar"/>
        </w:rPr>
        <w:t>27°11′29″～27°20′5″</w:t>
      </w:r>
      <w:r>
        <w:rPr>
          <w:rFonts w:hint="eastAsia" w:ascii="宋体" w:hAnsi="宋体" w:eastAsia="宋体" w:cs="宋体"/>
          <w:color w:val="000000"/>
          <w:kern w:val="0"/>
          <w:sz w:val="24"/>
          <w:szCs w:val="24"/>
          <w:highlight w:val="none"/>
          <w:lang w:val="en-US" w:eastAsia="zh-CN" w:bidi="ar"/>
        </w:rPr>
        <w:t>之间。全区总面积</w:t>
      </w:r>
      <w:r>
        <w:rPr>
          <w:rFonts w:hint="default" w:ascii="Times New Roman" w:hAnsi="Times New Roman" w:eastAsia="宋体" w:cs="Times New Roman"/>
          <w:color w:val="000000"/>
          <w:kern w:val="0"/>
          <w:sz w:val="24"/>
          <w:szCs w:val="24"/>
          <w:highlight w:val="none"/>
          <w:lang w:val="en-US" w:eastAsia="zh-CN" w:bidi="ar"/>
        </w:rPr>
        <w:t>181.5</w:t>
      </w:r>
      <w:r>
        <w:rPr>
          <w:rFonts w:hint="eastAsia" w:ascii="宋体" w:hAnsi="宋体" w:eastAsia="宋体" w:cs="宋体"/>
          <w:color w:val="000000"/>
          <w:kern w:val="0"/>
          <w:sz w:val="24"/>
          <w:szCs w:val="24"/>
          <w:highlight w:val="none"/>
          <w:lang w:val="en-US" w:eastAsia="zh-CN" w:bidi="ar"/>
        </w:rPr>
        <w:t>平方公里；区境东西长</w:t>
      </w:r>
      <w:r>
        <w:rPr>
          <w:rFonts w:hint="default" w:ascii="Times New Roman" w:hAnsi="Times New Roman" w:eastAsia="宋体" w:cs="Times New Roman"/>
          <w:color w:val="000000"/>
          <w:kern w:val="0"/>
          <w:sz w:val="24"/>
          <w:szCs w:val="24"/>
          <w:highlight w:val="none"/>
          <w:lang w:val="en-US" w:eastAsia="zh-CN" w:bidi="ar"/>
        </w:rPr>
        <w:t>15.60</w:t>
      </w:r>
      <w:r>
        <w:rPr>
          <w:rFonts w:hint="eastAsia" w:ascii="宋体" w:hAnsi="宋体" w:eastAsia="宋体" w:cs="宋体"/>
          <w:color w:val="000000"/>
          <w:kern w:val="0"/>
          <w:sz w:val="24"/>
          <w:szCs w:val="24"/>
          <w:highlight w:val="none"/>
          <w:lang w:val="en-US" w:eastAsia="zh-CN" w:bidi="ar"/>
        </w:rPr>
        <w:t>公里，南北宽</w:t>
      </w:r>
      <w:r>
        <w:rPr>
          <w:rFonts w:hint="default" w:ascii="Times New Roman" w:hAnsi="Times New Roman" w:eastAsia="宋体" w:cs="Times New Roman"/>
          <w:color w:val="000000"/>
          <w:kern w:val="0"/>
          <w:sz w:val="24"/>
          <w:szCs w:val="24"/>
          <w:highlight w:val="none"/>
          <w:lang w:val="en-US" w:eastAsia="zh-CN" w:bidi="ar"/>
        </w:rPr>
        <w:t>10.05</w:t>
      </w:r>
      <w:r>
        <w:rPr>
          <w:rFonts w:hint="eastAsia" w:ascii="宋体" w:hAnsi="宋体" w:eastAsia="宋体" w:cs="宋体"/>
          <w:color w:val="000000"/>
          <w:kern w:val="0"/>
          <w:sz w:val="24"/>
          <w:szCs w:val="24"/>
          <w:highlight w:val="none"/>
          <w:lang w:val="en-US" w:eastAsia="zh-CN" w:bidi="ar"/>
        </w:rPr>
        <w:t>公里；以南岳古镇为中心，北、东、南三面被衡山县环绕，西面与衡阳县界牌镇毗邻。北距省会长沙</w:t>
      </w:r>
      <w:r>
        <w:rPr>
          <w:rFonts w:hint="default" w:ascii="Times New Roman" w:hAnsi="Times New Roman" w:eastAsia="宋体" w:cs="Times New Roman"/>
          <w:color w:val="000000"/>
          <w:kern w:val="0"/>
          <w:sz w:val="24"/>
          <w:szCs w:val="24"/>
          <w:highlight w:val="none"/>
          <w:lang w:val="en-US" w:eastAsia="zh-CN" w:bidi="ar"/>
        </w:rPr>
        <w:t>136km</w:t>
      </w:r>
      <w:r>
        <w:rPr>
          <w:rFonts w:hint="eastAsia" w:ascii="宋体" w:hAnsi="宋体" w:eastAsia="宋体" w:cs="宋体"/>
          <w:color w:val="000000"/>
          <w:kern w:val="0"/>
          <w:sz w:val="24"/>
          <w:szCs w:val="24"/>
          <w:highlight w:val="none"/>
          <w:lang w:val="en-US" w:eastAsia="zh-CN" w:bidi="ar"/>
        </w:rPr>
        <w:t>，南距衡阳市区</w:t>
      </w:r>
      <w:r>
        <w:rPr>
          <w:rFonts w:hint="default" w:ascii="Times New Roman" w:hAnsi="Times New Roman" w:eastAsia="宋体" w:cs="Times New Roman"/>
          <w:color w:val="000000"/>
          <w:kern w:val="0"/>
          <w:sz w:val="24"/>
          <w:szCs w:val="24"/>
          <w:highlight w:val="none"/>
          <w:lang w:val="en-US" w:eastAsia="zh-CN" w:bidi="ar"/>
        </w:rPr>
        <w:t>50km</w:t>
      </w:r>
      <w:r>
        <w:rPr>
          <w:rFonts w:hint="eastAsia" w:ascii="宋体" w:hAnsi="宋体" w:eastAsia="宋体" w:cs="宋体"/>
          <w:color w:val="000000"/>
          <w:kern w:val="0"/>
          <w:sz w:val="24"/>
          <w:szCs w:val="24"/>
          <w:highlight w:val="none"/>
          <w:lang w:val="en-US" w:eastAsia="zh-CN" w:bidi="ar"/>
        </w:rPr>
        <w:t>，东距衡山县城</w:t>
      </w:r>
      <w:r>
        <w:rPr>
          <w:rFonts w:hint="default" w:ascii="Times New Roman" w:hAnsi="Times New Roman" w:eastAsia="宋体" w:cs="Times New Roman"/>
          <w:color w:val="000000"/>
          <w:kern w:val="0"/>
          <w:sz w:val="24"/>
          <w:szCs w:val="24"/>
          <w:highlight w:val="none"/>
          <w:lang w:val="en-US" w:eastAsia="zh-CN" w:bidi="ar"/>
        </w:rPr>
        <w:t>15km</w:t>
      </w:r>
      <w:r>
        <w:rPr>
          <w:rFonts w:hint="eastAsia" w:ascii="宋体" w:hAnsi="宋体" w:eastAsia="宋体" w:cs="宋体"/>
          <w:color w:val="000000"/>
          <w:kern w:val="0"/>
          <w:sz w:val="24"/>
          <w:szCs w:val="24"/>
          <w:highlight w:val="none"/>
          <w:lang w:val="en-US" w:eastAsia="zh-CN" w:bidi="ar"/>
        </w:rPr>
        <w:t>，西距邵阳市区</w:t>
      </w:r>
      <w:r>
        <w:rPr>
          <w:rFonts w:hint="default" w:ascii="Times New Roman" w:hAnsi="Times New Roman" w:eastAsia="宋体" w:cs="Times New Roman"/>
          <w:color w:val="000000"/>
          <w:kern w:val="0"/>
          <w:sz w:val="24"/>
          <w:szCs w:val="24"/>
          <w:highlight w:val="none"/>
          <w:lang w:val="en-US" w:eastAsia="zh-CN" w:bidi="ar"/>
        </w:rPr>
        <w:t>170km</w:t>
      </w:r>
      <w:r>
        <w:rPr>
          <w:rFonts w:hint="eastAsia" w:ascii="宋体" w:hAnsi="宋体" w:eastAsia="宋体" w:cs="宋体"/>
          <w:color w:val="000000"/>
          <w:kern w:val="0"/>
          <w:sz w:val="24"/>
          <w:szCs w:val="24"/>
          <w:highlight w:val="none"/>
          <w:lang w:val="en-US" w:eastAsia="zh-CN" w:bidi="ar"/>
        </w:rPr>
        <w:t>。紧邻京广铁路、京珠高速，</w:t>
      </w:r>
      <w:r>
        <w:rPr>
          <w:rFonts w:hint="default" w:ascii="Times New Roman" w:hAnsi="Times New Roman" w:eastAsia="宋体" w:cs="Times New Roman"/>
          <w:color w:val="000000"/>
          <w:kern w:val="0"/>
          <w:sz w:val="24"/>
          <w:szCs w:val="24"/>
          <w:highlight w:val="none"/>
          <w:lang w:val="en-US" w:eastAsia="zh-CN" w:bidi="ar"/>
        </w:rPr>
        <w:t>107</w:t>
      </w:r>
      <w:r>
        <w:rPr>
          <w:rFonts w:hint="eastAsia" w:ascii="宋体" w:hAnsi="宋体" w:eastAsia="宋体" w:cs="宋体"/>
          <w:color w:val="000000"/>
          <w:kern w:val="0"/>
          <w:sz w:val="24"/>
          <w:szCs w:val="24"/>
          <w:highlight w:val="none"/>
          <w:lang w:val="en-US" w:eastAsia="zh-CN" w:bidi="ar"/>
        </w:rPr>
        <w:t>国道、武广高铁、南岳高速公路、潭衡西高速公路东湖连接线皆穿境而过，交通极为便捷。</w:t>
      </w:r>
    </w:p>
    <w:p w14:paraId="222A3F6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南岳全区土地总面积</w:t>
      </w:r>
      <w:r>
        <w:rPr>
          <w:rFonts w:hint="default" w:ascii="Times New Roman" w:hAnsi="Times New Roman" w:eastAsia="宋体" w:cs="Times New Roman"/>
          <w:color w:val="000000"/>
          <w:kern w:val="0"/>
          <w:sz w:val="24"/>
          <w:szCs w:val="24"/>
          <w:highlight w:val="none"/>
          <w:lang w:val="en-US" w:eastAsia="zh-CN" w:bidi="ar"/>
        </w:rPr>
        <w:t>181.5km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，其中中心景区面积达</w:t>
      </w:r>
      <w:r>
        <w:rPr>
          <w:rFonts w:hint="default" w:ascii="Times New Roman" w:hAnsi="Times New Roman" w:eastAsia="宋体" w:cs="Times New Roman"/>
          <w:color w:val="000000"/>
          <w:kern w:val="0"/>
          <w:sz w:val="24"/>
          <w:szCs w:val="24"/>
          <w:highlight w:val="none"/>
          <w:lang w:val="en-US" w:eastAsia="zh-CN" w:bidi="ar"/>
        </w:rPr>
        <w:t>100.7km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（一级保护区</w:t>
      </w:r>
      <w:r>
        <w:rPr>
          <w:rFonts w:hint="default" w:ascii="Times New Roman" w:hAnsi="Times New Roman" w:eastAsia="宋体" w:cs="Times New Roman"/>
          <w:color w:val="000000"/>
          <w:kern w:val="0"/>
          <w:sz w:val="24"/>
          <w:szCs w:val="24"/>
          <w:highlight w:val="none"/>
          <w:lang w:val="en-US" w:eastAsia="zh-CN" w:bidi="ar"/>
        </w:rPr>
        <w:t>48.5km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，二级保护区</w:t>
      </w:r>
      <w:r>
        <w:rPr>
          <w:rFonts w:hint="default" w:ascii="Times New Roman" w:hAnsi="Times New Roman" w:eastAsia="宋体" w:cs="Times New Roman"/>
          <w:color w:val="000000"/>
          <w:kern w:val="0"/>
          <w:sz w:val="24"/>
          <w:szCs w:val="24"/>
          <w:highlight w:val="none"/>
          <w:lang w:val="en-US" w:eastAsia="zh-CN" w:bidi="ar"/>
        </w:rPr>
        <w:t>52.2km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）。南岳区为湖南省最小的县级行政区，仅占全省总面积的</w:t>
      </w:r>
      <w:r>
        <w:rPr>
          <w:rFonts w:hint="default" w:ascii="Times New Roman" w:hAnsi="Times New Roman" w:eastAsia="宋体" w:cs="Times New Roman"/>
          <w:color w:val="000000"/>
          <w:kern w:val="0"/>
          <w:sz w:val="24"/>
          <w:szCs w:val="24"/>
          <w:highlight w:val="none"/>
          <w:lang w:val="en-US" w:eastAsia="zh-CN" w:bidi="ar"/>
        </w:rPr>
        <w:t>0.085%</w:t>
      </w:r>
      <w:r>
        <w:rPr>
          <w:rFonts w:hint="eastAsia" w:ascii="宋体" w:hAnsi="宋体" w:eastAsia="宋体" w:cs="宋体"/>
          <w:color w:val="000000"/>
          <w:kern w:val="0"/>
          <w:sz w:val="24"/>
          <w:szCs w:val="24"/>
          <w:highlight w:val="none"/>
          <w:lang w:val="en-US" w:eastAsia="zh-CN" w:bidi="ar"/>
        </w:rPr>
        <w:t>，占全市总面积的</w:t>
      </w:r>
      <w:r>
        <w:rPr>
          <w:rFonts w:hint="default" w:ascii="Times New Roman" w:hAnsi="Times New Roman" w:eastAsia="宋体" w:cs="Times New Roman"/>
          <w:color w:val="000000"/>
          <w:kern w:val="0"/>
          <w:sz w:val="24"/>
          <w:szCs w:val="24"/>
          <w:highlight w:val="none"/>
          <w:lang w:val="en-US" w:eastAsia="zh-CN" w:bidi="ar"/>
        </w:rPr>
        <w:t>1.188%</w:t>
      </w:r>
      <w:r>
        <w:rPr>
          <w:rFonts w:hint="eastAsia" w:ascii="宋体" w:hAnsi="宋体" w:eastAsia="宋体" w:cs="宋体"/>
          <w:color w:val="000000"/>
          <w:kern w:val="0"/>
          <w:sz w:val="24"/>
          <w:szCs w:val="24"/>
          <w:highlight w:val="none"/>
          <w:lang w:val="en-US" w:eastAsia="zh-CN" w:bidi="ar"/>
        </w:rPr>
        <w:t>。南岳城市规划区面积</w:t>
      </w:r>
      <w:r>
        <w:rPr>
          <w:rFonts w:hint="default" w:ascii="Times New Roman" w:hAnsi="Times New Roman" w:eastAsia="宋体" w:cs="Times New Roman"/>
          <w:color w:val="000000"/>
          <w:kern w:val="0"/>
          <w:sz w:val="24"/>
          <w:szCs w:val="24"/>
          <w:highlight w:val="none"/>
          <w:lang w:val="en-US" w:eastAsia="zh-CN" w:bidi="ar"/>
        </w:rPr>
        <w:t>40km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，市区建成面积</w:t>
      </w:r>
      <w:r>
        <w:rPr>
          <w:rFonts w:hint="default" w:ascii="Times New Roman" w:hAnsi="Times New Roman" w:eastAsia="宋体" w:cs="Times New Roman"/>
          <w:color w:val="000000"/>
          <w:kern w:val="0"/>
          <w:sz w:val="24"/>
          <w:szCs w:val="24"/>
          <w:highlight w:val="none"/>
          <w:lang w:val="en-US" w:eastAsia="zh-CN" w:bidi="ar"/>
        </w:rPr>
        <w:t>6km</w:t>
      </w:r>
      <w:r>
        <w:rPr>
          <w:rFonts w:hint="eastAsia"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。南岳区呈北、东、西三面环山的马蹄形。南北走向的南岳衡山</w:t>
      </w:r>
      <w:r>
        <w:rPr>
          <w:rFonts w:hint="default" w:ascii="Times New Roman" w:hAnsi="Times New Roman" w:eastAsia="宋体" w:cs="Times New Roman"/>
          <w:color w:val="000000"/>
          <w:kern w:val="0"/>
          <w:sz w:val="24"/>
          <w:szCs w:val="24"/>
          <w:highlight w:val="none"/>
          <w:lang w:val="en-US" w:eastAsia="zh-CN" w:bidi="ar"/>
        </w:rPr>
        <w:t>72</w:t>
      </w:r>
      <w:r>
        <w:rPr>
          <w:rFonts w:hint="eastAsia" w:ascii="宋体" w:hAnsi="宋体" w:eastAsia="宋体" w:cs="宋体"/>
          <w:color w:val="000000"/>
          <w:kern w:val="0"/>
          <w:sz w:val="24"/>
          <w:szCs w:val="24"/>
          <w:highlight w:val="none"/>
          <w:lang w:val="en-US" w:eastAsia="zh-CN" w:bidi="ar"/>
        </w:rPr>
        <w:t>峰穿境而过，其中</w:t>
      </w:r>
      <w:r>
        <w:rPr>
          <w:rFonts w:hint="default" w:ascii="Times New Roman" w:hAnsi="Times New Roman" w:eastAsia="宋体" w:cs="Times New Roman"/>
          <w:color w:val="000000"/>
          <w:kern w:val="0"/>
          <w:sz w:val="24"/>
          <w:szCs w:val="24"/>
          <w:highlight w:val="none"/>
          <w:lang w:val="en-US" w:eastAsia="zh-CN" w:bidi="ar"/>
        </w:rPr>
        <w:t>43</w:t>
      </w:r>
      <w:r>
        <w:rPr>
          <w:rFonts w:hint="eastAsia" w:ascii="宋体" w:hAnsi="宋体" w:eastAsia="宋体" w:cs="宋体"/>
          <w:color w:val="000000"/>
          <w:kern w:val="0"/>
          <w:sz w:val="24"/>
          <w:szCs w:val="24"/>
          <w:highlight w:val="none"/>
          <w:lang w:val="en-US" w:eastAsia="zh-CN" w:bidi="ar"/>
        </w:rPr>
        <w:t>峰坐落于南岳境内，境内西、北部山高林密，主要旅游景区分布其间，东、南部丘陵起伏。</w:t>
      </w:r>
    </w:p>
    <w:p w14:paraId="22ACA2D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衡阳市</w:t>
      </w:r>
      <w:r>
        <w:rPr>
          <w:rFonts w:hint="default" w:ascii="Times New Roman" w:hAnsi="Times New Roman" w:eastAsia="宋体" w:cs="Times New Roman"/>
          <w:sz w:val="24"/>
          <w:szCs w:val="24"/>
          <w:highlight w:val="none"/>
          <w:lang w:val="en-US" w:eastAsia="zh-CN"/>
        </w:rPr>
        <w:t>南岳污水处理厂位于南岳区</w:t>
      </w:r>
      <w:r>
        <w:rPr>
          <w:rFonts w:hint="eastAsia" w:ascii="Times New Roman" w:hAnsi="Times New Roman" w:eastAsia="宋体" w:cs="Times New Roman"/>
          <w:sz w:val="24"/>
          <w:szCs w:val="24"/>
          <w:highlight w:val="none"/>
          <w:lang w:val="en-US" w:eastAsia="zh-CN"/>
        </w:rPr>
        <w:t>南岳镇</w:t>
      </w:r>
      <w:r>
        <w:rPr>
          <w:rFonts w:hint="default" w:ascii="Times New Roman" w:hAnsi="Times New Roman" w:eastAsia="宋体" w:cs="Times New Roman"/>
          <w:sz w:val="24"/>
          <w:szCs w:val="24"/>
          <w:highlight w:val="none"/>
          <w:lang w:val="en-US" w:eastAsia="zh-CN"/>
        </w:rPr>
        <w:t>红星村老屋组，</w:t>
      </w:r>
      <w:r>
        <w:rPr>
          <w:rFonts w:hint="eastAsia" w:ascii="Times New Roman" w:hAnsi="Times New Roman" w:eastAsia="宋体" w:cs="Times New Roman"/>
          <w:sz w:val="24"/>
          <w:szCs w:val="24"/>
          <w:highlight w:val="none"/>
          <w:lang w:val="en-US" w:eastAsia="zh-CN"/>
        </w:rPr>
        <w:t>不涉及南岳区景区，</w:t>
      </w:r>
      <w:r>
        <w:rPr>
          <w:rFonts w:hint="default" w:ascii="Times New Roman" w:hAnsi="Times New Roman" w:eastAsia="宋体" w:cs="Times New Roman"/>
          <w:sz w:val="24"/>
          <w:szCs w:val="24"/>
          <w:highlight w:val="none"/>
          <w:lang w:val="en-US" w:eastAsia="zh-CN"/>
        </w:rPr>
        <w:t>中心地理坐标为东经111°45′9.41421″，北纬27°13′15.94469″</w:t>
      </w:r>
      <w:r>
        <w:rPr>
          <w:rFonts w:hint="eastAsia" w:ascii="Times New Roman" w:hAnsi="Times New Roman" w:eastAsia="宋体" w:cs="Times New Roman"/>
          <w:sz w:val="24"/>
          <w:szCs w:val="24"/>
          <w:highlight w:val="none"/>
          <w:lang w:val="en-US" w:eastAsia="zh-CN"/>
        </w:rPr>
        <w:t>。本入河排污口</w:t>
      </w:r>
      <w:r>
        <w:rPr>
          <w:rFonts w:hint="eastAsia" w:cs="Times New Roman"/>
          <w:sz w:val="24"/>
          <w:szCs w:val="24"/>
          <w:highlight w:val="none"/>
          <w:lang w:val="en-US" w:eastAsia="zh-CN"/>
        </w:rPr>
        <w:t>设置</w:t>
      </w:r>
      <w:r>
        <w:rPr>
          <w:rFonts w:hint="eastAsia" w:ascii="Times New Roman" w:hAnsi="Times New Roman" w:eastAsia="宋体" w:cs="Times New Roman"/>
          <w:sz w:val="24"/>
          <w:szCs w:val="24"/>
          <w:highlight w:val="none"/>
          <w:lang w:val="en-US" w:eastAsia="zh-CN"/>
        </w:rPr>
        <w:t>于</w:t>
      </w:r>
      <w:r>
        <w:rPr>
          <w:rFonts w:hint="default" w:ascii="Times New Roman" w:hAnsi="Times New Roman" w:eastAsia="宋体" w:cs="Times New Roman"/>
          <w:sz w:val="24"/>
          <w:szCs w:val="24"/>
          <w:highlight w:val="none"/>
          <w:lang w:val="en-US" w:eastAsia="zh-CN"/>
        </w:rPr>
        <w:t>南岳区</w:t>
      </w:r>
      <w:r>
        <w:rPr>
          <w:rFonts w:hint="eastAsia" w:ascii="Times New Roman" w:hAnsi="Times New Roman" w:eastAsia="宋体" w:cs="Times New Roman"/>
          <w:sz w:val="24"/>
          <w:szCs w:val="24"/>
          <w:highlight w:val="none"/>
          <w:lang w:val="en-US" w:eastAsia="zh-CN"/>
        </w:rPr>
        <w:t>南岳镇</w:t>
      </w:r>
      <w:r>
        <w:rPr>
          <w:rFonts w:hint="default" w:ascii="Times New Roman" w:hAnsi="Times New Roman" w:eastAsia="宋体" w:cs="Times New Roman"/>
          <w:sz w:val="24"/>
          <w:szCs w:val="24"/>
          <w:highlight w:val="none"/>
          <w:lang w:val="en-US" w:eastAsia="zh-CN"/>
        </w:rPr>
        <w:t>红星村老屋组</w:t>
      </w:r>
      <w:r>
        <w:rPr>
          <w:rFonts w:hint="eastAsia" w:ascii="Times New Roman" w:hAnsi="Times New Roman" w:eastAsia="宋体" w:cs="Times New Roman"/>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南岳区龙荫港左岸</w:t>
      </w:r>
      <w:r>
        <w:rPr>
          <w:rFonts w:hint="eastAsia" w:ascii="Times New Roman" w:hAnsi="Times New Roman" w:eastAsia="宋体" w:cs="Times New Roman"/>
          <w:sz w:val="24"/>
          <w:szCs w:val="24"/>
          <w:highlight w:val="none"/>
          <w:lang w:val="en-US" w:eastAsia="zh-CN"/>
        </w:rPr>
        <w:t>），具体地理坐标为东经</w:t>
      </w:r>
      <w:r>
        <w:rPr>
          <w:rFonts w:hint="default" w:ascii="Times New Roman" w:hAnsi="Times New Roman" w:eastAsia="宋体" w:cs="Times New Roman"/>
          <w:sz w:val="24"/>
          <w:szCs w:val="24"/>
          <w:highlight w:val="none"/>
          <w:lang w:val="en-US" w:eastAsia="zh-CN"/>
        </w:rPr>
        <w:t>112°45′8.53308″</w:t>
      </w:r>
      <w:r>
        <w:rPr>
          <w:rFonts w:hint="eastAsia" w:ascii="Times New Roman" w:hAnsi="Times New Roman" w:eastAsia="宋体" w:cs="Times New Roman"/>
          <w:sz w:val="24"/>
          <w:szCs w:val="24"/>
          <w:highlight w:val="none"/>
          <w:lang w:val="en-US" w:eastAsia="zh-CN"/>
        </w:rPr>
        <w:t>，北纬</w:t>
      </w:r>
      <w:r>
        <w:rPr>
          <w:rFonts w:hint="default" w:ascii="Times New Roman" w:hAnsi="Times New Roman" w:eastAsia="宋体" w:cs="Times New Roman"/>
          <w:sz w:val="24"/>
          <w:szCs w:val="24"/>
          <w:highlight w:val="none"/>
          <w:lang w:val="en-US" w:eastAsia="zh-CN"/>
        </w:rPr>
        <w:t>27°13′</w:t>
      </w:r>
      <w:r>
        <w:rPr>
          <w:rFonts w:hint="eastAsia" w:ascii="Times New Roman" w:hAnsi="Times New Roman" w:eastAsia="宋体" w:cs="Times New Roman"/>
          <w:sz w:val="24"/>
          <w:szCs w:val="24"/>
          <w:highlight w:val="none"/>
          <w:lang w:val="en-US" w:eastAsia="zh-CN"/>
        </w:rPr>
        <w:t>12.36000</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w:t>
      </w:r>
    </w:p>
    <w:p w14:paraId="3EE22681">
      <w:pPr>
        <w:pStyle w:val="6"/>
        <w:bidi w:val="0"/>
        <w:rPr>
          <w:rFonts w:hint="default"/>
          <w:highlight w:val="none"/>
          <w:lang w:val="en-US" w:eastAsia="zh-CN"/>
        </w:rPr>
      </w:pPr>
      <w:r>
        <w:rPr>
          <w:rFonts w:hint="eastAsia"/>
          <w:highlight w:val="none"/>
          <w:lang w:val="en-US" w:eastAsia="zh-CN"/>
        </w:rPr>
        <w:t>3.1.2 地形地貌</w:t>
      </w:r>
    </w:p>
    <w:p w14:paraId="5EF64AB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南岳衡山是湘南丘陵衡邵盆地中的一座孤山，山体连绵起伏，系以花岗岩断块组成的峰林状的垒形中山地貌。最低海拔</w:t>
      </w:r>
      <w:r>
        <w:rPr>
          <w:rFonts w:hint="default" w:ascii="Times New Roman" w:hAnsi="Times New Roman" w:eastAsia="宋体" w:cs="Times New Roman"/>
          <w:color w:val="000000"/>
          <w:kern w:val="0"/>
          <w:sz w:val="24"/>
          <w:szCs w:val="24"/>
          <w:highlight w:val="none"/>
          <w:lang w:val="en-US" w:eastAsia="zh-CN" w:bidi="ar"/>
        </w:rPr>
        <w:t>80m</w:t>
      </w:r>
      <w:r>
        <w:rPr>
          <w:rFonts w:hint="eastAsia" w:ascii="宋体" w:hAnsi="宋体" w:eastAsia="宋体" w:cs="宋体"/>
          <w:color w:val="000000"/>
          <w:kern w:val="0"/>
          <w:sz w:val="24"/>
          <w:szCs w:val="24"/>
          <w:highlight w:val="none"/>
          <w:lang w:val="en-US" w:eastAsia="zh-CN" w:bidi="ar"/>
        </w:rPr>
        <w:t>（南岳镇荆田村境内），最高海拔</w:t>
      </w:r>
      <w:r>
        <w:rPr>
          <w:rFonts w:hint="default" w:ascii="Times New Roman" w:hAnsi="Times New Roman" w:eastAsia="宋体" w:cs="Times New Roman"/>
          <w:color w:val="000000"/>
          <w:kern w:val="0"/>
          <w:sz w:val="24"/>
          <w:szCs w:val="24"/>
          <w:highlight w:val="none"/>
          <w:lang w:val="en-US" w:eastAsia="zh-CN" w:bidi="ar"/>
        </w:rPr>
        <w:t>1300.2m</w:t>
      </w:r>
      <w:r>
        <w:rPr>
          <w:rFonts w:hint="eastAsia" w:ascii="宋体" w:hAnsi="宋体" w:eastAsia="宋体" w:cs="宋体"/>
          <w:color w:val="000000"/>
          <w:kern w:val="0"/>
          <w:sz w:val="24"/>
          <w:szCs w:val="24"/>
          <w:highlight w:val="none"/>
          <w:lang w:val="en-US" w:eastAsia="zh-CN" w:bidi="ar"/>
        </w:rPr>
        <w:t>（即主峰祝融峰），为衡阳市境内最高点。山脉呈北东～西南走向，由东北向西南倾斜。坡度多在</w:t>
      </w:r>
      <w:r>
        <w:rPr>
          <w:rFonts w:hint="default" w:ascii="Times New Roman" w:hAnsi="Times New Roman" w:eastAsia="宋体" w:cs="Times New Roman"/>
          <w:color w:val="000000"/>
          <w:kern w:val="0"/>
          <w:sz w:val="24"/>
          <w:szCs w:val="24"/>
          <w:highlight w:val="none"/>
          <w:lang w:val="en-US" w:eastAsia="zh-CN" w:bidi="ar"/>
        </w:rPr>
        <w:t>30°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40°</w:t>
      </w:r>
      <w:r>
        <w:rPr>
          <w:rFonts w:hint="eastAsia" w:ascii="宋体" w:hAnsi="宋体" w:eastAsia="宋体" w:cs="宋体"/>
          <w:color w:val="000000"/>
          <w:kern w:val="0"/>
          <w:sz w:val="24"/>
          <w:szCs w:val="24"/>
          <w:highlight w:val="none"/>
          <w:lang w:val="en-US" w:eastAsia="zh-CN" w:bidi="ar"/>
        </w:rPr>
        <w:t>，南端边缘悬崖地带坡度最大可达</w:t>
      </w:r>
      <w:r>
        <w:rPr>
          <w:rFonts w:hint="default" w:ascii="Times New Roman" w:hAnsi="Times New Roman" w:eastAsia="宋体" w:cs="Times New Roman"/>
          <w:color w:val="000000"/>
          <w:kern w:val="0"/>
          <w:sz w:val="24"/>
          <w:szCs w:val="24"/>
          <w:highlight w:val="none"/>
          <w:lang w:val="en-US" w:eastAsia="zh-CN" w:bidi="ar"/>
        </w:rPr>
        <w:t>60°</w:t>
      </w:r>
      <w:r>
        <w:rPr>
          <w:rFonts w:hint="eastAsia" w:ascii="宋体" w:hAnsi="宋体" w:eastAsia="宋体" w:cs="宋体"/>
          <w:color w:val="000000"/>
          <w:kern w:val="0"/>
          <w:sz w:val="24"/>
          <w:szCs w:val="24"/>
          <w:highlight w:val="none"/>
          <w:lang w:val="en-US" w:eastAsia="zh-CN" w:bidi="ar"/>
        </w:rPr>
        <w:t>以上；山谷深度达</w:t>
      </w:r>
      <w:r>
        <w:rPr>
          <w:rFonts w:hint="default" w:ascii="Times New Roman" w:hAnsi="Times New Roman" w:eastAsia="宋体" w:cs="Times New Roman"/>
          <w:color w:val="000000"/>
          <w:kern w:val="0"/>
          <w:sz w:val="24"/>
          <w:szCs w:val="24"/>
          <w:highlight w:val="none"/>
          <w:lang w:val="en-US" w:eastAsia="zh-CN" w:bidi="ar"/>
        </w:rPr>
        <w:t>300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400m</w:t>
      </w:r>
      <w:r>
        <w:rPr>
          <w:rFonts w:hint="eastAsia" w:ascii="宋体" w:hAnsi="宋体" w:eastAsia="宋体" w:cs="宋体"/>
          <w:color w:val="000000"/>
          <w:kern w:val="0"/>
          <w:sz w:val="24"/>
          <w:szCs w:val="24"/>
          <w:highlight w:val="none"/>
          <w:lang w:val="en-US" w:eastAsia="zh-CN" w:bidi="ar"/>
        </w:rPr>
        <w:t>，而在报信岭一带谷深达</w:t>
      </w:r>
      <w:r>
        <w:rPr>
          <w:rFonts w:hint="default" w:ascii="Times New Roman" w:hAnsi="Times New Roman" w:eastAsia="宋体" w:cs="Times New Roman"/>
          <w:color w:val="000000"/>
          <w:kern w:val="0"/>
          <w:sz w:val="24"/>
          <w:szCs w:val="24"/>
          <w:highlight w:val="none"/>
          <w:lang w:val="en-US" w:eastAsia="zh-CN" w:bidi="ar"/>
        </w:rPr>
        <w:t>700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900m</w:t>
      </w:r>
      <w:r>
        <w:rPr>
          <w:rFonts w:hint="eastAsia" w:ascii="宋体" w:hAnsi="宋体" w:eastAsia="宋体" w:cs="宋体"/>
          <w:color w:val="000000"/>
          <w:kern w:val="0"/>
          <w:sz w:val="24"/>
          <w:szCs w:val="24"/>
          <w:highlight w:val="none"/>
          <w:lang w:val="en-US" w:eastAsia="zh-CN" w:bidi="ar"/>
        </w:rPr>
        <w:t>，峰林状景观突出。</w:t>
      </w:r>
    </w:p>
    <w:p w14:paraId="1ACEE3D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南岳区境内地貌类型分为构造地貌、侵蚀地貌和堆积地貌。而构造地貌为南岳山体的主要部分。主要地貌特征表现为：</w:t>
      </w:r>
    </w:p>
    <w:p w14:paraId="73359C1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）地貌类型多样而以山地丘岗为主，其中：山地占</w:t>
      </w:r>
      <w:r>
        <w:rPr>
          <w:rFonts w:hint="default" w:ascii="Times New Roman" w:hAnsi="Times New Roman" w:eastAsia="宋体" w:cs="Times New Roman"/>
          <w:color w:val="000000"/>
          <w:kern w:val="0"/>
          <w:sz w:val="24"/>
          <w:szCs w:val="24"/>
          <w:highlight w:val="none"/>
          <w:lang w:val="en-US" w:eastAsia="zh-CN" w:bidi="ar"/>
        </w:rPr>
        <w:t>64.5%</w:t>
      </w:r>
      <w:r>
        <w:rPr>
          <w:rFonts w:hint="eastAsia" w:ascii="宋体" w:hAnsi="宋体" w:eastAsia="宋体" w:cs="宋体"/>
          <w:color w:val="000000"/>
          <w:kern w:val="0"/>
          <w:sz w:val="24"/>
          <w:szCs w:val="24"/>
          <w:highlight w:val="none"/>
          <w:lang w:val="en-US" w:eastAsia="zh-CN" w:bidi="ar"/>
        </w:rPr>
        <w:t>，丘岗占</w:t>
      </w:r>
      <w:r>
        <w:rPr>
          <w:rFonts w:hint="default" w:ascii="Times New Roman" w:hAnsi="Times New Roman" w:eastAsia="宋体" w:cs="Times New Roman"/>
          <w:color w:val="000000"/>
          <w:kern w:val="0"/>
          <w:sz w:val="24"/>
          <w:szCs w:val="24"/>
          <w:highlight w:val="none"/>
          <w:lang w:val="en-US" w:eastAsia="zh-CN" w:bidi="ar"/>
        </w:rPr>
        <w:t>23.3%</w:t>
      </w:r>
      <w:r>
        <w:rPr>
          <w:rFonts w:hint="eastAsia" w:ascii="宋体" w:hAnsi="宋体" w:eastAsia="宋体" w:cs="宋体"/>
          <w:color w:val="000000"/>
          <w:kern w:val="0"/>
          <w:sz w:val="24"/>
          <w:szCs w:val="24"/>
          <w:highlight w:val="none"/>
          <w:lang w:val="en-US" w:eastAsia="zh-CN" w:bidi="ar"/>
        </w:rPr>
        <w:t>；</w:t>
      </w:r>
    </w:p>
    <w:p w14:paraId="47CEC9E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）阶梯层状结构明显。境内地势中高周低，由海拔</w:t>
      </w:r>
      <w:r>
        <w:rPr>
          <w:rFonts w:hint="default" w:ascii="Times New Roman" w:hAnsi="Times New Roman" w:eastAsia="宋体" w:cs="Times New Roman"/>
          <w:color w:val="000000"/>
          <w:kern w:val="0"/>
          <w:sz w:val="24"/>
          <w:szCs w:val="24"/>
          <w:highlight w:val="none"/>
          <w:lang w:val="en-US" w:eastAsia="zh-CN" w:bidi="ar"/>
        </w:rPr>
        <w:t>1000m</w:t>
      </w:r>
      <w:r>
        <w:rPr>
          <w:rFonts w:hint="eastAsia" w:ascii="宋体" w:hAnsi="宋体" w:eastAsia="宋体" w:cs="宋体"/>
          <w:color w:val="000000"/>
          <w:kern w:val="0"/>
          <w:sz w:val="24"/>
          <w:szCs w:val="24"/>
          <w:highlight w:val="none"/>
          <w:lang w:val="en-US" w:eastAsia="zh-CN" w:bidi="ar"/>
        </w:rPr>
        <w:t>以上、</w:t>
      </w:r>
      <w:r>
        <w:rPr>
          <w:rFonts w:hint="default" w:ascii="Times New Roman" w:hAnsi="Times New Roman" w:eastAsia="宋体" w:cs="Times New Roman"/>
          <w:color w:val="000000"/>
          <w:kern w:val="0"/>
          <w:sz w:val="24"/>
          <w:szCs w:val="24"/>
          <w:highlight w:val="none"/>
          <w:lang w:val="en-US" w:eastAsia="zh-CN" w:bidi="ar"/>
        </w:rPr>
        <w:t>700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800m</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400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500m</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150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200m</w:t>
      </w:r>
      <w:r>
        <w:rPr>
          <w:rFonts w:hint="eastAsia" w:ascii="宋体" w:hAnsi="宋体" w:eastAsia="宋体" w:cs="宋体"/>
          <w:color w:val="000000"/>
          <w:kern w:val="0"/>
          <w:sz w:val="24"/>
          <w:szCs w:val="24"/>
          <w:highlight w:val="none"/>
          <w:lang w:val="en-US" w:eastAsia="zh-CN" w:bidi="ar"/>
        </w:rPr>
        <w:t>分别构成四级阶梯状；</w:t>
      </w:r>
    </w:p>
    <w:p w14:paraId="250F39D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）断层地貌发育。山体两侧皆有断层，凡两级阶梯交界处都有悬谷存在，若有水流，则形成瀑布；</w:t>
      </w:r>
    </w:p>
    <w:p w14:paraId="69F1F8D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）地表破碎，岩洞石蛋遍布。</w:t>
      </w:r>
    </w:p>
    <w:p w14:paraId="6565C10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bCs/>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根据《湖南省地震烈度区划图》，衡阳市域的地震基本烈度在六度以下。</w:t>
      </w:r>
    </w:p>
    <w:p w14:paraId="25D964CB">
      <w:pPr>
        <w:pStyle w:val="6"/>
        <w:bidi w:val="0"/>
        <w:rPr>
          <w:rFonts w:hint="default"/>
          <w:highlight w:val="none"/>
          <w:lang w:val="en-US" w:eastAsia="zh-CN"/>
        </w:rPr>
      </w:pPr>
      <w:r>
        <w:rPr>
          <w:rFonts w:hint="eastAsia"/>
          <w:highlight w:val="none"/>
          <w:lang w:val="en-US" w:eastAsia="zh-CN"/>
        </w:rPr>
        <w:t>3.1.3 水文气象</w:t>
      </w:r>
    </w:p>
    <w:p w14:paraId="3875584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南岳区属亚热带季风山地湿润气候区，在纬度位置、大气环流及中山地形等因素的互相作用下，形成了独特的气候特征：</w:t>
      </w:r>
    </w:p>
    <w:p w14:paraId="5F261569">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1）四季变化明显，冬长夏短；</w:t>
      </w:r>
    </w:p>
    <w:p w14:paraId="5AD59214">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leftChars="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2）平均气温低，冬冷夏凉；</w:t>
      </w:r>
    </w:p>
    <w:p w14:paraId="104BD736">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leftChars="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3）降雪早，积雪多，冰冻期长；</w:t>
      </w:r>
    </w:p>
    <w:p w14:paraId="5267BC41">
      <w:pPr>
        <w:keepNext w:val="0"/>
        <w:keepLines w:val="0"/>
        <w:pageBreakBefore w:val="0"/>
        <w:widowControl/>
        <w:numPr>
          <w:ilvl w:val="0"/>
          <w:numId w:val="0"/>
        </w:numPr>
        <w:suppressLineNumbers w:val="0"/>
        <w:kinsoku/>
        <w:wordWrap/>
        <w:overflowPunct/>
        <w:topLinePunct w:val="0"/>
        <w:autoSpaceDE/>
        <w:autoSpaceDN/>
        <w:bidi w:val="0"/>
        <w:adjustRightInd w:val="0"/>
        <w:snapToGrid w:val="0"/>
        <w:ind w:leftChars="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4）云雾多，湿度大，天气多变，常有山下骄阳，山腰雾满，山顶风雨的所谓“三重天”奇观现象形成；</w:t>
      </w:r>
    </w:p>
    <w:p w14:paraId="4AA0827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5）气候垂直差异现象明显，随着海拔高度的增加，气温明显降低。</w:t>
      </w:r>
    </w:p>
    <w:p w14:paraId="4EABBBD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南岳区多年平均气温11.7℃，极端最低气温-15.2℃，极端最高气温31.3℃。年均无霜期262天，年平均日照时数1439h，年平均降水量1452.9mm，年内降水分配不均匀，降水主要集中在4~6月，占全年总降水量的36.2%。南岳区境内河流均为以衡山山脉为分水岭的辐射状水系，汇入湘江。境内溪流短小，没有过境河流，且大多坡陡流急，跌水瀑布众多。境内长度在2km以上的大小河流共计14条。</w:t>
      </w:r>
    </w:p>
    <w:p w14:paraId="32505B2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本</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入河排污口</w:t>
      </w:r>
      <w:r>
        <w:rPr>
          <w:rFonts w:hint="eastAsia" w:cs="Times New Roman"/>
          <w:color w:val="000000" w:themeColor="text1"/>
          <w:kern w:val="0"/>
          <w:sz w:val="24"/>
          <w:szCs w:val="24"/>
          <w:highlight w:val="none"/>
          <w:u w:val="none"/>
          <w:lang w:val="en-US" w:eastAsia="zh-CN" w:bidi="ar"/>
          <w14:textFill>
            <w14:solidFill>
              <w14:schemeClr w14:val="tx1"/>
            </w14:solidFill>
          </w14:textFill>
        </w:rPr>
        <w:t>设置</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南岳镇</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红星村老屋组</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（南岳区龙荫港左岸）</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纳污水体</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为龙荫港。</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《湖南省衡阳市水资源综合规划报告》（2020~2035）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可知</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龙荫港又名龙荫河，发源</w:t>
      </w:r>
      <w:r>
        <w:rPr>
          <w:rFonts w:hint="default" w:ascii="Times New Roman" w:hAnsi="Times New Roman" w:eastAsia="宋体" w:cs="Times New Roman"/>
          <w:color w:val="000000"/>
          <w:kern w:val="0"/>
          <w:sz w:val="24"/>
          <w:szCs w:val="24"/>
          <w:highlight w:val="none"/>
          <w:lang w:val="en-US" w:eastAsia="zh-CN" w:bidi="ar"/>
        </w:rPr>
        <w:t>于南岳祝融峰南天门，经南岳区的南岳镇、衡山县的萱洲镇、永和乡等乡镇，于永和乡双港村入湘江，全长28.5km，</w:t>
      </w:r>
      <w:r>
        <w:rPr>
          <w:rFonts w:hint="eastAsia" w:ascii="Times New Roman" w:hAnsi="Times New Roman" w:eastAsia="宋体" w:cs="Times New Roman"/>
          <w:color w:val="000000"/>
          <w:kern w:val="0"/>
          <w:sz w:val="24"/>
          <w:szCs w:val="24"/>
          <w:highlight w:val="none"/>
          <w:lang w:val="en-US" w:eastAsia="zh-CN" w:bidi="ar"/>
        </w:rPr>
        <w:t>水力坡降为6</w:t>
      </w:r>
      <w:r>
        <w:rPr>
          <w:rFonts w:hint="default" w:ascii="Times New Roman" w:hAnsi="Times New Roman" w:eastAsia="宋体" w:cs="Times New Roman"/>
          <w:color w:val="000000"/>
          <w:kern w:val="0"/>
          <w:sz w:val="24"/>
          <w:szCs w:val="24"/>
          <w:highlight w:val="none"/>
          <w:lang w:val="en-US" w:eastAsia="zh-CN" w:bidi="ar"/>
        </w:rPr>
        <w:t>9‰</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上游属山溪型，V型谷发育，下游水流平缓，两岸平原分布，上游河面平均宽度为14m，下游河面宽度为20～30m。</w:t>
      </w:r>
    </w:p>
    <w:p w14:paraId="54EE0A9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根据《南岳区城镇污水收集处理及配套设施建设项目（厂区部分）环境影响报告表》（湖南三方环境科技有限公司，2023年2月）中的地表水环境影响专项评价内容可知，龙荫港枯水期平均流速u为0.14m/s、平均水深h为0.2m、平均河宽14m、平均流量为1.03m</w:t>
      </w:r>
      <w:r>
        <w:rPr>
          <w:rFonts w:hint="eastAsia"/>
          <w:sz w:val="24"/>
          <w:szCs w:val="24"/>
          <w:highlight w:val="none"/>
          <w:vertAlign w:val="superscript"/>
          <w:lang w:val="en-US" w:eastAsia="zh-CN"/>
        </w:rPr>
        <w:t>3</w:t>
      </w:r>
      <w:r>
        <w:rPr>
          <w:rFonts w:hint="eastAsia"/>
          <w:sz w:val="24"/>
          <w:szCs w:val="24"/>
          <w:highlight w:val="none"/>
          <w:lang w:val="en-US" w:eastAsia="zh-CN"/>
        </w:rPr>
        <w:t>/s；丰水期平均流速u为0.54m/s、平均水深h为1.5m、平均流量为10.1m</w:t>
      </w:r>
      <w:r>
        <w:rPr>
          <w:rFonts w:hint="eastAsia"/>
          <w:sz w:val="24"/>
          <w:szCs w:val="24"/>
          <w:highlight w:val="none"/>
          <w:vertAlign w:val="superscript"/>
          <w:lang w:val="en-US" w:eastAsia="zh-CN"/>
        </w:rPr>
        <w:t>3</w:t>
      </w:r>
      <w:r>
        <w:rPr>
          <w:rFonts w:hint="eastAsia"/>
          <w:sz w:val="24"/>
          <w:szCs w:val="24"/>
          <w:highlight w:val="none"/>
          <w:lang w:val="en-US" w:eastAsia="zh-CN"/>
        </w:rPr>
        <w:t>/s。</w:t>
      </w:r>
    </w:p>
    <w:p w14:paraId="5F3E8E7E">
      <w:pPr>
        <w:pStyle w:val="6"/>
        <w:bidi w:val="0"/>
        <w:rPr>
          <w:rFonts w:hint="default"/>
          <w:highlight w:val="none"/>
          <w:lang w:val="en-US" w:eastAsia="zh-CN"/>
        </w:rPr>
      </w:pPr>
      <w:r>
        <w:rPr>
          <w:rFonts w:hint="eastAsia"/>
          <w:highlight w:val="none"/>
          <w:lang w:val="en-US" w:eastAsia="zh-CN"/>
        </w:rPr>
        <w:t>3.1.4 动植物</w:t>
      </w:r>
    </w:p>
    <w:p w14:paraId="7191F6A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南岳区地处中亚热带季风湿润气候区，生物资源丰富，种类繁多。现境内分布有苔鲜植物</w:t>
      </w:r>
      <w:r>
        <w:rPr>
          <w:rFonts w:hint="default" w:ascii="Times New Roman" w:hAnsi="Times New Roman" w:eastAsia="宋体" w:cs="Times New Roman"/>
          <w:color w:val="000000"/>
          <w:kern w:val="0"/>
          <w:sz w:val="24"/>
          <w:szCs w:val="24"/>
          <w:highlight w:val="none"/>
          <w:lang w:val="en-US" w:eastAsia="zh-CN" w:bidi="ar"/>
        </w:rPr>
        <w:t>48</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101</w:t>
      </w:r>
      <w:r>
        <w:rPr>
          <w:rFonts w:hint="eastAsia" w:ascii="宋体" w:hAnsi="宋体" w:eastAsia="宋体" w:cs="宋体"/>
          <w:color w:val="000000"/>
          <w:kern w:val="0"/>
          <w:sz w:val="24"/>
          <w:szCs w:val="24"/>
          <w:highlight w:val="none"/>
          <w:lang w:val="en-US" w:eastAsia="zh-CN" w:bidi="ar"/>
        </w:rPr>
        <w:t>属</w:t>
      </w:r>
      <w:r>
        <w:rPr>
          <w:rFonts w:hint="default" w:ascii="Times New Roman" w:hAnsi="Times New Roman" w:eastAsia="宋体" w:cs="Times New Roman"/>
          <w:color w:val="000000"/>
          <w:kern w:val="0"/>
          <w:sz w:val="24"/>
          <w:szCs w:val="24"/>
          <w:highlight w:val="none"/>
          <w:lang w:val="en-US" w:eastAsia="zh-CN" w:bidi="ar"/>
        </w:rPr>
        <w:t>152</w:t>
      </w:r>
      <w:r>
        <w:rPr>
          <w:rFonts w:hint="eastAsia" w:ascii="宋体" w:hAnsi="宋体" w:eastAsia="宋体" w:cs="宋体"/>
          <w:color w:val="000000"/>
          <w:kern w:val="0"/>
          <w:sz w:val="24"/>
          <w:szCs w:val="24"/>
          <w:highlight w:val="none"/>
          <w:lang w:val="en-US" w:eastAsia="zh-CN" w:bidi="ar"/>
        </w:rPr>
        <w:t>种，维管束植物</w:t>
      </w:r>
      <w:r>
        <w:rPr>
          <w:rFonts w:hint="default" w:ascii="Times New Roman" w:hAnsi="Times New Roman" w:eastAsia="宋体" w:cs="Times New Roman"/>
          <w:color w:val="000000"/>
          <w:kern w:val="0"/>
          <w:sz w:val="24"/>
          <w:szCs w:val="24"/>
          <w:highlight w:val="none"/>
          <w:lang w:val="en-US" w:eastAsia="zh-CN" w:bidi="ar"/>
        </w:rPr>
        <w:t>232</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1044</w:t>
      </w:r>
      <w:r>
        <w:rPr>
          <w:rFonts w:hint="eastAsia" w:ascii="宋体" w:hAnsi="宋体" w:eastAsia="宋体" w:cs="宋体"/>
          <w:color w:val="000000"/>
          <w:kern w:val="0"/>
          <w:sz w:val="24"/>
          <w:szCs w:val="24"/>
          <w:highlight w:val="none"/>
          <w:lang w:val="en-US" w:eastAsia="zh-CN" w:bidi="ar"/>
        </w:rPr>
        <w:t>属</w:t>
      </w:r>
      <w:r>
        <w:rPr>
          <w:rFonts w:hint="default" w:ascii="Times New Roman" w:hAnsi="Times New Roman" w:eastAsia="宋体" w:cs="Times New Roman"/>
          <w:color w:val="000000"/>
          <w:kern w:val="0"/>
          <w:sz w:val="24"/>
          <w:szCs w:val="24"/>
          <w:highlight w:val="none"/>
          <w:lang w:val="en-US" w:eastAsia="zh-CN" w:bidi="ar"/>
        </w:rPr>
        <w:t>2666</w:t>
      </w:r>
      <w:r>
        <w:rPr>
          <w:rFonts w:hint="eastAsia" w:ascii="宋体" w:hAnsi="宋体" w:eastAsia="宋体" w:cs="宋体"/>
          <w:color w:val="000000"/>
          <w:kern w:val="0"/>
          <w:sz w:val="24"/>
          <w:szCs w:val="24"/>
          <w:highlight w:val="none"/>
          <w:lang w:val="en-US" w:eastAsia="zh-CN" w:bidi="ar"/>
        </w:rPr>
        <w:t>种，其中野生植物</w:t>
      </w:r>
      <w:r>
        <w:rPr>
          <w:rFonts w:hint="default" w:ascii="Times New Roman" w:hAnsi="Times New Roman" w:eastAsia="宋体" w:cs="Times New Roman"/>
          <w:color w:val="000000"/>
          <w:kern w:val="0"/>
          <w:sz w:val="24"/>
          <w:szCs w:val="24"/>
          <w:highlight w:val="none"/>
          <w:lang w:val="en-US" w:eastAsia="zh-CN" w:bidi="ar"/>
        </w:rPr>
        <w:t>201</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767</w:t>
      </w:r>
      <w:r>
        <w:rPr>
          <w:rFonts w:hint="eastAsia" w:ascii="宋体" w:hAnsi="宋体" w:eastAsia="宋体" w:cs="宋体"/>
          <w:color w:val="000000"/>
          <w:kern w:val="0"/>
          <w:sz w:val="24"/>
          <w:szCs w:val="24"/>
          <w:highlight w:val="none"/>
          <w:lang w:val="en-US" w:eastAsia="zh-CN" w:bidi="ar"/>
        </w:rPr>
        <w:t>属</w:t>
      </w:r>
      <w:r>
        <w:rPr>
          <w:rFonts w:hint="default" w:ascii="Times New Roman" w:hAnsi="Times New Roman" w:eastAsia="宋体" w:cs="Times New Roman"/>
          <w:color w:val="000000"/>
          <w:kern w:val="0"/>
          <w:sz w:val="24"/>
          <w:szCs w:val="24"/>
          <w:highlight w:val="none"/>
          <w:lang w:val="en-US" w:eastAsia="zh-CN" w:bidi="ar"/>
        </w:rPr>
        <w:t>1807</w:t>
      </w:r>
      <w:r>
        <w:rPr>
          <w:rFonts w:hint="eastAsia" w:ascii="宋体" w:hAnsi="宋体" w:eastAsia="宋体" w:cs="宋体"/>
          <w:color w:val="000000"/>
          <w:kern w:val="0"/>
          <w:sz w:val="24"/>
          <w:szCs w:val="24"/>
          <w:highlight w:val="none"/>
          <w:lang w:val="en-US" w:eastAsia="zh-CN" w:bidi="ar"/>
        </w:rPr>
        <w:t>种；国家和省级重点保护植物</w:t>
      </w:r>
      <w:r>
        <w:rPr>
          <w:rFonts w:hint="default" w:ascii="Times New Roman" w:hAnsi="Times New Roman" w:eastAsia="宋体" w:cs="Times New Roman"/>
          <w:color w:val="000000"/>
          <w:kern w:val="0"/>
          <w:sz w:val="24"/>
          <w:szCs w:val="24"/>
          <w:highlight w:val="none"/>
          <w:lang w:val="en-US" w:eastAsia="zh-CN" w:bidi="ar"/>
        </w:rPr>
        <w:t>119</w:t>
      </w:r>
      <w:r>
        <w:rPr>
          <w:rFonts w:hint="eastAsia" w:ascii="宋体" w:hAnsi="宋体" w:eastAsia="宋体" w:cs="宋体"/>
          <w:color w:val="000000"/>
          <w:kern w:val="0"/>
          <w:sz w:val="24"/>
          <w:szCs w:val="24"/>
          <w:highlight w:val="none"/>
          <w:lang w:val="en-US" w:eastAsia="zh-CN" w:bidi="ar"/>
        </w:rPr>
        <w:t>种，其中：国家一级保护植物</w:t>
      </w:r>
      <w:r>
        <w:rPr>
          <w:rFonts w:hint="default" w:ascii="Times New Roman" w:hAnsi="Times New Roman" w:eastAsia="宋体" w:cs="Times New Roman"/>
          <w:color w:val="000000"/>
          <w:kern w:val="0"/>
          <w:sz w:val="24"/>
          <w:szCs w:val="24"/>
          <w:highlight w:val="none"/>
          <w:lang w:val="en-US" w:eastAsia="zh-CN" w:bidi="ar"/>
        </w:rPr>
        <w:t>21</w:t>
      </w:r>
      <w:r>
        <w:rPr>
          <w:rFonts w:hint="eastAsia" w:ascii="宋体" w:hAnsi="宋体" w:eastAsia="宋体" w:cs="宋体"/>
          <w:color w:val="000000"/>
          <w:kern w:val="0"/>
          <w:sz w:val="24"/>
          <w:szCs w:val="24"/>
          <w:highlight w:val="none"/>
          <w:lang w:val="en-US" w:eastAsia="zh-CN" w:bidi="ar"/>
        </w:rPr>
        <w:t>种（银杏、水杉、秃杉、珙桐、金花茶、南方红豆杉、伯乐树、长蕊木兰等），国家二级保护植物</w:t>
      </w:r>
      <w:r>
        <w:rPr>
          <w:rFonts w:hint="default" w:ascii="Times New Roman" w:hAnsi="Times New Roman" w:eastAsia="宋体" w:cs="Times New Roman"/>
          <w:color w:val="000000"/>
          <w:kern w:val="0"/>
          <w:sz w:val="24"/>
          <w:szCs w:val="24"/>
          <w:highlight w:val="none"/>
          <w:lang w:val="en-US" w:eastAsia="zh-CN" w:bidi="ar"/>
        </w:rPr>
        <w:t>67</w:t>
      </w:r>
      <w:r>
        <w:rPr>
          <w:rFonts w:hint="eastAsia" w:ascii="宋体" w:hAnsi="宋体" w:eastAsia="宋体" w:cs="宋体"/>
          <w:color w:val="000000"/>
          <w:kern w:val="0"/>
          <w:sz w:val="24"/>
          <w:szCs w:val="24"/>
          <w:highlight w:val="none"/>
          <w:lang w:val="en-US" w:eastAsia="zh-CN" w:bidi="ar"/>
        </w:rPr>
        <w:t>种。拥有世界独有的自然分布植物（南岳特有植物）绒毛皂荚和南岳蹄盖旅。中国特有植物</w:t>
      </w:r>
      <w:r>
        <w:rPr>
          <w:rFonts w:hint="default" w:ascii="Times New Roman" w:hAnsi="Times New Roman" w:eastAsia="宋体" w:cs="Times New Roman"/>
          <w:color w:val="000000"/>
          <w:kern w:val="0"/>
          <w:sz w:val="24"/>
          <w:szCs w:val="24"/>
          <w:highlight w:val="none"/>
          <w:lang w:val="en-US" w:eastAsia="zh-CN" w:bidi="ar"/>
        </w:rPr>
        <w:t>529</w:t>
      </w:r>
      <w:r>
        <w:rPr>
          <w:rFonts w:hint="eastAsia" w:ascii="宋体" w:hAnsi="宋体" w:eastAsia="宋体" w:cs="宋体"/>
          <w:color w:val="000000"/>
          <w:kern w:val="0"/>
          <w:sz w:val="24"/>
          <w:szCs w:val="24"/>
          <w:highlight w:val="none"/>
          <w:lang w:val="en-US" w:eastAsia="zh-CN" w:bidi="ar"/>
        </w:rPr>
        <w:t>种，其中植物模式标本采自南岳的有</w:t>
      </w:r>
      <w:r>
        <w:rPr>
          <w:rFonts w:hint="default" w:ascii="Times New Roman" w:hAnsi="Times New Roman" w:eastAsia="宋体" w:cs="Times New Roman"/>
          <w:color w:val="000000"/>
          <w:kern w:val="0"/>
          <w:sz w:val="24"/>
          <w:szCs w:val="24"/>
          <w:highlight w:val="none"/>
          <w:lang w:val="en-US" w:eastAsia="zh-CN" w:bidi="ar"/>
        </w:rPr>
        <w:t>17</w:t>
      </w:r>
      <w:r>
        <w:rPr>
          <w:rFonts w:hint="eastAsia" w:ascii="宋体" w:hAnsi="宋体" w:eastAsia="宋体" w:cs="宋体"/>
          <w:color w:val="000000"/>
          <w:kern w:val="0"/>
          <w:sz w:val="24"/>
          <w:szCs w:val="24"/>
          <w:highlight w:val="none"/>
          <w:lang w:val="en-US" w:eastAsia="zh-CN" w:bidi="ar"/>
        </w:rPr>
        <w:t>种。境内有古树名木</w:t>
      </w:r>
      <w:r>
        <w:rPr>
          <w:rFonts w:hint="default" w:ascii="Times New Roman" w:hAnsi="Times New Roman" w:eastAsia="宋体" w:cs="Times New Roman"/>
          <w:color w:val="000000"/>
          <w:kern w:val="0"/>
          <w:sz w:val="24"/>
          <w:szCs w:val="24"/>
          <w:highlight w:val="none"/>
          <w:lang w:val="en-US" w:eastAsia="zh-CN" w:bidi="ar"/>
        </w:rPr>
        <w:t>45</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109</w:t>
      </w:r>
      <w:r>
        <w:rPr>
          <w:rFonts w:hint="eastAsia" w:ascii="宋体" w:hAnsi="宋体" w:eastAsia="宋体" w:cs="宋体"/>
          <w:color w:val="000000"/>
          <w:kern w:val="0"/>
          <w:sz w:val="24"/>
          <w:szCs w:val="24"/>
          <w:highlight w:val="none"/>
          <w:lang w:val="en-US" w:eastAsia="zh-CN" w:bidi="ar"/>
        </w:rPr>
        <w:t>种</w:t>
      </w:r>
      <w:r>
        <w:rPr>
          <w:rFonts w:hint="default" w:ascii="Times New Roman" w:hAnsi="Times New Roman" w:eastAsia="宋体" w:cs="Times New Roman"/>
          <w:color w:val="000000"/>
          <w:kern w:val="0"/>
          <w:sz w:val="24"/>
          <w:szCs w:val="24"/>
          <w:highlight w:val="none"/>
          <w:lang w:val="en-US" w:eastAsia="zh-CN" w:bidi="ar"/>
        </w:rPr>
        <w:t>3781</w:t>
      </w:r>
      <w:r>
        <w:rPr>
          <w:rFonts w:hint="eastAsia" w:ascii="宋体" w:hAnsi="宋体" w:eastAsia="宋体" w:cs="宋体"/>
          <w:color w:val="000000"/>
          <w:kern w:val="0"/>
          <w:sz w:val="24"/>
          <w:szCs w:val="24"/>
          <w:highlight w:val="none"/>
          <w:lang w:val="en-US" w:eastAsia="zh-CN" w:bidi="ar"/>
        </w:rPr>
        <w:t>株。</w:t>
      </w:r>
    </w:p>
    <w:p w14:paraId="34473DB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南岳区野生动物资源正在逐年增加，现有野生动物</w:t>
      </w:r>
      <w:r>
        <w:rPr>
          <w:rFonts w:hint="default" w:ascii="Times New Roman" w:hAnsi="Times New Roman" w:eastAsia="宋体" w:cs="Times New Roman"/>
          <w:color w:val="000000"/>
          <w:kern w:val="0"/>
          <w:sz w:val="24"/>
          <w:szCs w:val="24"/>
          <w:highlight w:val="none"/>
          <w:lang w:val="en-US" w:eastAsia="zh-CN" w:bidi="ar"/>
        </w:rPr>
        <w:t>17</w:t>
      </w:r>
      <w:r>
        <w:rPr>
          <w:rFonts w:hint="eastAsia" w:ascii="宋体" w:hAnsi="宋体" w:eastAsia="宋体" w:cs="宋体"/>
          <w:color w:val="000000"/>
          <w:kern w:val="0"/>
          <w:sz w:val="24"/>
          <w:szCs w:val="24"/>
          <w:highlight w:val="none"/>
          <w:lang w:val="en-US" w:eastAsia="zh-CN" w:bidi="ar"/>
        </w:rPr>
        <w:t>目</w:t>
      </w:r>
      <w:r>
        <w:rPr>
          <w:rFonts w:hint="default" w:ascii="Times New Roman" w:hAnsi="Times New Roman" w:eastAsia="宋体" w:cs="Times New Roman"/>
          <w:color w:val="000000"/>
          <w:kern w:val="0"/>
          <w:sz w:val="24"/>
          <w:szCs w:val="24"/>
          <w:highlight w:val="none"/>
          <w:lang w:val="en-US" w:eastAsia="zh-CN" w:bidi="ar"/>
        </w:rPr>
        <w:t>48</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184</w:t>
      </w:r>
      <w:r>
        <w:rPr>
          <w:rFonts w:hint="eastAsia" w:ascii="宋体" w:hAnsi="宋体" w:eastAsia="宋体" w:cs="宋体"/>
          <w:color w:val="000000"/>
          <w:kern w:val="0"/>
          <w:sz w:val="24"/>
          <w:szCs w:val="24"/>
          <w:highlight w:val="none"/>
          <w:lang w:val="en-US" w:eastAsia="zh-CN" w:bidi="ar"/>
        </w:rPr>
        <w:t>种，珍稀濒危动物</w:t>
      </w:r>
      <w:r>
        <w:rPr>
          <w:rFonts w:hint="default" w:ascii="Times New Roman" w:hAnsi="Times New Roman" w:eastAsia="宋体" w:cs="Times New Roman"/>
          <w:color w:val="000000"/>
          <w:kern w:val="0"/>
          <w:sz w:val="24"/>
          <w:szCs w:val="24"/>
          <w:highlight w:val="none"/>
          <w:lang w:val="en-US" w:eastAsia="zh-CN" w:bidi="ar"/>
        </w:rPr>
        <w:t>28</w:t>
      </w:r>
      <w:r>
        <w:rPr>
          <w:rFonts w:hint="eastAsia" w:ascii="宋体" w:hAnsi="宋体" w:eastAsia="宋体" w:cs="宋体"/>
          <w:color w:val="000000"/>
          <w:kern w:val="0"/>
          <w:sz w:val="24"/>
          <w:szCs w:val="24"/>
          <w:highlight w:val="none"/>
          <w:lang w:val="en-US" w:eastAsia="zh-CN" w:bidi="ar"/>
        </w:rPr>
        <w:t>种，其中</w:t>
      </w:r>
      <w:r>
        <w:rPr>
          <w:rFonts w:hint="default" w:ascii="Times New Roman" w:hAnsi="Times New Roman" w:eastAsia="宋体" w:cs="Times New Roman"/>
          <w:color w:val="000000"/>
          <w:kern w:val="0"/>
          <w:sz w:val="24"/>
          <w:szCs w:val="24"/>
          <w:highlight w:val="none"/>
          <w:lang w:val="en-US" w:eastAsia="zh-CN" w:bidi="ar"/>
        </w:rPr>
        <w:t>I</w:t>
      </w:r>
      <w:r>
        <w:rPr>
          <w:rFonts w:hint="eastAsia" w:ascii="宋体" w:hAnsi="宋体" w:eastAsia="宋体" w:cs="宋体"/>
          <w:color w:val="000000"/>
          <w:kern w:val="0"/>
          <w:sz w:val="24"/>
          <w:szCs w:val="24"/>
          <w:highlight w:val="none"/>
          <w:lang w:val="en-US" w:eastAsia="zh-CN" w:bidi="ar"/>
        </w:rPr>
        <w:t>级</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黄腹角雉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II</w:t>
      </w:r>
      <w:r>
        <w:rPr>
          <w:rFonts w:hint="eastAsia" w:ascii="宋体" w:hAnsi="宋体" w:eastAsia="宋体" w:cs="宋体"/>
          <w:color w:val="000000"/>
          <w:kern w:val="0"/>
          <w:sz w:val="24"/>
          <w:szCs w:val="24"/>
          <w:highlight w:val="none"/>
          <w:lang w:val="en-US" w:eastAsia="zh-CN" w:bidi="ar"/>
        </w:rPr>
        <w:t>级</w:t>
      </w:r>
      <w:r>
        <w:rPr>
          <w:rFonts w:hint="default" w:ascii="Times New Roman" w:hAnsi="Times New Roman" w:eastAsia="宋体" w:cs="Times New Roman"/>
          <w:color w:val="000000"/>
          <w:kern w:val="0"/>
          <w:sz w:val="24"/>
          <w:szCs w:val="24"/>
          <w:highlight w:val="none"/>
          <w:lang w:val="en-US" w:eastAsia="zh-CN" w:bidi="ar"/>
        </w:rPr>
        <w:t>22</w:t>
      </w:r>
      <w:r>
        <w:rPr>
          <w:rFonts w:hint="eastAsia" w:ascii="宋体" w:hAnsi="宋体" w:eastAsia="宋体" w:cs="宋体"/>
          <w:color w:val="000000"/>
          <w:kern w:val="0"/>
          <w:sz w:val="24"/>
          <w:szCs w:val="24"/>
          <w:highlight w:val="none"/>
          <w:lang w:val="en-US" w:eastAsia="zh-CN" w:bidi="ar"/>
        </w:rPr>
        <w:t>种，中国优先保护动物中国特有种（</w:t>
      </w: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级）</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种（画眉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棕头鸦雀、白头鹎、黄腹山雀）。较著名的野生动物有中华蟾蛛、大鲵、红中华鳖、银环蛇、穿山甲、野猪、灰胸竹鸡等。南岳的昆虫主要是森林昆虫，共有</w:t>
      </w:r>
      <w:r>
        <w:rPr>
          <w:rFonts w:hint="default" w:ascii="Times New Roman" w:hAnsi="Times New Roman" w:eastAsia="宋体" w:cs="Times New Roman"/>
          <w:color w:val="000000"/>
          <w:kern w:val="0"/>
          <w:sz w:val="24"/>
          <w:szCs w:val="24"/>
          <w:highlight w:val="none"/>
          <w:lang w:val="en-US" w:eastAsia="zh-CN" w:bidi="ar"/>
        </w:rPr>
        <w:t>17</w:t>
      </w:r>
      <w:r>
        <w:rPr>
          <w:rFonts w:hint="eastAsia" w:ascii="宋体" w:hAnsi="宋体" w:eastAsia="宋体" w:cs="宋体"/>
          <w:color w:val="000000"/>
          <w:kern w:val="0"/>
          <w:sz w:val="24"/>
          <w:szCs w:val="24"/>
          <w:highlight w:val="none"/>
          <w:lang w:val="en-US" w:eastAsia="zh-CN" w:bidi="ar"/>
        </w:rPr>
        <w:t>目</w:t>
      </w:r>
      <w:r>
        <w:rPr>
          <w:rFonts w:hint="default" w:ascii="Times New Roman" w:hAnsi="Times New Roman" w:eastAsia="宋体" w:cs="Times New Roman"/>
          <w:color w:val="000000"/>
          <w:kern w:val="0"/>
          <w:sz w:val="24"/>
          <w:szCs w:val="24"/>
          <w:highlight w:val="none"/>
          <w:lang w:val="en-US" w:eastAsia="zh-CN" w:bidi="ar"/>
        </w:rPr>
        <w:t>186</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1835</w:t>
      </w:r>
      <w:r>
        <w:rPr>
          <w:rFonts w:hint="eastAsia" w:ascii="宋体" w:hAnsi="宋体" w:eastAsia="宋体" w:cs="宋体"/>
          <w:color w:val="000000"/>
          <w:kern w:val="0"/>
          <w:sz w:val="24"/>
          <w:szCs w:val="24"/>
          <w:highlight w:val="none"/>
          <w:lang w:val="en-US" w:eastAsia="zh-CN" w:bidi="ar"/>
        </w:rPr>
        <w:t>种。有真菌</w:t>
      </w:r>
      <w:r>
        <w:rPr>
          <w:rFonts w:hint="default" w:ascii="Times New Roman" w:hAnsi="Times New Roman" w:eastAsia="宋体" w:cs="Times New Roman"/>
          <w:color w:val="000000"/>
          <w:kern w:val="0"/>
          <w:sz w:val="24"/>
          <w:szCs w:val="24"/>
          <w:highlight w:val="none"/>
          <w:lang w:val="en-US" w:eastAsia="zh-CN" w:bidi="ar"/>
        </w:rPr>
        <w:t>37</w:t>
      </w:r>
      <w:r>
        <w:rPr>
          <w:rFonts w:hint="eastAsia" w:ascii="宋体" w:hAnsi="宋体" w:eastAsia="宋体" w:cs="宋体"/>
          <w:color w:val="000000"/>
          <w:kern w:val="0"/>
          <w:sz w:val="24"/>
          <w:szCs w:val="24"/>
          <w:highlight w:val="none"/>
          <w:lang w:val="en-US" w:eastAsia="zh-CN" w:bidi="ar"/>
        </w:rPr>
        <w:t>科</w:t>
      </w:r>
      <w:r>
        <w:rPr>
          <w:rFonts w:hint="default" w:ascii="Times New Roman" w:hAnsi="Times New Roman" w:eastAsia="宋体" w:cs="Times New Roman"/>
          <w:color w:val="000000"/>
          <w:kern w:val="0"/>
          <w:sz w:val="24"/>
          <w:szCs w:val="24"/>
          <w:highlight w:val="none"/>
          <w:lang w:val="en-US" w:eastAsia="zh-CN" w:bidi="ar"/>
        </w:rPr>
        <w:t>83</w:t>
      </w:r>
      <w:r>
        <w:rPr>
          <w:rFonts w:hint="eastAsia" w:ascii="宋体" w:hAnsi="宋体" w:eastAsia="宋体" w:cs="宋体"/>
          <w:color w:val="000000"/>
          <w:kern w:val="0"/>
          <w:sz w:val="24"/>
          <w:szCs w:val="24"/>
          <w:highlight w:val="none"/>
          <w:lang w:val="en-US" w:eastAsia="zh-CN" w:bidi="ar"/>
        </w:rPr>
        <w:t>属</w:t>
      </w:r>
      <w:r>
        <w:rPr>
          <w:rFonts w:hint="default" w:ascii="Times New Roman" w:hAnsi="Times New Roman" w:eastAsia="宋体" w:cs="Times New Roman"/>
          <w:color w:val="000000"/>
          <w:kern w:val="0"/>
          <w:sz w:val="24"/>
          <w:szCs w:val="24"/>
          <w:highlight w:val="none"/>
          <w:lang w:val="en-US" w:eastAsia="zh-CN" w:bidi="ar"/>
        </w:rPr>
        <w:t>173</w:t>
      </w:r>
      <w:r>
        <w:rPr>
          <w:rFonts w:hint="eastAsia" w:ascii="宋体" w:hAnsi="宋体" w:eastAsia="宋体" w:cs="宋体"/>
          <w:color w:val="000000"/>
          <w:kern w:val="0"/>
          <w:sz w:val="24"/>
          <w:szCs w:val="24"/>
          <w:highlight w:val="none"/>
          <w:lang w:val="en-US" w:eastAsia="zh-CN" w:bidi="ar"/>
        </w:rPr>
        <w:t>种。</w:t>
      </w:r>
    </w:p>
    <w:p w14:paraId="40F9C90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南岳衡山森林植被类型众多，共有</w:t>
      </w:r>
      <w:r>
        <w:rPr>
          <w:rFonts w:hint="default" w:ascii="Times New Roman" w:hAnsi="Times New Roman" w:eastAsia="宋体" w:cs="Times New Roman"/>
          <w:color w:val="000000"/>
          <w:kern w:val="0"/>
          <w:sz w:val="24"/>
          <w:szCs w:val="24"/>
          <w:highlight w:val="none"/>
          <w:lang w:val="en-US" w:eastAsia="zh-CN" w:bidi="ar"/>
        </w:rPr>
        <w:t>7</w:t>
      </w:r>
      <w:r>
        <w:rPr>
          <w:rFonts w:hint="eastAsia" w:ascii="宋体" w:hAnsi="宋体" w:eastAsia="宋体" w:cs="宋体"/>
          <w:color w:val="000000"/>
          <w:kern w:val="0"/>
          <w:sz w:val="24"/>
          <w:szCs w:val="24"/>
          <w:highlight w:val="none"/>
          <w:lang w:val="en-US" w:eastAsia="zh-CN" w:bidi="ar"/>
        </w:rPr>
        <w:t>个植被型，</w:t>
      </w:r>
      <w:r>
        <w:rPr>
          <w:rFonts w:hint="default" w:ascii="Times New Roman" w:hAnsi="Times New Roman" w:eastAsia="宋体" w:cs="Times New Roman"/>
          <w:color w:val="000000"/>
          <w:kern w:val="0"/>
          <w:sz w:val="24"/>
          <w:szCs w:val="24"/>
          <w:highlight w:val="none"/>
          <w:lang w:val="en-US" w:eastAsia="zh-CN" w:bidi="ar"/>
        </w:rPr>
        <w:t>21</w:t>
      </w:r>
      <w:r>
        <w:rPr>
          <w:rFonts w:hint="eastAsia" w:ascii="宋体" w:hAnsi="宋体" w:eastAsia="宋体" w:cs="宋体"/>
          <w:color w:val="000000"/>
          <w:kern w:val="0"/>
          <w:sz w:val="24"/>
          <w:szCs w:val="24"/>
          <w:highlight w:val="none"/>
          <w:lang w:val="en-US" w:eastAsia="zh-CN" w:bidi="ar"/>
        </w:rPr>
        <w:t>个群系，包括亚热带针叶林、常绿阔叶林、常绿落叶阔叶林、竹林、常绿灌丛、落叶灌丛和山顶草甸，大面积为马尾松、柳杉、杉木、楠竹组成的人工林和主要以山胡椒属、木姜子属、山茶属、柃属、杜鹃花属植物组成的次生林，占南岳衡山风景区面积的</w:t>
      </w:r>
      <w:r>
        <w:rPr>
          <w:rFonts w:hint="default" w:ascii="Times New Roman" w:hAnsi="Times New Roman" w:eastAsia="宋体" w:cs="Times New Roman"/>
          <w:color w:val="000000"/>
          <w:kern w:val="0"/>
          <w:sz w:val="24"/>
          <w:szCs w:val="24"/>
          <w:highlight w:val="none"/>
          <w:lang w:val="en-US" w:eastAsia="zh-CN" w:bidi="ar"/>
        </w:rPr>
        <w:t>3/4</w:t>
      </w:r>
      <w:r>
        <w:rPr>
          <w:rFonts w:hint="eastAsia" w:ascii="宋体" w:hAnsi="宋体" w:eastAsia="宋体" w:cs="宋体"/>
          <w:color w:val="000000"/>
          <w:kern w:val="0"/>
          <w:sz w:val="24"/>
          <w:szCs w:val="24"/>
          <w:highlight w:val="none"/>
          <w:lang w:val="en-US" w:eastAsia="zh-CN" w:bidi="ar"/>
        </w:rPr>
        <w:t>。南岳森林植被起源古老，应系第三纪残遗植被。垂直分布规律不甚明显，地带性植被和原生性森林群落仅残存于广济寺、上封寺、藏经殿、龙池、方广寺和常在庵等地，群落类型分别为水丝梨林、长叶石栎林、包石栎锐齿槲栎林、甜槠林和水青冈长蕊杜鹃林，种类组成丰富、层次结构复杂、物种多样性水平高。</w:t>
      </w:r>
    </w:p>
    <w:p w14:paraId="39EDF51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eastAsia="宋体"/>
          <w:sz w:val="24"/>
          <w:szCs w:val="24"/>
          <w:highlight w:val="none"/>
          <w:lang w:val="en-US" w:eastAsia="zh-CN"/>
        </w:rPr>
      </w:pPr>
      <w:r>
        <w:rPr>
          <w:rFonts w:hint="eastAsia"/>
          <w:sz w:val="24"/>
          <w:szCs w:val="24"/>
          <w:highlight w:val="none"/>
          <w:lang w:val="en-US" w:eastAsia="zh-CN"/>
        </w:rPr>
        <w:t>经资料收集与现场勘查可知，本入河排污口设置于南岳区南岳镇红星村老屋组（南岳区龙荫港左岸）</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不涉及南岳区景区，</w:t>
      </w:r>
      <w:r>
        <w:rPr>
          <w:rFonts w:hint="eastAsia"/>
          <w:sz w:val="24"/>
          <w:szCs w:val="24"/>
          <w:highlight w:val="none"/>
          <w:lang w:val="en-US" w:eastAsia="zh-CN"/>
        </w:rPr>
        <w:t>入河排污口论证范围内，尚未发现珍稀动植物。</w:t>
      </w:r>
    </w:p>
    <w:p w14:paraId="5117C08E">
      <w:pPr>
        <w:pStyle w:val="6"/>
        <w:bidi w:val="0"/>
        <w:rPr>
          <w:rFonts w:hint="default"/>
          <w:highlight w:val="none"/>
          <w:lang w:val="en-US" w:eastAsia="zh-CN"/>
        </w:rPr>
      </w:pPr>
      <w:r>
        <w:rPr>
          <w:rFonts w:hint="eastAsia"/>
          <w:highlight w:val="none"/>
          <w:lang w:val="en-US" w:eastAsia="zh-CN"/>
        </w:rPr>
        <w:t>3.1.5 矿产资源</w:t>
      </w:r>
    </w:p>
    <w:p w14:paraId="63775E7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区境内矿产资源比较贫乏。主要有钾长石、瓷泥、钠长石、花岗岩石等以及内生矿种如铜、铅、锌、铀、钨、锡等。瓷泥、钠长石、钾长石主要分布于拜殿乡的龙潭、观音二村，铀矿分布于拜殿乡与马迹接壤处，花岗岩石主分布于南岳山脉一带，储量巨大，且龙凤乡的质优。但为了保护风景资源和生态环境，贯彻落实《南岳衡山风景名胜区保护管理办法》，</w:t>
      </w:r>
      <w:r>
        <w:rPr>
          <w:rFonts w:hint="default" w:ascii="Times New Roman" w:hAnsi="Times New Roman" w:eastAsia="宋体" w:cs="Times New Roman"/>
          <w:color w:val="000000"/>
          <w:kern w:val="0"/>
          <w:sz w:val="24"/>
          <w:szCs w:val="24"/>
          <w:highlight w:val="none"/>
          <w:lang w:val="en-US" w:eastAsia="zh-CN" w:bidi="ar"/>
        </w:rPr>
        <w:t>2003</w:t>
      </w:r>
      <w:r>
        <w:rPr>
          <w:rFonts w:hint="eastAsia" w:ascii="宋体" w:hAnsi="宋体" w:eastAsia="宋体" w:cs="宋体"/>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月，南岳镇人民政府以岳政通</w:t>
      </w:r>
      <w:r>
        <w:rPr>
          <w:rFonts w:hint="default" w:ascii="Times New Roman" w:hAnsi="Times New Roman" w:eastAsia="宋体" w:cs="Times New Roman"/>
          <w:color w:val="000000"/>
          <w:kern w:val="0"/>
          <w:sz w:val="24"/>
          <w:szCs w:val="24"/>
          <w:highlight w:val="none"/>
          <w:lang w:val="en-US" w:eastAsia="zh-CN" w:bidi="ar"/>
        </w:rPr>
        <w:t>(2003)1</w:t>
      </w:r>
      <w:r>
        <w:rPr>
          <w:rFonts w:hint="eastAsia" w:ascii="宋体" w:hAnsi="宋体" w:eastAsia="宋体" w:cs="宋体"/>
          <w:color w:val="000000"/>
          <w:kern w:val="0"/>
          <w:sz w:val="24"/>
          <w:szCs w:val="24"/>
          <w:highlight w:val="none"/>
          <w:lang w:val="en-US" w:eastAsia="zh-CN" w:bidi="ar"/>
        </w:rPr>
        <w:t>号发布了在南岳镇所辖的</w:t>
      </w:r>
      <w:r>
        <w:rPr>
          <w:rFonts w:hint="default" w:ascii="Times New Roman" w:hAnsi="Times New Roman" w:eastAsia="宋体" w:cs="Times New Roman"/>
          <w:color w:val="000000"/>
          <w:kern w:val="0"/>
          <w:sz w:val="24"/>
          <w:szCs w:val="24"/>
          <w:highlight w:val="none"/>
          <w:lang w:val="en-US" w:eastAsia="zh-CN" w:bidi="ar"/>
        </w:rPr>
        <w:t>181.5</w:t>
      </w:r>
      <w:r>
        <w:rPr>
          <w:rFonts w:hint="eastAsia" w:ascii="宋体" w:hAnsi="宋体" w:eastAsia="宋体" w:cs="宋体"/>
          <w:color w:val="000000"/>
          <w:kern w:val="0"/>
          <w:sz w:val="24"/>
          <w:szCs w:val="24"/>
          <w:highlight w:val="none"/>
          <w:lang w:val="en-US" w:eastAsia="zh-CN" w:bidi="ar"/>
        </w:rPr>
        <w:t>平方公里的范围内，全面禁止开山采石。</w:t>
      </w:r>
      <w:r>
        <w:rPr>
          <w:rFonts w:hint="default" w:ascii="Times New Roman" w:hAnsi="Times New Roman" w:eastAsia="宋体" w:cs="Times New Roman"/>
          <w:color w:val="000000"/>
          <w:kern w:val="0"/>
          <w:sz w:val="24"/>
          <w:szCs w:val="24"/>
          <w:highlight w:val="none"/>
          <w:lang w:val="en-US" w:eastAsia="zh-CN" w:bidi="ar"/>
        </w:rPr>
        <w:t>2005</w:t>
      </w:r>
      <w:r>
        <w:rPr>
          <w:rFonts w:hint="eastAsia" w:ascii="宋体" w:hAnsi="宋体" w:eastAsia="宋体" w:cs="宋体"/>
          <w:color w:val="000000"/>
          <w:kern w:val="0"/>
          <w:sz w:val="24"/>
          <w:szCs w:val="24"/>
          <w:highlight w:val="none"/>
          <w:lang w:val="en-US" w:eastAsia="zh-CN" w:bidi="ar"/>
        </w:rPr>
        <w:t>年湖南省人大颁布的《南岳衡山风景名胜区保护条例》明确规定：禁止在风景名胜区内设立采矿企业，禁止开山、采石等活动。</w:t>
      </w:r>
    </w:p>
    <w:p w14:paraId="6B6C5038">
      <w:pPr>
        <w:pStyle w:val="5"/>
        <w:numPr>
          <w:ilvl w:val="0"/>
          <w:numId w:val="0"/>
        </w:numPr>
        <w:bidi w:val="0"/>
        <w:ind w:left="0" w:leftChars="0" w:firstLine="0" w:firstLineChars="0"/>
        <w:rPr>
          <w:rFonts w:hint="eastAsia"/>
          <w:highlight w:val="none"/>
          <w:lang w:val="en-US" w:eastAsia="zh-CN"/>
        </w:rPr>
      </w:pPr>
      <w:bookmarkStart w:id="69" w:name="_Toc13189"/>
      <w:r>
        <w:rPr>
          <w:rFonts w:hint="eastAsia"/>
          <w:highlight w:val="none"/>
          <w:lang w:val="en-US" w:eastAsia="zh-CN"/>
        </w:rPr>
        <w:t>3.2 社会</w:t>
      </w:r>
      <w:r>
        <w:rPr>
          <w:rFonts w:hint="default"/>
          <w:highlight w:val="none"/>
          <w:lang w:val="en-US" w:eastAsia="en-US"/>
        </w:rPr>
        <w:t>环境</w:t>
      </w:r>
      <w:r>
        <w:rPr>
          <w:rFonts w:hint="eastAsia"/>
          <w:highlight w:val="none"/>
          <w:lang w:val="en-US" w:eastAsia="zh-CN"/>
        </w:rPr>
        <w:t>概况</w:t>
      </w:r>
      <w:bookmarkEnd w:id="69"/>
    </w:p>
    <w:p w14:paraId="22CDDE0A">
      <w:pPr>
        <w:pStyle w:val="6"/>
        <w:bidi w:val="0"/>
        <w:rPr>
          <w:rFonts w:hint="default"/>
          <w:highlight w:val="none"/>
          <w:lang w:val="en-US" w:eastAsia="zh-CN"/>
        </w:rPr>
      </w:pPr>
      <w:r>
        <w:rPr>
          <w:rFonts w:hint="eastAsia"/>
          <w:highlight w:val="none"/>
          <w:lang w:val="en-US" w:eastAsia="zh-CN"/>
        </w:rPr>
        <w:t>3.2.1 行政区划</w:t>
      </w:r>
    </w:p>
    <w:p w14:paraId="43EE66C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2015</w:t>
      </w:r>
      <w:r>
        <w:rPr>
          <w:rFonts w:hint="eastAsia" w:ascii="宋体" w:hAnsi="宋体" w:eastAsia="宋体" w:cs="宋体"/>
          <w:color w:val="000000"/>
          <w:kern w:val="0"/>
          <w:sz w:val="24"/>
          <w:szCs w:val="24"/>
          <w:highlight w:val="none"/>
          <w:lang w:val="en-US" w:eastAsia="zh-CN" w:bidi="ar"/>
        </w:rPr>
        <w:t>年乡镇区划调整合乡并村后，</w:t>
      </w:r>
      <w:r>
        <w:rPr>
          <w:rFonts w:hint="default" w:ascii="Times New Roman" w:hAnsi="Times New Roman" w:eastAsia="宋体" w:cs="Times New Roman"/>
          <w:color w:val="000000"/>
          <w:kern w:val="0"/>
          <w:sz w:val="24"/>
          <w:szCs w:val="24"/>
          <w:highlight w:val="none"/>
          <w:lang w:val="en-US" w:eastAsia="zh-CN" w:bidi="ar"/>
        </w:rPr>
        <w:t>2016</w:t>
      </w:r>
      <w:r>
        <w:rPr>
          <w:rFonts w:hint="eastAsia" w:ascii="宋体" w:hAnsi="宋体" w:eastAsia="宋体" w:cs="宋体"/>
          <w:color w:val="000000"/>
          <w:kern w:val="0"/>
          <w:sz w:val="24"/>
          <w:szCs w:val="24"/>
          <w:highlight w:val="none"/>
          <w:lang w:val="en-US" w:eastAsia="zh-CN" w:bidi="ar"/>
        </w:rPr>
        <w:t>年南岳区辖</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乡</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镇</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街道（即寿岳乡、南岳镇、祝融街道办事处），</w:t>
      </w:r>
      <w:r>
        <w:rPr>
          <w:rFonts w:hint="default" w:ascii="Times New Roman" w:hAnsi="Times New Roman" w:eastAsia="宋体" w:cs="Times New Roman"/>
          <w:color w:val="000000"/>
          <w:kern w:val="0"/>
          <w:sz w:val="24"/>
          <w:szCs w:val="24"/>
          <w:highlight w:val="none"/>
          <w:lang w:val="en-US" w:eastAsia="zh-CN" w:bidi="ar"/>
        </w:rPr>
        <w:t>18</w:t>
      </w:r>
      <w:r>
        <w:rPr>
          <w:rFonts w:hint="eastAsia" w:ascii="宋体" w:hAnsi="宋体" w:eastAsia="宋体" w:cs="宋体"/>
          <w:color w:val="000000"/>
          <w:kern w:val="0"/>
          <w:sz w:val="24"/>
          <w:szCs w:val="24"/>
          <w:highlight w:val="none"/>
          <w:lang w:val="en-US" w:eastAsia="zh-CN" w:bidi="ar"/>
        </w:rPr>
        <w:t>个建制村，</w:t>
      </w:r>
      <w:r>
        <w:rPr>
          <w:rFonts w:hint="default" w:ascii="Times New Roman" w:hAnsi="Times New Roman" w:eastAsia="宋体" w:cs="Times New Roman"/>
          <w:color w:val="000000"/>
          <w:kern w:val="0"/>
          <w:sz w:val="24"/>
          <w:szCs w:val="24"/>
          <w:highlight w:val="none"/>
          <w:lang w:val="en-US" w:eastAsia="zh-CN" w:bidi="ar"/>
        </w:rPr>
        <w:t>296</w:t>
      </w:r>
      <w:r>
        <w:rPr>
          <w:rFonts w:hint="eastAsia" w:ascii="宋体" w:hAnsi="宋体" w:eastAsia="宋体" w:cs="宋体"/>
          <w:color w:val="000000"/>
          <w:kern w:val="0"/>
          <w:sz w:val="24"/>
          <w:szCs w:val="24"/>
          <w:highlight w:val="none"/>
          <w:lang w:val="en-US" w:eastAsia="zh-CN" w:bidi="ar"/>
        </w:rPr>
        <w:t>个村民小组；</w:t>
      </w:r>
      <w:r>
        <w:rPr>
          <w:rFonts w:hint="default" w:ascii="Times New Roman" w:hAnsi="Times New Roman" w:eastAsia="宋体" w:cs="Times New Roman"/>
          <w:color w:val="000000"/>
          <w:kern w:val="0"/>
          <w:sz w:val="24"/>
          <w:szCs w:val="24"/>
          <w:highlight w:val="none"/>
          <w:lang w:val="en-US" w:eastAsia="zh-CN" w:bidi="ar"/>
        </w:rPr>
        <w:t>7</w:t>
      </w:r>
      <w:r>
        <w:rPr>
          <w:rFonts w:hint="eastAsia" w:ascii="宋体" w:hAnsi="宋体" w:eastAsia="宋体" w:cs="宋体"/>
          <w:color w:val="000000"/>
          <w:kern w:val="0"/>
          <w:sz w:val="24"/>
          <w:szCs w:val="24"/>
          <w:highlight w:val="none"/>
          <w:lang w:val="en-US" w:eastAsia="zh-CN" w:bidi="ar"/>
        </w:rPr>
        <w:t>个社区居委会，</w:t>
      </w:r>
      <w:r>
        <w:rPr>
          <w:rFonts w:hint="default" w:ascii="Times New Roman" w:hAnsi="Times New Roman" w:eastAsia="宋体" w:cs="Times New Roman"/>
          <w:color w:val="000000"/>
          <w:kern w:val="0"/>
          <w:sz w:val="24"/>
          <w:szCs w:val="24"/>
          <w:highlight w:val="none"/>
          <w:lang w:val="en-US" w:eastAsia="zh-CN" w:bidi="ar"/>
        </w:rPr>
        <w:t>101</w:t>
      </w:r>
      <w:r>
        <w:rPr>
          <w:rFonts w:hint="eastAsia" w:ascii="宋体" w:hAnsi="宋体" w:eastAsia="宋体" w:cs="宋体"/>
          <w:color w:val="000000"/>
          <w:kern w:val="0"/>
          <w:sz w:val="24"/>
          <w:szCs w:val="24"/>
          <w:highlight w:val="none"/>
          <w:lang w:val="en-US" w:eastAsia="zh-CN" w:bidi="ar"/>
        </w:rPr>
        <w:t>个居民小组。</w:t>
      </w:r>
    </w:p>
    <w:p w14:paraId="0AD5D35D">
      <w:pPr>
        <w:pStyle w:val="6"/>
        <w:bidi w:val="0"/>
        <w:rPr>
          <w:rFonts w:hint="default"/>
          <w:highlight w:val="none"/>
          <w:lang w:val="en-US" w:eastAsia="zh-CN"/>
        </w:rPr>
      </w:pPr>
      <w:r>
        <w:rPr>
          <w:rFonts w:hint="eastAsia"/>
          <w:highlight w:val="none"/>
          <w:lang w:val="en-US" w:eastAsia="zh-CN"/>
        </w:rPr>
        <w:t>3.2.2 人口、社会保障</w:t>
      </w:r>
    </w:p>
    <w:p w14:paraId="086E2D4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截至202</w:t>
      </w:r>
      <w:r>
        <w:rPr>
          <w:rFonts w:hint="eastAsia" w:ascii="Times New Roman" w:hAnsi="Times New Roman" w:eastAsia="宋体" w:cs="Times New Roman"/>
          <w:color w:val="000000"/>
          <w:kern w:val="0"/>
          <w:sz w:val="24"/>
          <w:szCs w:val="24"/>
          <w:highlight w:val="none"/>
          <w:lang w:val="en-US" w:eastAsia="zh-CN" w:bidi="ar"/>
        </w:rPr>
        <w:t>2</w:t>
      </w:r>
      <w:r>
        <w:rPr>
          <w:rFonts w:hint="default" w:ascii="Times New Roman" w:hAnsi="Times New Roman" w:eastAsia="宋体" w:cs="Times New Roman"/>
          <w:color w:val="000000"/>
          <w:kern w:val="0"/>
          <w:sz w:val="24"/>
          <w:szCs w:val="24"/>
          <w:highlight w:val="none"/>
          <w:lang w:val="en-US" w:eastAsia="zh-CN" w:bidi="ar"/>
        </w:rPr>
        <w:t>年末，</w:t>
      </w:r>
      <w:r>
        <w:rPr>
          <w:rFonts w:hint="eastAsia" w:ascii="宋体" w:hAnsi="宋体" w:eastAsia="宋体" w:cs="宋体"/>
          <w:color w:val="000000"/>
          <w:kern w:val="0"/>
          <w:sz w:val="24"/>
          <w:szCs w:val="24"/>
          <w:highlight w:val="none"/>
          <w:lang w:val="en-US" w:eastAsia="zh-CN" w:bidi="ar"/>
        </w:rPr>
        <w:t>全区常住人口</w:t>
      </w:r>
      <w:r>
        <w:rPr>
          <w:rFonts w:hint="default" w:ascii="Times New Roman" w:hAnsi="Times New Roman" w:eastAsia="宋体" w:cs="Times New Roman"/>
          <w:color w:val="000000"/>
          <w:kern w:val="0"/>
          <w:sz w:val="24"/>
          <w:szCs w:val="24"/>
          <w:highlight w:val="none"/>
          <w:lang w:val="en-US" w:eastAsia="zh-CN" w:bidi="ar"/>
        </w:rPr>
        <w:t>7.75</w:t>
      </w:r>
      <w:r>
        <w:rPr>
          <w:rFonts w:hint="eastAsia" w:ascii="宋体" w:hAnsi="宋体" w:eastAsia="宋体" w:cs="宋体"/>
          <w:color w:val="000000"/>
          <w:kern w:val="0"/>
          <w:sz w:val="24"/>
          <w:szCs w:val="24"/>
          <w:highlight w:val="none"/>
          <w:lang w:val="en-US" w:eastAsia="zh-CN" w:bidi="ar"/>
        </w:rPr>
        <w:t>万人。其中，城镇人口</w:t>
      </w:r>
      <w:r>
        <w:rPr>
          <w:rFonts w:hint="default" w:ascii="Times New Roman" w:hAnsi="Times New Roman" w:eastAsia="宋体" w:cs="Times New Roman"/>
          <w:color w:val="000000"/>
          <w:kern w:val="0"/>
          <w:sz w:val="24"/>
          <w:szCs w:val="24"/>
          <w:highlight w:val="none"/>
          <w:lang w:val="en-US" w:eastAsia="zh-CN" w:bidi="ar"/>
        </w:rPr>
        <w:t>5.58</w:t>
      </w:r>
      <w:r>
        <w:rPr>
          <w:rFonts w:hint="eastAsia" w:ascii="宋体" w:hAnsi="宋体" w:eastAsia="宋体" w:cs="宋体"/>
          <w:color w:val="000000"/>
          <w:kern w:val="0"/>
          <w:sz w:val="24"/>
          <w:szCs w:val="24"/>
          <w:highlight w:val="none"/>
          <w:lang w:val="en-US" w:eastAsia="zh-CN" w:bidi="ar"/>
        </w:rPr>
        <w:t>万人，农村人口</w:t>
      </w:r>
      <w:r>
        <w:rPr>
          <w:rFonts w:hint="default" w:ascii="Times New Roman" w:hAnsi="Times New Roman" w:eastAsia="宋体" w:cs="Times New Roman"/>
          <w:color w:val="000000"/>
          <w:kern w:val="0"/>
          <w:sz w:val="24"/>
          <w:szCs w:val="24"/>
          <w:highlight w:val="none"/>
          <w:lang w:val="en-US" w:eastAsia="zh-CN" w:bidi="ar"/>
        </w:rPr>
        <w:t>2.17</w:t>
      </w:r>
      <w:r>
        <w:rPr>
          <w:rFonts w:hint="eastAsia" w:ascii="宋体" w:hAnsi="宋体" w:eastAsia="宋体" w:cs="宋体"/>
          <w:color w:val="000000"/>
          <w:kern w:val="0"/>
          <w:sz w:val="24"/>
          <w:szCs w:val="24"/>
          <w:highlight w:val="none"/>
          <w:lang w:val="en-US" w:eastAsia="zh-CN" w:bidi="ar"/>
        </w:rPr>
        <w:t>万人，城镇化率</w:t>
      </w:r>
      <w:r>
        <w:rPr>
          <w:rFonts w:hint="default" w:ascii="Times New Roman" w:hAnsi="Times New Roman" w:eastAsia="宋体" w:cs="Times New Roman"/>
          <w:color w:val="000000"/>
          <w:kern w:val="0"/>
          <w:sz w:val="24"/>
          <w:szCs w:val="24"/>
          <w:highlight w:val="none"/>
          <w:lang w:val="en-US" w:eastAsia="zh-CN" w:bidi="ar"/>
        </w:rPr>
        <w:t>72%</w:t>
      </w:r>
      <w:r>
        <w:rPr>
          <w:rFonts w:hint="eastAsia" w:ascii="宋体" w:hAnsi="宋体" w:eastAsia="宋体" w:cs="宋体"/>
          <w:color w:val="000000"/>
          <w:kern w:val="0"/>
          <w:sz w:val="24"/>
          <w:szCs w:val="24"/>
          <w:highlight w:val="none"/>
          <w:lang w:val="en-US" w:eastAsia="zh-CN" w:bidi="ar"/>
        </w:rPr>
        <w:t>；全年出生人口</w:t>
      </w:r>
      <w:r>
        <w:rPr>
          <w:rFonts w:hint="default" w:ascii="Times New Roman" w:hAnsi="Times New Roman" w:eastAsia="宋体" w:cs="Times New Roman"/>
          <w:color w:val="000000"/>
          <w:kern w:val="0"/>
          <w:sz w:val="24"/>
          <w:szCs w:val="24"/>
          <w:highlight w:val="none"/>
          <w:lang w:val="en-US" w:eastAsia="zh-CN" w:bidi="ar"/>
        </w:rPr>
        <w:t>615</w:t>
      </w:r>
      <w:r>
        <w:rPr>
          <w:rFonts w:hint="eastAsia" w:ascii="宋体" w:hAnsi="宋体" w:eastAsia="宋体" w:cs="宋体"/>
          <w:color w:val="000000"/>
          <w:kern w:val="0"/>
          <w:sz w:val="24"/>
          <w:szCs w:val="24"/>
          <w:highlight w:val="none"/>
          <w:lang w:val="en-US" w:eastAsia="zh-CN" w:bidi="ar"/>
        </w:rPr>
        <w:t>人，出生率</w:t>
      </w:r>
      <w:r>
        <w:rPr>
          <w:rFonts w:hint="default" w:ascii="Times New Roman" w:hAnsi="Times New Roman" w:eastAsia="宋体" w:cs="Times New Roman"/>
          <w:color w:val="000000"/>
          <w:kern w:val="0"/>
          <w:sz w:val="24"/>
          <w:szCs w:val="24"/>
          <w:highlight w:val="none"/>
          <w:lang w:val="en-US" w:eastAsia="zh-CN" w:bidi="ar"/>
        </w:rPr>
        <w:t>9.74‰</w:t>
      </w:r>
      <w:r>
        <w:rPr>
          <w:rFonts w:hint="eastAsia" w:ascii="宋体" w:hAnsi="宋体" w:eastAsia="宋体" w:cs="宋体"/>
          <w:color w:val="000000"/>
          <w:kern w:val="0"/>
          <w:sz w:val="24"/>
          <w:szCs w:val="24"/>
          <w:highlight w:val="none"/>
          <w:lang w:val="en-US" w:eastAsia="zh-CN" w:bidi="ar"/>
        </w:rPr>
        <w:t>；人口自然增长率</w:t>
      </w:r>
      <w:r>
        <w:rPr>
          <w:rFonts w:hint="default" w:ascii="Times New Roman" w:hAnsi="Times New Roman" w:eastAsia="宋体" w:cs="Times New Roman"/>
          <w:color w:val="000000"/>
          <w:kern w:val="0"/>
          <w:sz w:val="24"/>
          <w:szCs w:val="24"/>
          <w:highlight w:val="none"/>
          <w:lang w:val="en-US" w:eastAsia="zh-CN" w:bidi="ar"/>
        </w:rPr>
        <w:t>4.78‰</w:t>
      </w:r>
    </w:p>
    <w:p w14:paraId="012BA0D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截至2022年末，</w:t>
      </w:r>
      <w:r>
        <w:rPr>
          <w:rFonts w:hint="eastAsia" w:ascii="Times New Roman" w:hAnsi="Times New Roman" w:eastAsia="宋体" w:cs="Times New Roman"/>
          <w:color w:val="000000"/>
          <w:kern w:val="0"/>
          <w:sz w:val="24"/>
          <w:szCs w:val="24"/>
          <w:highlight w:val="none"/>
          <w:lang w:val="en-US" w:eastAsia="zh-CN" w:bidi="ar"/>
        </w:rPr>
        <w:t>南岳区基本养老保险参保人数36972人。南岳区获得政府最低生活保障的城乡居民652人。其中，城镇低保144人，农村低保508人，全年累计发放最低生活保障金423.79万元。</w:t>
      </w:r>
    </w:p>
    <w:p w14:paraId="3231EF11">
      <w:pPr>
        <w:pStyle w:val="6"/>
        <w:bidi w:val="0"/>
        <w:rPr>
          <w:rFonts w:hint="default"/>
          <w:highlight w:val="none"/>
          <w:lang w:val="en-US" w:eastAsia="zh-CN"/>
        </w:rPr>
      </w:pPr>
      <w:r>
        <w:rPr>
          <w:rFonts w:hint="eastAsia"/>
          <w:highlight w:val="none"/>
          <w:lang w:val="en-US" w:eastAsia="zh-CN"/>
        </w:rPr>
        <w:t xml:space="preserve">3.2.3 </w:t>
      </w:r>
      <w:r>
        <w:rPr>
          <w:rFonts w:hint="default"/>
          <w:highlight w:val="none"/>
          <w:lang w:val="en-US" w:eastAsia="zh-CN"/>
        </w:rPr>
        <w:t>经济文化</w:t>
      </w:r>
    </w:p>
    <w:p w14:paraId="38776E9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2022年，南岳区实现地区生产总值（GDP）55.88亿元，比上年增长4.4%。其中，一、二、三产业增加值分别为2.54亿元、5.88亿元、47.46亿元，分别增长1.9%、5.5%、4.4%。三次产业结构比为4.5：10.5：85。分季度看，一季度GDP同比增长5.4%，二季度GDP同比增长4%，三季度GDP同比增长4.5%。</w:t>
      </w:r>
    </w:p>
    <w:p w14:paraId="2902CD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截至2022年末，南岳区有艺术表演团体24个，文化艺术馆1个，公共图书馆1个，博物馆1个，美术馆1个，版画馆1个，乡镇文化站3个。国家级非物质文化遗产保护目录1个，省级非物质文化遗产保护目录1个，市级非物质文化遗产保护目录7个，区级非物质文化遗产保护目录13个</w:t>
      </w:r>
    </w:p>
    <w:p w14:paraId="4F4F3BE6">
      <w:pPr>
        <w:pStyle w:val="5"/>
        <w:numPr>
          <w:ilvl w:val="0"/>
          <w:numId w:val="0"/>
        </w:numPr>
        <w:bidi w:val="0"/>
        <w:ind w:left="0" w:leftChars="0" w:firstLine="0" w:firstLineChars="0"/>
        <w:rPr>
          <w:rFonts w:hint="default"/>
          <w:highlight w:val="none"/>
          <w:lang w:val="en-US" w:eastAsia="zh-CN"/>
        </w:rPr>
      </w:pPr>
      <w:bookmarkStart w:id="70" w:name="_Toc32625"/>
      <w:r>
        <w:rPr>
          <w:rFonts w:hint="eastAsia"/>
          <w:highlight w:val="none"/>
          <w:lang w:val="en-US" w:eastAsia="zh-CN"/>
        </w:rPr>
        <w:t>3.3 区域水资源状况及开发利用情况</w:t>
      </w:r>
      <w:bookmarkEnd w:id="70"/>
    </w:p>
    <w:p w14:paraId="57B55F53">
      <w:pPr>
        <w:pStyle w:val="6"/>
        <w:bidi w:val="0"/>
        <w:rPr>
          <w:rFonts w:hint="default"/>
          <w:highlight w:val="none"/>
          <w:lang w:val="en-US"/>
        </w:rPr>
      </w:pPr>
      <w:r>
        <w:rPr>
          <w:rFonts w:hint="eastAsia"/>
          <w:highlight w:val="none"/>
          <w:lang w:val="en-US" w:eastAsia="zh-CN"/>
        </w:rPr>
        <w:t>3.3.1 降水</w:t>
      </w:r>
    </w:p>
    <w:p w14:paraId="77142EB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（1）降水地区分布</w:t>
      </w:r>
    </w:p>
    <w:p w14:paraId="451D521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sz w:val="24"/>
          <w:szCs w:val="24"/>
          <w:highlight w:val="none"/>
          <w:lang w:val="en-US" w:eastAsia="zh-CN"/>
        </w:rPr>
        <w:t>衡阳市境内各地年平均降水量在1230～1640mm之间，降水地区分布不均，山区大于平地，盆地四周多于盆地中间，四周山丘多年平均降水量1448.5mm，而盆地中间多年平均降水量只有1316.5mm。全市年降水量有两个高值区、一个低值区。南部的常宁市、耒阳市公平镇、夏塘镇、东湖乡、三都镇围成一个长方形的降水量高值区，年均降水量在1410mm以上；北部南岳衡山为一个圆形降水量高值区，年均降水量在1610mm以上。祁东县白地市镇、衡南县茅市镇至衡南县花桥镇形成一带状降水量低值区，年均降水量在1186mm以下。</w:t>
      </w:r>
    </w:p>
    <w:p w14:paraId="5C5DF212">
      <w:pPr>
        <w:bidi w:val="0"/>
        <w:rPr>
          <w:rFonts w:hint="default"/>
          <w:highlight w:val="none"/>
          <w:lang w:val="en-US" w:eastAsia="zh-CN"/>
        </w:rPr>
      </w:pPr>
      <w:r>
        <w:rPr>
          <w:highlight w:val="none"/>
        </w:rPr>
        <w:drawing>
          <wp:inline distT="0" distB="0" distL="114300" distR="114300">
            <wp:extent cx="5219700" cy="3978275"/>
            <wp:effectExtent l="0" t="0" r="0" b="31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219700" cy="3978275"/>
                    </a:xfrm>
                    <a:prstGeom prst="rect">
                      <a:avLst/>
                    </a:prstGeom>
                    <a:noFill/>
                    <a:ln>
                      <a:noFill/>
                    </a:ln>
                  </pic:spPr>
                </pic:pic>
              </a:graphicData>
            </a:graphic>
          </wp:inline>
        </w:drawing>
      </w:r>
    </w:p>
    <w:p w14:paraId="6EE468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highlight w:val="none"/>
          <w:lang w:val="en-US" w:eastAsia="zh-CN"/>
        </w:rPr>
      </w:pPr>
      <w:r>
        <w:rPr>
          <w:rFonts w:hint="eastAsia"/>
          <w:b/>
          <w:bCs/>
          <w:highlight w:val="none"/>
          <w:lang w:val="en-US" w:eastAsia="zh-CN"/>
        </w:rPr>
        <w:t>图3.3-1 衡阳市多年平均降雨均值线图</w:t>
      </w:r>
    </w:p>
    <w:p w14:paraId="58427E4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（2）降水量统计</w:t>
      </w:r>
    </w:p>
    <w:p w14:paraId="723C9F7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根据《湖南省衡阳市水资源综合规划报告》（2020~2035）</w:t>
      </w:r>
      <w:r>
        <w:rPr>
          <w:rFonts w:hint="eastAsia" w:ascii="Times New Roman" w:hAnsi="Times New Roman" w:eastAsia="宋体" w:cs="Times New Roman"/>
          <w:sz w:val="24"/>
          <w:szCs w:val="24"/>
          <w:highlight w:val="none"/>
          <w:lang w:val="en-US" w:eastAsia="zh-CN"/>
        </w:rPr>
        <w:t>中的</w:t>
      </w:r>
      <w:r>
        <w:rPr>
          <w:rFonts w:hint="default" w:ascii="Times New Roman" w:hAnsi="Times New Roman" w:eastAsia="宋体" w:cs="Times New Roman"/>
          <w:sz w:val="24"/>
          <w:szCs w:val="24"/>
          <w:highlight w:val="none"/>
          <w:lang w:val="en-US" w:eastAsia="zh-CN"/>
        </w:rPr>
        <w:t>统计</w:t>
      </w:r>
      <w:r>
        <w:rPr>
          <w:rFonts w:hint="eastAsia" w:ascii="Times New Roman" w:hAnsi="Times New Roman" w:eastAsia="宋体" w:cs="Times New Roman"/>
          <w:sz w:val="24"/>
          <w:szCs w:val="24"/>
          <w:highlight w:val="none"/>
          <w:lang w:val="en-US" w:eastAsia="zh-CN"/>
        </w:rPr>
        <w:t>数据</w:t>
      </w:r>
      <w:r>
        <w:rPr>
          <w:rFonts w:hint="default" w:ascii="Times New Roman" w:hAnsi="Times New Roman" w:eastAsia="宋体" w:cs="Times New Roman"/>
          <w:sz w:val="24"/>
          <w:szCs w:val="24"/>
          <w:highlight w:val="none"/>
          <w:lang w:val="en-US" w:eastAsia="zh-CN"/>
        </w:rPr>
        <w:t>，1956~2016年系列衡阳市多年平均降水量为1343.5mm、1956~2000年系列衡阳市多年平均降水量为1339.5mm。衡阳市1956~2016年系列（第三次水资源调查评价）比1956~2000年系列（第二次水资源调查评价）降水量均值有所增加，但总体变化差异不大，相对偏差为0.3%。</w:t>
      </w:r>
    </w:p>
    <w:p w14:paraId="04AFD3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highlight w:val="none"/>
          <w:lang w:val="en-US" w:eastAsia="zh-CN"/>
        </w:rPr>
      </w:pPr>
      <w:r>
        <w:rPr>
          <w:rFonts w:hint="eastAsia"/>
          <w:b/>
          <w:bCs/>
          <w:highlight w:val="none"/>
          <w:lang w:val="en-US" w:eastAsia="zh-CN"/>
        </w:rPr>
        <w:t>表3.3-1 衡阳市多年平均雨量成果表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2070"/>
        <w:gridCol w:w="1937"/>
        <w:gridCol w:w="1705"/>
        <w:gridCol w:w="1705"/>
      </w:tblGrid>
      <w:tr w14:paraId="2E8C8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105" w:type="dxa"/>
            <w:tcBorders>
              <w:tl2br w:val="nil"/>
              <w:tr2bl w:val="nil"/>
            </w:tcBorders>
            <w:noWrap w:val="0"/>
            <w:vAlign w:val="center"/>
          </w:tcPr>
          <w:p w14:paraId="3C9A3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市（州）</w:t>
            </w:r>
          </w:p>
        </w:tc>
        <w:tc>
          <w:tcPr>
            <w:tcW w:w="2070" w:type="dxa"/>
            <w:tcBorders>
              <w:tl2br w:val="nil"/>
              <w:tr2bl w:val="nil"/>
            </w:tcBorders>
            <w:noWrap w:val="0"/>
            <w:vAlign w:val="center"/>
          </w:tcPr>
          <w:p w14:paraId="416BC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1956~2016年多年平均降水量（mm）</w:t>
            </w:r>
          </w:p>
        </w:tc>
        <w:tc>
          <w:tcPr>
            <w:tcW w:w="1937" w:type="dxa"/>
            <w:tcBorders>
              <w:tl2br w:val="nil"/>
              <w:tr2bl w:val="nil"/>
            </w:tcBorders>
            <w:noWrap w:val="0"/>
            <w:vAlign w:val="center"/>
          </w:tcPr>
          <w:p w14:paraId="16F32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1956~2000年多年平均降水量（mm）</w:t>
            </w:r>
          </w:p>
        </w:tc>
        <w:tc>
          <w:tcPr>
            <w:tcW w:w="1705" w:type="dxa"/>
            <w:tcBorders>
              <w:tl2br w:val="nil"/>
              <w:tr2bl w:val="nil"/>
            </w:tcBorders>
            <w:noWrap w:val="0"/>
            <w:vAlign w:val="center"/>
          </w:tcPr>
          <w:p w14:paraId="28F32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二个系列降水量</w:t>
            </w:r>
          </w:p>
          <w:p w14:paraId="712CF9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差值（mm）</w:t>
            </w:r>
          </w:p>
        </w:tc>
        <w:tc>
          <w:tcPr>
            <w:tcW w:w="1705" w:type="dxa"/>
            <w:tcBorders>
              <w:tl2br w:val="nil"/>
              <w:tr2bl w:val="nil"/>
            </w:tcBorders>
            <w:noWrap w:val="0"/>
            <w:vAlign w:val="center"/>
          </w:tcPr>
          <w:p w14:paraId="45D822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二个系列降水量</w:t>
            </w:r>
          </w:p>
          <w:p w14:paraId="173B09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变化百分比（%）</w:t>
            </w:r>
          </w:p>
        </w:tc>
      </w:tr>
      <w:tr w14:paraId="69060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105" w:type="dxa"/>
            <w:tcBorders>
              <w:tl2br w:val="nil"/>
              <w:tr2bl w:val="nil"/>
            </w:tcBorders>
            <w:noWrap w:val="0"/>
            <w:vAlign w:val="center"/>
          </w:tcPr>
          <w:p w14:paraId="3DB716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衡阳市</w:t>
            </w:r>
          </w:p>
        </w:tc>
        <w:tc>
          <w:tcPr>
            <w:tcW w:w="2070" w:type="dxa"/>
            <w:tcBorders>
              <w:tl2br w:val="nil"/>
              <w:tr2bl w:val="nil"/>
            </w:tcBorders>
            <w:noWrap w:val="0"/>
            <w:vAlign w:val="center"/>
          </w:tcPr>
          <w:p w14:paraId="18507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1343.5</w:t>
            </w:r>
          </w:p>
        </w:tc>
        <w:tc>
          <w:tcPr>
            <w:tcW w:w="1937" w:type="dxa"/>
            <w:tcBorders>
              <w:tl2br w:val="nil"/>
              <w:tr2bl w:val="nil"/>
            </w:tcBorders>
            <w:noWrap w:val="0"/>
            <w:vAlign w:val="center"/>
          </w:tcPr>
          <w:p w14:paraId="066FA4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1339.5</w:t>
            </w:r>
          </w:p>
        </w:tc>
        <w:tc>
          <w:tcPr>
            <w:tcW w:w="1705" w:type="dxa"/>
            <w:tcBorders>
              <w:tl2br w:val="nil"/>
              <w:tr2bl w:val="nil"/>
            </w:tcBorders>
            <w:noWrap w:val="0"/>
            <w:vAlign w:val="center"/>
          </w:tcPr>
          <w:p w14:paraId="506FB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3.6</w:t>
            </w:r>
          </w:p>
        </w:tc>
        <w:tc>
          <w:tcPr>
            <w:tcW w:w="1705" w:type="dxa"/>
            <w:tcBorders>
              <w:tl2br w:val="nil"/>
              <w:tr2bl w:val="nil"/>
            </w:tcBorders>
            <w:noWrap w:val="0"/>
            <w:vAlign w:val="center"/>
          </w:tcPr>
          <w:p w14:paraId="707A3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0.3</w:t>
            </w:r>
          </w:p>
        </w:tc>
      </w:tr>
    </w:tbl>
    <w:p w14:paraId="662A75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highlight w:val="none"/>
          <w:lang w:val="en-US" w:eastAsia="zh-CN"/>
        </w:rPr>
      </w:pPr>
      <w:r>
        <w:rPr>
          <w:rFonts w:hint="eastAsia"/>
          <w:b/>
          <w:bCs/>
          <w:highlight w:val="none"/>
          <w:lang w:val="en-US" w:eastAsia="zh-CN"/>
        </w:rPr>
        <w:t>表3.3-2 衡阳市各区年降水量一览表（单位：mm）</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816"/>
        <w:gridCol w:w="817"/>
        <w:gridCol w:w="817"/>
        <w:gridCol w:w="817"/>
        <w:gridCol w:w="817"/>
        <w:gridCol w:w="817"/>
        <w:gridCol w:w="817"/>
        <w:gridCol w:w="817"/>
        <w:gridCol w:w="817"/>
      </w:tblGrid>
      <w:tr w14:paraId="6535D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70" w:type="dxa"/>
            <w:tcBorders>
              <w:tl2br w:val="nil"/>
              <w:tr2bl w:val="nil"/>
            </w:tcBorders>
            <w:noWrap w:val="0"/>
            <w:vAlign w:val="center"/>
          </w:tcPr>
          <w:p w14:paraId="4E9D8B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统计年度</w:t>
            </w:r>
          </w:p>
        </w:tc>
        <w:tc>
          <w:tcPr>
            <w:tcW w:w="816" w:type="dxa"/>
            <w:tcBorders>
              <w:tl2br w:val="nil"/>
              <w:tr2bl w:val="nil"/>
            </w:tcBorders>
            <w:noWrap w:val="0"/>
            <w:vAlign w:val="center"/>
          </w:tcPr>
          <w:p w14:paraId="6E714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市区</w:t>
            </w:r>
          </w:p>
        </w:tc>
        <w:tc>
          <w:tcPr>
            <w:tcW w:w="817" w:type="dxa"/>
            <w:tcBorders>
              <w:tl2br w:val="nil"/>
              <w:tr2bl w:val="nil"/>
            </w:tcBorders>
            <w:noWrap w:val="0"/>
            <w:vAlign w:val="center"/>
          </w:tcPr>
          <w:p w14:paraId="2EAA1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南岳区</w:t>
            </w:r>
          </w:p>
        </w:tc>
        <w:tc>
          <w:tcPr>
            <w:tcW w:w="817" w:type="dxa"/>
            <w:tcBorders>
              <w:tl2br w:val="nil"/>
              <w:tr2bl w:val="nil"/>
            </w:tcBorders>
            <w:noWrap w:val="0"/>
            <w:vAlign w:val="center"/>
          </w:tcPr>
          <w:p w14:paraId="6FBCA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衡阳县</w:t>
            </w:r>
          </w:p>
        </w:tc>
        <w:tc>
          <w:tcPr>
            <w:tcW w:w="817" w:type="dxa"/>
            <w:tcBorders>
              <w:tl2br w:val="nil"/>
              <w:tr2bl w:val="nil"/>
            </w:tcBorders>
            <w:noWrap w:val="0"/>
            <w:vAlign w:val="center"/>
          </w:tcPr>
          <w:p w14:paraId="084AC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衡南县</w:t>
            </w:r>
          </w:p>
        </w:tc>
        <w:tc>
          <w:tcPr>
            <w:tcW w:w="817" w:type="dxa"/>
            <w:tcBorders>
              <w:tl2br w:val="nil"/>
              <w:tr2bl w:val="nil"/>
            </w:tcBorders>
            <w:noWrap w:val="0"/>
            <w:vAlign w:val="center"/>
          </w:tcPr>
          <w:p w14:paraId="00984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衡山县</w:t>
            </w:r>
          </w:p>
        </w:tc>
        <w:tc>
          <w:tcPr>
            <w:tcW w:w="817" w:type="dxa"/>
            <w:tcBorders>
              <w:tl2br w:val="nil"/>
              <w:tr2bl w:val="nil"/>
            </w:tcBorders>
            <w:noWrap w:val="0"/>
            <w:vAlign w:val="center"/>
          </w:tcPr>
          <w:p w14:paraId="687AF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衡东县</w:t>
            </w:r>
          </w:p>
        </w:tc>
        <w:tc>
          <w:tcPr>
            <w:tcW w:w="817" w:type="dxa"/>
            <w:tcBorders>
              <w:tl2br w:val="nil"/>
              <w:tr2bl w:val="nil"/>
            </w:tcBorders>
            <w:noWrap w:val="0"/>
            <w:vAlign w:val="center"/>
          </w:tcPr>
          <w:p w14:paraId="47106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祁东县</w:t>
            </w:r>
          </w:p>
        </w:tc>
        <w:tc>
          <w:tcPr>
            <w:tcW w:w="817" w:type="dxa"/>
            <w:tcBorders>
              <w:tl2br w:val="nil"/>
              <w:tr2bl w:val="nil"/>
            </w:tcBorders>
            <w:noWrap w:val="0"/>
            <w:vAlign w:val="center"/>
          </w:tcPr>
          <w:p w14:paraId="4B404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耒阳市</w:t>
            </w:r>
          </w:p>
        </w:tc>
        <w:tc>
          <w:tcPr>
            <w:tcW w:w="817" w:type="dxa"/>
            <w:tcBorders>
              <w:tl2br w:val="nil"/>
              <w:tr2bl w:val="nil"/>
            </w:tcBorders>
            <w:noWrap w:val="0"/>
            <w:vAlign w:val="center"/>
          </w:tcPr>
          <w:p w14:paraId="08F7D6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常宁市</w:t>
            </w:r>
          </w:p>
        </w:tc>
      </w:tr>
      <w:tr w14:paraId="76F5B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70" w:type="dxa"/>
            <w:tcBorders>
              <w:tl2br w:val="nil"/>
              <w:tr2bl w:val="nil"/>
            </w:tcBorders>
            <w:noWrap w:val="0"/>
            <w:vAlign w:val="center"/>
          </w:tcPr>
          <w:p w14:paraId="07864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1956~2016</w:t>
            </w:r>
          </w:p>
        </w:tc>
        <w:tc>
          <w:tcPr>
            <w:tcW w:w="816" w:type="dxa"/>
            <w:tcBorders>
              <w:tl2br w:val="nil"/>
              <w:tr2bl w:val="nil"/>
            </w:tcBorders>
            <w:noWrap w:val="0"/>
            <w:vAlign w:val="center"/>
          </w:tcPr>
          <w:p w14:paraId="5B0137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1281.9</w:t>
            </w:r>
          </w:p>
        </w:tc>
        <w:tc>
          <w:tcPr>
            <w:tcW w:w="817" w:type="dxa"/>
            <w:tcBorders>
              <w:tl2br w:val="nil"/>
              <w:tr2bl w:val="nil"/>
            </w:tcBorders>
            <w:noWrap w:val="0"/>
            <w:vAlign w:val="center"/>
          </w:tcPr>
          <w:p w14:paraId="25BF69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1610.2</w:t>
            </w:r>
          </w:p>
        </w:tc>
        <w:tc>
          <w:tcPr>
            <w:tcW w:w="817" w:type="dxa"/>
            <w:tcBorders>
              <w:tl2br w:val="nil"/>
              <w:tr2bl w:val="nil"/>
            </w:tcBorders>
            <w:noWrap w:val="0"/>
            <w:vAlign w:val="center"/>
          </w:tcPr>
          <w:p w14:paraId="2E7A5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1292.5</w:t>
            </w:r>
          </w:p>
        </w:tc>
        <w:tc>
          <w:tcPr>
            <w:tcW w:w="817" w:type="dxa"/>
            <w:tcBorders>
              <w:tl2br w:val="nil"/>
              <w:tr2bl w:val="nil"/>
            </w:tcBorders>
            <w:noWrap w:val="0"/>
            <w:vAlign w:val="center"/>
          </w:tcPr>
          <w:p w14:paraId="6BA9D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1230.9</w:t>
            </w:r>
          </w:p>
        </w:tc>
        <w:tc>
          <w:tcPr>
            <w:tcW w:w="817" w:type="dxa"/>
            <w:tcBorders>
              <w:tl2br w:val="nil"/>
              <w:tr2bl w:val="nil"/>
            </w:tcBorders>
            <w:noWrap w:val="0"/>
            <w:vAlign w:val="center"/>
          </w:tcPr>
          <w:p w14:paraId="09F8C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1497.8</w:t>
            </w:r>
          </w:p>
        </w:tc>
        <w:tc>
          <w:tcPr>
            <w:tcW w:w="817" w:type="dxa"/>
            <w:tcBorders>
              <w:tl2br w:val="nil"/>
              <w:tr2bl w:val="nil"/>
            </w:tcBorders>
            <w:noWrap w:val="0"/>
            <w:vAlign w:val="center"/>
          </w:tcPr>
          <w:p w14:paraId="326B27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1369.5</w:t>
            </w:r>
          </w:p>
        </w:tc>
        <w:tc>
          <w:tcPr>
            <w:tcW w:w="817" w:type="dxa"/>
            <w:tcBorders>
              <w:tl2br w:val="nil"/>
              <w:tr2bl w:val="nil"/>
            </w:tcBorders>
            <w:noWrap w:val="0"/>
            <w:vAlign w:val="center"/>
          </w:tcPr>
          <w:p w14:paraId="6983B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1258.4</w:t>
            </w:r>
          </w:p>
        </w:tc>
        <w:tc>
          <w:tcPr>
            <w:tcW w:w="817" w:type="dxa"/>
            <w:tcBorders>
              <w:tl2br w:val="nil"/>
              <w:tr2bl w:val="nil"/>
            </w:tcBorders>
            <w:noWrap w:val="0"/>
            <w:vAlign w:val="center"/>
          </w:tcPr>
          <w:p w14:paraId="1F6BFF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1384.4</w:t>
            </w:r>
          </w:p>
        </w:tc>
        <w:tc>
          <w:tcPr>
            <w:tcW w:w="817" w:type="dxa"/>
            <w:tcBorders>
              <w:tl2br w:val="nil"/>
              <w:tr2bl w:val="nil"/>
            </w:tcBorders>
            <w:noWrap w:val="0"/>
            <w:vAlign w:val="center"/>
          </w:tcPr>
          <w:p w14:paraId="57C3D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1472.2</w:t>
            </w:r>
          </w:p>
        </w:tc>
      </w:tr>
      <w:tr w14:paraId="07956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70" w:type="dxa"/>
            <w:tcBorders>
              <w:tl2br w:val="nil"/>
              <w:tr2bl w:val="nil"/>
            </w:tcBorders>
            <w:noWrap w:val="0"/>
            <w:vAlign w:val="center"/>
          </w:tcPr>
          <w:p w14:paraId="33C6F6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1980~2016</w:t>
            </w:r>
          </w:p>
        </w:tc>
        <w:tc>
          <w:tcPr>
            <w:tcW w:w="816" w:type="dxa"/>
            <w:tcBorders>
              <w:tl2br w:val="nil"/>
              <w:tr2bl w:val="nil"/>
            </w:tcBorders>
            <w:noWrap w:val="0"/>
            <w:vAlign w:val="center"/>
          </w:tcPr>
          <w:p w14:paraId="0F8237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1306.1</w:t>
            </w:r>
          </w:p>
        </w:tc>
        <w:tc>
          <w:tcPr>
            <w:tcW w:w="817" w:type="dxa"/>
            <w:tcBorders>
              <w:tl2br w:val="nil"/>
              <w:tr2bl w:val="nil"/>
            </w:tcBorders>
            <w:noWrap w:val="0"/>
            <w:vAlign w:val="center"/>
          </w:tcPr>
          <w:p w14:paraId="2AF974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1636.4</w:t>
            </w:r>
          </w:p>
        </w:tc>
        <w:tc>
          <w:tcPr>
            <w:tcW w:w="817" w:type="dxa"/>
            <w:tcBorders>
              <w:tl2br w:val="nil"/>
              <w:tr2bl w:val="nil"/>
            </w:tcBorders>
            <w:noWrap w:val="0"/>
            <w:vAlign w:val="center"/>
          </w:tcPr>
          <w:p w14:paraId="76C94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1310.0</w:t>
            </w:r>
          </w:p>
        </w:tc>
        <w:tc>
          <w:tcPr>
            <w:tcW w:w="817" w:type="dxa"/>
            <w:tcBorders>
              <w:tl2br w:val="nil"/>
              <w:tr2bl w:val="nil"/>
            </w:tcBorders>
            <w:noWrap w:val="0"/>
            <w:vAlign w:val="center"/>
          </w:tcPr>
          <w:p w14:paraId="51A76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1249.0</w:t>
            </w:r>
          </w:p>
        </w:tc>
        <w:tc>
          <w:tcPr>
            <w:tcW w:w="817" w:type="dxa"/>
            <w:tcBorders>
              <w:tl2br w:val="nil"/>
              <w:tr2bl w:val="nil"/>
            </w:tcBorders>
            <w:noWrap w:val="0"/>
            <w:vAlign w:val="center"/>
          </w:tcPr>
          <w:p w14:paraId="6BD11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1520.2</w:t>
            </w:r>
          </w:p>
        </w:tc>
        <w:tc>
          <w:tcPr>
            <w:tcW w:w="817" w:type="dxa"/>
            <w:tcBorders>
              <w:tl2br w:val="nil"/>
              <w:tr2bl w:val="nil"/>
            </w:tcBorders>
            <w:noWrap w:val="0"/>
            <w:vAlign w:val="center"/>
          </w:tcPr>
          <w:p w14:paraId="61660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1405.3</w:t>
            </w:r>
          </w:p>
        </w:tc>
        <w:tc>
          <w:tcPr>
            <w:tcW w:w="817" w:type="dxa"/>
            <w:tcBorders>
              <w:tl2br w:val="nil"/>
              <w:tr2bl w:val="nil"/>
            </w:tcBorders>
            <w:noWrap w:val="0"/>
            <w:vAlign w:val="center"/>
          </w:tcPr>
          <w:p w14:paraId="20821E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1267.8</w:t>
            </w:r>
          </w:p>
        </w:tc>
        <w:tc>
          <w:tcPr>
            <w:tcW w:w="817" w:type="dxa"/>
            <w:tcBorders>
              <w:tl2br w:val="nil"/>
              <w:tr2bl w:val="nil"/>
            </w:tcBorders>
            <w:noWrap w:val="0"/>
            <w:vAlign w:val="center"/>
          </w:tcPr>
          <w:p w14:paraId="49118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1395.7</w:t>
            </w:r>
          </w:p>
        </w:tc>
        <w:tc>
          <w:tcPr>
            <w:tcW w:w="817" w:type="dxa"/>
            <w:tcBorders>
              <w:tl2br w:val="nil"/>
              <w:tr2bl w:val="nil"/>
            </w:tcBorders>
            <w:noWrap w:val="0"/>
            <w:vAlign w:val="center"/>
          </w:tcPr>
          <w:p w14:paraId="57D8AB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1478.6</w:t>
            </w:r>
          </w:p>
        </w:tc>
      </w:tr>
    </w:tbl>
    <w:p w14:paraId="743BB2A2">
      <w:pPr>
        <w:rPr>
          <w:rFonts w:hint="default" w:ascii="Times New Roman" w:hAnsi="Times New Roman" w:eastAsia="宋体" w:cs="Times New Roman"/>
          <w:highlight w:val="none"/>
          <w:lang w:val="en-US" w:eastAsia="zh-CN"/>
        </w:rPr>
      </w:pPr>
    </w:p>
    <w:p w14:paraId="682361DC">
      <w:pPr>
        <w:rPr>
          <w:rFonts w:hint="default" w:ascii="Times New Roman" w:hAnsi="Times New Roman" w:eastAsia="宋体" w:cs="Times New Roman"/>
          <w:highlight w:val="none"/>
          <w:lang w:val="en-US" w:eastAsia="zh-CN"/>
        </w:rPr>
      </w:pPr>
      <w:r>
        <w:rPr>
          <w:highlight w:val="none"/>
        </w:rPr>
        <w:drawing>
          <wp:inline distT="0" distB="0" distL="114300" distR="114300">
            <wp:extent cx="5219700" cy="3708400"/>
            <wp:effectExtent l="0" t="0" r="0" b="635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5219700" cy="3708400"/>
                    </a:xfrm>
                    <a:prstGeom prst="rect">
                      <a:avLst/>
                    </a:prstGeom>
                    <a:noFill/>
                    <a:ln>
                      <a:noFill/>
                    </a:ln>
                  </pic:spPr>
                </pic:pic>
              </a:graphicData>
            </a:graphic>
          </wp:inline>
        </w:drawing>
      </w:r>
    </w:p>
    <w:p w14:paraId="552F05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highlight w:val="none"/>
          <w:lang w:val="en-US" w:eastAsia="zh-CN"/>
        </w:rPr>
      </w:pPr>
      <w:r>
        <w:rPr>
          <w:rFonts w:hint="eastAsia"/>
          <w:b/>
          <w:bCs/>
          <w:highlight w:val="none"/>
          <w:lang w:val="en-US" w:eastAsia="zh-CN"/>
        </w:rPr>
        <w:t>图3.3-2 衡阳市降水量Cv等值线图</w:t>
      </w:r>
    </w:p>
    <w:p w14:paraId="3029853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（3）降水年内分配</w:t>
      </w:r>
    </w:p>
    <w:p w14:paraId="02CE032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衡阳市降水时空分布不均，全年降水主要集中在汛期4～9月，汛期降水量一般占全年的77%，仅主汛期4～6月的降水就占年总量的58%左右。一年中最大月降水量一般出现在5月，最小月降水量一般出现在 12~次年1月。由于降水时空分布不均，在降水量偏多的4～6月常发生洪涝灾害，而在8月下旬至</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0月中旬，受大气环流异常变动及衡阳地形地貌结构影响，位于“衡邵干旱走廊”的衡阳市出现降水量偏少、蒸发量大的现象，受其影响，衡阳盆地常出现秋旱，季节性干旱成为衡阳盆地降水时空分布不均的一个体现</w:t>
      </w:r>
    </w:p>
    <w:p w14:paraId="72B7F85F">
      <w:pPr>
        <w:rPr>
          <w:rFonts w:hint="default" w:ascii="Times New Roman" w:hAnsi="Times New Roman" w:eastAsia="宋体" w:cs="Times New Roman"/>
          <w:highlight w:val="none"/>
          <w:lang w:val="en-US" w:eastAsia="zh-CN"/>
        </w:rPr>
      </w:pPr>
      <w:r>
        <w:rPr>
          <w:highlight w:val="none"/>
        </w:rPr>
        <w:drawing>
          <wp:inline distT="0" distB="0" distL="114300" distR="114300">
            <wp:extent cx="5219700" cy="3179445"/>
            <wp:effectExtent l="0" t="0" r="0" b="190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3"/>
                    <a:stretch>
                      <a:fillRect/>
                    </a:stretch>
                  </pic:blipFill>
                  <pic:spPr>
                    <a:xfrm>
                      <a:off x="0" y="0"/>
                      <a:ext cx="5219700" cy="3179445"/>
                    </a:xfrm>
                    <a:prstGeom prst="rect">
                      <a:avLst/>
                    </a:prstGeom>
                    <a:noFill/>
                    <a:ln>
                      <a:noFill/>
                    </a:ln>
                  </pic:spPr>
                </pic:pic>
              </a:graphicData>
            </a:graphic>
          </wp:inline>
        </w:drawing>
      </w:r>
    </w:p>
    <w:p w14:paraId="74B450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highlight w:val="none"/>
          <w:lang w:val="en-US" w:eastAsia="zh-CN"/>
        </w:rPr>
      </w:pPr>
      <w:r>
        <w:rPr>
          <w:rFonts w:hint="eastAsia"/>
          <w:b/>
          <w:bCs/>
          <w:highlight w:val="none"/>
          <w:lang w:val="en-US" w:eastAsia="zh-CN"/>
        </w:rPr>
        <w:t>图3.3-3 衡阳市降雨量年内分配图</w:t>
      </w:r>
    </w:p>
    <w:p w14:paraId="67CD8DF4">
      <w:pPr>
        <w:pStyle w:val="6"/>
        <w:bidi w:val="0"/>
        <w:rPr>
          <w:rFonts w:hint="default"/>
          <w:highlight w:val="none"/>
          <w:lang w:val="en-US"/>
        </w:rPr>
      </w:pPr>
      <w:r>
        <w:rPr>
          <w:rFonts w:hint="eastAsia"/>
          <w:highlight w:val="none"/>
          <w:lang w:val="en-US" w:eastAsia="zh-CN"/>
        </w:rPr>
        <w:t>3.3.2蒸发</w:t>
      </w:r>
    </w:p>
    <w:p w14:paraId="3AB4920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衡阳各地年蒸发量在1375.4～1635.7mm之间，是全省蒸发量较大的地区之一。湖南省干旱指数g平均值为0.54，衡阳市干旱指数g在0.28~0.73之间，南岳区为全省最小值0.28。</w:t>
      </w:r>
    </w:p>
    <w:p w14:paraId="595C4605">
      <w:pPr>
        <w:rPr>
          <w:rFonts w:hint="default" w:ascii="Times New Roman" w:hAnsi="Times New Roman" w:eastAsia="宋体" w:cs="Times New Roman"/>
          <w:highlight w:val="none"/>
          <w:lang w:val="en-US" w:eastAsia="zh-CN"/>
        </w:rPr>
      </w:pPr>
      <w:r>
        <w:rPr>
          <w:highlight w:val="none"/>
        </w:rPr>
        <w:drawing>
          <wp:inline distT="0" distB="0" distL="114300" distR="114300">
            <wp:extent cx="5219700" cy="3609975"/>
            <wp:effectExtent l="0" t="0" r="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5219700" cy="3609975"/>
                    </a:xfrm>
                    <a:prstGeom prst="rect">
                      <a:avLst/>
                    </a:prstGeom>
                    <a:noFill/>
                    <a:ln>
                      <a:noFill/>
                    </a:ln>
                  </pic:spPr>
                </pic:pic>
              </a:graphicData>
            </a:graphic>
          </wp:inline>
        </w:drawing>
      </w:r>
    </w:p>
    <w:p w14:paraId="4E9412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highlight w:val="none"/>
          <w:lang w:val="en-US" w:eastAsia="zh-CN"/>
        </w:rPr>
      </w:pPr>
      <w:r>
        <w:rPr>
          <w:rFonts w:hint="eastAsia"/>
          <w:b/>
          <w:bCs/>
          <w:highlight w:val="none"/>
          <w:lang w:val="en-US" w:eastAsia="zh-CN"/>
        </w:rPr>
        <w:t>图3.3-4 衡阳市水面蒸发等值线图</w:t>
      </w:r>
    </w:p>
    <w:p w14:paraId="2294B77D">
      <w:pPr>
        <w:rPr>
          <w:rFonts w:hint="default" w:ascii="Times New Roman" w:hAnsi="Times New Roman" w:eastAsia="宋体" w:cs="Times New Roman"/>
          <w:highlight w:val="none"/>
          <w:lang w:val="en-US" w:eastAsia="zh-CN"/>
        </w:rPr>
      </w:pPr>
      <w:r>
        <w:rPr>
          <w:highlight w:val="none"/>
        </w:rPr>
        <w:drawing>
          <wp:inline distT="0" distB="0" distL="114300" distR="114300">
            <wp:extent cx="5219700" cy="3740785"/>
            <wp:effectExtent l="0" t="0" r="0" b="1206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5"/>
                    <a:stretch>
                      <a:fillRect/>
                    </a:stretch>
                  </pic:blipFill>
                  <pic:spPr>
                    <a:xfrm>
                      <a:off x="0" y="0"/>
                      <a:ext cx="5219700" cy="3740785"/>
                    </a:xfrm>
                    <a:prstGeom prst="rect">
                      <a:avLst/>
                    </a:prstGeom>
                    <a:noFill/>
                    <a:ln>
                      <a:noFill/>
                    </a:ln>
                  </pic:spPr>
                </pic:pic>
              </a:graphicData>
            </a:graphic>
          </wp:inline>
        </w:drawing>
      </w:r>
    </w:p>
    <w:p w14:paraId="6B4A79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highlight w:val="none"/>
          <w:lang w:val="en-US" w:eastAsia="zh-CN"/>
        </w:rPr>
      </w:pPr>
      <w:r>
        <w:rPr>
          <w:rFonts w:hint="eastAsia"/>
          <w:b/>
          <w:bCs/>
          <w:highlight w:val="none"/>
          <w:lang w:val="en-US" w:eastAsia="zh-CN"/>
        </w:rPr>
        <w:t>图3.3-5 衡阳市干旱指数等值线图</w:t>
      </w:r>
    </w:p>
    <w:p w14:paraId="499251D7">
      <w:pPr>
        <w:pStyle w:val="6"/>
        <w:bidi w:val="0"/>
        <w:rPr>
          <w:rFonts w:hint="default"/>
          <w:highlight w:val="none"/>
          <w:lang w:val="en-US"/>
        </w:rPr>
      </w:pPr>
      <w:r>
        <w:rPr>
          <w:rFonts w:hint="eastAsia"/>
          <w:highlight w:val="none"/>
          <w:lang w:val="en-US" w:eastAsia="zh-CN"/>
        </w:rPr>
        <w:t>3.3.3 地表水资源量</w:t>
      </w:r>
    </w:p>
    <w:p w14:paraId="3D1DF9F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（1）主要江河地表水资源量</w:t>
      </w:r>
    </w:p>
    <w:p w14:paraId="023E7FC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湘江干流自南向北，贯穿衡阳市。永州至衡阳为中游区，穿越衡邵盆地干旱区，雨量相对偏小，面积占全流域的32%，水量占总水量的 30%。沿途主要一级支流有舂陵水、蒸水、耒水。衡阳以下为下游，面积占全流域的45%，水量占总水量的45%。纳洣水、涓水等一级支流。特别是耒水、洣水两大支流汇入后，湘江水量增大，水面开阔。</w:t>
      </w:r>
    </w:p>
    <w:p w14:paraId="72742D7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湘江为全省重点流域，1956~2016年和1980~2016年系列地表水资源量成果见表3.3-3，衡阳市主要河流1956~2016年和1980~2016年系列天然年径流量见表3.3-4。</w:t>
      </w:r>
    </w:p>
    <w:p w14:paraId="044B42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b/>
          <w:bCs/>
          <w:sz w:val="21"/>
          <w:szCs w:val="21"/>
          <w:highlight w:val="none"/>
          <w:lang w:val="en-US" w:eastAsia="zh-CN"/>
        </w:rPr>
      </w:pPr>
      <w:r>
        <w:rPr>
          <w:rFonts w:hint="eastAsia"/>
          <w:b/>
          <w:bCs/>
          <w:sz w:val="21"/>
          <w:szCs w:val="21"/>
          <w:highlight w:val="none"/>
          <w:lang w:val="en-US" w:eastAsia="zh-CN"/>
        </w:rPr>
        <w:t xml:space="preserve">表3.3-3 </w:t>
      </w:r>
      <w:r>
        <w:rPr>
          <w:rFonts w:ascii="黑体" w:hAnsi="宋体" w:eastAsia="黑体" w:cs="黑体"/>
          <w:b/>
          <w:bCs/>
          <w:color w:val="000000"/>
          <w:kern w:val="0"/>
          <w:sz w:val="21"/>
          <w:szCs w:val="21"/>
          <w:highlight w:val="none"/>
          <w:lang w:val="en-US" w:eastAsia="zh-CN" w:bidi="ar"/>
        </w:rPr>
        <w:t>湘江流域地表水资源量</w:t>
      </w:r>
    </w:p>
    <w:p w14:paraId="5BC6D43C">
      <w:pPr>
        <w:rPr>
          <w:rFonts w:hint="default" w:ascii="Times New Roman" w:hAnsi="Times New Roman" w:eastAsia="宋体" w:cs="Times New Roman"/>
          <w:highlight w:val="none"/>
          <w:lang w:val="en-US" w:eastAsia="zh-CN"/>
        </w:rPr>
      </w:pPr>
      <w:r>
        <w:rPr>
          <w:highlight w:val="none"/>
        </w:rPr>
        <w:drawing>
          <wp:inline distT="0" distB="0" distL="114300" distR="114300">
            <wp:extent cx="5272405" cy="1473835"/>
            <wp:effectExtent l="0" t="0" r="4445" b="1206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6"/>
                    <a:stretch>
                      <a:fillRect/>
                    </a:stretch>
                  </pic:blipFill>
                  <pic:spPr>
                    <a:xfrm>
                      <a:off x="0" y="0"/>
                      <a:ext cx="5272405" cy="1473835"/>
                    </a:xfrm>
                    <a:prstGeom prst="rect">
                      <a:avLst/>
                    </a:prstGeom>
                    <a:noFill/>
                    <a:ln>
                      <a:noFill/>
                    </a:ln>
                  </pic:spPr>
                </pic:pic>
              </a:graphicData>
            </a:graphic>
          </wp:inline>
        </w:drawing>
      </w:r>
    </w:p>
    <w:p w14:paraId="1BD159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表3.3-4 </w:t>
      </w:r>
      <w:r>
        <w:rPr>
          <w:rFonts w:hint="default" w:ascii="Times New Roman" w:hAnsi="Times New Roman" w:eastAsia="宋体" w:cs="Times New Roman"/>
          <w:b/>
          <w:bCs/>
          <w:sz w:val="21"/>
          <w:szCs w:val="21"/>
          <w:highlight w:val="none"/>
          <w:lang w:val="en-US" w:eastAsia="zh-CN"/>
        </w:rPr>
        <w:t>衡阳市主要河流天然径流量（地表水资源量）</w:t>
      </w:r>
    </w:p>
    <w:p w14:paraId="3F776166">
      <w:pPr>
        <w:rPr>
          <w:rFonts w:hint="default" w:ascii="Times New Roman" w:hAnsi="Times New Roman" w:eastAsia="宋体" w:cs="Times New Roman"/>
          <w:highlight w:val="none"/>
          <w:lang w:val="en-US" w:eastAsia="zh-CN"/>
        </w:rPr>
      </w:pPr>
      <w:r>
        <w:rPr>
          <w:highlight w:val="none"/>
        </w:rPr>
        <w:drawing>
          <wp:inline distT="0" distB="0" distL="114300" distR="114300">
            <wp:extent cx="5272405" cy="2347595"/>
            <wp:effectExtent l="0" t="0" r="4445" b="1460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7"/>
                    <a:stretch>
                      <a:fillRect/>
                    </a:stretch>
                  </pic:blipFill>
                  <pic:spPr>
                    <a:xfrm>
                      <a:off x="0" y="0"/>
                      <a:ext cx="5272405" cy="2347595"/>
                    </a:xfrm>
                    <a:prstGeom prst="rect">
                      <a:avLst/>
                    </a:prstGeom>
                    <a:noFill/>
                    <a:ln>
                      <a:noFill/>
                    </a:ln>
                  </pic:spPr>
                </pic:pic>
              </a:graphicData>
            </a:graphic>
          </wp:inline>
        </w:drawing>
      </w:r>
    </w:p>
    <w:p w14:paraId="3219147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行政分区地表水资源量</w:t>
      </w:r>
    </w:p>
    <w:p w14:paraId="3817694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衡阳市1956~2016年系列地表水资源量为110.0亿m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，延长至2019年，全市地表水资源量为116.04亿m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。全市辖12个县市区，地表水资源量以耒阳市20.41亿m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为最大，以南岳区1.554亿m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为最少。</w:t>
      </w:r>
    </w:p>
    <w:p w14:paraId="3D7FFB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1F3159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35C99E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12E432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66C371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6BE238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67BFBB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2FEF8D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p>
    <w:p w14:paraId="641136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表3.3-5 </w:t>
      </w:r>
      <w:r>
        <w:rPr>
          <w:rFonts w:hint="default" w:ascii="Times New Roman" w:hAnsi="Times New Roman" w:eastAsia="宋体" w:cs="Times New Roman"/>
          <w:b/>
          <w:bCs/>
          <w:sz w:val="21"/>
          <w:szCs w:val="21"/>
          <w:highlight w:val="none"/>
          <w:lang w:val="en-US" w:eastAsia="zh-CN"/>
        </w:rPr>
        <w:t>衡阳市</w:t>
      </w:r>
      <w:r>
        <w:rPr>
          <w:rFonts w:hint="eastAsia" w:ascii="Times New Roman" w:hAnsi="Times New Roman" w:eastAsia="宋体" w:cs="Times New Roman"/>
          <w:b/>
          <w:bCs/>
          <w:sz w:val="21"/>
          <w:szCs w:val="21"/>
          <w:highlight w:val="none"/>
          <w:lang w:val="en-US" w:eastAsia="zh-CN"/>
        </w:rPr>
        <w:t>各</w:t>
      </w:r>
      <w:r>
        <w:rPr>
          <w:rFonts w:hint="default" w:ascii="Times New Roman" w:hAnsi="Times New Roman" w:eastAsia="宋体" w:cs="Times New Roman"/>
          <w:b/>
          <w:bCs/>
          <w:sz w:val="21"/>
          <w:szCs w:val="21"/>
          <w:highlight w:val="none"/>
          <w:lang w:val="en-US" w:eastAsia="zh-CN"/>
        </w:rPr>
        <w:t>县级行政区地表水资源量</w:t>
      </w:r>
    </w:p>
    <w:p w14:paraId="6BEB231C">
      <w:pPr>
        <w:rPr>
          <w:rFonts w:hint="default" w:ascii="Times New Roman" w:hAnsi="Times New Roman" w:eastAsia="宋体" w:cs="Times New Roman"/>
          <w:highlight w:val="none"/>
          <w:lang w:val="en-US" w:eastAsia="zh-CN"/>
        </w:rPr>
      </w:pPr>
      <w:r>
        <w:rPr>
          <w:highlight w:val="none"/>
        </w:rPr>
        <w:drawing>
          <wp:inline distT="0" distB="0" distL="114300" distR="114300">
            <wp:extent cx="5272405" cy="2667000"/>
            <wp:effectExtent l="0" t="0" r="444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8"/>
                    <a:stretch>
                      <a:fillRect/>
                    </a:stretch>
                  </pic:blipFill>
                  <pic:spPr>
                    <a:xfrm>
                      <a:off x="0" y="0"/>
                      <a:ext cx="5272405" cy="2667000"/>
                    </a:xfrm>
                    <a:prstGeom prst="rect">
                      <a:avLst/>
                    </a:prstGeom>
                    <a:noFill/>
                    <a:ln>
                      <a:noFill/>
                    </a:ln>
                  </pic:spPr>
                </pic:pic>
              </a:graphicData>
            </a:graphic>
          </wp:inline>
        </w:drawing>
      </w:r>
    </w:p>
    <w:p w14:paraId="6BB69E1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（3）出入境水量</w:t>
      </w:r>
    </w:p>
    <w:p w14:paraId="50F1B798">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衡阳市入境河流主要有湘江、舂陵水、蒸水、耒水、洣水和涓水，出境河流除涓水从衡阳湘潭界流出，其余全部在境内汇入湘江，于湘江衡阳株洲界出境。根据出入境控制断面多年平均流量推算，衡阳市多年平均入境水量为419.15亿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，出境水量为531.60亿m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w:t>
      </w:r>
    </w:p>
    <w:p w14:paraId="6B9E9E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表3.3-6 衡阳市多年平均出入境水量</w:t>
      </w:r>
    </w:p>
    <w:p w14:paraId="10C2BE3B">
      <w:pPr>
        <w:bidi w:val="0"/>
        <w:rPr>
          <w:rFonts w:hint="eastAsia"/>
          <w:highlight w:val="none"/>
          <w:lang w:val="en-US" w:eastAsia="zh-CN"/>
        </w:rPr>
      </w:pPr>
      <w:r>
        <w:rPr>
          <w:highlight w:val="none"/>
        </w:rPr>
        <w:drawing>
          <wp:inline distT="0" distB="0" distL="114300" distR="114300">
            <wp:extent cx="5269230" cy="1827530"/>
            <wp:effectExtent l="0" t="0" r="7620" b="12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19"/>
                    <a:stretch>
                      <a:fillRect/>
                    </a:stretch>
                  </pic:blipFill>
                  <pic:spPr>
                    <a:xfrm>
                      <a:off x="0" y="0"/>
                      <a:ext cx="5269230" cy="1827530"/>
                    </a:xfrm>
                    <a:prstGeom prst="rect">
                      <a:avLst/>
                    </a:prstGeom>
                    <a:noFill/>
                    <a:ln>
                      <a:noFill/>
                    </a:ln>
                  </pic:spPr>
                </pic:pic>
              </a:graphicData>
            </a:graphic>
          </wp:inline>
        </w:drawing>
      </w:r>
    </w:p>
    <w:p w14:paraId="4C13ADE8">
      <w:pPr>
        <w:pStyle w:val="6"/>
        <w:bidi w:val="0"/>
        <w:rPr>
          <w:rFonts w:hint="default"/>
          <w:highlight w:val="none"/>
          <w:lang w:val="en-US"/>
        </w:rPr>
      </w:pPr>
      <w:r>
        <w:rPr>
          <w:rFonts w:hint="eastAsia"/>
          <w:highlight w:val="none"/>
          <w:lang w:val="en-US" w:eastAsia="zh-CN"/>
        </w:rPr>
        <w:t>3.3.4 地下水资源量</w:t>
      </w:r>
    </w:p>
    <w:p w14:paraId="4338133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衡阳地下水资源形成条件、赋存特征和岩性等，可分为松散岩类孔隙水、碳酸盐类岩溶水、基岩裂隙水及红层孔隙水四种类型。衡阳市地下水资源主要由降水入渗补给，在地区上分布的规律是：山区大于丘陵，多雨区大于少雨区，林区大于荒地。时空分布规律与降水、地表径流的分布规律相近</w:t>
      </w:r>
    </w:p>
    <w:p w14:paraId="3404691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根据《湖南省衡阳市水资源综合规划报告》（2020~2035）</w:t>
      </w:r>
      <w:r>
        <w:rPr>
          <w:rFonts w:hint="eastAsia" w:ascii="Times New Roman" w:hAnsi="Times New Roman" w:eastAsia="宋体" w:cs="Times New Roman"/>
          <w:sz w:val="24"/>
          <w:szCs w:val="24"/>
          <w:highlight w:val="none"/>
          <w:lang w:val="en-US" w:eastAsia="zh-CN"/>
        </w:rPr>
        <w:t>，衡阳市多年平均地下水资源量为26.15亿m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，占全省多年平均地下水资源量397.18亿m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的6.58%。</w:t>
      </w:r>
    </w:p>
    <w:p w14:paraId="66BA22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表3.3-7 衡阳市多年平均地下水资源量</w:t>
      </w:r>
    </w:p>
    <w:p w14:paraId="64C3E6AF">
      <w:pPr>
        <w:rPr>
          <w:rFonts w:hint="default" w:ascii="Times New Roman" w:hAnsi="Times New Roman" w:eastAsia="宋体" w:cs="Times New Roman"/>
          <w:highlight w:val="none"/>
          <w:lang w:val="en-US" w:eastAsia="zh-CN"/>
        </w:rPr>
      </w:pPr>
      <w:r>
        <w:rPr>
          <w:highlight w:val="none"/>
        </w:rPr>
        <w:drawing>
          <wp:inline distT="0" distB="0" distL="114300" distR="114300">
            <wp:extent cx="5273675" cy="1058545"/>
            <wp:effectExtent l="0" t="0" r="3175" b="825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0"/>
                    <a:stretch>
                      <a:fillRect/>
                    </a:stretch>
                  </pic:blipFill>
                  <pic:spPr>
                    <a:xfrm>
                      <a:off x="0" y="0"/>
                      <a:ext cx="5273675" cy="1058545"/>
                    </a:xfrm>
                    <a:prstGeom prst="rect">
                      <a:avLst/>
                    </a:prstGeom>
                    <a:noFill/>
                    <a:ln>
                      <a:noFill/>
                    </a:ln>
                  </pic:spPr>
                </pic:pic>
              </a:graphicData>
            </a:graphic>
          </wp:inline>
        </w:drawing>
      </w:r>
    </w:p>
    <w:p w14:paraId="386BC1B0">
      <w:pPr>
        <w:pStyle w:val="6"/>
        <w:bidi w:val="0"/>
        <w:rPr>
          <w:rFonts w:hint="eastAsia"/>
          <w:highlight w:val="none"/>
          <w:lang w:val="en-US" w:eastAsia="zh-CN"/>
        </w:rPr>
      </w:pPr>
      <w:r>
        <w:rPr>
          <w:rFonts w:hint="eastAsia"/>
          <w:highlight w:val="none"/>
          <w:lang w:val="en-US" w:eastAsia="zh-CN"/>
        </w:rPr>
        <w:t>3.3.5水资源总量</w:t>
      </w:r>
    </w:p>
    <w:p w14:paraId="5E2B133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根据《湖南省衡阳市水资源综合规划报告》（2020~2035）</w:t>
      </w:r>
      <w:r>
        <w:rPr>
          <w:rFonts w:hint="eastAsia" w:ascii="Times New Roman" w:hAnsi="Times New Roman" w:eastAsia="宋体" w:cs="Times New Roman"/>
          <w:sz w:val="24"/>
          <w:szCs w:val="24"/>
          <w:highlight w:val="none"/>
          <w:lang w:val="en-US" w:eastAsia="zh-CN"/>
        </w:rPr>
        <w:t>，1956~2019年系列衡阳市多年平均水资源总量为116.04亿m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w:t>
      </w:r>
    </w:p>
    <w:p w14:paraId="398A74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表3.3-8 衡阳市水资源总量</w:t>
      </w:r>
    </w:p>
    <w:p w14:paraId="5CFA9F6F">
      <w:pPr>
        <w:rPr>
          <w:rFonts w:hint="default" w:ascii="Times New Roman" w:hAnsi="Times New Roman" w:eastAsia="宋体" w:cs="Times New Roman"/>
          <w:highlight w:val="none"/>
          <w:lang w:val="en-US" w:eastAsia="zh-CN"/>
        </w:rPr>
      </w:pPr>
      <w:r>
        <w:rPr>
          <w:highlight w:val="none"/>
        </w:rPr>
        <w:drawing>
          <wp:inline distT="0" distB="0" distL="114300" distR="114300">
            <wp:extent cx="5272405" cy="1273175"/>
            <wp:effectExtent l="0" t="0" r="4445" b="317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5272405" cy="1273175"/>
                    </a:xfrm>
                    <a:prstGeom prst="rect">
                      <a:avLst/>
                    </a:prstGeom>
                    <a:noFill/>
                    <a:ln>
                      <a:noFill/>
                    </a:ln>
                  </pic:spPr>
                </pic:pic>
              </a:graphicData>
            </a:graphic>
          </wp:inline>
        </w:drawing>
      </w:r>
    </w:p>
    <w:p w14:paraId="26AF39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表3.3-9 </w:t>
      </w:r>
      <w:r>
        <w:rPr>
          <w:rFonts w:hint="default" w:ascii="Times New Roman" w:hAnsi="Times New Roman" w:eastAsia="宋体" w:cs="Times New Roman"/>
          <w:b/>
          <w:bCs/>
          <w:sz w:val="21"/>
          <w:szCs w:val="21"/>
          <w:highlight w:val="none"/>
          <w:lang w:val="en-US" w:eastAsia="zh-CN"/>
        </w:rPr>
        <w:t>衡阳市县级行政区水资源总量</w:t>
      </w:r>
    </w:p>
    <w:p w14:paraId="4C38FA1E">
      <w:pPr>
        <w:rPr>
          <w:rFonts w:hint="default" w:ascii="Times New Roman" w:hAnsi="Times New Roman" w:eastAsia="宋体" w:cs="Times New Roman"/>
          <w:highlight w:val="none"/>
          <w:lang w:val="en-US" w:eastAsia="zh-CN"/>
        </w:rPr>
      </w:pPr>
      <w:r>
        <w:rPr>
          <w:highlight w:val="none"/>
        </w:rPr>
        <w:drawing>
          <wp:inline distT="0" distB="0" distL="114300" distR="114300">
            <wp:extent cx="5269865" cy="2399665"/>
            <wp:effectExtent l="0" t="0" r="6985" b="63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2"/>
                    <a:stretch>
                      <a:fillRect/>
                    </a:stretch>
                  </pic:blipFill>
                  <pic:spPr>
                    <a:xfrm>
                      <a:off x="0" y="0"/>
                      <a:ext cx="5269865" cy="2399665"/>
                    </a:xfrm>
                    <a:prstGeom prst="rect">
                      <a:avLst/>
                    </a:prstGeom>
                    <a:noFill/>
                    <a:ln>
                      <a:noFill/>
                    </a:ln>
                  </pic:spPr>
                </pic:pic>
              </a:graphicData>
            </a:graphic>
          </wp:inline>
        </w:drawing>
      </w:r>
    </w:p>
    <w:p w14:paraId="07784876">
      <w:pPr>
        <w:rPr>
          <w:rFonts w:hint="default" w:ascii="Times New Roman" w:hAnsi="Times New Roman" w:eastAsia="宋体" w:cs="Times New Roman"/>
          <w:highlight w:val="none"/>
          <w:lang w:val="en-US" w:eastAsia="zh-CN"/>
        </w:rPr>
      </w:pPr>
      <w:r>
        <w:rPr>
          <w:highlight w:val="none"/>
        </w:rPr>
        <w:drawing>
          <wp:inline distT="0" distB="0" distL="114300" distR="114300">
            <wp:extent cx="5219700" cy="3194050"/>
            <wp:effectExtent l="0" t="0" r="0" b="635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3"/>
                    <a:stretch>
                      <a:fillRect/>
                    </a:stretch>
                  </pic:blipFill>
                  <pic:spPr>
                    <a:xfrm>
                      <a:off x="0" y="0"/>
                      <a:ext cx="5219700" cy="3194050"/>
                    </a:xfrm>
                    <a:prstGeom prst="rect">
                      <a:avLst/>
                    </a:prstGeom>
                    <a:noFill/>
                    <a:ln>
                      <a:noFill/>
                    </a:ln>
                  </pic:spPr>
                </pic:pic>
              </a:graphicData>
            </a:graphic>
          </wp:inline>
        </w:drawing>
      </w:r>
    </w:p>
    <w:p w14:paraId="757EB6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w:t>
      </w:r>
      <w:r>
        <w:rPr>
          <w:rFonts w:hint="eastAsia" w:ascii="Times New Roman" w:hAnsi="Times New Roman" w:eastAsia="宋体" w:cs="Times New Roman"/>
          <w:b/>
          <w:bCs/>
          <w:highlight w:val="none"/>
          <w:lang w:val="en-US" w:eastAsia="zh-CN"/>
        </w:rPr>
        <w:t>3.3</w:t>
      </w:r>
      <w:r>
        <w:rPr>
          <w:rFonts w:hint="default" w:ascii="Times New Roman" w:hAnsi="Times New Roman" w:eastAsia="宋体" w:cs="Times New Roman"/>
          <w:b/>
          <w:bCs/>
          <w:highlight w:val="none"/>
          <w:lang w:val="en-US" w:eastAsia="zh-CN"/>
        </w:rPr>
        <w:t>-</w:t>
      </w:r>
      <w:r>
        <w:rPr>
          <w:rFonts w:hint="eastAsia"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lang w:val="en-US" w:eastAsia="zh-CN"/>
        </w:rPr>
        <w:t xml:space="preserve"> 衡阳市水资源总量柱状图</w:t>
      </w:r>
    </w:p>
    <w:p w14:paraId="1093BF10">
      <w:pPr>
        <w:pStyle w:val="6"/>
        <w:bidi w:val="0"/>
        <w:rPr>
          <w:rFonts w:hint="default"/>
          <w:highlight w:val="none"/>
          <w:lang w:val="en-US" w:eastAsia="zh-CN"/>
        </w:rPr>
      </w:pPr>
      <w:r>
        <w:rPr>
          <w:rFonts w:hint="eastAsia"/>
          <w:highlight w:val="none"/>
          <w:lang w:val="en-US" w:eastAsia="zh-CN"/>
        </w:rPr>
        <w:t>3.3.6 区域水资源开发利用分析</w:t>
      </w:r>
    </w:p>
    <w:p w14:paraId="1833882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（1）供水量</w:t>
      </w:r>
    </w:p>
    <w:p w14:paraId="4056F6E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根据《湖南省衡阳市水资源综合规划报告》（2020~2035）</w:t>
      </w:r>
      <w:r>
        <w:rPr>
          <w:rFonts w:hint="eastAsia" w:ascii="Times New Roman" w:hAnsi="Times New Roman" w:eastAsia="宋体" w:cs="Times New Roman"/>
          <w:sz w:val="24"/>
          <w:szCs w:val="24"/>
          <w:highlight w:val="none"/>
          <w:lang w:val="en-US" w:eastAsia="zh-CN"/>
        </w:rPr>
        <w:t>中2019年衡阳市供水量统计结果可知：</w:t>
      </w:r>
    </w:p>
    <w:p w14:paraId="583A906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sz w:val="24"/>
          <w:szCs w:val="24"/>
          <w:highlight w:val="none"/>
          <w:vertAlign w:val="baseline"/>
          <w:lang w:val="en-US" w:eastAsia="zh-CN"/>
        </w:rPr>
      </w:pPr>
      <w:r>
        <w:rPr>
          <w:rFonts w:hint="eastAsia" w:ascii="Times New Roman" w:hAnsi="Times New Roman" w:eastAsia="宋体" w:cs="Times New Roman"/>
          <w:sz w:val="24"/>
          <w:szCs w:val="24"/>
          <w:highlight w:val="none"/>
          <w:lang w:val="en-US" w:eastAsia="zh-CN"/>
        </w:rPr>
        <w:t>2019年衡阳市全市供水总量为327099万m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，其中水利工程供水196241万m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，占供水总量的59.99</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vertAlign w:val="baseline"/>
          <w:lang w:val="en-US" w:eastAsia="zh-CN"/>
        </w:rPr>
        <w:t>公共供水48044</w:t>
      </w:r>
      <w:r>
        <w:rPr>
          <w:rFonts w:hint="eastAsia" w:ascii="Times New Roman" w:hAnsi="Times New Roman" w:eastAsia="宋体" w:cs="Times New Roman"/>
          <w:sz w:val="24"/>
          <w:szCs w:val="24"/>
          <w:highlight w:val="none"/>
          <w:lang w:val="en-US" w:eastAsia="zh-CN"/>
        </w:rPr>
        <w:t>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，占供水总量的14.69</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vertAlign w:val="baseline"/>
          <w:lang w:val="en-US" w:eastAsia="zh-CN"/>
        </w:rPr>
        <w:t>自备水源供水74186</w:t>
      </w:r>
      <w:r>
        <w:rPr>
          <w:rFonts w:hint="eastAsia" w:ascii="Times New Roman" w:hAnsi="Times New Roman" w:eastAsia="宋体" w:cs="Times New Roman"/>
          <w:sz w:val="24"/>
          <w:szCs w:val="24"/>
          <w:highlight w:val="none"/>
          <w:lang w:val="en-US" w:eastAsia="zh-CN"/>
        </w:rPr>
        <w:t>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，占供水总量的22.68</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vertAlign w:val="baseline"/>
          <w:lang w:val="en-US" w:eastAsia="zh-CN"/>
        </w:rPr>
        <w:t>非工程供水8628</w:t>
      </w:r>
      <w:r>
        <w:rPr>
          <w:rFonts w:hint="eastAsia" w:ascii="Times New Roman" w:hAnsi="Times New Roman" w:eastAsia="宋体" w:cs="Times New Roman"/>
          <w:sz w:val="24"/>
          <w:szCs w:val="24"/>
          <w:highlight w:val="none"/>
          <w:lang w:val="en-US" w:eastAsia="zh-CN"/>
        </w:rPr>
        <w:t>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vertAlign w:val="baseline"/>
          <w:lang w:val="en-US" w:eastAsia="zh-CN"/>
        </w:rPr>
        <w:t>，占供水总量的2.64</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vertAlign w:val="baseline"/>
          <w:lang w:val="en-US" w:eastAsia="zh-CN"/>
        </w:rPr>
        <w:t>。</w:t>
      </w:r>
    </w:p>
    <w:p w14:paraId="6ACC4F30">
      <w:pPr>
        <w:keepNext w:val="0"/>
        <w:keepLines w:val="0"/>
        <w:pageBreakBefore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根据2010年～2019年供水量为依据分析可知：</w:t>
      </w:r>
      <w:r>
        <w:rPr>
          <w:rFonts w:hint="default" w:ascii="Times New Roman" w:hAnsi="Times New Roman" w:eastAsia="宋体" w:cs="Times New Roman"/>
          <w:sz w:val="24"/>
          <w:szCs w:val="24"/>
          <w:highlight w:val="none"/>
          <w:lang w:val="en-US" w:eastAsia="zh-CN"/>
        </w:rPr>
        <w:t>衡阳市近10年总供水量整体上呈平稳状态，基本稳定在33.29亿m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左右</w:t>
      </w:r>
      <w:r>
        <w:rPr>
          <w:rFonts w:hint="eastAsia" w:ascii="Times New Roman" w:hAnsi="Times New Roman" w:eastAsia="宋体" w:cs="Times New Roman"/>
          <w:sz w:val="24"/>
          <w:szCs w:val="24"/>
          <w:highlight w:val="none"/>
          <w:lang w:val="en-US" w:eastAsia="zh-CN"/>
        </w:rPr>
        <w:t>，且地表水、地下水供水水质达标率为100%。</w:t>
      </w:r>
      <w:r>
        <w:rPr>
          <w:rFonts w:hint="default" w:ascii="Times New Roman" w:hAnsi="Times New Roman" w:eastAsia="宋体" w:cs="Times New Roman"/>
          <w:sz w:val="24"/>
          <w:szCs w:val="24"/>
          <w:highlight w:val="none"/>
          <w:lang w:val="en-US" w:eastAsia="zh-CN"/>
        </w:rPr>
        <w:t>今后因社会经济发展会导致用水需求增加，又由于节水措施和技术的推广应用，衡阳市总供水量整体还是会趋于平稳。</w:t>
      </w:r>
    </w:p>
    <w:p w14:paraId="341D640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（2）用水量</w:t>
      </w:r>
    </w:p>
    <w:p w14:paraId="1CB5DCB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根据《湖南省衡阳市水资源综合规划报告》（2020~2035）</w:t>
      </w:r>
      <w:r>
        <w:rPr>
          <w:rFonts w:hint="eastAsia" w:ascii="Times New Roman" w:hAnsi="Times New Roman" w:eastAsia="宋体" w:cs="Times New Roman"/>
          <w:sz w:val="24"/>
          <w:szCs w:val="24"/>
          <w:highlight w:val="none"/>
          <w:lang w:val="en-US" w:eastAsia="zh-CN"/>
        </w:rPr>
        <w:t>，2019年衡阳市全市用水量为327099万m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w:t>
      </w:r>
    </w:p>
    <w:p w14:paraId="273C07B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按水源分：地表水306285万m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，占用水总量的93.64%；地下水20814万m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，占用水总量的6.36%。</w:t>
      </w:r>
    </w:p>
    <w:p w14:paraId="50A9B86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按行业分：全市农业用水量199230万m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，占用水总量的60.9%，居第一位；工业用水量79960万m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，占用水总量的24.45%，居第二位；居民生活用水量32581万m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，占用水总量的9.96%；城镇公共用水量13697万m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，占用水总量的4.19%；生态与环境补水量1631万m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，占用水总量的0.5%。衡阳市现状用水结构见下图。</w:t>
      </w:r>
    </w:p>
    <w:p w14:paraId="1B4278E2">
      <w:pPr>
        <w:rPr>
          <w:rFonts w:hint="eastAsia"/>
          <w:highlight w:val="none"/>
          <w:lang w:val="en-US" w:eastAsia="zh-CN"/>
        </w:rPr>
      </w:pPr>
      <w:r>
        <w:rPr>
          <w:highlight w:val="none"/>
        </w:rPr>
        <w:drawing>
          <wp:inline distT="0" distB="0" distL="114300" distR="114300">
            <wp:extent cx="5219700" cy="3264535"/>
            <wp:effectExtent l="0" t="0" r="0" b="1206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4"/>
                    <a:stretch>
                      <a:fillRect/>
                    </a:stretch>
                  </pic:blipFill>
                  <pic:spPr>
                    <a:xfrm>
                      <a:off x="0" y="0"/>
                      <a:ext cx="5219700" cy="3264535"/>
                    </a:xfrm>
                    <a:prstGeom prst="rect">
                      <a:avLst/>
                    </a:prstGeom>
                    <a:noFill/>
                    <a:ln>
                      <a:noFill/>
                    </a:ln>
                  </pic:spPr>
                </pic:pic>
              </a:graphicData>
            </a:graphic>
          </wp:inline>
        </w:drawing>
      </w:r>
    </w:p>
    <w:p w14:paraId="588F77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highlight w:val="none"/>
          <w:lang w:val="en-US" w:eastAsia="zh-CN"/>
        </w:rPr>
      </w:pPr>
      <w:r>
        <w:rPr>
          <w:rFonts w:hint="eastAsia"/>
          <w:b/>
          <w:bCs/>
          <w:highlight w:val="none"/>
          <w:lang w:val="en-US" w:eastAsia="zh-CN"/>
        </w:rPr>
        <w:t>图3.3-7 2019年衡阳市现状用于结构图</w:t>
      </w:r>
    </w:p>
    <w:p w14:paraId="3C1AF56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b w:val="0"/>
          <w:bCs w:val="0"/>
          <w:kern w:val="2"/>
          <w:sz w:val="24"/>
          <w:szCs w:val="24"/>
          <w:highlight w:val="none"/>
          <w:vertAlign w:val="baseline"/>
          <w:lang w:val="en-US" w:eastAsia="zh-CN" w:bidi="ar-SA"/>
        </w:rPr>
      </w:pPr>
      <w:r>
        <w:rPr>
          <w:rFonts w:hint="eastAsia" w:ascii="Times New Roman" w:hAnsi="Times New Roman" w:eastAsia="宋体" w:cs="Times New Roman"/>
          <w:b w:val="0"/>
          <w:bCs w:val="0"/>
          <w:kern w:val="2"/>
          <w:sz w:val="24"/>
          <w:szCs w:val="24"/>
          <w:highlight w:val="none"/>
          <w:vertAlign w:val="baseline"/>
          <w:lang w:val="en-US" w:eastAsia="zh-CN" w:bidi="ar-SA"/>
        </w:rPr>
        <w:t>由于衡阳市各县市区人口和产业结构的差异，用水量及组成有明显不同，详见下表3.3-1。其中主城区珠晖区、雁峰区、石鼓区和蒸湘区，人口多，工业和第三产业规模大，生活用水和工业用水占主要地位，农业用水所占比重较小。衡阳县、衡南县、衡山县、衡东县、祁东县和常宁市农业用水比重最大。耒阳市农业用水和工业中的火电用水比重最大。各区现状用水结构见下图。</w:t>
      </w:r>
    </w:p>
    <w:p w14:paraId="45CA802D">
      <w:pPr>
        <w:pStyle w:val="2"/>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kern w:val="2"/>
          <w:sz w:val="21"/>
          <w:szCs w:val="21"/>
          <w:highlight w:val="none"/>
          <w:vertAlign w:val="baseline"/>
          <w:lang w:val="en-US" w:eastAsia="zh-CN" w:bidi="ar-SA"/>
        </w:rPr>
        <w:t>表3.3-1</w:t>
      </w:r>
      <w:r>
        <w:rPr>
          <w:rFonts w:hint="eastAsia" w:ascii="Times New Roman" w:hAnsi="Times New Roman" w:eastAsia="宋体" w:cs="Times New Roman"/>
          <w:b/>
          <w:bCs/>
          <w:kern w:val="2"/>
          <w:sz w:val="21"/>
          <w:szCs w:val="21"/>
          <w:highlight w:val="none"/>
          <w:vertAlign w:val="baseline"/>
          <w:lang w:val="en-US" w:eastAsia="zh-CN" w:bidi="ar-SA"/>
        </w:rPr>
        <w:t>0</w:t>
      </w:r>
      <w:r>
        <w:rPr>
          <w:rFonts w:hint="default" w:ascii="Times New Roman" w:hAnsi="Times New Roman" w:eastAsia="宋体" w:cs="Times New Roman"/>
          <w:b/>
          <w:bCs/>
          <w:kern w:val="2"/>
          <w:sz w:val="21"/>
          <w:szCs w:val="21"/>
          <w:highlight w:val="none"/>
          <w:vertAlign w:val="baseline"/>
          <w:lang w:val="en-US" w:eastAsia="zh-CN" w:bidi="ar-SA"/>
        </w:rPr>
        <w:t xml:space="preserve"> 2019年衡阳市</w:t>
      </w:r>
      <w:r>
        <w:rPr>
          <w:rFonts w:hint="eastAsia" w:ascii="Times New Roman" w:hAnsi="Times New Roman" w:eastAsia="宋体" w:cs="Times New Roman"/>
          <w:b/>
          <w:bCs/>
          <w:kern w:val="2"/>
          <w:sz w:val="21"/>
          <w:szCs w:val="21"/>
          <w:highlight w:val="none"/>
          <w:vertAlign w:val="baseline"/>
          <w:lang w:val="en-US" w:eastAsia="zh-CN" w:bidi="ar-SA"/>
        </w:rPr>
        <w:t>各区</w:t>
      </w:r>
      <w:r>
        <w:rPr>
          <w:rFonts w:hint="default" w:ascii="Times New Roman" w:hAnsi="Times New Roman" w:eastAsia="宋体" w:cs="Times New Roman"/>
          <w:b/>
          <w:bCs/>
          <w:kern w:val="2"/>
          <w:sz w:val="21"/>
          <w:szCs w:val="21"/>
          <w:highlight w:val="none"/>
          <w:vertAlign w:val="baseline"/>
          <w:lang w:val="en-US" w:eastAsia="zh-CN" w:bidi="ar-SA"/>
        </w:rPr>
        <w:t>现状总用水量表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4"/>
        <w:gridCol w:w="1064"/>
        <w:gridCol w:w="1064"/>
        <w:gridCol w:w="1064"/>
        <w:gridCol w:w="1064"/>
        <w:gridCol w:w="1065"/>
        <w:gridCol w:w="1065"/>
      </w:tblGrid>
      <w:tr w14:paraId="36E4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64" w:type="dxa"/>
            <w:tcBorders>
              <w:tl2br w:val="nil"/>
              <w:tr2bl w:val="nil"/>
            </w:tcBorders>
            <w:noWrap w:val="0"/>
            <w:vAlign w:val="center"/>
          </w:tcPr>
          <w:p w14:paraId="777FD05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县（市）名称</w:t>
            </w:r>
          </w:p>
        </w:tc>
        <w:tc>
          <w:tcPr>
            <w:tcW w:w="1064" w:type="dxa"/>
            <w:tcBorders>
              <w:tl2br w:val="nil"/>
              <w:tr2bl w:val="nil"/>
            </w:tcBorders>
            <w:noWrap w:val="0"/>
            <w:vAlign w:val="center"/>
          </w:tcPr>
          <w:p w14:paraId="4661A668">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sz w:val="21"/>
                <w:szCs w:val="21"/>
                <w:highlight w:val="none"/>
              </w:rPr>
            </w:pPr>
            <w:r>
              <w:rPr>
                <w:rFonts w:ascii="黑体" w:hAnsi="宋体" w:eastAsia="黑体" w:cs="黑体"/>
                <w:color w:val="000000"/>
                <w:kern w:val="0"/>
                <w:sz w:val="21"/>
                <w:szCs w:val="21"/>
                <w:highlight w:val="none"/>
                <w:lang w:val="en-US" w:eastAsia="zh-CN" w:bidi="ar"/>
              </w:rPr>
              <w:t>农田灌溉</w:t>
            </w:r>
          </w:p>
          <w:p w14:paraId="7C3BC6E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用水量</w:t>
            </w:r>
          </w:p>
        </w:tc>
        <w:tc>
          <w:tcPr>
            <w:tcW w:w="1064" w:type="dxa"/>
            <w:tcBorders>
              <w:tl2br w:val="nil"/>
              <w:tr2bl w:val="nil"/>
            </w:tcBorders>
            <w:noWrap w:val="0"/>
            <w:vAlign w:val="center"/>
          </w:tcPr>
          <w:p w14:paraId="4ACD08F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林牧渔畜用水量</w:t>
            </w:r>
          </w:p>
        </w:tc>
        <w:tc>
          <w:tcPr>
            <w:tcW w:w="1064" w:type="dxa"/>
            <w:tcBorders>
              <w:tl2br w:val="nil"/>
              <w:tr2bl w:val="nil"/>
            </w:tcBorders>
            <w:noWrap w:val="0"/>
            <w:vAlign w:val="center"/>
          </w:tcPr>
          <w:p w14:paraId="43C86E3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工业用水</w:t>
            </w:r>
          </w:p>
        </w:tc>
        <w:tc>
          <w:tcPr>
            <w:tcW w:w="1064" w:type="dxa"/>
            <w:tcBorders>
              <w:tl2br w:val="nil"/>
              <w:tr2bl w:val="nil"/>
            </w:tcBorders>
            <w:noWrap w:val="0"/>
            <w:vAlign w:val="center"/>
          </w:tcPr>
          <w:p w14:paraId="7041ACD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sz w:val="21"/>
                <w:szCs w:val="21"/>
                <w:highlight w:val="none"/>
              </w:rPr>
            </w:pPr>
            <w:r>
              <w:rPr>
                <w:rFonts w:ascii="黑体" w:hAnsi="宋体" w:eastAsia="黑体" w:cs="黑体"/>
                <w:color w:val="000000"/>
                <w:kern w:val="0"/>
                <w:sz w:val="21"/>
                <w:szCs w:val="21"/>
                <w:highlight w:val="none"/>
                <w:lang w:val="en-US" w:eastAsia="zh-CN" w:bidi="ar"/>
              </w:rPr>
              <w:t>城镇公共</w:t>
            </w:r>
          </w:p>
          <w:p w14:paraId="0C8193C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用水量</w:t>
            </w:r>
          </w:p>
        </w:tc>
        <w:tc>
          <w:tcPr>
            <w:tcW w:w="1064" w:type="dxa"/>
            <w:tcBorders>
              <w:tl2br w:val="nil"/>
              <w:tr2bl w:val="nil"/>
            </w:tcBorders>
            <w:noWrap w:val="0"/>
            <w:vAlign w:val="center"/>
          </w:tcPr>
          <w:p w14:paraId="37DF9F7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sz w:val="21"/>
                <w:szCs w:val="21"/>
                <w:highlight w:val="none"/>
              </w:rPr>
            </w:pPr>
            <w:r>
              <w:rPr>
                <w:rFonts w:ascii="黑体" w:hAnsi="宋体" w:eastAsia="黑体" w:cs="黑体"/>
                <w:color w:val="000000"/>
                <w:kern w:val="0"/>
                <w:sz w:val="21"/>
                <w:szCs w:val="21"/>
                <w:highlight w:val="none"/>
                <w:lang w:val="en-US" w:eastAsia="zh-CN" w:bidi="ar"/>
              </w:rPr>
              <w:t>居民生活</w:t>
            </w:r>
          </w:p>
          <w:p w14:paraId="2D287901">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用水量</w:t>
            </w:r>
          </w:p>
        </w:tc>
        <w:tc>
          <w:tcPr>
            <w:tcW w:w="1065" w:type="dxa"/>
            <w:tcBorders>
              <w:tl2br w:val="nil"/>
              <w:tr2bl w:val="nil"/>
            </w:tcBorders>
            <w:noWrap w:val="0"/>
            <w:vAlign w:val="center"/>
          </w:tcPr>
          <w:p w14:paraId="5F7B3B43">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sz w:val="21"/>
                <w:szCs w:val="21"/>
                <w:highlight w:val="none"/>
              </w:rPr>
            </w:pPr>
            <w:r>
              <w:rPr>
                <w:rFonts w:ascii="黑体" w:hAnsi="宋体" w:eastAsia="黑体" w:cs="黑体"/>
                <w:color w:val="000000"/>
                <w:kern w:val="0"/>
                <w:sz w:val="21"/>
                <w:szCs w:val="21"/>
                <w:highlight w:val="none"/>
                <w:lang w:val="en-US" w:eastAsia="zh-CN" w:bidi="ar"/>
              </w:rPr>
              <w:t>生态与环</w:t>
            </w:r>
          </w:p>
          <w:p w14:paraId="775DD659">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境补水量</w:t>
            </w:r>
          </w:p>
        </w:tc>
        <w:tc>
          <w:tcPr>
            <w:tcW w:w="1065" w:type="dxa"/>
            <w:tcBorders>
              <w:tl2br w:val="nil"/>
              <w:tr2bl w:val="nil"/>
            </w:tcBorders>
            <w:noWrap w:val="0"/>
            <w:vAlign w:val="center"/>
          </w:tcPr>
          <w:p w14:paraId="5A5868AC">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ascii="黑体" w:hAnsi="宋体" w:eastAsia="黑体" w:cs="黑体"/>
                <w:color w:val="000000"/>
                <w:kern w:val="0"/>
                <w:sz w:val="21"/>
                <w:szCs w:val="21"/>
                <w:highlight w:val="none"/>
                <w:lang w:val="en-US" w:eastAsia="zh-CN" w:bidi="ar"/>
              </w:rPr>
              <w:t>总用水量</w:t>
            </w:r>
          </w:p>
        </w:tc>
      </w:tr>
      <w:tr w14:paraId="51A31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543C35C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珠晖区</w:t>
            </w:r>
          </w:p>
        </w:tc>
        <w:tc>
          <w:tcPr>
            <w:tcW w:w="1064" w:type="dxa"/>
            <w:tcBorders>
              <w:tl2br w:val="nil"/>
              <w:tr2bl w:val="nil"/>
            </w:tcBorders>
            <w:noWrap w:val="0"/>
            <w:vAlign w:val="center"/>
          </w:tcPr>
          <w:p w14:paraId="0E3E80F3">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3057</w:t>
            </w:r>
          </w:p>
        </w:tc>
        <w:tc>
          <w:tcPr>
            <w:tcW w:w="1064" w:type="dxa"/>
            <w:tcBorders>
              <w:tl2br w:val="nil"/>
              <w:tr2bl w:val="nil"/>
            </w:tcBorders>
            <w:noWrap w:val="0"/>
            <w:vAlign w:val="center"/>
          </w:tcPr>
          <w:p w14:paraId="0793C76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207</w:t>
            </w:r>
          </w:p>
        </w:tc>
        <w:tc>
          <w:tcPr>
            <w:tcW w:w="1064" w:type="dxa"/>
            <w:tcBorders>
              <w:tl2br w:val="nil"/>
              <w:tr2bl w:val="nil"/>
            </w:tcBorders>
            <w:noWrap w:val="0"/>
            <w:vAlign w:val="center"/>
          </w:tcPr>
          <w:p w14:paraId="77F79143">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1791</w:t>
            </w:r>
          </w:p>
        </w:tc>
        <w:tc>
          <w:tcPr>
            <w:tcW w:w="1064" w:type="dxa"/>
            <w:tcBorders>
              <w:tl2br w:val="nil"/>
              <w:tr2bl w:val="nil"/>
            </w:tcBorders>
            <w:noWrap w:val="0"/>
            <w:vAlign w:val="center"/>
          </w:tcPr>
          <w:p w14:paraId="72A7772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1711</w:t>
            </w:r>
          </w:p>
        </w:tc>
        <w:tc>
          <w:tcPr>
            <w:tcW w:w="1064" w:type="dxa"/>
            <w:tcBorders>
              <w:tl2br w:val="nil"/>
              <w:tr2bl w:val="nil"/>
            </w:tcBorders>
            <w:noWrap w:val="0"/>
            <w:vAlign w:val="center"/>
          </w:tcPr>
          <w:p w14:paraId="561B0F0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2257</w:t>
            </w:r>
          </w:p>
        </w:tc>
        <w:tc>
          <w:tcPr>
            <w:tcW w:w="1065" w:type="dxa"/>
            <w:tcBorders>
              <w:tl2br w:val="nil"/>
              <w:tr2bl w:val="nil"/>
            </w:tcBorders>
            <w:noWrap w:val="0"/>
            <w:vAlign w:val="center"/>
          </w:tcPr>
          <w:p w14:paraId="32EBA42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164</w:t>
            </w:r>
          </w:p>
        </w:tc>
        <w:tc>
          <w:tcPr>
            <w:tcW w:w="1065" w:type="dxa"/>
            <w:tcBorders>
              <w:tl2br w:val="nil"/>
              <w:tr2bl w:val="nil"/>
            </w:tcBorders>
            <w:noWrap w:val="0"/>
            <w:vAlign w:val="center"/>
          </w:tcPr>
          <w:p w14:paraId="6077A834">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9187</w:t>
            </w:r>
          </w:p>
        </w:tc>
      </w:tr>
      <w:tr w14:paraId="1BA00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3059CA7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雁峰区</w:t>
            </w:r>
          </w:p>
        </w:tc>
        <w:tc>
          <w:tcPr>
            <w:tcW w:w="1064" w:type="dxa"/>
            <w:tcBorders>
              <w:tl2br w:val="nil"/>
              <w:tr2bl w:val="nil"/>
            </w:tcBorders>
            <w:noWrap w:val="0"/>
            <w:vAlign w:val="center"/>
          </w:tcPr>
          <w:p w14:paraId="5C9C6804">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1306</w:t>
            </w:r>
          </w:p>
        </w:tc>
        <w:tc>
          <w:tcPr>
            <w:tcW w:w="1064" w:type="dxa"/>
            <w:tcBorders>
              <w:tl2br w:val="nil"/>
              <w:tr2bl w:val="nil"/>
            </w:tcBorders>
            <w:noWrap w:val="0"/>
            <w:vAlign w:val="center"/>
          </w:tcPr>
          <w:p w14:paraId="1F6FA10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88</w:t>
            </w:r>
          </w:p>
        </w:tc>
        <w:tc>
          <w:tcPr>
            <w:tcW w:w="1064" w:type="dxa"/>
            <w:tcBorders>
              <w:tl2br w:val="nil"/>
              <w:tr2bl w:val="nil"/>
            </w:tcBorders>
            <w:noWrap w:val="0"/>
            <w:vAlign w:val="center"/>
          </w:tcPr>
          <w:p w14:paraId="7EAC181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5586</w:t>
            </w:r>
          </w:p>
        </w:tc>
        <w:tc>
          <w:tcPr>
            <w:tcW w:w="1064" w:type="dxa"/>
            <w:tcBorders>
              <w:tl2br w:val="nil"/>
              <w:tr2bl w:val="nil"/>
            </w:tcBorders>
            <w:noWrap w:val="0"/>
            <w:vAlign w:val="center"/>
          </w:tcPr>
          <w:p w14:paraId="63BAF5D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903</w:t>
            </w:r>
          </w:p>
        </w:tc>
        <w:tc>
          <w:tcPr>
            <w:tcW w:w="1064" w:type="dxa"/>
            <w:tcBorders>
              <w:tl2br w:val="nil"/>
              <w:tr2bl w:val="nil"/>
            </w:tcBorders>
            <w:noWrap w:val="0"/>
            <w:vAlign w:val="center"/>
          </w:tcPr>
          <w:p w14:paraId="0958812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1528</w:t>
            </w:r>
          </w:p>
        </w:tc>
        <w:tc>
          <w:tcPr>
            <w:tcW w:w="1065" w:type="dxa"/>
            <w:tcBorders>
              <w:tl2br w:val="nil"/>
              <w:tr2bl w:val="nil"/>
            </w:tcBorders>
            <w:noWrap w:val="0"/>
            <w:vAlign w:val="center"/>
          </w:tcPr>
          <w:p w14:paraId="4A64D28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82</w:t>
            </w:r>
          </w:p>
        </w:tc>
        <w:tc>
          <w:tcPr>
            <w:tcW w:w="1065" w:type="dxa"/>
            <w:tcBorders>
              <w:tl2br w:val="nil"/>
              <w:tr2bl w:val="nil"/>
            </w:tcBorders>
            <w:noWrap w:val="0"/>
            <w:vAlign w:val="center"/>
          </w:tcPr>
          <w:p w14:paraId="7747228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9494</w:t>
            </w:r>
          </w:p>
        </w:tc>
      </w:tr>
      <w:tr w14:paraId="6A1FE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6193C4D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石鼓区</w:t>
            </w:r>
          </w:p>
        </w:tc>
        <w:tc>
          <w:tcPr>
            <w:tcW w:w="1064" w:type="dxa"/>
            <w:tcBorders>
              <w:tl2br w:val="nil"/>
              <w:tr2bl w:val="nil"/>
            </w:tcBorders>
            <w:noWrap w:val="0"/>
            <w:vAlign w:val="center"/>
          </w:tcPr>
          <w:p w14:paraId="28C94E3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1381</w:t>
            </w:r>
          </w:p>
        </w:tc>
        <w:tc>
          <w:tcPr>
            <w:tcW w:w="1064" w:type="dxa"/>
            <w:tcBorders>
              <w:tl2br w:val="nil"/>
              <w:tr2bl w:val="nil"/>
            </w:tcBorders>
            <w:noWrap w:val="0"/>
            <w:vAlign w:val="center"/>
          </w:tcPr>
          <w:p w14:paraId="07EB421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111</w:t>
            </w:r>
          </w:p>
        </w:tc>
        <w:tc>
          <w:tcPr>
            <w:tcW w:w="1064" w:type="dxa"/>
            <w:tcBorders>
              <w:tl2br w:val="nil"/>
              <w:tr2bl w:val="nil"/>
            </w:tcBorders>
            <w:noWrap w:val="0"/>
            <w:vAlign w:val="center"/>
          </w:tcPr>
          <w:p w14:paraId="418D73C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1764</w:t>
            </w:r>
          </w:p>
        </w:tc>
        <w:tc>
          <w:tcPr>
            <w:tcW w:w="1064" w:type="dxa"/>
            <w:tcBorders>
              <w:tl2br w:val="nil"/>
              <w:tr2bl w:val="nil"/>
            </w:tcBorders>
            <w:noWrap w:val="0"/>
            <w:vAlign w:val="center"/>
          </w:tcPr>
          <w:p w14:paraId="11204C4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970</w:t>
            </w:r>
          </w:p>
        </w:tc>
        <w:tc>
          <w:tcPr>
            <w:tcW w:w="1064" w:type="dxa"/>
            <w:tcBorders>
              <w:tl2br w:val="nil"/>
              <w:tr2bl w:val="nil"/>
            </w:tcBorders>
            <w:noWrap w:val="0"/>
            <w:vAlign w:val="center"/>
          </w:tcPr>
          <w:p w14:paraId="1B17039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1489</w:t>
            </w:r>
          </w:p>
        </w:tc>
        <w:tc>
          <w:tcPr>
            <w:tcW w:w="1065" w:type="dxa"/>
            <w:tcBorders>
              <w:tl2br w:val="nil"/>
              <w:tr2bl w:val="nil"/>
            </w:tcBorders>
            <w:noWrap w:val="0"/>
            <w:vAlign w:val="center"/>
          </w:tcPr>
          <w:p w14:paraId="68304E2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74</w:t>
            </w:r>
          </w:p>
        </w:tc>
        <w:tc>
          <w:tcPr>
            <w:tcW w:w="1065" w:type="dxa"/>
            <w:tcBorders>
              <w:tl2br w:val="nil"/>
              <w:tr2bl w:val="nil"/>
            </w:tcBorders>
            <w:noWrap w:val="0"/>
            <w:vAlign w:val="center"/>
          </w:tcPr>
          <w:p w14:paraId="440BDEC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5789</w:t>
            </w:r>
          </w:p>
        </w:tc>
      </w:tr>
      <w:tr w14:paraId="03F4B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6D41B21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蒸湘区</w:t>
            </w:r>
          </w:p>
        </w:tc>
        <w:tc>
          <w:tcPr>
            <w:tcW w:w="1064" w:type="dxa"/>
            <w:tcBorders>
              <w:tl2br w:val="nil"/>
              <w:tr2bl w:val="nil"/>
            </w:tcBorders>
            <w:noWrap w:val="0"/>
            <w:vAlign w:val="center"/>
          </w:tcPr>
          <w:p w14:paraId="25D91BC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1500</w:t>
            </w:r>
          </w:p>
        </w:tc>
        <w:tc>
          <w:tcPr>
            <w:tcW w:w="1064" w:type="dxa"/>
            <w:tcBorders>
              <w:tl2br w:val="nil"/>
              <w:tr2bl w:val="nil"/>
            </w:tcBorders>
            <w:noWrap w:val="0"/>
            <w:vAlign w:val="center"/>
          </w:tcPr>
          <w:p w14:paraId="3BCC66C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99</w:t>
            </w:r>
          </w:p>
        </w:tc>
        <w:tc>
          <w:tcPr>
            <w:tcW w:w="1064" w:type="dxa"/>
            <w:tcBorders>
              <w:tl2br w:val="nil"/>
              <w:tr2bl w:val="nil"/>
            </w:tcBorders>
            <w:noWrap w:val="0"/>
            <w:vAlign w:val="center"/>
          </w:tcPr>
          <w:p w14:paraId="1A44553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3556</w:t>
            </w:r>
          </w:p>
        </w:tc>
        <w:tc>
          <w:tcPr>
            <w:tcW w:w="1064" w:type="dxa"/>
            <w:tcBorders>
              <w:tl2br w:val="nil"/>
              <w:tr2bl w:val="nil"/>
            </w:tcBorders>
            <w:noWrap w:val="0"/>
            <w:vAlign w:val="center"/>
          </w:tcPr>
          <w:p w14:paraId="72E08764">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1682</w:t>
            </w:r>
          </w:p>
        </w:tc>
        <w:tc>
          <w:tcPr>
            <w:tcW w:w="1064" w:type="dxa"/>
            <w:tcBorders>
              <w:tl2br w:val="nil"/>
              <w:tr2bl w:val="nil"/>
            </w:tcBorders>
            <w:noWrap w:val="0"/>
            <w:vAlign w:val="center"/>
          </w:tcPr>
          <w:p w14:paraId="391A159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2388</w:t>
            </w:r>
          </w:p>
        </w:tc>
        <w:tc>
          <w:tcPr>
            <w:tcW w:w="1065" w:type="dxa"/>
            <w:tcBorders>
              <w:tl2br w:val="nil"/>
              <w:tr2bl w:val="nil"/>
            </w:tcBorders>
            <w:noWrap w:val="0"/>
            <w:vAlign w:val="center"/>
          </w:tcPr>
          <w:p w14:paraId="3933F52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120</w:t>
            </w:r>
          </w:p>
        </w:tc>
        <w:tc>
          <w:tcPr>
            <w:tcW w:w="1065" w:type="dxa"/>
            <w:tcBorders>
              <w:tl2br w:val="nil"/>
              <w:tr2bl w:val="nil"/>
            </w:tcBorders>
            <w:noWrap w:val="0"/>
            <w:vAlign w:val="center"/>
          </w:tcPr>
          <w:p w14:paraId="21A36EA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9344</w:t>
            </w:r>
          </w:p>
        </w:tc>
      </w:tr>
      <w:tr w14:paraId="5A649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5E95F90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南岳区</w:t>
            </w:r>
          </w:p>
        </w:tc>
        <w:tc>
          <w:tcPr>
            <w:tcW w:w="1064" w:type="dxa"/>
            <w:tcBorders>
              <w:tl2br w:val="nil"/>
              <w:tr2bl w:val="nil"/>
            </w:tcBorders>
            <w:noWrap w:val="0"/>
            <w:vAlign w:val="center"/>
          </w:tcPr>
          <w:p w14:paraId="388EF21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1127</w:t>
            </w:r>
          </w:p>
        </w:tc>
        <w:tc>
          <w:tcPr>
            <w:tcW w:w="1064" w:type="dxa"/>
            <w:tcBorders>
              <w:tl2br w:val="nil"/>
              <w:tr2bl w:val="nil"/>
            </w:tcBorders>
            <w:noWrap w:val="0"/>
            <w:vAlign w:val="center"/>
          </w:tcPr>
          <w:p w14:paraId="075022F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64</w:t>
            </w:r>
          </w:p>
        </w:tc>
        <w:tc>
          <w:tcPr>
            <w:tcW w:w="1064" w:type="dxa"/>
            <w:tcBorders>
              <w:tl2br w:val="nil"/>
              <w:tr2bl w:val="nil"/>
            </w:tcBorders>
            <w:noWrap w:val="0"/>
            <w:vAlign w:val="center"/>
          </w:tcPr>
          <w:p w14:paraId="65D54CD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190</w:t>
            </w:r>
          </w:p>
        </w:tc>
        <w:tc>
          <w:tcPr>
            <w:tcW w:w="1064" w:type="dxa"/>
            <w:tcBorders>
              <w:tl2br w:val="nil"/>
              <w:tr2bl w:val="nil"/>
            </w:tcBorders>
            <w:noWrap w:val="0"/>
            <w:vAlign w:val="center"/>
          </w:tcPr>
          <w:p w14:paraId="72DAF90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279</w:t>
            </w:r>
          </w:p>
        </w:tc>
        <w:tc>
          <w:tcPr>
            <w:tcW w:w="1064" w:type="dxa"/>
            <w:tcBorders>
              <w:tl2br w:val="nil"/>
              <w:tr2bl w:val="nil"/>
            </w:tcBorders>
            <w:noWrap w:val="0"/>
            <w:vAlign w:val="center"/>
          </w:tcPr>
          <w:p w14:paraId="36B0954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385</w:t>
            </w:r>
          </w:p>
        </w:tc>
        <w:tc>
          <w:tcPr>
            <w:tcW w:w="1065" w:type="dxa"/>
            <w:tcBorders>
              <w:tl2br w:val="nil"/>
              <w:tr2bl w:val="nil"/>
            </w:tcBorders>
            <w:noWrap w:val="0"/>
            <w:vAlign w:val="center"/>
          </w:tcPr>
          <w:p w14:paraId="33BFB42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w:t>
            </w:r>
          </w:p>
        </w:tc>
        <w:tc>
          <w:tcPr>
            <w:tcW w:w="1065" w:type="dxa"/>
            <w:tcBorders>
              <w:tl2br w:val="nil"/>
              <w:tr2bl w:val="nil"/>
            </w:tcBorders>
            <w:noWrap w:val="0"/>
            <w:vAlign w:val="center"/>
          </w:tcPr>
          <w:p w14:paraId="4B803FF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2060</w:t>
            </w:r>
          </w:p>
        </w:tc>
      </w:tr>
      <w:tr w14:paraId="4548B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442198A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衡阳县</w:t>
            </w:r>
          </w:p>
        </w:tc>
        <w:tc>
          <w:tcPr>
            <w:tcW w:w="1064" w:type="dxa"/>
            <w:tcBorders>
              <w:tl2br w:val="nil"/>
              <w:tr2bl w:val="nil"/>
            </w:tcBorders>
            <w:noWrap w:val="0"/>
            <w:vAlign w:val="center"/>
          </w:tcPr>
          <w:p w14:paraId="4F6E521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36689</w:t>
            </w:r>
          </w:p>
        </w:tc>
        <w:tc>
          <w:tcPr>
            <w:tcW w:w="1064" w:type="dxa"/>
            <w:tcBorders>
              <w:tl2br w:val="nil"/>
              <w:tr2bl w:val="nil"/>
            </w:tcBorders>
            <w:noWrap w:val="0"/>
            <w:vAlign w:val="center"/>
          </w:tcPr>
          <w:p w14:paraId="36AE7C7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2464</w:t>
            </w:r>
          </w:p>
        </w:tc>
        <w:tc>
          <w:tcPr>
            <w:tcW w:w="1064" w:type="dxa"/>
            <w:tcBorders>
              <w:tl2br w:val="nil"/>
              <w:tr2bl w:val="nil"/>
            </w:tcBorders>
            <w:noWrap w:val="0"/>
            <w:vAlign w:val="center"/>
          </w:tcPr>
          <w:p w14:paraId="4A76456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5524</w:t>
            </w:r>
          </w:p>
        </w:tc>
        <w:tc>
          <w:tcPr>
            <w:tcW w:w="1064" w:type="dxa"/>
            <w:tcBorders>
              <w:tl2br w:val="nil"/>
              <w:tr2bl w:val="nil"/>
            </w:tcBorders>
            <w:noWrap w:val="0"/>
            <w:vAlign w:val="center"/>
          </w:tcPr>
          <w:p w14:paraId="0CF6F20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1299</w:t>
            </w:r>
          </w:p>
        </w:tc>
        <w:tc>
          <w:tcPr>
            <w:tcW w:w="1064" w:type="dxa"/>
            <w:tcBorders>
              <w:tl2br w:val="nil"/>
              <w:tr2bl w:val="nil"/>
            </w:tcBorders>
            <w:noWrap w:val="0"/>
            <w:vAlign w:val="center"/>
          </w:tcPr>
          <w:p w14:paraId="7607B59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4347</w:t>
            </w:r>
          </w:p>
        </w:tc>
        <w:tc>
          <w:tcPr>
            <w:tcW w:w="1065" w:type="dxa"/>
            <w:tcBorders>
              <w:tl2br w:val="nil"/>
              <w:tr2bl w:val="nil"/>
            </w:tcBorders>
            <w:noWrap w:val="0"/>
            <w:vAlign w:val="center"/>
          </w:tcPr>
          <w:p w14:paraId="581F1E8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159</w:t>
            </w:r>
          </w:p>
        </w:tc>
        <w:tc>
          <w:tcPr>
            <w:tcW w:w="1065" w:type="dxa"/>
            <w:tcBorders>
              <w:tl2br w:val="nil"/>
              <w:tr2bl w:val="nil"/>
            </w:tcBorders>
            <w:noWrap w:val="0"/>
            <w:vAlign w:val="center"/>
          </w:tcPr>
          <w:p w14:paraId="3AC3828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50482</w:t>
            </w:r>
          </w:p>
        </w:tc>
      </w:tr>
      <w:tr w14:paraId="0EEC2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2558A78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衡南县</w:t>
            </w:r>
          </w:p>
        </w:tc>
        <w:tc>
          <w:tcPr>
            <w:tcW w:w="1064" w:type="dxa"/>
            <w:tcBorders>
              <w:tl2br w:val="nil"/>
              <w:tr2bl w:val="nil"/>
            </w:tcBorders>
            <w:noWrap w:val="0"/>
            <w:vAlign w:val="center"/>
          </w:tcPr>
          <w:p w14:paraId="6003536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36537</w:t>
            </w:r>
          </w:p>
        </w:tc>
        <w:tc>
          <w:tcPr>
            <w:tcW w:w="1064" w:type="dxa"/>
            <w:tcBorders>
              <w:tl2br w:val="nil"/>
              <w:tr2bl w:val="nil"/>
            </w:tcBorders>
            <w:noWrap w:val="0"/>
            <w:vAlign w:val="center"/>
          </w:tcPr>
          <w:p w14:paraId="4EA4ADB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2470</w:t>
            </w:r>
          </w:p>
        </w:tc>
        <w:tc>
          <w:tcPr>
            <w:tcW w:w="1064" w:type="dxa"/>
            <w:tcBorders>
              <w:tl2br w:val="nil"/>
              <w:tr2bl w:val="nil"/>
            </w:tcBorders>
            <w:noWrap w:val="0"/>
            <w:vAlign w:val="center"/>
          </w:tcPr>
          <w:p w14:paraId="147A2DE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4677</w:t>
            </w:r>
          </w:p>
        </w:tc>
        <w:tc>
          <w:tcPr>
            <w:tcW w:w="1064" w:type="dxa"/>
            <w:tcBorders>
              <w:tl2br w:val="nil"/>
              <w:tr2bl w:val="nil"/>
            </w:tcBorders>
            <w:noWrap w:val="0"/>
            <w:vAlign w:val="center"/>
          </w:tcPr>
          <w:p w14:paraId="2F700DB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1441</w:t>
            </w:r>
          </w:p>
        </w:tc>
        <w:tc>
          <w:tcPr>
            <w:tcW w:w="1064" w:type="dxa"/>
            <w:tcBorders>
              <w:tl2br w:val="nil"/>
              <w:tr2bl w:val="nil"/>
            </w:tcBorders>
            <w:noWrap w:val="0"/>
            <w:vAlign w:val="center"/>
          </w:tcPr>
          <w:p w14:paraId="197E203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4058</w:t>
            </w:r>
          </w:p>
        </w:tc>
        <w:tc>
          <w:tcPr>
            <w:tcW w:w="1065" w:type="dxa"/>
            <w:tcBorders>
              <w:tl2br w:val="nil"/>
              <w:tr2bl w:val="nil"/>
            </w:tcBorders>
            <w:noWrap w:val="0"/>
            <w:vAlign w:val="center"/>
          </w:tcPr>
          <w:p w14:paraId="2532817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181</w:t>
            </w:r>
          </w:p>
        </w:tc>
        <w:tc>
          <w:tcPr>
            <w:tcW w:w="1065" w:type="dxa"/>
            <w:tcBorders>
              <w:tl2br w:val="nil"/>
              <w:tr2bl w:val="nil"/>
            </w:tcBorders>
            <w:noWrap w:val="0"/>
            <w:vAlign w:val="center"/>
          </w:tcPr>
          <w:p w14:paraId="1407366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49364</w:t>
            </w:r>
          </w:p>
        </w:tc>
      </w:tr>
      <w:tr w14:paraId="4E3B2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292F091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衡山县</w:t>
            </w:r>
          </w:p>
        </w:tc>
        <w:tc>
          <w:tcPr>
            <w:tcW w:w="1064" w:type="dxa"/>
            <w:tcBorders>
              <w:tl2br w:val="nil"/>
              <w:tr2bl w:val="nil"/>
            </w:tcBorders>
            <w:noWrap w:val="0"/>
            <w:vAlign w:val="center"/>
          </w:tcPr>
          <w:p w14:paraId="54728D3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12674</w:t>
            </w:r>
          </w:p>
        </w:tc>
        <w:tc>
          <w:tcPr>
            <w:tcW w:w="1064" w:type="dxa"/>
            <w:tcBorders>
              <w:tl2br w:val="nil"/>
              <w:tr2bl w:val="nil"/>
            </w:tcBorders>
            <w:noWrap w:val="0"/>
            <w:vAlign w:val="center"/>
          </w:tcPr>
          <w:p w14:paraId="0FF03D3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700</w:t>
            </w:r>
          </w:p>
        </w:tc>
        <w:tc>
          <w:tcPr>
            <w:tcW w:w="1064" w:type="dxa"/>
            <w:tcBorders>
              <w:tl2br w:val="nil"/>
              <w:tr2bl w:val="nil"/>
            </w:tcBorders>
            <w:noWrap w:val="0"/>
            <w:vAlign w:val="center"/>
          </w:tcPr>
          <w:p w14:paraId="5E9DD9B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3645</w:t>
            </w:r>
          </w:p>
        </w:tc>
        <w:tc>
          <w:tcPr>
            <w:tcW w:w="1064" w:type="dxa"/>
            <w:tcBorders>
              <w:tl2br w:val="nil"/>
              <w:tr2bl w:val="nil"/>
            </w:tcBorders>
            <w:noWrap w:val="0"/>
            <w:vAlign w:val="center"/>
          </w:tcPr>
          <w:p w14:paraId="641FFA4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404</w:t>
            </w:r>
          </w:p>
        </w:tc>
        <w:tc>
          <w:tcPr>
            <w:tcW w:w="1064" w:type="dxa"/>
            <w:tcBorders>
              <w:tl2br w:val="nil"/>
              <w:tr2bl w:val="nil"/>
            </w:tcBorders>
            <w:noWrap w:val="0"/>
            <w:vAlign w:val="center"/>
          </w:tcPr>
          <w:p w14:paraId="0876429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1513</w:t>
            </w:r>
          </w:p>
        </w:tc>
        <w:tc>
          <w:tcPr>
            <w:tcW w:w="1065" w:type="dxa"/>
            <w:tcBorders>
              <w:tl2br w:val="nil"/>
              <w:tr2bl w:val="nil"/>
            </w:tcBorders>
            <w:noWrap w:val="0"/>
            <w:vAlign w:val="center"/>
          </w:tcPr>
          <w:p w14:paraId="7AB21FE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125</w:t>
            </w:r>
          </w:p>
        </w:tc>
        <w:tc>
          <w:tcPr>
            <w:tcW w:w="1065" w:type="dxa"/>
            <w:tcBorders>
              <w:tl2br w:val="nil"/>
              <w:tr2bl w:val="nil"/>
            </w:tcBorders>
            <w:noWrap w:val="0"/>
            <w:vAlign w:val="center"/>
          </w:tcPr>
          <w:p w14:paraId="0667729A">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19061</w:t>
            </w:r>
          </w:p>
        </w:tc>
      </w:tr>
      <w:tr w14:paraId="28E3A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1F4047B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衡东县</w:t>
            </w:r>
          </w:p>
        </w:tc>
        <w:tc>
          <w:tcPr>
            <w:tcW w:w="1064" w:type="dxa"/>
            <w:tcBorders>
              <w:tl2br w:val="nil"/>
              <w:tr2bl w:val="nil"/>
            </w:tcBorders>
            <w:noWrap w:val="0"/>
            <w:vAlign w:val="center"/>
          </w:tcPr>
          <w:p w14:paraId="3BDAD073">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21204</w:t>
            </w:r>
          </w:p>
        </w:tc>
        <w:tc>
          <w:tcPr>
            <w:tcW w:w="1064" w:type="dxa"/>
            <w:tcBorders>
              <w:tl2br w:val="nil"/>
              <w:tr2bl w:val="nil"/>
            </w:tcBorders>
            <w:noWrap w:val="0"/>
            <w:vAlign w:val="center"/>
          </w:tcPr>
          <w:p w14:paraId="68AEBB1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1688</w:t>
            </w:r>
          </w:p>
        </w:tc>
        <w:tc>
          <w:tcPr>
            <w:tcW w:w="1064" w:type="dxa"/>
            <w:tcBorders>
              <w:tl2br w:val="nil"/>
              <w:tr2bl w:val="nil"/>
            </w:tcBorders>
            <w:noWrap w:val="0"/>
            <w:vAlign w:val="center"/>
          </w:tcPr>
          <w:p w14:paraId="3A4C927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4055</w:t>
            </w:r>
          </w:p>
        </w:tc>
        <w:tc>
          <w:tcPr>
            <w:tcW w:w="1064" w:type="dxa"/>
            <w:tcBorders>
              <w:tl2br w:val="nil"/>
              <w:tr2bl w:val="nil"/>
            </w:tcBorders>
            <w:noWrap w:val="0"/>
            <w:vAlign w:val="center"/>
          </w:tcPr>
          <w:p w14:paraId="2BC3E0F4">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1060</w:t>
            </w:r>
          </w:p>
        </w:tc>
        <w:tc>
          <w:tcPr>
            <w:tcW w:w="1064" w:type="dxa"/>
            <w:tcBorders>
              <w:tl2br w:val="nil"/>
              <w:tr2bl w:val="nil"/>
            </w:tcBorders>
            <w:noWrap w:val="0"/>
            <w:vAlign w:val="center"/>
          </w:tcPr>
          <w:p w14:paraId="662B415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2712</w:t>
            </w:r>
          </w:p>
        </w:tc>
        <w:tc>
          <w:tcPr>
            <w:tcW w:w="1065" w:type="dxa"/>
            <w:tcBorders>
              <w:tl2br w:val="nil"/>
              <w:tr2bl w:val="nil"/>
            </w:tcBorders>
            <w:noWrap w:val="0"/>
            <w:vAlign w:val="center"/>
          </w:tcPr>
          <w:p w14:paraId="42297E1E">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157</w:t>
            </w:r>
          </w:p>
        </w:tc>
        <w:tc>
          <w:tcPr>
            <w:tcW w:w="1065" w:type="dxa"/>
            <w:tcBorders>
              <w:tl2br w:val="nil"/>
              <w:tr2bl w:val="nil"/>
            </w:tcBorders>
            <w:noWrap w:val="0"/>
            <w:vAlign w:val="center"/>
          </w:tcPr>
          <w:p w14:paraId="272A875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30876</w:t>
            </w:r>
          </w:p>
        </w:tc>
      </w:tr>
      <w:tr w14:paraId="4B2D4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3EF0032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祁东县</w:t>
            </w:r>
          </w:p>
        </w:tc>
        <w:tc>
          <w:tcPr>
            <w:tcW w:w="1064" w:type="dxa"/>
            <w:tcBorders>
              <w:tl2br w:val="nil"/>
              <w:tr2bl w:val="nil"/>
            </w:tcBorders>
            <w:noWrap w:val="0"/>
            <w:vAlign w:val="center"/>
          </w:tcPr>
          <w:p w14:paraId="6E8BCD6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21840</w:t>
            </w:r>
          </w:p>
        </w:tc>
        <w:tc>
          <w:tcPr>
            <w:tcW w:w="1064" w:type="dxa"/>
            <w:tcBorders>
              <w:tl2br w:val="nil"/>
              <w:tr2bl w:val="nil"/>
            </w:tcBorders>
            <w:noWrap w:val="0"/>
            <w:vAlign w:val="center"/>
          </w:tcPr>
          <w:p w14:paraId="1346FAB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1369</w:t>
            </w:r>
          </w:p>
        </w:tc>
        <w:tc>
          <w:tcPr>
            <w:tcW w:w="1064" w:type="dxa"/>
            <w:tcBorders>
              <w:tl2br w:val="nil"/>
              <w:tr2bl w:val="nil"/>
            </w:tcBorders>
            <w:noWrap w:val="0"/>
            <w:vAlign w:val="center"/>
          </w:tcPr>
          <w:p w14:paraId="4F5B586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5401</w:t>
            </w:r>
          </w:p>
        </w:tc>
        <w:tc>
          <w:tcPr>
            <w:tcW w:w="1064" w:type="dxa"/>
            <w:tcBorders>
              <w:tl2br w:val="nil"/>
              <w:tr2bl w:val="nil"/>
            </w:tcBorders>
            <w:noWrap w:val="0"/>
            <w:vAlign w:val="center"/>
          </w:tcPr>
          <w:p w14:paraId="6B9087B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1169</w:t>
            </w:r>
          </w:p>
        </w:tc>
        <w:tc>
          <w:tcPr>
            <w:tcW w:w="1064" w:type="dxa"/>
            <w:tcBorders>
              <w:tl2br w:val="nil"/>
              <w:tr2bl w:val="nil"/>
            </w:tcBorders>
            <w:noWrap w:val="0"/>
            <w:vAlign w:val="center"/>
          </w:tcPr>
          <w:p w14:paraId="4E88881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3949</w:t>
            </w:r>
          </w:p>
        </w:tc>
        <w:tc>
          <w:tcPr>
            <w:tcW w:w="1065" w:type="dxa"/>
            <w:tcBorders>
              <w:tl2br w:val="nil"/>
              <w:tr2bl w:val="nil"/>
            </w:tcBorders>
            <w:noWrap w:val="0"/>
            <w:vAlign w:val="center"/>
          </w:tcPr>
          <w:p w14:paraId="4CEBB6E0">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169</w:t>
            </w:r>
          </w:p>
        </w:tc>
        <w:tc>
          <w:tcPr>
            <w:tcW w:w="1065" w:type="dxa"/>
            <w:tcBorders>
              <w:tl2br w:val="nil"/>
              <w:tr2bl w:val="nil"/>
            </w:tcBorders>
            <w:noWrap w:val="0"/>
            <w:vAlign w:val="center"/>
          </w:tcPr>
          <w:p w14:paraId="1B64900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33897</w:t>
            </w:r>
          </w:p>
        </w:tc>
      </w:tr>
      <w:tr w14:paraId="077A5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6C1BD98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耒阳市</w:t>
            </w:r>
          </w:p>
        </w:tc>
        <w:tc>
          <w:tcPr>
            <w:tcW w:w="1064" w:type="dxa"/>
            <w:tcBorders>
              <w:tl2br w:val="nil"/>
              <w:tr2bl w:val="nil"/>
            </w:tcBorders>
            <w:noWrap w:val="0"/>
            <w:vAlign w:val="center"/>
          </w:tcPr>
          <w:p w14:paraId="5E6792B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28537</w:t>
            </w:r>
          </w:p>
        </w:tc>
        <w:tc>
          <w:tcPr>
            <w:tcW w:w="1064" w:type="dxa"/>
            <w:tcBorders>
              <w:tl2br w:val="nil"/>
              <w:tr2bl w:val="nil"/>
            </w:tcBorders>
            <w:noWrap w:val="0"/>
            <w:vAlign w:val="center"/>
          </w:tcPr>
          <w:p w14:paraId="08F7A54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2169</w:t>
            </w:r>
          </w:p>
        </w:tc>
        <w:tc>
          <w:tcPr>
            <w:tcW w:w="1064" w:type="dxa"/>
            <w:tcBorders>
              <w:tl2br w:val="nil"/>
              <w:tr2bl w:val="nil"/>
            </w:tcBorders>
            <w:noWrap w:val="0"/>
            <w:vAlign w:val="center"/>
          </w:tcPr>
          <w:p w14:paraId="7977AFE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37393</w:t>
            </w:r>
          </w:p>
        </w:tc>
        <w:tc>
          <w:tcPr>
            <w:tcW w:w="1064" w:type="dxa"/>
            <w:tcBorders>
              <w:tl2br w:val="nil"/>
              <w:tr2bl w:val="nil"/>
            </w:tcBorders>
            <w:noWrap w:val="0"/>
            <w:vAlign w:val="center"/>
          </w:tcPr>
          <w:p w14:paraId="3DEB05C7">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1701</w:t>
            </w:r>
          </w:p>
        </w:tc>
        <w:tc>
          <w:tcPr>
            <w:tcW w:w="1064" w:type="dxa"/>
            <w:tcBorders>
              <w:tl2br w:val="nil"/>
              <w:tr2bl w:val="nil"/>
            </w:tcBorders>
            <w:noWrap w:val="0"/>
            <w:vAlign w:val="center"/>
          </w:tcPr>
          <w:p w14:paraId="1D93137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4652</w:t>
            </w:r>
          </w:p>
        </w:tc>
        <w:tc>
          <w:tcPr>
            <w:tcW w:w="1065" w:type="dxa"/>
            <w:tcBorders>
              <w:tl2br w:val="nil"/>
              <w:tr2bl w:val="nil"/>
            </w:tcBorders>
            <w:noWrap w:val="0"/>
            <w:vAlign w:val="center"/>
          </w:tcPr>
          <w:p w14:paraId="06C3D02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201</w:t>
            </w:r>
          </w:p>
        </w:tc>
        <w:tc>
          <w:tcPr>
            <w:tcW w:w="1065" w:type="dxa"/>
            <w:tcBorders>
              <w:tl2br w:val="nil"/>
              <w:tr2bl w:val="nil"/>
            </w:tcBorders>
            <w:noWrap w:val="0"/>
            <w:vAlign w:val="center"/>
          </w:tcPr>
          <w:p w14:paraId="12BA236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74653</w:t>
            </w:r>
          </w:p>
        </w:tc>
      </w:tr>
      <w:tr w14:paraId="137D2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4" w:type="dxa"/>
            <w:tcBorders>
              <w:tl2br w:val="nil"/>
              <w:tr2bl w:val="nil"/>
            </w:tcBorders>
            <w:noWrap w:val="0"/>
            <w:vAlign w:val="center"/>
          </w:tcPr>
          <w:p w14:paraId="1C637E92">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常宁市</w:t>
            </w:r>
          </w:p>
        </w:tc>
        <w:tc>
          <w:tcPr>
            <w:tcW w:w="1064" w:type="dxa"/>
            <w:tcBorders>
              <w:tl2br w:val="nil"/>
              <w:tr2bl w:val="nil"/>
            </w:tcBorders>
            <w:noWrap w:val="0"/>
            <w:vAlign w:val="center"/>
          </w:tcPr>
          <w:p w14:paraId="690C767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20342</w:t>
            </w:r>
          </w:p>
        </w:tc>
        <w:tc>
          <w:tcPr>
            <w:tcW w:w="1064" w:type="dxa"/>
            <w:tcBorders>
              <w:tl2br w:val="nil"/>
              <w:tr2bl w:val="nil"/>
            </w:tcBorders>
            <w:noWrap w:val="0"/>
            <w:vAlign w:val="center"/>
          </w:tcPr>
          <w:p w14:paraId="0F974BC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1608</w:t>
            </w:r>
          </w:p>
        </w:tc>
        <w:tc>
          <w:tcPr>
            <w:tcW w:w="1064" w:type="dxa"/>
            <w:tcBorders>
              <w:tl2br w:val="nil"/>
              <w:tr2bl w:val="nil"/>
            </w:tcBorders>
            <w:noWrap w:val="0"/>
            <w:vAlign w:val="center"/>
          </w:tcPr>
          <w:p w14:paraId="7685E501">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6378</w:t>
            </w:r>
          </w:p>
        </w:tc>
        <w:tc>
          <w:tcPr>
            <w:tcW w:w="1064" w:type="dxa"/>
            <w:tcBorders>
              <w:tl2br w:val="nil"/>
              <w:tr2bl w:val="nil"/>
            </w:tcBorders>
            <w:noWrap w:val="0"/>
            <w:vAlign w:val="center"/>
          </w:tcPr>
          <w:p w14:paraId="6F83280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1078</w:t>
            </w:r>
          </w:p>
        </w:tc>
        <w:tc>
          <w:tcPr>
            <w:tcW w:w="1064" w:type="dxa"/>
            <w:tcBorders>
              <w:tl2br w:val="nil"/>
              <w:tr2bl w:val="nil"/>
            </w:tcBorders>
            <w:noWrap w:val="0"/>
            <w:vAlign w:val="center"/>
          </w:tcPr>
          <w:p w14:paraId="026CE03F">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3303</w:t>
            </w:r>
          </w:p>
        </w:tc>
        <w:tc>
          <w:tcPr>
            <w:tcW w:w="1065" w:type="dxa"/>
            <w:tcBorders>
              <w:tl2br w:val="nil"/>
              <w:tr2bl w:val="nil"/>
            </w:tcBorders>
            <w:noWrap w:val="0"/>
            <w:vAlign w:val="center"/>
          </w:tcPr>
          <w:p w14:paraId="61701E4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183</w:t>
            </w:r>
          </w:p>
        </w:tc>
        <w:tc>
          <w:tcPr>
            <w:tcW w:w="1065" w:type="dxa"/>
            <w:tcBorders>
              <w:tl2br w:val="nil"/>
              <w:tr2bl w:val="nil"/>
            </w:tcBorders>
            <w:noWrap w:val="0"/>
            <w:vAlign w:val="center"/>
          </w:tcPr>
          <w:p w14:paraId="192D0F13">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32892</w:t>
            </w:r>
          </w:p>
        </w:tc>
      </w:tr>
      <w:tr w14:paraId="2B13A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64" w:type="dxa"/>
            <w:tcBorders>
              <w:tl2br w:val="nil"/>
              <w:tr2bl w:val="nil"/>
            </w:tcBorders>
            <w:noWrap w:val="0"/>
            <w:vAlign w:val="center"/>
          </w:tcPr>
          <w:p w14:paraId="793E9D78">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合计</w:t>
            </w:r>
          </w:p>
        </w:tc>
        <w:tc>
          <w:tcPr>
            <w:tcW w:w="1064" w:type="dxa"/>
            <w:tcBorders>
              <w:tl2br w:val="nil"/>
              <w:tr2bl w:val="nil"/>
            </w:tcBorders>
            <w:noWrap w:val="0"/>
            <w:vAlign w:val="center"/>
          </w:tcPr>
          <w:p w14:paraId="1C7BD70B">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186193</w:t>
            </w:r>
          </w:p>
        </w:tc>
        <w:tc>
          <w:tcPr>
            <w:tcW w:w="1064" w:type="dxa"/>
            <w:tcBorders>
              <w:tl2br w:val="nil"/>
              <w:tr2bl w:val="nil"/>
            </w:tcBorders>
            <w:noWrap w:val="0"/>
            <w:vAlign w:val="center"/>
          </w:tcPr>
          <w:p w14:paraId="7180CF5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13037</w:t>
            </w:r>
          </w:p>
        </w:tc>
        <w:tc>
          <w:tcPr>
            <w:tcW w:w="1064" w:type="dxa"/>
            <w:tcBorders>
              <w:tl2br w:val="nil"/>
              <w:tr2bl w:val="nil"/>
            </w:tcBorders>
            <w:noWrap w:val="0"/>
            <w:vAlign w:val="center"/>
          </w:tcPr>
          <w:p w14:paraId="797E3976">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79960</w:t>
            </w:r>
          </w:p>
        </w:tc>
        <w:tc>
          <w:tcPr>
            <w:tcW w:w="1064" w:type="dxa"/>
            <w:tcBorders>
              <w:tl2br w:val="nil"/>
              <w:tr2bl w:val="nil"/>
            </w:tcBorders>
            <w:noWrap w:val="0"/>
            <w:vAlign w:val="center"/>
          </w:tcPr>
          <w:p w14:paraId="1035B6AC">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13697</w:t>
            </w:r>
          </w:p>
        </w:tc>
        <w:tc>
          <w:tcPr>
            <w:tcW w:w="1064" w:type="dxa"/>
            <w:tcBorders>
              <w:tl2br w:val="nil"/>
              <w:tr2bl w:val="nil"/>
            </w:tcBorders>
            <w:noWrap w:val="0"/>
            <w:vAlign w:val="center"/>
          </w:tcPr>
          <w:p w14:paraId="02D6CE05">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32581</w:t>
            </w:r>
          </w:p>
        </w:tc>
        <w:tc>
          <w:tcPr>
            <w:tcW w:w="1065" w:type="dxa"/>
            <w:tcBorders>
              <w:tl2br w:val="nil"/>
              <w:tr2bl w:val="nil"/>
            </w:tcBorders>
            <w:noWrap w:val="0"/>
            <w:vAlign w:val="center"/>
          </w:tcPr>
          <w:p w14:paraId="51508AA9">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1631</w:t>
            </w:r>
          </w:p>
        </w:tc>
        <w:tc>
          <w:tcPr>
            <w:tcW w:w="1065" w:type="dxa"/>
            <w:tcBorders>
              <w:tl2br w:val="nil"/>
              <w:tr2bl w:val="nil"/>
            </w:tcBorders>
            <w:noWrap w:val="0"/>
            <w:vAlign w:val="center"/>
          </w:tcPr>
          <w:p w14:paraId="6015C21D">
            <w:pPr>
              <w:pStyle w:val="2"/>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kern w:val="2"/>
                <w:sz w:val="21"/>
                <w:szCs w:val="21"/>
                <w:highlight w:val="none"/>
                <w:vertAlign w:val="baseline"/>
                <w:lang w:val="en-US" w:eastAsia="zh-CN" w:bidi="ar-SA"/>
              </w:rPr>
              <w:t>327099</w:t>
            </w:r>
          </w:p>
        </w:tc>
      </w:tr>
    </w:tbl>
    <w:p w14:paraId="73839420">
      <w:pPr>
        <w:keepNext w:val="0"/>
        <w:keepLines w:val="0"/>
        <w:widowControl/>
        <w:suppressLineNumbers w:val="0"/>
        <w:jc w:val="center"/>
        <w:rPr>
          <w:highlight w:val="none"/>
        </w:rPr>
      </w:pPr>
      <w:r>
        <w:rPr>
          <w:highlight w:val="none"/>
        </w:rPr>
        <w:drawing>
          <wp:inline distT="0" distB="0" distL="114300" distR="114300">
            <wp:extent cx="5219700" cy="2685415"/>
            <wp:effectExtent l="0" t="0" r="0" b="63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5"/>
                    <a:stretch>
                      <a:fillRect/>
                    </a:stretch>
                  </pic:blipFill>
                  <pic:spPr>
                    <a:xfrm>
                      <a:off x="0" y="0"/>
                      <a:ext cx="5219700" cy="2685415"/>
                    </a:xfrm>
                    <a:prstGeom prst="rect">
                      <a:avLst/>
                    </a:prstGeom>
                    <a:noFill/>
                    <a:ln>
                      <a:noFill/>
                    </a:ln>
                  </pic:spPr>
                </pic:pic>
              </a:graphicData>
            </a:graphic>
          </wp:inline>
        </w:drawing>
      </w:r>
    </w:p>
    <w:p w14:paraId="521D726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图3.3-</w:t>
      </w:r>
      <w:r>
        <w:rPr>
          <w:rFonts w:hint="eastAsia" w:ascii="Times New Roman" w:hAnsi="Times New Roman" w:eastAsia="宋体" w:cs="Times New Roman"/>
          <w:b/>
          <w:bCs/>
          <w:highlight w:val="none"/>
          <w:lang w:val="en-US" w:eastAsia="zh-CN"/>
        </w:rPr>
        <w:t>8</w:t>
      </w:r>
      <w:r>
        <w:rPr>
          <w:rFonts w:hint="default" w:ascii="Times New Roman" w:hAnsi="Times New Roman" w:eastAsia="宋体" w:cs="Times New Roman"/>
          <w:b/>
          <w:bCs/>
          <w:highlight w:val="none"/>
          <w:lang w:val="en-US" w:eastAsia="zh-CN"/>
        </w:rPr>
        <w:t xml:space="preserve"> 2019年衡阳市各行政区现状用水结构图</w:t>
      </w:r>
    </w:p>
    <w:p w14:paraId="557F1C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（3）用水消耗量</w:t>
      </w:r>
    </w:p>
    <w:p w14:paraId="4CAC196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b w:val="0"/>
          <w:bCs w:val="0"/>
          <w:kern w:val="2"/>
          <w:sz w:val="24"/>
          <w:szCs w:val="24"/>
          <w:highlight w:val="none"/>
          <w:vertAlign w:val="baseline"/>
          <w:lang w:val="en-US" w:eastAsia="zh-CN" w:bidi="ar-SA"/>
        </w:rPr>
      </w:pPr>
      <w:r>
        <w:rPr>
          <w:rFonts w:hint="default" w:ascii="Times New Roman" w:hAnsi="Times New Roman" w:eastAsia="宋体" w:cs="Times New Roman"/>
          <w:b w:val="0"/>
          <w:bCs w:val="0"/>
          <w:kern w:val="2"/>
          <w:sz w:val="24"/>
          <w:szCs w:val="24"/>
          <w:highlight w:val="none"/>
          <w:vertAlign w:val="baseline"/>
          <w:lang w:val="en-US" w:eastAsia="zh-CN" w:bidi="ar-SA"/>
        </w:rPr>
        <w:t>根据《湖南省水资源公报》中的统计数据，衡阳市农田灌溉耗水率在51%～54%，林牧渔畜耗水率为84%，一般工业耗水率为20%，火电耗水率为5%，城镇公共耗水率为80%，城镇居民耗水率为20%，生态与环境补水耗水率为80%。</w:t>
      </w:r>
    </w:p>
    <w:p w14:paraId="06B0377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b w:val="0"/>
          <w:bCs w:val="0"/>
          <w:kern w:val="2"/>
          <w:sz w:val="24"/>
          <w:szCs w:val="24"/>
          <w:highlight w:val="none"/>
          <w:vertAlign w:val="baseline"/>
          <w:lang w:val="en-US" w:eastAsia="zh-CN" w:bidi="ar-SA"/>
        </w:rPr>
      </w:pPr>
      <w:r>
        <w:rPr>
          <w:rFonts w:hint="default" w:ascii="Times New Roman" w:hAnsi="Times New Roman" w:eastAsia="宋体" w:cs="Times New Roman"/>
          <w:b w:val="0"/>
          <w:bCs w:val="0"/>
          <w:kern w:val="2"/>
          <w:sz w:val="24"/>
          <w:szCs w:val="24"/>
          <w:highlight w:val="none"/>
          <w:vertAlign w:val="baseline"/>
          <w:lang w:val="en-US" w:eastAsia="zh-CN" w:bidi="ar-SA"/>
        </w:rPr>
        <w:t>根据《湖南省衡阳市水资源综合规划报告》（2020~2035）</w:t>
      </w:r>
      <w:r>
        <w:rPr>
          <w:rFonts w:hint="eastAsia" w:ascii="Times New Roman" w:hAnsi="Times New Roman" w:eastAsia="宋体" w:cs="Times New Roman"/>
          <w:b w:val="0"/>
          <w:bCs w:val="0"/>
          <w:kern w:val="2"/>
          <w:sz w:val="24"/>
          <w:szCs w:val="24"/>
          <w:highlight w:val="none"/>
          <w:vertAlign w:val="baseline"/>
          <w:lang w:val="en-US" w:eastAsia="zh-CN" w:bidi="ar-SA"/>
        </w:rPr>
        <w:t>，</w:t>
      </w:r>
      <w:r>
        <w:rPr>
          <w:rFonts w:hint="default" w:ascii="Times New Roman" w:hAnsi="Times New Roman" w:eastAsia="宋体" w:cs="Times New Roman"/>
          <w:b w:val="0"/>
          <w:bCs w:val="0"/>
          <w:kern w:val="2"/>
          <w:sz w:val="24"/>
          <w:szCs w:val="24"/>
          <w:highlight w:val="none"/>
          <w:vertAlign w:val="baseline"/>
          <w:lang w:val="en-US" w:eastAsia="zh-CN" w:bidi="ar-SA"/>
        </w:rPr>
        <w:t>2019年</w:t>
      </w:r>
      <w:r>
        <w:rPr>
          <w:rFonts w:hint="eastAsia" w:ascii="Times New Roman" w:hAnsi="Times New Roman" w:eastAsia="宋体" w:cs="Times New Roman"/>
          <w:b w:val="0"/>
          <w:bCs w:val="0"/>
          <w:kern w:val="2"/>
          <w:sz w:val="24"/>
          <w:szCs w:val="24"/>
          <w:highlight w:val="none"/>
          <w:vertAlign w:val="baseline"/>
          <w:lang w:val="en-US" w:eastAsia="zh-CN" w:bidi="ar-SA"/>
        </w:rPr>
        <w:t>衡阳市</w:t>
      </w:r>
      <w:r>
        <w:rPr>
          <w:rFonts w:hint="default" w:ascii="Times New Roman" w:hAnsi="Times New Roman" w:eastAsia="宋体" w:cs="Times New Roman"/>
          <w:b w:val="0"/>
          <w:bCs w:val="0"/>
          <w:kern w:val="2"/>
          <w:sz w:val="24"/>
          <w:szCs w:val="24"/>
          <w:highlight w:val="none"/>
          <w:vertAlign w:val="baseline"/>
          <w:lang w:val="en-US" w:eastAsia="zh-CN" w:bidi="ar-SA"/>
        </w:rPr>
        <w:t>总计耗水量119448万m</w:t>
      </w:r>
      <w:r>
        <w:rPr>
          <w:rFonts w:hint="default" w:ascii="Times New Roman" w:hAnsi="Times New Roman" w:eastAsia="宋体" w:cs="Times New Roman"/>
          <w:b w:val="0"/>
          <w:bCs w:val="0"/>
          <w:kern w:val="2"/>
          <w:sz w:val="24"/>
          <w:szCs w:val="24"/>
          <w:highlight w:val="none"/>
          <w:vertAlign w:val="superscript"/>
          <w:lang w:val="en-US" w:eastAsia="zh-CN" w:bidi="ar-SA"/>
        </w:rPr>
        <w:t>3</w:t>
      </w:r>
      <w:r>
        <w:rPr>
          <w:rFonts w:hint="default" w:ascii="Times New Roman" w:hAnsi="Times New Roman" w:eastAsia="宋体" w:cs="Times New Roman"/>
          <w:b w:val="0"/>
          <w:bCs w:val="0"/>
          <w:kern w:val="2"/>
          <w:sz w:val="24"/>
          <w:szCs w:val="24"/>
          <w:highlight w:val="none"/>
          <w:vertAlign w:val="baseline"/>
          <w:lang w:val="en-US" w:eastAsia="zh-CN" w:bidi="ar-SA"/>
        </w:rPr>
        <w:t>，综合耗水率41%。</w:t>
      </w:r>
      <w:r>
        <w:rPr>
          <w:rFonts w:hint="eastAsia" w:ascii="Times New Roman" w:hAnsi="Times New Roman" w:eastAsia="宋体" w:cs="Times New Roman"/>
          <w:b w:val="0"/>
          <w:bCs w:val="0"/>
          <w:kern w:val="2"/>
          <w:sz w:val="24"/>
          <w:szCs w:val="24"/>
          <w:highlight w:val="none"/>
          <w:vertAlign w:val="baseline"/>
          <w:lang w:val="en-US" w:eastAsia="zh-CN" w:bidi="ar-SA"/>
        </w:rPr>
        <w:t>衡阳市</w:t>
      </w:r>
      <w:r>
        <w:rPr>
          <w:rFonts w:hint="default" w:ascii="Times New Roman" w:hAnsi="Times New Roman" w:eastAsia="宋体" w:cs="Times New Roman"/>
          <w:b w:val="0"/>
          <w:bCs w:val="0"/>
          <w:kern w:val="2"/>
          <w:sz w:val="24"/>
          <w:szCs w:val="24"/>
          <w:highlight w:val="none"/>
          <w:vertAlign w:val="baseline"/>
          <w:lang w:val="en-US" w:eastAsia="zh-CN" w:bidi="ar-SA"/>
        </w:rPr>
        <w:t>分区耗水量详见表3.</w:t>
      </w:r>
      <w:r>
        <w:rPr>
          <w:rFonts w:hint="eastAsia" w:ascii="Times New Roman" w:hAnsi="Times New Roman" w:eastAsia="宋体" w:cs="Times New Roman"/>
          <w:b w:val="0"/>
          <w:bCs w:val="0"/>
          <w:kern w:val="2"/>
          <w:sz w:val="24"/>
          <w:szCs w:val="24"/>
          <w:highlight w:val="none"/>
          <w:vertAlign w:val="baseline"/>
          <w:lang w:val="en-US" w:eastAsia="zh-CN" w:bidi="ar-SA"/>
        </w:rPr>
        <w:t>3</w:t>
      </w:r>
      <w:r>
        <w:rPr>
          <w:rFonts w:hint="default" w:ascii="Times New Roman" w:hAnsi="Times New Roman" w:eastAsia="宋体" w:cs="Times New Roman"/>
          <w:b w:val="0"/>
          <w:bCs w:val="0"/>
          <w:kern w:val="2"/>
          <w:sz w:val="24"/>
          <w:szCs w:val="24"/>
          <w:highlight w:val="none"/>
          <w:vertAlign w:val="baseline"/>
          <w:lang w:val="en-US" w:eastAsia="zh-CN" w:bidi="ar-SA"/>
        </w:rPr>
        <w:t>-</w:t>
      </w:r>
      <w:r>
        <w:rPr>
          <w:rFonts w:hint="eastAsia" w:ascii="Times New Roman" w:hAnsi="Times New Roman" w:eastAsia="宋体" w:cs="Times New Roman"/>
          <w:b w:val="0"/>
          <w:bCs w:val="0"/>
          <w:kern w:val="2"/>
          <w:sz w:val="24"/>
          <w:szCs w:val="24"/>
          <w:highlight w:val="none"/>
          <w:vertAlign w:val="baseline"/>
          <w:lang w:val="en-US" w:eastAsia="zh-CN" w:bidi="ar-SA"/>
        </w:rPr>
        <w:t>11</w:t>
      </w:r>
      <w:r>
        <w:rPr>
          <w:rFonts w:hint="default" w:ascii="Times New Roman" w:hAnsi="Times New Roman" w:eastAsia="宋体" w:cs="Times New Roman"/>
          <w:b w:val="0"/>
          <w:bCs w:val="0"/>
          <w:kern w:val="2"/>
          <w:sz w:val="24"/>
          <w:szCs w:val="24"/>
          <w:highlight w:val="none"/>
          <w:vertAlign w:val="baseline"/>
          <w:lang w:val="en-US" w:eastAsia="zh-CN" w:bidi="ar-SA"/>
        </w:rPr>
        <w:t>。</w:t>
      </w:r>
    </w:p>
    <w:p w14:paraId="1939B385">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219F04C7">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3AFC84DF">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316F42A8">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1B355474">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2D3909BD">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322DD8B">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756359B6">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4691761C">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47B8685E">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30850926">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E0F6FF0">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03CCF4DE">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BA3A68C">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710A76FD">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28C09024">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0B5CC40">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3F4D9BF">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6324F78E">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p>
    <w:p w14:paraId="1374C73B">
      <w:pPr>
        <w:pStyle w:val="2"/>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default" w:ascii="Times New Roman" w:hAnsi="Times New Roman" w:eastAsia="宋体" w:cs="Times New Roman"/>
          <w:b/>
          <w:bCs/>
          <w:kern w:val="2"/>
          <w:sz w:val="21"/>
          <w:szCs w:val="21"/>
          <w:highlight w:val="none"/>
          <w:vertAlign w:val="baseline"/>
          <w:lang w:val="en-US" w:eastAsia="zh-CN" w:bidi="ar-SA"/>
        </w:rPr>
        <w:t>表3.</w:t>
      </w:r>
      <w:r>
        <w:rPr>
          <w:rFonts w:hint="eastAsia" w:ascii="Times New Roman" w:hAnsi="Times New Roman" w:eastAsia="宋体" w:cs="Times New Roman"/>
          <w:b/>
          <w:bCs/>
          <w:kern w:val="2"/>
          <w:sz w:val="21"/>
          <w:szCs w:val="21"/>
          <w:highlight w:val="none"/>
          <w:vertAlign w:val="baseline"/>
          <w:lang w:val="en-US" w:eastAsia="zh-CN" w:bidi="ar-SA"/>
        </w:rPr>
        <w:t>3</w:t>
      </w:r>
      <w:r>
        <w:rPr>
          <w:rFonts w:hint="default" w:ascii="Times New Roman" w:hAnsi="Times New Roman" w:eastAsia="宋体" w:cs="Times New Roman"/>
          <w:b/>
          <w:bCs/>
          <w:kern w:val="2"/>
          <w:sz w:val="21"/>
          <w:szCs w:val="21"/>
          <w:highlight w:val="none"/>
          <w:vertAlign w:val="baseline"/>
          <w:lang w:val="en-US" w:eastAsia="zh-CN" w:bidi="ar-SA"/>
        </w:rPr>
        <w:t>-</w:t>
      </w:r>
      <w:r>
        <w:rPr>
          <w:rFonts w:hint="eastAsia" w:cs="Times New Roman"/>
          <w:b/>
          <w:bCs/>
          <w:kern w:val="2"/>
          <w:sz w:val="21"/>
          <w:szCs w:val="21"/>
          <w:highlight w:val="none"/>
          <w:vertAlign w:val="baseline"/>
          <w:lang w:val="en-US" w:eastAsia="zh-CN" w:bidi="ar-SA"/>
        </w:rPr>
        <w:t>11</w:t>
      </w:r>
      <w:r>
        <w:rPr>
          <w:rFonts w:hint="eastAsia" w:ascii="Times New Roman" w:hAnsi="Times New Roman" w:eastAsia="宋体" w:cs="Times New Roman"/>
          <w:b/>
          <w:bCs/>
          <w:kern w:val="2"/>
          <w:sz w:val="21"/>
          <w:szCs w:val="21"/>
          <w:highlight w:val="none"/>
          <w:vertAlign w:val="baseline"/>
          <w:lang w:val="en-US" w:eastAsia="zh-CN" w:bidi="ar-SA"/>
        </w:rPr>
        <w:t xml:space="preserve"> 2019年衡阳市各区耗水量汇总表（单位：万m</w:t>
      </w:r>
      <w:r>
        <w:rPr>
          <w:rFonts w:hint="eastAsia" w:ascii="Times New Roman" w:hAnsi="Times New Roman" w:eastAsia="宋体" w:cs="Times New Roman"/>
          <w:b/>
          <w:bCs/>
          <w:kern w:val="2"/>
          <w:sz w:val="21"/>
          <w:szCs w:val="21"/>
          <w:highlight w:val="none"/>
          <w:vertAlign w:val="superscript"/>
          <w:lang w:val="en-US" w:eastAsia="zh-CN" w:bidi="ar-SA"/>
        </w:rPr>
        <w:t>3</w:t>
      </w:r>
      <w:r>
        <w:rPr>
          <w:rFonts w:hint="eastAsia" w:ascii="Times New Roman" w:hAnsi="Times New Roman" w:eastAsia="宋体" w:cs="Times New Roman"/>
          <w:b/>
          <w:bCs/>
          <w:kern w:val="2"/>
          <w:sz w:val="21"/>
          <w:szCs w:val="21"/>
          <w:highlight w:val="none"/>
          <w:vertAlign w:val="baseline"/>
          <w:lang w:val="en-US" w:eastAsia="zh-CN" w:bidi="ar-SA"/>
        </w:rPr>
        <w:t>）</w:t>
      </w:r>
    </w:p>
    <w:p w14:paraId="3FA78C57">
      <w:pPr>
        <w:bidi w:val="0"/>
        <w:rPr>
          <w:rFonts w:hint="eastAsia"/>
          <w:highlight w:val="none"/>
          <w:lang w:val="en-US" w:eastAsia="zh-CN"/>
        </w:rPr>
      </w:pPr>
      <w:r>
        <w:rPr>
          <w:highlight w:val="none"/>
        </w:rPr>
        <w:drawing>
          <wp:inline distT="0" distB="0" distL="114300" distR="114300">
            <wp:extent cx="5297170" cy="3267710"/>
            <wp:effectExtent l="0" t="0" r="17780" b="8890"/>
            <wp:docPr id="3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3"/>
                    <pic:cNvPicPr>
                      <a:picLocks noChangeAspect="1"/>
                    </pic:cNvPicPr>
                  </pic:nvPicPr>
                  <pic:blipFill>
                    <a:blip r:embed="rId26"/>
                    <a:stretch>
                      <a:fillRect/>
                    </a:stretch>
                  </pic:blipFill>
                  <pic:spPr>
                    <a:xfrm>
                      <a:off x="0" y="0"/>
                      <a:ext cx="5297170" cy="3267710"/>
                    </a:xfrm>
                    <a:prstGeom prst="rect">
                      <a:avLst/>
                    </a:prstGeom>
                    <a:noFill/>
                    <a:ln>
                      <a:noFill/>
                    </a:ln>
                  </pic:spPr>
                </pic:pic>
              </a:graphicData>
            </a:graphic>
          </wp:inline>
        </w:drawing>
      </w:r>
    </w:p>
    <w:p w14:paraId="5D5DB3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（4）用水水平及效率分析</w:t>
      </w:r>
    </w:p>
    <w:p w14:paraId="00089C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①综合用水指标</w:t>
      </w:r>
    </w:p>
    <w:p w14:paraId="563F4E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人均用水量：全市一年的总用水量除以全市总人口，即为人均用水量，2019年衡阳市人均用水量为448.04m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。2010年～2019年这一指标呈平稳趋势，用水量保持稳定。历年人均用水量变化趋势见</w:t>
      </w:r>
      <w:r>
        <w:rPr>
          <w:rFonts w:hint="eastAsia" w:ascii="Times New Roman" w:hAnsi="Times New Roman" w:eastAsia="宋体" w:cs="Times New Roman"/>
          <w:b w:val="0"/>
          <w:bCs w:val="0"/>
          <w:sz w:val="24"/>
          <w:szCs w:val="24"/>
          <w:highlight w:val="none"/>
          <w:lang w:val="en-US" w:eastAsia="zh-CN"/>
        </w:rPr>
        <w:t>下</w:t>
      </w:r>
      <w:r>
        <w:rPr>
          <w:rFonts w:hint="default" w:ascii="Times New Roman" w:hAnsi="Times New Roman" w:eastAsia="宋体" w:cs="Times New Roman"/>
          <w:b w:val="0"/>
          <w:bCs w:val="0"/>
          <w:sz w:val="24"/>
          <w:szCs w:val="24"/>
          <w:highlight w:val="none"/>
          <w:lang w:val="en-US" w:eastAsia="zh-CN"/>
        </w:rPr>
        <w:t>图。</w:t>
      </w:r>
    </w:p>
    <w:p w14:paraId="3AAA1C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sz w:val="24"/>
          <w:szCs w:val="24"/>
          <w:highlight w:val="none"/>
          <w:lang w:val="en-US" w:eastAsia="zh-CN"/>
        </w:rPr>
      </w:pPr>
      <w:r>
        <w:rPr>
          <w:highlight w:val="none"/>
        </w:rPr>
        <w:drawing>
          <wp:inline distT="0" distB="0" distL="114300" distR="114300">
            <wp:extent cx="4686300" cy="2952115"/>
            <wp:effectExtent l="0" t="0" r="0" b="63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7"/>
                    <a:stretch>
                      <a:fillRect/>
                    </a:stretch>
                  </pic:blipFill>
                  <pic:spPr>
                    <a:xfrm>
                      <a:off x="0" y="0"/>
                      <a:ext cx="4686300" cy="2952115"/>
                    </a:xfrm>
                    <a:prstGeom prst="rect">
                      <a:avLst/>
                    </a:prstGeom>
                    <a:noFill/>
                    <a:ln>
                      <a:noFill/>
                    </a:ln>
                  </pic:spPr>
                </pic:pic>
              </a:graphicData>
            </a:graphic>
          </wp:inline>
        </w:drawing>
      </w:r>
    </w:p>
    <w:p w14:paraId="4B8D7F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图3.3-</w:t>
      </w:r>
      <w:r>
        <w:rPr>
          <w:rFonts w:hint="eastAsia"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lang w:val="en-US" w:eastAsia="zh-CN"/>
        </w:rPr>
        <w:t xml:space="preserve"> 衡阳市近10年人均用水量变化趋势图</w:t>
      </w:r>
    </w:p>
    <w:p w14:paraId="29ECF0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万元GDP用水量：2019年全市国内生产总值为3372.68亿元，单位万元GDP用水量为97m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/万元。万元GDP用水指标与产业结构和用水水平有直接关系，市区平均用水指标在20～35m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lang w:val="en-US" w:eastAsia="zh-CN"/>
        </w:rPr>
        <w:t>万元之间，这些地区对全市GDP贡献大，用水单耗低，其他地区用水指标高于全市平均值。2010年～2019年全市万元GDP用水量呈下降趋势，历年变化趋势见</w:t>
      </w:r>
      <w:r>
        <w:rPr>
          <w:rFonts w:hint="eastAsia" w:ascii="Times New Roman" w:hAnsi="Times New Roman" w:eastAsia="宋体" w:cs="Times New Roman"/>
          <w:b w:val="0"/>
          <w:bCs w:val="0"/>
          <w:sz w:val="24"/>
          <w:szCs w:val="24"/>
          <w:highlight w:val="none"/>
          <w:lang w:val="en-US" w:eastAsia="zh-CN"/>
        </w:rPr>
        <w:t>下</w:t>
      </w:r>
      <w:r>
        <w:rPr>
          <w:rFonts w:hint="default" w:ascii="Times New Roman" w:hAnsi="Times New Roman" w:eastAsia="宋体" w:cs="Times New Roman"/>
          <w:b w:val="0"/>
          <w:bCs w:val="0"/>
          <w:sz w:val="24"/>
          <w:szCs w:val="24"/>
          <w:highlight w:val="none"/>
          <w:lang w:val="en-US" w:eastAsia="zh-CN"/>
        </w:rPr>
        <w:t>图</w:t>
      </w:r>
      <w:r>
        <w:rPr>
          <w:rFonts w:hint="eastAsia" w:ascii="Times New Roman" w:hAnsi="Times New Roman" w:eastAsia="宋体" w:cs="Times New Roman"/>
          <w:b w:val="0"/>
          <w:bCs w:val="0"/>
          <w:sz w:val="24"/>
          <w:szCs w:val="24"/>
          <w:highlight w:val="none"/>
          <w:lang w:val="en-US" w:eastAsia="zh-CN"/>
        </w:rPr>
        <w:t>。</w:t>
      </w:r>
    </w:p>
    <w:p w14:paraId="364B410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Times New Roman" w:hAnsi="Times New Roman" w:eastAsia="宋体" w:cs="Times New Roman"/>
          <w:b w:val="0"/>
          <w:bCs w:val="0"/>
          <w:sz w:val="24"/>
          <w:szCs w:val="24"/>
          <w:highlight w:val="none"/>
          <w:lang w:val="en-US" w:eastAsia="zh-CN"/>
        </w:rPr>
      </w:pPr>
      <w:r>
        <w:rPr>
          <w:highlight w:val="none"/>
        </w:rPr>
        <w:drawing>
          <wp:inline distT="0" distB="0" distL="114300" distR="114300">
            <wp:extent cx="5219700" cy="3185160"/>
            <wp:effectExtent l="0" t="0" r="0" b="15240"/>
            <wp:docPr id="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4"/>
                    <pic:cNvPicPr>
                      <a:picLocks noChangeAspect="1"/>
                    </pic:cNvPicPr>
                  </pic:nvPicPr>
                  <pic:blipFill>
                    <a:blip r:embed="rId28"/>
                    <a:stretch>
                      <a:fillRect/>
                    </a:stretch>
                  </pic:blipFill>
                  <pic:spPr>
                    <a:xfrm>
                      <a:off x="0" y="0"/>
                      <a:ext cx="5219700" cy="3185160"/>
                    </a:xfrm>
                    <a:prstGeom prst="rect">
                      <a:avLst/>
                    </a:prstGeom>
                    <a:noFill/>
                    <a:ln>
                      <a:noFill/>
                    </a:ln>
                  </pic:spPr>
                </pic:pic>
              </a:graphicData>
            </a:graphic>
          </wp:inline>
        </w:drawing>
      </w:r>
    </w:p>
    <w:p w14:paraId="185330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图3.3-</w:t>
      </w:r>
      <w:r>
        <w:rPr>
          <w:rFonts w:hint="eastAsia" w:ascii="Times New Roman" w:hAnsi="Times New Roman" w:eastAsia="宋体" w:cs="Times New Roman"/>
          <w:b/>
          <w:bCs/>
          <w:highlight w:val="none"/>
          <w:lang w:val="en-US" w:eastAsia="zh-CN"/>
        </w:rPr>
        <w:t>10</w:t>
      </w:r>
      <w:r>
        <w:rPr>
          <w:rFonts w:hint="default" w:ascii="Times New Roman" w:hAnsi="Times New Roman" w:eastAsia="宋体" w:cs="Times New Roman"/>
          <w:b/>
          <w:bCs/>
          <w:highlight w:val="none"/>
          <w:lang w:val="en-US" w:eastAsia="zh-CN"/>
        </w:rPr>
        <w:t xml:space="preserve"> 衡阳市万元GDP用水量变化趋势图</w:t>
      </w:r>
    </w:p>
    <w:p w14:paraId="37AB1A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②</w:t>
      </w:r>
      <w:r>
        <w:rPr>
          <w:rFonts w:hint="eastAsia" w:ascii="Times New Roman" w:hAnsi="Times New Roman" w:eastAsia="宋体" w:cs="Times New Roman"/>
          <w:b w:val="0"/>
          <w:bCs w:val="0"/>
          <w:sz w:val="24"/>
          <w:szCs w:val="24"/>
          <w:highlight w:val="none"/>
          <w:lang w:val="en-US" w:eastAsia="zh-CN"/>
        </w:rPr>
        <w:t>其他用水</w:t>
      </w:r>
      <w:r>
        <w:rPr>
          <w:rFonts w:hint="default" w:ascii="Times New Roman" w:hAnsi="Times New Roman" w:eastAsia="宋体" w:cs="Times New Roman"/>
          <w:b w:val="0"/>
          <w:bCs w:val="0"/>
          <w:sz w:val="24"/>
          <w:szCs w:val="24"/>
          <w:highlight w:val="none"/>
          <w:lang w:val="en-US" w:eastAsia="zh-CN"/>
        </w:rPr>
        <w:t>指标</w:t>
      </w:r>
    </w:p>
    <w:p w14:paraId="7F4D88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生活用水指标</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2019年，全市城镇居民生活人均日用水量为140L/人·d</w:t>
      </w:r>
      <w:r>
        <w:rPr>
          <w:rFonts w:hint="eastAsia" w:ascii="Times New Roman" w:hAnsi="Times New Roman" w:eastAsia="宋体" w:cs="Times New Roman"/>
          <w:b w:val="0"/>
          <w:bCs w:val="0"/>
          <w:sz w:val="24"/>
          <w:szCs w:val="24"/>
          <w:highlight w:val="none"/>
          <w:lang w:val="en-US" w:eastAsia="zh-CN"/>
        </w:rPr>
        <w:t>；2019年，全市农村居民生活人均日用水量为101L/人·d；全市公共用水日用水量为105L/人·d。根据对衡阳市近年来生活用水指标调查，用水定额符合《湖南省用水定额》（DB43/T 388-2020）标准。</w:t>
      </w:r>
    </w:p>
    <w:p w14:paraId="7F7F24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工业用水指标：2019年，衡阳市单位万元工业增加值用水量为64m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/万元。</w:t>
      </w:r>
    </w:p>
    <w:p w14:paraId="6E5DB8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农业用水指标：2019年全市平均每亩地的灌溉用水量为536.4m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vertAlign w:val="baseline"/>
          <w:lang w:val="en-US" w:eastAsia="zh-CN"/>
        </w:rPr>
        <w:t>。</w:t>
      </w:r>
    </w:p>
    <w:p w14:paraId="23E06E25">
      <w:pPr>
        <w:pStyle w:val="6"/>
        <w:bidi w:val="0"/>
        <w:rPr>
          <w:rFonts w:hint="eastAsia"/>
          <w:highlight w:val="none"/>
          <w:lang w:val="en-US" w:eastAsia="zh-CN"/>
        </w:rPr>
      </w:pPr>
      <w:r>
        <w:rPr>
          <w:rFonts w:hint="eastAsia"/>
          <w:highlight w:val="none"/>
          <w:lang w:val="en-US" w:eastAsia="zh-CN"/>
        </w:rPr>
        <w:t>3.3.7 水资源开发利用程度分析</w:t>
      </w:r>
    </w:p>
    <w:p w14:paraId="6673857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kern w:val="2"/>
          <w:szCs w:val="24"/>
          <w:highlight w:val="none"/>
          <w:lang w:val="en-US" w:eastAsia="zh-CN" w:bidi="ar-SA"/>
        </w:rPr>
      </w:pPr>
      <w:r>
        <w:rPr>
          <w:rFonts w:hint="default"/>
          <w:sz w:val="24"/>
          <w:szCs w:val="24"/>
          <w:highlight w:val="none"/>
          <w:lang w:val="en-US" w:eastAsia="zh-CN"/>
        </w:rPr>
        <w:t>衡阳市多年平均用水量为33.29亿m</w:t>
      </w:r>
      <w:r>
        <w:rPr>
          <w:rFonts w:hint="default"/>
          <w:sz w:val="24"/>
          <w:szCs w:val="24"/>
          <w:highlight w:val="none"/>
          <w:vertAlign w:val="superscript"/>
          <w:lang w:val="en-US" w:eastAsia="zh-CN"/>
        </w:rPr>
        <w:t>3</w:t>
      </w:r>
      <w:r>
        <w:rPr>
          <w:rFonts w:hint="default"/>
          <w:sz w:val="24"/>
          <w:szCs w:val="24"/>
          <w:highlight w:val="none"/>
          <w:lang w:val="en-US" w:eastAsia="zh-CN"/>
        </w:rPr>
        <w:t>，多年平均水资源总量为116.04亿m</w:t>
      </w:r>
      <w:r>
        <w:rPr>
          <w:rFonts w:hint="default"/>
          <w:sz w:val="24"/>
          <w:szCs w:val="24"/>
          <w:highlight w:val="none"/>
          <w:vertAlign w:val="superscript"/>
          <w:lang w:val="en-US" w:eastAsia="zh-CN"/>
        </w:rPr>
        <w:t>3</w:t>
      </w:r>
      <w:r>
        <w:rPr>
          <w:rFonts w:hint="default"/>
          <w:sz w:val="24"/>
          <w:szCs w:val="24"/>
          <w:highlight w:val="none"/>
          <w:lang w:val="en-US" w:eastAsia="zh-CN"/>
        </w:rPr>
        <w:t>，全市水资源开发利用程度为28.69%。衡阳市水资源开发利用程度基本符合湖南省境内湘江流域开发利用程度。</w:t>
      </w:r>
    </w:p>
    <w:p w14:paraId="0CB62D64">
      <w:pPr>
        <w:pStyle w:val="6"/>
        <w:bidi w:val="0"/>
        <w:rPr>
          <w:rFonts w:hint="default"/>
          <w:highlight w:val="none"/>
          <w:lang w:val="en-US" w:eastAsia="zh-CN"/>
        </w:rPr>
      </w:pPr>
      <w:r>
        <w:rPr>
          <w:rFonts w:hint="eastAsia"/>
          <w:highlight w:val="none"/>
          <w:lang w:val="en-US" w:eastAsia="zh-CN"/>
        </w:rPr>
        <w:t>3.3.8 水资源开发利用中存在的问题</w:t>
      </w:r>
    </w:p>
    <w:p w14:paraId="4E45E16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sz w:val="24"/>
          <w:szCs w:val="24"/>
          <w:highlight w:val="none"/>
          <w:lang w:val="en-US" w:eastAsia="zh-CN"/>
        </w:rPr>
        <w:t>（1）水资源时空分布不均</w:t>
      </w:r>
    </w:p>
    <w:p w14:paraId="4BFF647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衡阳市的水资源主要靠降水补给，客水丰富。水资源空间分布规律与降水、径流分布基本一致，受水资源时空分布不均，沿江地带水多为患，洪涝时有发生；山区、丘陵区岗地水少易旱，干旱灾害频发。随着城市化进程的加剧，与生产力布局不相匹配、供水工程调控能力不足，区域性缺水、季节性缺水矛盾比较突出，水资源支撑经济社会高质量发展的制约因素长期存在。</w:t>
      </w:r>
    </w:p>
    <w:p w14:paraId="1F55D8C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（2）用水效率不高</w:t>
      </w:r>
    </w:p>
    <w:p w14:paraId="51D3749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全市再生水和雨水等非常规水资源利用程度不高，自来水管网漏损率较高，部分老工业企业生产工艺落后，耗水量大，非生产工业用户（包括外供水）用水单耗高等现象普遍存在。</w:t>
      </w:r>
    </w:p>
    <w:p w14:paraId="29AA71B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（3）饮水保障不足</w:t>
      </w:r>
    </w:p>
    <w:p w14:paraId="3BDBC9F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全市饮用水源地保护力度亟需加强。全市供水水源地大部分水源为Ⅱ~Ⅲ类水质，但仍存在一定的安全隐患，主要是生活污染、工业污染和环境污染带来的威胁，特别是城乡取水口、排污口交错布局，码头污染、船舶运输污染以及面广量大的农业面源污染，使得饮用水水源地保护压力大；农村饮水水源地保护工程建设基础薄弱，现有乡镇水厂规模小，工艺落后，水质处理措施不完善，部分地 区供水水源保证率低。</w:t>
      </w:r>
    </w:p>
    <w:p w14:paraId="532A249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水土流失</w:t>
      </w:r>
    </w:p>
    <w:p w14:paraId="642DF5F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随着社会经济稳步发展，城市化进程不断加速，开发建设项目急剧增加，水土流失有所加剧。城区属于以水力侵蚀为主类型区中的南方红壤丘陵区，水土流失类型主要是水力侵蚀，部分山丘区存在着滑坡、崩塌、泥石流等重力侵蚀。</w:t>
      </w:r>
    </w:p>
    <w:p w14:paraId="74C4714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（5）配置能力不强</w:t>
      </w:r>
    </w:p>
    <w:p w14:paraId="4BD668F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衡阳市水库数量位居全省第一，但小型水库数量占比接近98%，且大多数修建于上世纪50~70年代，21世纪以来以大中型水库工程建设为主。全市水库总库容29.57亿m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总蓄水量不到多年平均径流量30%，有效调控能力低于全省平均水平。衡阳市境内控制性水库工程数量较少，缺乏建高坝的条件，雨洪资源无法得到充分利用。全市缺乏大型引调水工程，调控流域水资源时空分布矛盾的能力不强。</w:t>
      </w:r>
    </w:p>
    <w:p w14:paraId="24FC04B6">
      <w:pPr>
        <w:jc w:val="both"/>
        <w:rPr>
          <w:rFonts w:hint="default"/>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A169D10">
      <w:pPr>
        <w:pStyle w:val="5"/>
        <w:numPr>
          <w:ilvl w:val="0"/>
          <w:numId w:val="0"/>
        </w:numPr>
        <w:bidi w:val="0"/>
        <w:ind w:leftChars="0"/>
        <w:jc w:val="center"/>
        <w:outlineLvl w:val="0"/>
        <w:rPr>
          <w:rStyle w:val="35"/>
          <w:rFonts w:hint="default" w:ascii="Times New Roman" w:hAnsi="Times New Roman" w:eastAsia="宋体" w:cs="Times New Roman"/>
          <w:b/>
          <w:highlight w:val="none"/>
          <w:lang w:val="en-US" w:eastAsia="zh-CN"/>
        </w:rPr>
      </w:pPr>
      <w:bookmarkStart w:id="71" w:name="_Toc95296570"/>
      <w:bookmarkStart w:id="72" w:name="_Toc12387"/>
      <w:bookmarkStart w:id="73" w:name="_Toc1775"/>
      <w:bookmarkStart w:id="74" w:name="_Toc76567564"/>
      <w:r>
        <w:rPr>
          <w:rStyle w:val="35"/>
          <w:rFonts w:hint="eastAsia" w:ascii="Times New Roman" w:hAnsi="Times New Roman" w:eastAsia="宋体" w:cs="Times New Roman"/>
          <w:b/>
          <w:highlight w:val="none"/>
          <w:lang w:val="en-US" w:eastAsia="zh-CN"/>
        </w:rPr>
        <w:t xml:space="preserve">第四章  </w:t>
      </w:r>
      <w:r>
        <w:rPr>
          <w:rStyle w:val="35"/>
          <w:rFonts w:hint="default" w:ascii="Times New Roman" w:hAnsi="Times New Roman" w:eastAsia="宋体" w:cs="Times New Roman"/>
          <w:b/>
          <w:highlight w:val="none"/>
          <w:lang w:val="en-US" w:eastAsia="zh-CN"/>
        </w:rPr>
        <w:t>水功能区（水域）管理要求和现有取排水状况</w:t>
      </w:r>
      <w:bookmarkEnd w:id="71"/>
      <w:bookmarkEnd w:id="72"/>
      <w:bookmarkEnd w:id="73"/>
      <w:bookmarkEnd w:id="74"/>
    </w:p>
    <w:p w14:paraId="0100D98B">
      <w:pPr>
        <w:pStyle w:val="5"/>
        <w:numPr>
          <w:ilvl w:val="0"/>
          <w:numId w:val="0"/>
        </w:numPr>
        <w:bidi w:val="0"/>
        <w:ind w:left="0" w:leftChars="0" w:firstLine="0" w:firstLineChars="0"/>
        <w:rPr>
          <w:rFonts w:hint="eastAsia"/>
          <w:highlight w:val="none"/>
          <w:lang w:val="en-US" w:eastAsia="zh-CN"/>
        </w:rPr>
      </w:pPr>
      <w:bookmarkStart w:id="75" w:name="_Toc4827"/>
      <w:r>
        <w:rPr>
          <w:rFonts w:hint="eastAsia"/>
          <w:highlight w:val="none"/>
          <w:lang w:val="en-US" w:eastAsia="zh-CN"/>
        </w:rPr>
        <w:t>4.1 水功能区水质管理目标与要求</w:t>
      </w:r>
      <w:bookmarkEnd w:id="75"/>
    </w:p>
    <w:p w14:paraId="67DB125F">
      <w:pPr>
        <w:pStyle w:val="6"/>
        <w:bidi w:val="0"/>
        <w:rPr>
          <w:rFonts w:hint="default"/>
          <w:highlight w:val="none"/>
          <w:lang w:val="en-US" w:eastAsia="zh-CN"/>
        </w:rPr>
      </w:pPr>
      <w:r>
        <w:rPr>
          <w:rFonts w:hint="eastAsia"/>
          <w:highlight w:val="none"/>
          <w:lang w:val="en-US" w:eastAsia="zh-CN"/>
        </w:rPr>
        <w:t>4.1.1 水环境功能区划</w:t>
      </w:r>
    </w:p>
    <w:p w14:paraId="043133E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sz w:val="24"/>
          <w:szCs w:val="24"/>
          <w:highlight w:val="none"/>
        </w:rPr>
      </w:pPr>
      <w:r>
        <w:rPr>
          <w:sz w:val="24"/>
          <w:szCs w:val="24"/>
          <w:highlight w:val="none"/>
        </w:rPr>
        <w:t>水功能区划是依据国民经济发展规划和水资源综合利用规划，结合区域水资源开发利用现状和社会需求，科学合理地在相应水域划定具有特定功能、满足水资源合理开发利用和保护要求并能够发挥最佳效益的区域（即水功能区）；确定各水域的主导功能及功能顺序，制定水域功能不遭破坏的水资源保护目标；通过各功能区水资源保护目标的实现，保障水资源的可持续利用。</w:t>
      </w:r>
    </w:p>
    <w:p w14:paraId="16CDC68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sz w:val="24"/>
          <w:szCs w:val="24"/>
          <w:highlight w:val="none"/>
        </w:rPr>
      </w:pPr>
      <w:r>
        <w:rPr>
          <w:sz w:val="24"/>
          <w:szCs w:val="24"/>
          <w:highlight w:val="none"/>
        </w:rPr>
        <w:t>水功能区采用一、二两级区划的分级分类系统。</w:t>
      </w:r>
    </w:p>
    <w:p w14:paraId="1E3CA00F">
      <w:pPr>
        <w:bidi w:val="0"/>
        <w:rPr>
          <w:rFonts w:hint="default"/>
          <w:highlight w:val="none"/>
          <w:lang w:val="en-US" w:eastAsia="zh-CN"/>
        </w:rPr>
      </w:pPr>
      <w:r>
        <w:rPr>
          <w:highlight w:val="none"/>
        </w:rPr>
        <w:drawing>
          <wp:inline distT="0" distB="0" distL="114300" distR="114300">
            <wp:extent cx="5269230" cy="4331970"/>
            <wp:effectExtent l="0" t="0" r="7620" b="1143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9"/>
                    <a:srcRect t="2267"/>
                    <a:stretch>
                      <a:fillRect/>
                    </a:stretch>
                  </pic:blipFill>
                  <pic:spPr>
                    <a:xfrm>
                      <a:off x="0" y="0"/>
                      <a:ext cx="5269230" cy="4331970"/>
                    </a:xfrm>
                    <a:prstGeom prst="rect">
                      <a:avLst/>
                    </a:prstGeom>
                    <a:noFill/>
                    <a:ln>
                      <a:noFill/>
                    </a:ln>
                  </pic:spPr>
                </pic:pic>
              </a:graphicData>
            </a:graphic>
          </wp:inline>
        </w:drawing>
      </w:r>
    </w:p>
    <w:p w14:paraId="68DA8250">
      <w:pP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cs="Times New Roman"/>
          <w:b/>
          <w:color w:val="000000"/>
          <w:highlight w:val="none"/>
        </w:rPr>
        <w:t>图</w:t>
      </w:r>
      <w:r>
        <w:rPr>
          <w:rFonts w:hint="eastAsia" w:cs="Times New Roman"/>
          <w:b/>
          <w:color w:val="000000"/>
          <w:highlight w:val="none"/>
          <w:lang w:val="en-US" w:eastAsia="zh-CN"/>
        </w:rPr>
        <w:t>4</w:t>
      </w:r>
      <w:r>
        <w:rPr>
          <w:rFonts w:hint="default" w:ascii="Times New Roman" w:hAnsi="Times New Roman" w:cs="Times New Roman"/>
          <w:b/>
          <w:color w:val="000000"/>
          <w:highlight w:val="none"/>
        </w:rPr>
        <w:t>.1-1 水功能区分级分类系统</w:t>
      </w:r>
    </w:p>
    <w:p w14:paraId="71FB3C6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一级水功能区分为保护区、保留区、缓冲区和开发利用区四类。</w:t>
      </w:r>
    </w:p>
    <w:p w14:paraId="24FF070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二级水功能区在开发利用区中划分为饮用水源区、工业用水区、农业用水区、渔业用水区、景观娱乐用水区、过渡区和排污控制区七类。</w:t>
      </w:r>
    </w:p>
    <w:p w14:paraId="4B8385C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各水功能区定义如下</w:t>
      </w:r>
      <w:r>
        <w:rPr>
          <w:rFonts w:hint="eastAsia" w:ascii="Times New Roman" w:hAnsi="Times New Roman" w:eastAsia="宋体" w:cs="Times New Roman"/>
          <w:sz w:val="24"/>
          <w:szCs w:val="24"/>
          <w:highlight w:val="none"/>
          <w:lang w:val="en-US" w:eastAsia="zh-CN"/>
        </w:rPr>
        <w:t>表所示</w:t>
      </w:r>
      <w:r>
        <w:rPr>
          <w:rFonts w:ascii="Times New Roman" w:hAnsi="Times New Roman" w:eastAsia="宋体" w:cs="Times New Roman"/>
          <w:sz w:val="24"/>
          <w:szCs w:val="24"/>
          <w:highlight w:val="none"/>
        </w:rPr>
        <w:t>。</w:t>
      </w:r>
    </w:p>
    <w:p w14:paraId="14242F02">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cs="Times New Roman"/>
          <w:b/>
          <w:color w:val="000000"/>
          <w:sz w:val="21"/>
          <w:szCs w:val="21"/>
          <w:highlight w:val="none"/>
        </w:rPr>
        <w:t>表</w:t>
      </w:r>
      <w:r>
        <w:rPr>
          <w:rFonts w:hint="eastAsia" w:cs="Times New Roman"/>
          <w:b/>
          <w:color w:val="000000"/>
          <w:sz w:val="21"/>
          <w:szCs w:val="21"/>
          <w:highlight w:val="none"/>
          <w:lang w:val="en-US" w:eastAsia="zh-CN"/>
        </w:rPr>
        <w:t>4</w:t>
      </w:r>
      <w:r>
        <w:rPr>
          <w:rFonts w:hint="default" w:ascii="Times New Roman" w:hAnsi="Times New Roman" w:cs="Times New Roman"/>
          <w:b/>
          <w:color w:val="000000"/>
          <w:sz w:val="21"/>
          <w:szCs w:val="21"/>
          <w:highlight w:val="none"/>
        </w:rPr>
        <w:t>.1-1 各水功能区定义</w:t>
      </w:r>
      <w:r>
        <w:rPr>
          <w:rFonts w:hint="eastAsia" w:cs="Times New Roman"/>
          <w:b/>
          <w:color w:val="000000"/>
          <w:sz w:val="21"/>
          <w:szCs w:val="21"/>
          <w:highlight w:val="none"/>
          <w:lang w:val="en-US" w:eastAsia="zh-CN"/>
        </w:rPr>
        <w:t>一览表</w:t>
      </w:r>
    </w:p>
    <w:tbl>
      <w:tblPr>
        <w:tblStyle w:val="2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25"/>
        <w:gridCol w:w="1291"/>
        <w:gridCol w:w="5707"/>
      </w:tblGrid>
      <w:tr w14:paraId="3A4185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425" w:type="dxa"/>
            <w:tcBorders>
              <w:tl2br w:val="nil"/>
              <w:tr2bl w:val="nil"/>
            </w:tcBorders>
            <w:noWrap w:val="0"/>
            <w:vAlign w:val="center"/>
          </w:tcPr>
          <w:p w14:paraId="6DCDA2F8">
            <w:pPr>
              <w:pStyle w:val="75"/>
              <w:rPr>
                <w:rFonts w:cs="Times New Roman"/>
                <w:b w:val="0"/>
                <w:bCs w:val="0"/>
                <w:color w:val="000000"/>
                <w:highlight w:val="none"/>
              </w:rPr>
            </w:pPr>
            <w:r>
              <w:rPr>
                <w:rFonts w:cs="Times New Roman"/>
                <w:b w:val="0"/>
                <w:bCs w:val="0"/>
                <w:color w:val="000000"/>
                <w:highlight w:val="none"/>
              </w:rPr>
              <w:t>类别</w:t>
            </w:r>
          </w:p>
        </w:tc>
        <w:tc>
          <w:tcPr>
            <w:tcW w:w="1291" w:type="dxa"/>
            <w:tcBorders>
              <w:tl2br w:val="nil"/>
              <w:tr2bl w:val="nil"/>
            </w:tcBorders>
            <w:noWrap w:val="0"/>
            <w:vAlign w:val="center"/>
          </w:tcPr>
          <w:p w14:paraId="106EBF45">
            <w:pPr>
              <w:pStyle w:val="75"/>
              <w:rPr>
                <w:rFonts w:cs="Times New Roman"/>
                <w:b w:val="0"/>
                <w:bCs w:val="0"/>
                <w:color w:val="000000"/>
                <w:highlight w:val="none"/>
              </w:rPr>
            </w:pPr>
            <w:r>
              <w:rPr>
                <w:rFonts w:cs="Times New Roman"/>
                <w:b w:val="0"/>
                <w:bCs w:val="0"/>
                <w:color w:val="000000"/>
                <w:highlight w:val="none"/>
              </w:rPr>
              <w:t>水功能区</w:t>
            </w:r>
          </w:p>
        </w:tc>
        <w:tc>
          <w:tcPr>
            <w:tcW w:w="5707" w:type="dxa"/>
            <w:tcBorders>
              <w:tl2br w:val="nil"/>
              <w:tr2bl w:val="nil"/>
            </w:tcBorders>
            <w:noWrap w:val="0"/>
            <w:vAlign w:val="center"/>
          </w:tcPr>
          <w:p w14:paraId="5547E0E8">
            <w:pPr>
              <w:pStyle w:val="75"/>
              <w:rPr>
                <w:rFonts w:cs="Times New Roman"/>
                <w:b w:val="0"/>
                <w:bCs w:val="0"/>
                <w:color w:val="000000"/>
                <w:highlight w:val="none"/>
              </w:rPr>
            </w:pPr>
            <w:r>
              <w:rPr>
                <w:rFonts w:cs="Times New Roman"/>
                <w:b w:val="0"/>
                <w:bCs w:val="0"/>
                <w:color w:val="000000"/>
                <w:highlight w:val="none"/>
              </w:rPr>
              <w:t>定义</w:t>
            </w:r>
          </w:p>
        </w:tc>
      </w:tr>
      <w:tr w14:paraId="72C5EE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1425" w:type="dxa"/>
            <w:vMerge w:val="restart"/>
            <w:tcBorders>
              <w:tl2br w:val="nil"/>
              <w:tr2bl w:val="nil"/>
            </w:tcBorders>
            <w:noWrap w:val="0"/>
            <w:vAlign w:val="center"/>
          </w:tcPr>
          <w:p w14:paraId="32C4A4F7">
            <w:pPr>
              <w:pStyle w:val="75"/>
              <w:rPr>
                <w:rFonts w:cs="Times New Roman"/>
                <w:color w:val="000000"/>
                <w:highlight w:val="none"/>
              </w:rPr>
            </w:pPr>
            <w:r>
              <w:rPr>
                <w:rFonts w:cs="Times New Roman"/>
                <w:color w:val="000000"/>
                <w:highlight w:val="none"/>
              </w:rPr>
              <w:t>一级水功能区</w:t>
            </w:r>
          </w:p>
        </w:tc>
        <w:tc>
          <w:tcPr>
            <w:tcW w:w="1291" w:type="dxa"/>
            <w:tcBorders>
              <w:tl2br w:val="nil"/>
              <w:tr2bl w:val="nil"/>
            </w:tcBorders>
            <w:noWrap w:val="0"/>
            <w:vAlign w:val="center"/>
          </w:tcPr>
          <w:p w14:paraId="36705DAF">
            <w:pPr>
              <w:pStyle w:val="75"/>
              <w:rPr>
                <w:rFonts w:cs="Times New Roman"/>
                <w:color w:val="000000"/>
                <w:highlight w:val="none"/>
              </w:rPr>
            </w:pPr>
            <w:r>
              <w:rPr>
                <w:rFonts w:cs="Times New Roman"/>
                <w:color w:val="000000"/>
                <w:highlight w:val="none"/>
              </w:rPr>
              <w:t>保护区</w:t>
            </w:r>
          </w:p>
        </w:tc>
        <w:tc>
          <w:tcPr>
            <w:tcW w:w="5707" w:type="dxa"/>
            <w:tcBorders>
              <w:tl2br w:val="nil"/>
              <w:tr2bl w:val="nil"/>
            </w:tcBorders>
            <w:noWrap w:val="0"/>
            <w:vAlign w:val="center"/>
          </w:tcPr>
          <w:p w14:paraId="4A9DAE9B">
            <w:pPr>
              <w:pStyle w:val="75"/>
              <w:jc w:val="center"/>
              <w:rPr>
                <w:rFonts w:cs="Times New Roman"/>
                <w:color w:val="000000"/>
                <w:highlight w:val="none"/>
              </w:rPr>
            </w:pPr>
            <w:r>
              <w:rPr>
                <w:rFonts w:cs="Times New Roman"/>
                <w:color w:val="000000"/>
                <w:highlight w:val="none"/>
              </w:rPr>
              <w:t>对水资源保护、自然生态系统及珍稀濒危物种的保护具有重要</w:t>
            </w:r>
          </w:p>
          <w:p w14:paraId="32A4F6E1">
            <w:pPr>
              <w:pStyle w:val="75"/>
              <w:jc w:val="center"/>
              <w:rPr>
                <w:rFonts w:cs="Times New Roman"/>
                <w:color w:val="000000"/>
                <w:highlight w:val="none"/>
              </w:rPr>
            </w:pPr>
            <w:r>
              <w:rPr>
                <w:rFonts w:cs="Times New Roman"/>
                <w:color w:val="000000"/>
                <w:highlight w:val="none"/>
              </w:rPr>
              <w:t>意义，需划定进行保护的水域</w:t>
            </w:r>
          </w:p>
        </w:tc>
      </w:tr>
      <w:tr w14:paraId="5CD5CE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1425" w:type="dxa"/>
            <w:vMerge w:val="continue"/>
            <w:tcBorders>
              <w:tl2br w:val="nil"/>
              <w:tr2bl w:val="nil"/>
            </w:tcBorders>
            <w:noWrap w:val="0"/>
            <w:vAlign w:val="center"/>
          </w:tcPr>
          <w:p w14:paraId="30E3FEA1">
            <w:pPr>
              <w:pStyle w:val="75"/>
              <w:rPr>
                <w:rFonts w:cs="Times New Roman"/>
                <w:color w:val="000000"/>
                <w:sz w:val="2"/>
                <w:szCs w:val="2"/>
                <w:highlight w:val="none"/>
              </w:rPr>
            </w:pPr>
          </w:p>
        </w:tc>
        <w:tc>
          <w:tcPr>
            <w:tcW w:w="1291" w:type="dxa"/>
            <w:tcBorders>
              <w:tl2br w:val="nil"/>
              <w:tr2bl w:val="nil"/>
            </w:tcBorders>
            <w:noWrap w:val="0"/>
            <w:vAlign w:val="center"/>
          </w:tcPr>
          <w:p w14:paraId="39C897DA">
            <w:pPr>
              <w:pStyle w:val="75"/>
              <w:rPr>
                <w:rFonts w:cs="Times New Roman"/>
                <w:color w:val="000000"/>
                <w:highlight w:val="none"/>
              </w:rPr>
            </w:pPr>
            <w:r>
              <w:rPr>
                <w:rFonts w:cs="Times New Roman"/>
                <w:color w:val="000000"/>
                <w:highlight w:val="none"/>
              </w:rPr>
              <w:t>保留区</w:t>
            </w:r>
          </w:p>
        </w:tc>
        <w:tc>
          <w:tcPr>
            <w:tcW w:w="5707" w:type="dxa"/>
            <w:tcBorders>
              <w:tl2br w:val="nil"/>
              <w:tr2bl w:val="nil"/>
            </w:tcBorders>
            <w:noWrap w:val="0"/>
            <w:vAlign w:val="center"/>
          </w:tcPr>
          <w:p w14:paraId="39541DBC">
            <w:pPr>
              <w:pStyle w:val="75"/>
              <w:jc w:val="center"/>
              <w:rPr>
                <w:rFonts w:cs="Times New Roman"/>
                <w:color w:val="000000"/>
                <w:highlight w:val="none"/>
              </w:rPr>
            </w:pPr>
            <w:r>
              <w:rPr>
                <w:rFonts w:cs="Times New Roman"/>
                <w:color w:val="000000"/>
                <w:highlight w:val="none"/>
              </w:rPr>
              <w:t>目前水资源开发利用程度不高，为今后水资源可持续利用而保</w:t>
            </w:r>
          </w:p>
          <w:p w14:paraId="19503AC9">
            <w:pPr>
              <w:pStyle w:val="75"/>
              <w:jc w:val="center"/>
              <w:rPr>
                <w:rFonts w:cs="Times New Roman"/>
                <w:color w:val="000000"/>
                <w:highlight w:val="none"/>
              </w:rPr>
            </w:pPr>
            <w:r>
              <w:rPr>
                <w:rFonts w:cs="Times New Roman"/>
                <w:color w:val="000000"/>
                <w:highlight w:val="none"/>
              </w:rPr>
              <w:t>留的水域</w:t>
            </w:r>
          </w:p>
        </w:tc>
      </w:tr>
      <w:tr w14:paraId="6D4106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1425" w:type="dxa"/>
            <w:vMerge w:val="continue"/>
            <w:tcBorders>
              <w:tl2br w:val="nil"/>
              <w:tr2bl w:val="nil"/>
            </w:tcBorders>
            <w:noWrap w:val="0"/>
            <w:vAlign w:val="center"/>
          </w:tcPr>
          <w:p w14:paraId="1F4CE4BE">
            <w:pPr>
              <w:pStyle w:val="75"/>
              <w:rPr>
                <w:rFonts w:cs="Times New Roman"/>
                <w:color w:val="000000"/>
                <w:sz w:val="2"/>
                <w:szCs w:val="2"/>
                <w:highlight w:val="none"/>
              </w:rPr>
            </w:pPr>
          </w:p>
        </w:tc>
        <w:tc>
          <w:tcPr>
            <w:tcW w:w="1291" w:type="dxa"/>
            <w:tcBorders>
              <w:tl2br w:val="nil"/>
              <w:tr2bl w:val="nil"/>
            </w:tcBorders>
            <w:noWrap w:val="0"/>
            <w:vAlign w:val="center"/>
          </w:tcPr>
          <w:p w14:paraId="03E06B68">
            <w:pPr>
              <w:pStyle w:val="75"/>
              <w:rPr>
                <w:rFonts w:cs="Times New Roman"/>
                <w:color w:val="000000"/>
                <w:highlight w:val="none"/>
              </w:rPr>
            </w:pPr>
            <w:r>
              <w:rPr>
                <w:rFonts w:cs="Times New Roman"/>
                <w:color w:val="000000"/>
                <w:highlight w:val="none"/>
              </w:rPr>
              <w:t>开发利用区</w:t>
            </w:r>
          </w:p>
        </w:tc>
        <w:tc>
          <w:tcPr>
            <w:tcW w:w="5707" w:type="dxa"/>
            <w:tcBorders>
              <w:tl2br w:val="nil"/>
              <w:tr2bl w:val="nil"/>
            </w:tcBorders>
            <w:noWrap w:val="0"/>
            <w:vAlign w:val="center"/>
          </w:tcPr>
          <w:p w14:paraId="6AF4968D">
            <w:pPr>
              <w:pStyle w:val="75"/>
              <w:jc w:val="center"/>
              <w:rPr>
                <w:rFonts w:cs="Times New Roman"/>
                <w:color w:val="000000"/>
                <w:highlight w:val="none"/>
              </w:rPr>
            </w:pPr>
            <w:r>
              <w:rPr>
                <w:rFonts w:cs="Times New Roman"/>
                <w:color w:val="000000"/>
                <w:highlight w:val="none"/>
              </w:rPr>
              <w:t>为满足工农业生产、城镇生活、渔业、娱乐等功能需求而划定</w:t>
            </w:r>
          </w:p>
          <w:p w14:paraId="78778788">
            <w:pPr>
              <w:pStyle w:val="75"/>
              <w:jc w:val="center"/>
              <w:rPr>
                <w:rFonts w:cs="Times New Roman"/>
                <w:color w:val="000000"/>
                <w:highlight w:val="none"/>
              </w:rPr>
            </w:pPr>
            <w:r>
              <w:rPr>
                <w:rFonts w:cs="Times New Roman"/>
                <w:color w:val="000000"/>
                <w:highlight w:val="none"/>
              </w:rPr>
              <w:t>的水域</w:t>
            </w:r>
          </w:p>
        </w:tc>
      </w:tr>
      <w:tr w14:paraId="045CC9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425" w:type="dxa"/>
            <w:vMerge w:val="continue"/>
            <w:tcBorders>
              <w:tl2br w:val="nil"/>
              <w:tr2bl w:val="nil"/>
            </w:tcBorders>
            <w:noWrap w:val="0"/>
            <w:vAlign w:val="center"/>
          </w:tcPr>
          <w:p w14:paraId="49443E01">
            <w:pPr>
              <w:pStyle w:val="75"/>
              <w:rPr>
                <w:rFonts w:cs="Times New Roman"/>
                <w:color w:val="000000"/>
                <w:sz w:val="2"/>
                <w:szCs w:val="2"/>
                <w:highlight w:val="none"/>
              </w:rPr>
            </w:pPr>
          </w:p>
        </w:tc>
        <w:tc>
          <w:tcPr>
            <w:tcW w:w="1291" w:type="dxa"/>
            <w:tcBorders>
              <w:tl2br w:val="nil"/>
              <w:tr2bl w:val="nil"/>
            </w:tcBorders>
            <w:noWrap w:val="0"/>
            <w:vAlign w:val="center"/>
          </w:tcPr>
          <w:p w14:paraId="5489BA1B">
            <w:pPr>
              <w:pStyle w:val="75"/>
              <w:rPr>
                <w:rFonts w:cs="Times New Roman"/>
                <w:color w:val="000000"/>
                <w:highlight w:val="none"/>
              </w:rPr>
            </w:pPr>
            <w:r>
              <w:rPr>
                <w:rFonts w:cs="Times New Roman"/>
                <w:color w:val="000000"/>
                <w:highlight w:val="none"/>
              </w:rPr>
              <w:t>缓冲区</w:t>
            </w:r>
          </w:p>
        </w:tc>
        <w:tc>
          <w:tcPr>
            <w:tcW w:w="5707" w:type="dxa"/>
            <w:tcBorders>
              <w:tl2br w:val="nil"/>
              <w:tr2bl w:val="nil"/>
            </w:tcBorders>
            <w:noWrap w:val="0"/>
            <w:vAlign w:val="center"/>
          </w:tcPr>
          <w:p w14:paraId="4E30B0E0">
            <w:pPr>
              <w:pStyle w:val="75"/>
              <w:jc w:val="center"/>
              <w:rPr>
                <w:rFonts w:cs="Times New Roman"/>
                <w:color w:val="000000"/>
                <w:highlight w:val="none"/>
              </w:rPr>
            </w:pPr>
            <w:r>
              <w:rPr>
                <w:rFonts w:cs="Times New Roman"/>
                <w:color w:val="000000"/>
                <w:highlight w:val="none"/>
              </w:rPr>
              <w:t>为协调省际间、用水矛盾突出的地区间用水关系而划定的水域</w:t>
            </w:r>
          </w:p>
        </w:tc>
      </w:tr>
      <w:tr w14:paraId="7A4E79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1425" w:type="dxa"/>
            <w:vMerge w:val="restart"/>
            <w:tcBorders>
              <w:tl2br w:val="nil"/>
              <w:tr2bl w:val="nil"/>
            </w:tcBorders>
            <w:noWrap w:val="0"/>
            <w:vAlign w:val="center"/>
          </w:tcPr>
          <w:p w14:paraId="56B6FB2A">
            <w:pPr>
              <w:pStyle w:val="75"/>
              <w:rPr>
                <w:rFonts w:cs="Times New Roman"/>
                <w:color w:val="000000"/>
                <w:highlight w:val="none"/>
              </w:rPr>
            </w:pPr>
            <w:r>
              <w:rPr>
                <w:rFonts w:cs="Times New Roman"/>
                <w:color w:val="000000"/>
                <w:highlight w:val="none"/>
              </w:rPr>
              <w:t>二级水功能区</w:t>
            </w:r>
          </w:p>
        </w:tc>
        <w:tc>
          <w:tcPr>
            <w:tcW w:w="1291" w:type="dxa"/>
            <w:tcBorders>
              <w:tl2br w:val="nil"/>
              <w:tr2bl w:val="nil"/>
            </w:tcBorders>
            <w:noWrap w:val="0"/>
            <w:vAlign w:val="center"/>
          </w:tcPr>
          <w:p w14:paraId="6A51A168">
            <w:pPr>
              <w:pStyle w:val="75"/>
              <w:rPr>
                <w:rFonts w:cs="Times New Roman"/>
                <w:color w:val="000000"/>
                <w:highlight w:val="none"/>
              </w:rPr>
            </w:pPr>
            <w:r>
              <w:rPr>
                <w:rFonts w:cs="Times New Roman"/>
                <w:color w:val="000000"/>
                <w:highlight w:val="none"/>
              </w:rPr>
              <w:t>饮用水源区</w:t>
            </w:r>
          </w:p>
        </w:tc>
        <w:tc>
          <w:tcPr>
            <w:tcW w:w="5707" w:type="dxa"/>
            <w:tcBorders>
              <w:tl2br w:val="nil"/>
              <w:tr2bl w:val="nil"/>
            </w:tcBorders>
            <w:noWrap w:val="0"/>
            <w:vAlign w:val="center"/>
          </w:tcPr>
          <w:p w14:paraId="79F4B0B3">
            <w:pPr>
              <w:pStyle w:val="75"/>
              <w:jc w:val="center"/>
              <w:rPr>
                <w:rFonts w:cs="Times New Roman"/>
                <w:color w:val="000000"/>
                <w:highlight w:val="none"/>
              </w:rPr>
            </w:pPr>
            <w:r>
              <w:rPr>
                <w:rFonts w:cs="Times New Roman"/>
                <w:color w:val="000000"/>
                <w:highlight w:val="none"/>
              </w:rPr>
              <w:t>为城镇提供综合生活用水而划定的水域</w:t>
            </w:r>
          </w:p>
        </w:tc>
      </w:tr>
      <w:tr w14:paraId="1A3788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425" w:type="dxa"/>
            <w:vMerge w:val="continue"/>
            <w:tcBorders>
              <w:tl2br w:val="nil"/>
              <w:tr2bl w:val="nil"/>
            </w:tcBorders>
            <w:noWrap w:val="0"/>
            <w:vAlign w:val="center"/>
          </w:tcPr>
          <w:p w14:paraId="5BCA138D">
            <w:pPr>
              <w:pStyle w:val="75"/>
              <w:rPr>
                <w:rFonts w:cs="Times New Roman"/>
                <w:color w:val="000000"/>
                <w:sz w:val="2"/>
                <w:szCs w:val="2"/>
                <w:highlight w:val="none"/>
              </w:rPr>
            </w:pPr>
          </w:p>
        </w:tc>
        <w:tc>
          <w:tcPr>
            <w:tcW w:w="1291" w:type="dxa"/>
            <w:tcBorders>
              <w:tl2br w:val="nil"/>
              <w:tr2bl w:val="nil"/>
            </w:tcBorders>
            <w:noWrap w:val="0"/>
            <w:vAlign w:val="center"/>
          </w:tcPr>
          <w:p w14:paraId="4CBA1949">
            <w:pPr>
              <w:pStyle w:val="75"/>
              <w:rPr>
                <w:rFonts w:cs="Times New Roman"/>
                <w:color w:val="000000"/>
                <w:highlight w:val="none"/>
              </w:rPr>
            </w:pPr>
            <w:r>
              <w:rPr>
                <w:rFonts w:cs="Times New Roman"/>
                <w:color w:val="000000"/>
                <w:highlight w:val="none"/>
              </w:rPr>
              <w:t>工业用水区</w:t>
            </w:r>
          </w:p>
        </w:tc>
        <w:tc>
          <w:tcPr>
            <w:tcW w:w="5707" w:type="dxa"/>
            <w:tcBorders>
              <w:tl2br w:val="nil"/>
              <w:tr2bl w:val="nil"/>
            </w:tcBorders>
            <w:noWrap w:val="0"/>
            <w:vAlign w:val="center"/>
          </w:tcPr>
          <w:p w14:paraId="279E275B">
            <w:pPr>
              <w:pStyle w:val="75"/>
              <w:jc w:val="center"/>
              <w:rPr>
                <w:rFonts w:cs="Times New Roman"/>
                <w:color w:val="000000"/>
                <w:highlight w:val="none"/>
              </w:rPr>
            </w:pPr>
            <w:r>
              <w:rPr>
                <w:rFonts w:cs="Times New Roman"/>
                <w:color w:val="000000"/>
                <w:highlight w:val="none"/>
              </w:rPr>
              <w:t>为满足工业用水需求而划定的水域</w:t>
            </w:r>
          </w:p>
        </w:tc>
      </w:tr>
      <w:tr w14:paraId="054C43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1425" w:type="dxa"/>
            <w:vMerge w:val="continue"/>
            <w:tcBorders>
              <w:tl2br w:val="nil"/>
              <w:tr2bl w:val="nil"/>
            </w:tcBorders>
            <w:noWrap w:val="0"/>
            <w:vAlign w:val="center"/>
          </w:tcPr>
          <w:p w14:paraId="59C0913B">
            <w:pPr>
              <w:pStyle w:val="75"/>
              <w:rPr>
                <w:rFonts w:cs="Times New Roman"/>
                <w:color w:val="000000"/>
                <w:sz w:val="2"/>
                <w:szCs w:val="2"/>
                <w:highlight w:val="none"/>
              </w:rPr>
            </w:pPr>
          </w:p>
        </w:tc>
        <w:tc>
          <w:tcPr>
            <w:tcW w:w="1291" w:type="dxa"/>
            <w:tcBorders>
              <w:tl2br w:val="nil"/>
              <w:tr2bl w:val="nil"/>
            </w:tcBorders>
            <w:noWrap w:val="0"/>
            <w:vAlign w:val="center"/>
          </w:tcPr>
          <w:p w14:paraId="26AE30B3">
            <w:pPr>
              <w:pStyle w:val="75"/>
              <w:rPr>
                <w:rFonts w:cs="Times New Roman"/>
                <w:color w:val="000000"/>
                <w:highlight w:val="none"/>
              </w:rPr>
            </w:pPr>
            <w:r>
              <w:rPr>
                <w:rFonts w:cs="Times New Roman"/>
                <w:color w:val="000000"/>
                <w:highlight w:val="none"/>
              </w:rPr>
              <w:t>农业用水区</w:t>
            </w:r>
          </w:p>
        </w:tc>
        <w:tc>
          <w:tcPr>
            <w:tcW w:w="5707" w:type="dxa"/>
            <w:tcBorders>
              <w:tl2br w:val="nil"/>
              <w:tr2bl w:val="nil"/>
            </w:tcBorders>
            <w:noWrap w:val="0"/>
            <w:vAlign w:val="center"/>
          </w:tcPr>
          <w:p w14:paraId="0867ADA5">
            <w:pPr>
              <w:pStyle w:val="75"/>
              <w:jc w:val="center"/>
              <w:rPr>
                <w:rFonts w:cs="Times New Roman"/>
                <w:color w:val="000000"/>
                <w:highlight w:val="none"/>
              </w:rPr>
            </w:pPr>
            <w:r>
              <w:rPr>
                <w:rFonts w:cs="Times New Roman"/>
                <w:color w:val="000000"/>
                <w:highlight w:val="none"/>
              </w:rPr>
              <w:t>为满足农业灌溉用水需求而划定的水域</w:t>
            </w:r>
          </w:p>
        </w:tc>
      </w:tr>
      <w:tr w14:paraId="5B5314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25" w:type="dxa"/>
            <w:vMerge w:val="continue"/>
            <w:tcBorders>
              <w:tl2br w:val="nil"/>
              <w:tr2bl w:val="nil"/>
            </w:tcBorders>
            <w:noWrap w:val="0"/>
            <w:vAlign w:val="center"/>
          </w:tcPr>
          <w:p w14:paraId="03FFCDF3">
            <w:pPr>
              <w:pStyle w:val="75"/>
              <w:rPr>
                <w:rFonts w:cs="Times New Roman"/>
                <w:color w:val="000000"/>
                <w:sz w:val="2"/>
                <w:szCs w:val="2"/>
                <w:highlight w:val="none"/>
              </w:rPr>
            </w:pPr>
          </w:p>
        </w:tc>
        <w:tc>
          <w:tcPr>
            <w:tcW w:w="1291" w:type="dxa"/>
            <w:tcBorders>
              <w:tl2br w:val="nil"/>
              <w:tr2bl w:val="nil"/>
            </w:tcBorders>
            <w:noWrap w:val="0"/>
            <w:vAlign w:val="center"/>
          </w:tcPr>
          <w:p w14:paraId="56AC5027">
            <w:pPr>
              <w:pStyle w:val="75"/>
              <w:rPr>
                <w:rFonts w:cs="Times New Roman"/>
                <w:color w:val="000000"/>
                <w:highlight w:val="none"/>
              </w:rPr>
            </w:pPr>
            <w:r>
              <w:rPr>
                <w:rFonts w:cs="Times New Roman"/>
                <w:color w:val="000000"/>
                <w:highlight w:val="none"/>
              </w:rPr>
              <w:t>渔业用水区</w:t>
            </w:r>
          </w:p>
        </w:tc>
        <w:tc>
          <w:tcPr>
            <w:tcW w:w="5707" w:type="dxa"/>
            <w:tcBorders>
              <w:tl2br w:val="nil"/>
              <w:tr2bl w:val="nil"/>
            </w:tcBorders>
            <w:noWrap w:val="0"/>
            <w:vAlign w:val="center"/>
          </w:tcPr>
          <w:p w14:paraId="43362699">
            <w:pPr>
              <w:pStyle w:val="75"/>
              <w:jc w:val="center"/>
              <w:rPr>
                <w:rFonts w:cs="Times New Roman"/>
                <w:color w:val="000000"/>
                <w:highlight w:val="none"/>
              </w:rPr>
            </w:pPr>
            <w:r>
              <w:rPr>
                <w:rFonts w:cs="Times New Roman"/>
                <w:color w:val="000000"/>
                <w:highlight w:val="none"/>
              </w:rPr>
              <w:t>为满足鱼、虾、蟹等水生生物养殖需求而划定的水域</w:t>
            </w:r>
          </w:p>
        </w:tc>
      </w:tr>
      <w:tr w14:paraId="7DDA72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425" w:type="dxa"/>
            <w:vMerge w:val="continue"/>
            <w:tcBorders>
              <w:tl2br w:val="nil"/>
              <w:tr2bl w:val="nil"/>
            </w:tcBorders>
            <w:noWrap w:val="0"/>
            <w:vAlign w:val="center"/>
          </w:tcPr>
          <w:p w14:paraId="59D6AAFF">
            <w:pPr>
              <w:pStyle w:val="75"/>
              <w:rPr>
                <w:rFonts w:cs="Times New Roman"/>
                <w:color w:val="000000"/>
                <w:sz w:val="2"/>
                <w:szCs w:val="2"/>
                <w:highlight w:val="none"/>
              </w:rPr>
            </w:pPr>
          </w:p>
        </w:tc>
        <w:tc>
          <w:tcPr>
            <w:tcW w:w="1291" w:type="dxa"/>
            <w:tcBorders>
              <w:tl2br w:val="nil"/>
              <w:tr2bl w:val="nil"/>
            </w:tcBorders>
            <w:noWrap w:val="0"/>
            <w:vAlign w:val="center"/>
          </w:tcPr>
          <w:p w14:paraId="4ED5E3EC">
            <w:pPr>
              <w:pStyle w:val="75"/>
              <w:rPr>
                <w:rFonts w:cs="Times New Roman"/>
                <w:color w:val="000000"/>
                <w:highlight w:val="none"/>
              </w:rPr>
            </w:pPr>
            <w:r>
              <w:rPr>
                <w:rFonts w:cs="Times New Roman"/>
                <w:color w:val="000000"/>
                <w:highlight w:val="none"/>
              </w:rPr>
              <w:t>景观娱乐用</w:t>
            </w:r>
          </w:p>
          <w:p w14:paraId="00A061B5">
            <w:pPr>
              <w:pStyle w:val="75"/>
              <w:rPr>
                <w:rFonts w:cs="Times New Roman"/>
                <w:color w:val="000000"/>
                <w:highlight w:val="none"/>
              </w:rPr>
            </w:pPr>
            <w:r>
              <w:rPr>
                <w:rFonts w:cs="Times New Roman"/>
                <w:color w:val="000000"/>
                <w:highlight w:val="none"/>
              </w:rPr>
              <w:t>水区</w:t>
            </w:r>
          </w:p>
        </w:tc>
        <w:tc>
          <w:tcPr>
            <w:tcW w:w="5707" w:type="dxa"/>
            <w:tcBorders>
              <w:tl2br w:val="nil"/>
              <w:tr2bl w:val="nil"/>
            </w:tcBorders>
            <w:noWrap w:val="0"/>
            <w:vAlign w:val="center"/>
          </w:tcPr>
          <w:p w14:paraId="63CD295F">
            <w:pPr>
              <w:pStyle w:val="75"/>
              <w:jc w:val="center"/>
              <w:rPr>
                <w:rFonts w:cs="Times New Roman"/>
                <w:color w:val="000000"/>
                <w:highlight w:val="none"/>
              </w:rPr>
            </w:pPr>
            <w:r>
              <w:rPr>
                <w:rFonts w:cs="Times New Roman"/>
                <w:color w:val="000000"/>
                <w:highlight w:val="none"/>
              </w:rPr>
              <w:t>以满足景观、疗养、度假和娱乐需要为目的的江河湖库等水域</w:t>
            </w:r>
          </w:p>
        </w:tc>
      </w:tr>
      <w:tr w14:paraId="200DEF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1425" w:type="dxa"/>
            <w:vMerge w:val="continue"/>
            <w:tcBorders>
              <w:tl2br w:val="nil"/>
              <w:tr2bl w:val="nil"/>
            </w:tcBorders>
            <w:noWrap w:val="0"/>
            <w:vAlign w:val="center"/>
          </w:tcPr>
          <w:p w14:paraId="5E0EBFBC">
            <w:pPr>
              <w:pStyle w:val="75"/>
              <w:rPr>
                <w:rFonts w:cs="Times New Roman"/>
                <w:color w:val="000000"/>
                <w:sz w:val="2"/>
                <w:szCs w:val="2"/>
                <w:highlight w:val="none"/>
              </w:rPr>
            </w:pPr>
          </w:p>
        </w:tc>
        <w:tc>
          <w:tcPr>
            <w:tcW w:w="1291" w:type="dxa"/>
            <w:tcBorders>
              <w:tl2br w:val="nil"/>
              <w:tr2bl w:val="nil"/>
            </w:tcBorders>
            <w:noWrap w:val="0"/>
            <w:vAlign w:val="center"/>
          </w:tcPr>
          <w:p w14:paraId="700A82E4">
            <w:pPr>
              <w:pStyle w:val="75"/>
              <w:rPr>
                <w:rFonts w:cs="Times New Roman"/>
                <w:color w:val="000000"/>
                <w:highlight w:val="none"/>
              </w:rPr>
            </w:pPr>
            <w:r>
              <w:rPr>
                <w:rFonts w:cs="Times New Roman"/>
                <w:color w:val="000000"/>
                <w:highlight w:val="none"/>
              </w:rPr>
              <w:t>过渡区</w:t>
            </w:r>
          </w:p>
        </w:tc>
        <w:tc>
          <w:tcPr>
            <w:tcW w:w="5707" w:type="dxa"/>
            <w:tcBorders>
              <w:tl2br w:val="nil"/>
              <w:tr2bl w:val="nil"/>
            </w:tcBorders>
            <w:noWrap w:val="0"/>
            <w:vAlign w:val="center"/>
          </w:tcPr>
          <w:p w14:paraId="7476B009">
            <w:pPr>
              <w:pStyle w:val="75"/>
              <w:jc w:val="center"/>
              <w:rPr>
                <w:rFonts w:cs="Times New Roman"/>
                <w:color w:val="000000"/>
                <w:highlight w:val="none"/>
              </w:rPr>
            </w:pPr>
            <w:r>
              <w:rPr>
                <w:rFonts w:cs="Times New Roman"/>
                <w:color w:val="000000"/>
                <w:highlight w:val="none"/>
              </w:rPr>
              <w:t>为满足水质目标有较大差异的相邻水功能区间水质状况过渡衔接而划定的水域。</w:t>
            </w:r>
          </w:p>
        </w:tc>
      </w:tr>
      <w:tr w14:paraId="6534D7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1425" w:type="dxa"/>
            <w:vMerge w:val="continue"/>
            <w:tcBorders>
              <w:tl2br w:val="nil"/>
              <w:tr2bl w:val="nil"/>
            </w:tcBorders>
            <w:noWrap w:val="0"/>
            <w:vAlign w:val="center"/>
          </w:tcPr>
          <w:p w14:paraId="44BFEFA3">
            <w:pPr>
              <w:pStyle w:val="75"/>
              <w:rPr>
                <w:rFonts w:cs="Times New Roman"/>
                <w:color w:val="000000"/>
                <w:sz w:val="2"/>
                <w:szCs w:val="2"/>
                <w:highlight w:val="none"/>
              </w:rPr>
            </w:pPr>
          </w:p>
        </w:tc>
        <w:tc>
          <w:tcPr>
            <w:tcW w:w="1291" w:type="dxa"/>
            <w:tcBorders>
              <w:tl2br w:val="nil"/>
              <w:tr2bl w:val="nil"/>
            </w:tcBorders>
            <w:noWrap w:val="0"/>
            <w:vAlign w:val="center"/>
          </w:tcPr>
          <w:p w14:paraId="5B3E7959">
            <w:pPr>
              <w:pStyle w:val="75"/>
              <w:rPr>
                <w:rFonts w:cs="Times New Roman"/>
                <w:color w:val="000000"/>
                <w:highlight w:val="none"/>
              </w:rPr>
            </w:pPr>
            <w:r>
              <w:rPr>
                <w:rFonts w:cs="Times New Roman"/>
                <w:color w:val="000000"/>
                <w:highlight w:val="none"/>
              </w:rPr>
              <w:t>排污控制区</w:t>
            </w:r>
          </w:p>
        </w:tc>
        <w:tc>
          <w:tcPr>
            <w:tcW w:w="5707" w:type="dxa"/>
            <w:tcBorders>
              <w:tl2br w:val="nil"/>
              <w:tr2bl w:val="nil"/>
            </w:tcBorders>
            <w:noWrap w:val="0"/>
            <w:vAlign w:val="center"/>
          </w:tcPr>
          <w:p w14:paraId="5550BEA6">
            <w:pPr>
              <w:pStyle w:val="75"/>
              <w:jc w:val="center"/>
              <w:rPr>
                <w:rFonts w:cs="Times New Roman"/>
                <w:color w:val="000000"/>
                <w:highlight w:val="none"/>
              </w:rPr>
            </w:pPr>
            <w:r>
              <w:rPr>
                <w:rFonts w:cs="Times New Roman"/>
                <w:color w:val="000000"/>
                <w:highlight w:val="none"/>
              </w:rPr>
              <w:t>生产、生活废污水排污口比较集中的水域，且所接纳的污水对</w:t>
            </w:r>
          </w:p>
          <w:p w14:paraId="3DDA4D65">
            <w:pPr>
              <w:pStyle w:val="75"/>
              <w:jc w:val="center"/>
              <w:rPr>
                <w:rFonts w:cs="Times New Roman"/>
                <w:color w:val="000000"/>
                <w:highlight w:val="none"/>
              </w:rPr>
            </w:pPr>
            <w:r>
              <w:rPr>
                <w:rFonts w:cs="Times New Roman"/>
                <w:color w:val="000000"/>
                <w:highlight w:val="none"/>
              </w:rPr>
              <w:t>水环境不产生重大不利影响。</w:t>
            </w:r>
          </w:p>
        </w:tc>
      </w:tr>
    </w:tbl>
    <w:p w14:paraId="05DEE541">
      <w:pPr>
        <w:pStyle w:val="6"/>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.1.</w:t>
      </w:r>
      <w:r>
        <w:rPr>
          <w:rFonts w:hint="eastAsia" w:ascii="Times New Roman" w:hAnsi="Times New Roman" w:eastAsia="宋体" w:cs="Times New Roman"/>
          <w:highlight w:val="none"/>
          <w:lang w:val="en-US" w:eastAsia="zh-CN"/>
        </w:rPr>
        <w:t xml:space="preserve">2 </w:t>
      </w:r>
      <w:r>
        <w:rPr>
          <w:rFonts w:hint="default" w:ascii="Times New Roman" w:hAnsi="Times New Roman" w:eastAsia="宋体" w:cs="Times New Roman"/>
          <w:highlight w:val="none"/>
          <w:lang w:val="en-US" w:eastAsia="zh-CN"/>
        </w:rPr>
        <w:t>水功能区水质管理目标</w:t>
      </w:r>
      <w:r>
        <w:rPr>
          <w:rFonts w:hint="eastAsia" w:ascii="Times New Roman" w:hAnsi="Times New Roman" w:eastAsia="宋体" w:cs="Times New Roman"/>
          <w:highlight w:val="none"/>
          <w:lang w:val="en-US" w:eastAsia="zh-CN"/>
        </w:rPr>
        <w:t>与要求</w:t>
      </w:r>
    </w:p>
    <w:p w14:paraId="0D8D5BD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根据水功能区的特点、纳污状况、现状水质、水资源保护的要求以及技术经济条件，在相应的水量保证率条件下，拟定现状及规划水平年水质参数浓度限值。水功能区水质管理目标的确定以满足水域水环境功能，不降低该水域水质使用功能为原则。水功能区水质标准是指保护其主导功能要求必须满足的水质质量标准。通常以水中所含主要物质的浓度限值表示。对照《水功能区划分标准》（GB/T50594-2010），水功能区水质标准要求如下表所示</w:t>
      </w:r>
      <w:r>
        <w:rPr>
          <w:rFonts w:hint="default" w:ascii="Times New Roman" w:hAnsi="Times New Roman" w:eastAsia="宋体" w:cs="Times New Roman"/>
          <w:sz w:val="24"/>
          <w:szCs w:val="24"/>
          <w:highlight w:val="none"/>
          <w:lang w:eastAsia="zh-CN"/>
        </w:rPr>
        <w:t>。</w:t>
      </w:r>
    </w:p>
    <w:p w14:paraId="64BD4E74">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color w:val="000000"/>
          <w:sz w:val="21"/>
          <w:szCs w:val="21"/>
          <w:highlight w:val="none"/>
          <w:lang w:val="en-US" w:eastAsia="zh-CN"/>
        </w:rPr>
      </w:pPr>
      <w:r>
        <w:rPr>
          <w:rFonts w:ascii="Times New Roman" w:hAnsi="Times New Roman" w:cs="Times New Roman"/>
          <w:b/>
          <w:color w:val="000000"/>
          <w:sz w:val="21"/>
          <w:szCs w:val="21"/>
          <w:highlight w:val="none"/>
        </w:rPr>
        <w:t>表</w:t>
      </w:r>
      <w:r>
        <w:rPr>
          <w:rFonts w:hint="eastAsia" w:cs="Times New Roman"/>
          <w:b/>
          <w:color w:val="000000"/>
          <w:sz w:val="21"/>
          <w:szCs w:val="21"/>
          <w:highlight w:val="none"/>
          <w:lang w:val="en-US" w:eastAsia="zh-CN"/>
        </w:rPr>
        <w:t>4</w:t>
      </w:r>
      <w:r>
        <w:rPr>
          <w:rFonts w:ascii="Times New Roman" w:hAnsi="Times New Roman" w:cs="Times New Roman"/>
          <w:b/>
          <w:color w:val="000000"/>
          <w:sz w:val="21"/>
          <w:szCs w:val="21"/>
          <w:highlight w:val="none"/>
        </w:rPr>
        <w:t>.1-2 水功能区水质标准要求</w:t>
      </w:r>
    </w:p>
    <w:tbl>
      <w:tblPr>
        <w:tblStyle w:val="29"/>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53"/>
        <w:gridCol w:w="1170"/>
        <w:gridCol w:w="6400"/>
      </w:tblGrid>
      <w:tr w14:paraId="5D3F73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853" w:type="dxa"/>
            <w:tcBorders>
              <w:tl2br w:val="nil"/>
              <w:tr2bl w:val="nil"/>
            </w:tcBorders>
            <w:noWrap w:val="0"/>
            <w:vAlign w:val="center"/>
          </w:tcPr>
          <w:p w14:paraId="0BA52DC9">
            <w:pPr>
              <w:pStyle w:val="75"/>
              <w:rPr>
                <w:rFonts w:cs="Times New Roman"/>
                <w:b w:val="0"/>
                <w:bCs w:val="0"/>
                <w:color w:val="auto"/>
                <w:highlight w:val="none"/>
              </w:rPr>
            </w:pPr>
            <w:r>
              <w:rPr>
                <w:rFonts w:cs="Times New Roman"/>
                <w:b w:val="0"/>
                <w:bCs w:val="0"/>
                <w:color w:val="auto"/>
                <w:highlight w:val="none"/>
              </w:rPr>
              <w:t>类别</w:t>
            </w:r>
          </w:p>
        </w:tc>
        <w:tc>
          <w:tcPr>
            <w:tcW w:w="1170" w:type="dxa"/>
            <w:tcBorders>
              <w:tl2br w:val="nil"/>
              <w:tr2bl w:val="nil"/>
            </w:tcBorders>
            <w:noWrap w:val="0"/>
            <w:vAlign w:val="center"/>
          </w:tcPr>
          <w:p w14:paraId="53C68A20">
            <w:pPr>
              <w:pStyle w:val="75"/>
              <w:rPr>
                <w:rFonts w:cs="Times New Roman"/>
                <w:b w:val="0"/>
                <w:bCs w:val="0"/>
                <w:color w:val="auto"/>
                <w:highlight w:val="none"/>
              </w:rPr>
            </w:pPr>
            <w:r>
              <w:rPr>
                <w:rFonts w:cs="Times New Roman"/>
                <w:b w:val="0"/>
                <w:bCs w:val="0"/>
                <w:color w:val="auto"/>
                <w:highlight w:val="none"/>
              </w:rPr>
              <w:t>水功能区</w:t>
            </w:r>
          </w:p>
        </w:tc>
        <w:tc>
          <w:tcPr>
            <w:tcW w:w="6400" w:type="dxa"/>
            <w:tcBorders>
              <w:tl2br w:val="nil"/>
              <w:tr2bl w:val="nil"/>
            </w:tcBorders>
            <w:noWrap w:val="0"/>
            <w:vAlign w:val="center"/>
          </w:tcPr>
          <w:p w14:paraId="5C9F911B">
            <w:pPr>
              <w:pStyle w:val="75"/>
              <w:rPr>
                <w:rFonts w:cs="Times New Roman"/>
                <w:b w:val="0"/>
                <w:bCs w:val="0"/>
                <w:color w:val="auto"/>
                <w:highlight w:val="none"/>
              </w:rPr>
            </w:pPr>
            <w:r>
              <w:rPr>
                <w:rFonts w:cs="Times New Roman"/>
                <w:b w:val="0"/>
                <w:bCs w:val="0"/>
                <w:color w:val="auto"/>
                <w:highlight w:val="none"/>
              </w:rPr>
              <w:t>水质标准要求</w:t>
            </w:r>
          </w:p>
        </w:tc>
      </w:tr>
      <w:tr w14:paraId="232D1F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853" w:type="dxa"/>
            <w:vMerge w:val="restart"/>
            <w:tcBorders>
              <w:tl2br w:val="nil"/>
              <w:tr2bl w:val="nil"/>
            </w:tcBorders>
            <w:noWrap w:val="0"/>
            <w:vAlign w:val="center"/>
          </w:tcPr>
          <w:p w14:paraId="7A180F7F">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一级水功能区</w:t>
            </w:r>
          </w:p>
        </w:tc>
        <w:tc>
          <w:tcPr>
            <w:tcW w:w="1170" w:type="dxa"/>
            <w:tcBorders>
              <w:tl2br w:val="nil"/>
              <w:tr2bl w:val="nil"/>
            </w:tcBorders>
            <w:noWrap w:val="0"/>
            <w:vAlign w:val="center"/>
          </w:tcPr>
          <w:p w14:paraId="5D9A2489">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保护区</w:t>
            </w:r>
          </w:p>
        </w:tc>
        <w:tc>
          <w:tcPr>
            <w:tcW w:w="6400" w:type="dxa"/>
            <w:tcBorders>
              <w:tl2br w:val="nil"/>
              <w:tr2bl w:val="nil"/>
            </w:tcBorders>
            <w:noWrap w:val="0"/>
            <w:vAlign w:val="center"/>
          </w:tcPr>
          <w:p w14:paraId="59C9A8C8">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保护区水质标准应符合现行国家标准《地表水环境质量标准》（GB3838-2002）中Ⅰ类或Ⅱ类水质标准；当由于自然、地质原因不满足Ⅰ类或Ⅱ类水质标准时，应维持现状水质</w:t>
            </w:r>
          </w:p>
        </w:tc>
      </w:tr>
      <w:tr w14:paraId="2575E3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853" w:type="dxa"/>
            <w:vMerge w:val="continue"/>
            <w:tcBorders>
              <w:tl2br w:val="nil"/>
              <w:tr2bl w:val="nil"/>
            </w:tcBorders>
            <w:noWrap w:val="0"/>
            <w:vAlign w:val="center"/>
          </w:tcPr>
          <w:p w14:paraId="1046813E">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28D63869">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保留区</w:t>
            </w:r>
          </w:p>
        </w:tc>
        <w:tc>
          <w:tcPr>
            <w:tcW w:w="6400" w:type="dxa"/>
            <w:tcBorders>
              <w:tl2br w:val="nil"/>
              <w:tr2bl w:val="nil"/>
            </w:tcBorders>
            <w:noWrap w:val="0"/>
            <w:vAlign w:val="center"/>
          </w:tcPr>
          <w:p w14:paraId="4CDF12C9">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保留区水质标准应不低于现行国家标准《地表水环境质量标准》（GB3838-2002）规定的Ⅲ类水质标准或应按现状水质类别控制</w:t>
            </w:r>
          </w:p>
        </w:tc>
      </w:tr>
      <w:tr w14:paraId="7C25D4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3" w:type="dxa"/>
            <w:vMerge w:val="continue"/>
            <w:tcBorders>
              <w:tl2br w:val="nil"/>
              <w:tr2bl w:val="nil"/>
            </w:tcBorders>
            <w:noWrap w:val="0"/>
            <w:vAlign w:val="center"/>
          </w:tcPr>
          <w:p w14:paraId="67F3177F">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2EBFEEE3">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开发利用区</w:t>
            </w:r>
          </w:p>
        </w:tc>
        <w:tc>
          <w:tcPr>
            <w:tcW w:w="6400" w:type="dxa"/>
            <w:tcBorders>
              <w:tl2br w:val="nil"/>
              <w:tr2bl w:val="nil"/>
            </w:tcBorders>
            <w:noWrap w:val="0"/>
            <w:vAlign w:val="center"/>
          </w:tcPr>
          <w:p w14:paraId="6A04CF4A">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开发利用区水质标准由二级水功能区划相应类别的水质标准确定</w:t>
            </w:r>
          </w:p>
        </w:tc>
      </w:tr>
      <w:tr w14:paraId="26024E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3" w:type="dxa"/>
            <w:vMerge w:val="continue"/>
            <w:tcBorders>
              <w:tl2br w:val="nil"/>
              <w:tr2bl w:val="nil"/>
            </w:tcBorders>
            <w:noWrap w:val="0"/>
            <w:vAlign w:val="center"/>
          </w:tcPr>
          <w:p w14:paraId="1CFCDCB2">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7001805E">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缓冲区</w:t>
            </w:r>
          </w:p>
        </w:tc>
        <w:tc>
          <w:tcPr>
            <w:tcW w:w="6400" w:type="dxa"/>
            <w:tcBorders>
              <w:tl2br w:val="nil"/>
              <w:tr2bl w:val="nil"/>
            </w:tcBorders>
            <w:noWrap w:val="0"/>
            <w:vAlign w:val="center"/>
          </w:tcPr>
          <w:p w14:paraId="33660B2D">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缓冲区水质标准应根据实际需要执行相关水质标准或按现状水质控制</w:t>
            </w:r>
          </w:p>
        </w:tc>
      </w:tr>
      <w:tr w14:paraId="4CABEF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853" w:type="dxa"/>
            <w:vMerge w:val="restart"/>
            <w:tcBorders>
              <w:tl2br w:val="nil"/>
              <w:tr2bl w:val="nil"/>
            </w:tcBorders>
            <w:noWrap w:val="0"/>
            <w:vAlign w:val="center"/>
          </w:tcPr>
          <w:p w14:paraId="1FF90F4E">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二级水功能区</w:t>
            </w:r>
          </w:p>
        </w:tc>
        <w:tc>
          <w:tcPr>
            <w:tcW w:w="1170" w:type="dxa"/>
            <w:tcBorders>
              <w:tl2br w:val="nil"/>
              <w:tr2bl w:val="nil"/>
            </w:tcBorders>
            <w:noWrap w:val="0"/>
            <w:vAlign w:val="center"/>
          </w:tcPr>
          <w:p w14:paraId="2001C3CA">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饮用水源区</w:t>
            </w:r>
          </w:p>
        </w:tc>
        <w:tc>
          <w:tcPr>
            <w:tcW w:w="6400" w:type="dxa"/>
            <w:tcBorders>
              <w:tl2br w:val="nil"/>
              <w:tr2bl w:val="nil"/>
            </w:tcBorders>
            <w:noWrap w:val="0"/>
            <w:vAlign w:val="center"/>
          </w:tcPr>
          <w:p w14:paraId="280234B7">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饮用水源区水质标准应符合现行国家标准《地表水环境质量标准》（GB3838-2002）中Ⅱ类或Ⅲ类水质标准</w:t>
            </w:r>
          </w:p>
        </w:tc>
      </w:tr>
      <w:tr w14:paraId="686B8B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853" w:type="dxa"/>
            <w:vMerge w:val="continue"/>
            <w:tcBorders>
              <w:tl2br w:val="nil"/>
              <w:tr2bl w:val="nil"/>
            </w:tcBorders>
            <w:noWrap w:val="0"/>
            <w:vAlign w:val="center"/>
          </w:tcPr>
          <w:p w14:paraId="58B42DF2">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6ACAB6DB">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工业用水区</w:t>
            </w:r>
          </w:p>
        </w:tc>
        <w:tc>
          <w:tcPr>
            <w:tcW w:w="6400" w:type="dxa"/>
            <w:tcBorders>
              <w:tl2br w:val="nil"/>
              <w:tr2bl w:val="nil"/>
            </w:tcBorders>
            <w:noWrap w:val="0"/>
            <w:vAlign w:val="center"/>
          </w:tcPr>
          <w:p w14:paraId="5E4CF9C6">
            <w:pPr>
              <w:pStyle w:val="75"/>
              <w:jc w:val="center"/>
              <w:rPr>
                <w:rFonts w:hint="default" w:ascii="Times New Roman" w:hAnsi="Times New Roman" w:eastAsia="宋体" w:cs="Times New Roman"/>
                <w:highlight w:val="none"/>
                <w:lang w:eastAsia="zh-CN"/>
              </w:rPr>
            </w:pPr>
            <w:r>
              <w:rPr>
                <w:rFonts w:hint="default" w:ascii="Times New Roman" w:hAnsi="Times New Roman" w:cs="Times New Roman"/>
                <w:color w:val="000000"/>
                <w:highlight w:val="none"/>
              </w:rPr>
              <w:t>工业用水区水质标准应符合现行国家标准《地表水环境质量标准》（GB3838-2002）中Ⅳ类水质标准</w:t>
            </w:r>
          </w:p>
        </w:tc>
      </w:tr>
      <w:tr w14:paraId="008D8B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853" w:type="dxa"/>
            <w:vMerge w:val="continue"/>
            <w:tcBorders>
              <w:tl2br w:val="nil"/>
              <w:tr2bl w:val="nil"/>
            </w:tcBorders>
            <w:noWrap w:val="0"/>
            <w:vAlign w:val="center"/>
          </w:tcPr>
          <w:p w14:paraId="0A19B569">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6DA559CF">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农业用水区</w:t>
            </w:r>
          </w:p>
        </w:tc>
        <w:tc>
          <w:tcPr>
            <w:tcW w:w="6400" w:type="dxa"/>
            <w:tcBorders>
              <w:tl2br w:val="nil"/>
              <w:tr2bl w:val="nil"/>
            </w:tcBorders>
            <w:noWrap w:val="0"/>
            <w:vAlign w:val="center"/>
          </w:tcPr>
          <w:p w14:paraId="15912747">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农业用水区水质标准应符合现行国家标准《农田灌溉水质标准》（GB5084）的规定，也可按现行国家标准《地表水环境质量标准》（GB3838-2002）中Ⅴ类标准确定</w:t>
            </w:r>
          </w:p>
        </w:tc>
      </w:tr>
      <w:tr w14:paraId="0E756E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853" w:type="dxa"/>
            <w:vMerge w:val="continue"/>
            <w:tcBorders>
              <w:tl2br w:val="nil"/>
              <w:tr2bl w:val="nil"/>
            </w:tcBorders>
            <w:noWrap w:val="0"/>
            <w:vAlign w:val="center"/>
          </w:tcPr>
          <w:p w14:paraId="3AE07443">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058931DE">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渔业用水区</w:t>
            </w:r>
          </w:p>
        </w:tc>
        <w:tc>
          <w:tcPr>
            <w:tcW w:w="6400" w:type="dxa"/>
            <w:tcBorders>
              <w:tl2br w:val="nil"/>
              <w:tr2bl w:val="nil"/>
            </w:tcBorders>
            <w:noWrap w:val="0"/>
            <w:vAlign w:val="center"/>
          </w:tcPr>
          <w:p w14:paraId="421AC2F3">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渔业用水区水质标准应符合现行国家标准《渔业水质标准》（GB11607）的有关规定，也可按现行国家标准《地表水环境质量标准》（GB3838-2002）中Ⅱ类或Ⅲ类水质标准确定</w:t>
            </w:r>
          </w:p>
        </w:tc>
      </w:tr>
      <w:tr w14:paraId="7DDDA9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853" w:type="dxa"/>
            <w:vMerge w:val="continue"/>
            <w:tcBorders>
              <w:tl2br w:val="nil"/>
              <w:tr2bl w:val="nil"/>
            </w:tcBorders>
            <w:noWrap w:val="0"/>
            <w:vAlign w:val="center"/>
          </w:tcPr>
          <w:p w14:paraId="237DFCEB">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71EAE7A6">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景观娱乐用水区</w:t>
            </w:r>
          </w:p>
        </w:tc>
        <w:tc>
          <w:tcPr>
            <w:tcW w:w="6400" w:type="dxa"/>
            <w:tcBorders>
              <w:tl2br w:val="nil"/>
              <w:tr2bl w:val="nil"/>
            </w:tcBorders>
            <w:noWrap w:val="0"/>
            <w:vAlign w:val="center"/>
          </w:tcPr>
          <w:p w14:paraId="2F72EDB9">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景观娱乐用水区水质标准应符合现行国家标准《地表水环境质量标准》（GB3838-2002）中Ⅲ类或Ⅳ类水质标准</w:t>
            </w:r>
          </w:p>
        </w:tc>
      </w:tr>
      <w:tr w14:paraId="4CD3AE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853" w:type="dxa"/>
            <w:vMerge w:val="continue"/>
            <w:tcBorders>
              <w:tl2br w:val="nil"/>
              <w:tr2bl w:val="nil"/>
            </w:tcBorders>
            <w:noWrap w:val="0"/>
            <w:vAlign w:val="center"/>
          </w:tcPr>
          <w:p w14:paraId="03D1D938">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79B5678D">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过渡区</w:t>
            </w:r>
          </w:p>
        </w:tc>
        <w:tc>
          <w:tcPr>
            <w:tcW w:w="6400" w:type="dxa"/>
            <w:tcBorders>
              <w:tl2br w:val="nil"/>
              <w:tr2bl w:val="nil"/>
            </w:tcBorders>
            <w:noWrap w:val="0"/>
            <w:vAlign w:val="center"/>
          </w:tcPr>
          <w:p w14:paraId="49A41142">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过渡区水质标准应按出流断面水质达到相邻功能区的水质目标要求选择相应的控制标准</w:t>
            </w:r>
          </w:p>
        </w:tc>
      </w:tr>
      <w:tr w14:paraId="09DAD0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853" w:type="dxa"/>
            <w:vMerge w:val="continue"/>
            <w:tcBorders>
              <w:tl2br w:val="nil"/>
              <w:tr2bl w:val="nil"/>
            </w:tcBorders>
            <w:noWrap w:val="0"/>
            <w:vAlign w:val="center"/>
          </w:tcPr>
          <w:p w14:paraId="077C64D9">
            <w:pPr>
              <w:pStyle w:val="75"/>
              <w:rPr>
                <w:rFonts w:hint="default" w:ascii="Times New Roman" w:hAnsi="Times New Roman" w:cs="Times New Roman"/>
                <w:color w:val="000000"/>
                <w:sz w:val="2"/>
                <w:szCs w:val="2"/>
                <w:highlight w:val="none"/>
              </w:rPr>
            </w:pPr>
          </w:p>
        </w:tc>
        <w:tc>
          <w:tcPr>
            <w:tcW w:w="1170" w:type="dxa"/>
            <w:tcBorders>
              <w:tl2br w:val="nil"/>
              <w:tr2bl w:val="nil"/>
            </w:tcBorders>
            <w:noWrap w:val="0"/>
            <w:vAlign w:val="center"/>
          </w:tcPr>
          <w:p w14:paraId="1FA3E7DF">
            <w:pPr>
              <w:pStyle w:val="75"/>
              <w:rPr>
                <w:rFonts w:hint="default" w:ascii="Times New Roman" w:hAnsi="Times New Roman" w:cs="Times New Roman"/>
                <w:color w:val="000000"/>
                <w:highlight w:val="none"/>
              </w:rPr>
            </w:pPr>
            <w:r>
              <w:rPr>
                <w:rFonts w:hint="default" w:ascii="Times New Roman" w:hAnsi="Times New Roman" w:cs="Times New Roman"/>
                <w:color w:val="000000"/>
                <w:highlight w:val="none"/>
              </w:rPr>
              <w:t>排污控制区</w:t>
            </w:r>
          </w:p>
        </w:tc>
        <w:tc>
          <w:tcPr>
            <w:tcW w:w="6400" w:type="dxa"/>
            <w:tcBorders>
              <w:tl2br w:val="nil"/>
              <w:tr2bl w:val="nil"/>
            </w:tcBorders>
            <w:noWrap w:val="0"/>
            <w:vAlign w:val="center"/>
          </w:tcPr>
          <w:p w14:paraId="62114AA0">
            <w:pPr>
              <w:pStyle w:val="75"/>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污染控制区水质标准应按其出流断面的水质状况达到相邻水功能区的水质控制标准确定</w:t>
            </w:r>
          </w:p>
        </w:tc>
      </w:tr>
    </w:tbl>
    <w:p w14:paraId="22FA5F37">
      <w:pPr>
        <w:pStyle w:val="6"/>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.1.</w:t>
      </w:r>
      <w:r>
        <w:rPr>
          <w:rFonts w:hint="eastAsia" w:ascii="Times New Roman" w:hAnsi="Times New Roman" w:eastAsia="宋体" w:cs="Times New Roman"/>
          <w:highlight w:val="none"/>
          <w:lang w:val="en-US" w:eastAsia="zh-CN"/>
        </w:rPr>
        <w:t>3 论证范围内水功能区划及水质管理目标与要求</w:t>
      </w:r>
    </w:p>
    <w:p w14:paraId="089F47E4">
      <w:pPr>
        <w:keepNext w:val="0"/>
        <w:keepLines w:val="0"/>
        <w:pageBreakBefore w:val="0"/>
        <w:widowControl w:val="0"/>
        <w:kinsoku/>
        <w:wordWrap/>
        <w:overflowPunct/>
        <w:topLinePunct w:val="0"/>
        <w:autoSpaceDE/>
        <w:autoSpaceDN/>
        <w:bidi w:val="0"/>
        <w:adjustRightInd w:val="0"/>
        <w:snapToGrid w:val="0"/>
        <w:ind w:firstLine="476" w:firstLineChars="200"/>
        <w:jc w:val="both"/>
        <w:textAlignment w:val="auto"/>
        <w:rPr>
          <w:rFonts w:hint="eastAsia" w:cs="Times New Roman"/>
          <w:i w:val="0"/>
          <w:caps w:val="0"/>
          <w:color w:val="auto"/>
          <w:spacing w:val="0"/>
          <w:sz w:val="24"/>
          <w:szCs w:val="24"/>
          <w:highlight w:val="none"/>
          <w:u w:val="none"/>
          <w:shd w:val="clear" w:color="auto" w:fill="auto"/>
          <w:lang w:val="en-US" w:eastAsia="zh-CN"/>
        </w:rPr>
      </w:pPr>
      <w:r>
        <w:rPr>
          <w:rFonts w:hint="eastAsia" w:cs="Times New Roman"/>
          <w:color w:val="auto"/>
          <w:spacing w:val="-1"/>
          <w:sz w:val="24"/>
          <w:szCs w:val="24"/>
          <w:highlight w:val="none"/>
          <w:u w:val="none"/>
          <w:lang w:val="en-US" w:eastAsia="zh-CN" w:bidi="zh-CN"/>
        </w:rPr>
        <w:t>根据《湖南省水功能区划（修编）》（湖南省水利厅2014年12月）、</w:t>
      </w:r>
      <w:r>
        <w:rPr>
          <w:rFonts w:hint="eastAsia" w:ascii="Times New Roman" w:hAnsi="Times New Roman" w:eastAsia="宋体" w:cs="Times New Roman"/>
          <w:sz w:val="24"/>
          <w:szCs w:val="24"/>
          <w:highlight w:val="none"/>
        </w:rPr>
        <w:t>《衡阳市水功能区划》（2010~2020）</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i w:val="0"/>
          <w:caps w:val="0"/>
          <w:color w:val="auto"/>
          <w:spacing w:val="0"/>
          <w:sz w:val="24"/>
          <w:szCs w:val="24"/>
          <w:highlight w:val="none"/>
          <w:u w:val="none"/>
          <w:shd w:val="clear" w:color="auto" w:fill="auto"/>
        </w:rPr>
        <w:t>《湖南省衡阳市水资源综合规划报告（2020-2035年）》</w:t>
      </w:r>
      <w:r>
        <w:rPr>
          <w:rFonts w:hint="eastAsia" w:cs="Times New Roman"/>
          <w:color w:val="auto"/>
          <w:spacing w:val="-1"/>
          <w:sz w:val="24"/>
          <w:szCs w:val="24"/>
          <w:highlight w:val="none"/>
          <w:u w:val="none"/>
          <w:lang w:val="en-US" w:eastAsia="zh-CN" w:bidi="zh-CN"/>
        </w:rPr>
        <w:t>，本入河排污口纳污水体</w:t>
      </w:r>
      <w:r>
        <w:rPr>
          <w:rFonts w:hint="eastAsia" w:cs="Times New Roman"/>
          <w:i w:val="0"/>
          <w:caps w:val="0"/>
          <w:color w:val="auto"/>
          <w:spacing w:val="0"/>
          <w:sz w:val="24"/>
          <w:szCs w:val="24"/>
          <w:highlight w:val="none"/>
          <w:u w:val="none"/>
          <w:shd w:val="clear" w:color="auto" w:fill="auto"/>
          <w:lang w:val="en-US" w:eastAsia="zh-CN"/>
        </w:rPr>
        <w:t>龙荫港暂</w:t>
      </w:r>
      <w:r>
        <w:rPr>
          <w:rFonts w:hint="eastAsia" w:cs="Times New Roman"/>
          <w:i w:val="0"/>
          <w:caps w:val="0"/>
          <w:color w:val="auto"/>
          <w:spacing w:val="0"/>
          <w:sz w:val="24"/>
          <w:szCs w:val="24"/>
          <w:highlight w:val="none"/>
          <w:u w:val="none"/>
          <w:shd w:val="clear" w:color="auto" w:fill="auto"/>
          <w:lang w:eastAsia="zh-CN"/>
        </w:rPr>
        <w:t>未划分水环境功能区类别，水体功能主要为农业用水，水质目标</w:t>
      </w:r>
      <w:r>
        <w:rPr>
          <w:rFonts w:hint="eastAsia" w:cs="Times New Roman"/>
          <w:i w:val="0"/>
          <w:caps w:val="0"/>
          <w:color w:val="auto"/>
          <w:spacing w:val="0"/>
          <w:sz w:val="24"/>
          <w:szCs w:val="24"/>
          <w:highlight w:val="none"/>
          <w:u w:val="none"/>
          <w:shd w:val="clear" w:color="auto" w:fill="auto"/>
          <w:lang w:val="en-US" w:eastAsia="zh-CN"/>
        </w:rPr>
        <w:t>参照</w:t>
      </w:r>
      <w:r>
        <w:rPr>
          <w:rFonts w:hint="eastAsia" w:cs="Times New Roman"/>
          <w:i w:val="0"/>
          <w:caps w:val="0"/>
          <w:color w:val="auto"/>
          <w:spacing w:val="0"/>
          <w:sz w:val="24"/>
          <w:szCs w:val="24"/>
          <w:highlight w:val="none"/>
          <w:u w:val="none"/>
          <w:shd w:val="clear" w:color="auto" w:fill="auto"/>
          <w:lang w:eastAsia="zh-CN"/>
        </w:rPr>
        <w:t>执行《</w:t>
      </w:r>
      <w:r>
        <w:rPr>
          <w:rFonts w:hint="eastAsia" w:cs="Times New Roman"/>
          <w:i w:val="0"/>
          <w:caps w:val="0"/>
          <w:color w:val="auto"/>
          <w:spacing w:val="0"/>
          <w:sz w:val="24"/>
          <w:szCs w:val="24"/>
          <w:highlight w:val="none"/>
          <w:u w:val="none"/>
          <w:shd w:val="clear" w:color="auto" w:fill="auto"/>
          <w:lang w:val="en-US" w:eastAsia="zh-CN"/>
        </w:rPr>
        <w:t>地表水环境质量标准</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GB3838-2002</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中III</w:t>
      </w:r>
      <w:r>
        <w:rPr>
          <w:rFonts w:hint="eastAsia" w:cs="Times New Roman"/>
          <w:i w:val="0"/>
          <w:caps w:val="0"/>
          <w:color w:val="auto"/>
          <w:spacing w:val="0"/>
          <w:sz w:val="24"/>
          <w:szCs w:val="24"/>
          <w:highlight w:val="none"/>
          <w:u w:val="none"/>
          <w:shd w:val="clear" w:color="auto" w:fill="auto"/>
          <w:lang w:eastAsia="zh-CN"/>
        </w:rPr>
        <w:t>类</w:t>
      </w:r>
      <w:r>
        <w:rPr>
          <w:rFonts w:hint="eastAsia" w:cs="Times New Roman"/>
          <w:i w:val="0"/>
          <w:caps w:val="0"/>
          <w:color w:val="auto"/>
          <w:spacing w:val="0"/>
          <w:sz w:val="24"/>
          <w:szCs w:val="24"/>
          <w:highlight w:val="none"/>
          <w:u w:val="none"/>
          <w:shd w:val="clear" w:color="auto" w:fill="auto"/>
          <w:lang w:val="en-US" w:eastAsia="zh-CN"/>
        </w:rPr>
        <w:t>标准</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龙荫港入湘江段属于湘江衡东～衡山保留区，水质目标为III类。</w:t>
      </w:r>
    </w:p>
    <w:p w14:paraId="137A196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根据相关法律法规及水功能区管理要求，污水处理厂</w:t>
      </w:r>
      <w:r>
        <w:rPr>
          <w:rFonts w:hint="eastAsia" w:cs="Times New Roman"/>
          <w:sz w:val="24"/>
          <w:szCs w:val="24"/>
          <w:highlight w:val="none"/>
          <w:lang w:val="en-US" w:eastAsia="zh-CN"/>
        </w:rPr>
        <w:t>和入河排污口</w:t>
      </w:r>
      <w:r>
        <w:rPr>
          <w:rFonts w:hint="default" w:ascii="Times New Roman" w:hAnsi="Times New Roman" w:eastAsia="宋体" w:cs="Times New Roman"/>
          <w:sz w:val="24"/>
          <w:szCs w:val="24"/>
          <w:highlight w:val="none"/>
        </w:rPr>
        <w:t>的建设及运行不能影响到所涉及水功能区的功能，建设单位在运行期间应采取严格措施，使纳污水体水质达到</w:t>
      </w:r>
      <w:r>
        <w:rPr>
          <w:rFonts w:hint="eastAsia" w:cs="Times New Roman"/>
          <w:sz w:val="24"/>
          <w:szCs w:val="24"/>
          <w:highlight w:val="none"/>
          <w:lang w:val="en-US" w:eastAsia="zh-CN"/>
        </w:rPr>
        <w:t>相关水质标准</w:t>
      </w:r>
      <w:r>
        <w:rPr>
          <w:rFonts w:hint="default" w:ascii="Times New Roman" w:hAnsi="Times New Roman" w:eastAsia="宋体" w:cs="Times New Roman"/>
          <w:sz w:val="24"/>
          <w:szCs w:val="24"/>
          <w:highlight w:val="none"/>
        </w:rPr>
        <w:t>要求，避免破坏河流的生态环境。</w:t>
      </w:r>
    </w:p>
    <w:p w14:paraId="0FC60063">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ascii="Times New Roman" w:hAnsi="Times New Roman" w:cs="Times New Roman"/>
          <w:b/>
          <w:color w:val="000000"/>
          <w:sz w:val="21"/>
          <w:szCs w:val="21"/>
          <w:highlight w:val="none"/>
        </w:rPr>
        <w:t>表</w:t>
      </w:r>
      <w:r>
        <w:rPr>
          <w:rFonts w:hint="eastAsia" w:cs="Times New Roman"/>
          <w:b/>
          <w:color w:val="000000"/>
          <w:sz w:val="21"/>
          <w:szCs w:val="21"/>
          <w:highlight w:val="none"/>
          <w:lang w:val="en-US" w:eastAsia="zh-CN"/>
        </w:rPr>
        <w:t>4</w:t>
      </w:r>
      <w:r>
        <w:rPr>
          <w:rFonts w:ascii="Times New Roman" w:hAnsi="Times New Roman" w:cs="Times New Roman"/>
          <w:b/>
          <w:color w:val="000000"/>
          <w:sz w:val="21"/>
          <w:szCs w:val="21"/>
          <w:highlight w:val="none"/>
        </w:rPr>
        <w:t>.1-</w:t>
      </w:r>
      <w:r>
        <w:rPr>
          <w:rFonts w:hint="eastAsia" w:ascii="Times New Roman" w:hAnsi="Times New Roman" w:cs="Times New Roman"/>
          <w:b/>
          <w:color w:val="000000"/>
          <w:sz w:val="21"/>
          <w:szCs w:val="21"/>
          <w:highlight w:val="none"/>
          <w:lang w:val="en-US" w:eastAsia="zh-CN"/>
        </w:rPr>
        <w:t>3</w:t>
      </w:r>
      <w:r>
        <w:rPr>
          <w:rFonts w:ascii="Times New Roman" w:hAnsi="Times New Roman" w:cs="Times New Roman"/>
          <w:b/>
          <w:color w:val="000000"/>
          <w:sz w:val="21"/>
          <w:szCs w:val="21"/>
          <w:highlight w:val="none"/>
        </w:rPr>
        <w:t xml:space="preserve"> </w:t>
      </w:r>
      <w:r>
        <w:rPr>
          <w:rFonts w:hint="eastAsia" w:ascii="Times New Roman" w:hAnsi="Times New Roman" w:cs="Times New Roman"/>
          <w:b/>
          <w:color w:val="000000"/>
          <w:sz w:val="21"/>
          <w:szCs w:val="21"/>
          <w:highlight w:val="none"/>
          <w:lang w:val="en-US" w:eastAsia="zh-CN"/>
        </w:rPr>
        <w:t>纳污水体水功能区划及水质管理目标</w:t>
      </w:r>
    </w:p>
    <w:tbl>
      <w:tblPr>
        <w:tblStyle w:val="30"/>
        <w:tblW w:w="0" w:type="auto"/>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217"/>
        <w:gridCol w:w="2910"/>
        <w:gridCol w:w="2797"/>
      </w:tblGrid>
      <w:tr w14:paraId="6A65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3" w:type="dxa"/>
            <w:tcBorders>
              <w:top w:val="single" w:color="auto" w:sz="12" w:space="0"/>
              <w:left w:val="single" w:color="auto" w:sz="12" w:space="0"/>
            </w:tcBorders>
            <w:noWrap w:val="0"/>
            <w:vAlign w:val="center"/>
          </w:tcPr>
          <w:p w14:paraId="6299E07C">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名称</w:t>
            </w:r>
          </w:p>
        </w:tc>
        <w:tc>
          <w:tcPr>
            <w:tcW w:w="1217" w:type="dxa"/>
            <w:tcBorders>
              <w:top w:val="single" w:color="auto" w:sz="12" w:space="0"/>
            </w:tcBorders>
            <w:noWrap w:val="0"/>
            <w:vAlign w:val="center"/>
          </w:tcPr>
          <w:p w14:paraId="353E4735">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纳污水体</w:t>
            </w:r>
          </w:p>
        </w:tc>
        <w:tc>
          <w:tcPr>
            <w:tcW w:w="2910" w:type="dxa"/>
            <w:tcBorders>
              <w:top w:val="single" w:color="auto" w:sz="12" w:space="0"/>
            </w:tcBorders>
            <w:noWrap w:val="0"/>
            <w:vAlign w:val="center"/>
          </w:tcPr>
          <w:p w14:paraId="15AAEFBA">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水功能区划及水质管理目标</w:t>
            </w:r>
          </w:p>
        </w:tc>
        <w:tc>
          <w:tcPr>
            <w:tcW w:w="2797" w:type="dxa"/>
            <w:tcBorders>
              <w:top w:val="single" w:color="auto" w:sz="12" w:space="0"/>
              <w:right w:val="single" w:color="auto" w:sz="12" w:space="0"/>
            </w:tcBorders>
            <w:noWrap w:val="0"/>
            <w:vAlign w:val="center"/>
          </w:tcPr>
          <w:p w14:paraId="48E29DDC">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管理要求</w:t>
            </w:r>
          </w:p>
        </w:tc>
      </w:tr>
      <w:tr w14:paraId="2D7B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Borders>
              <w:left w:val="single" w:color="auto" w:sz="12" w:space="0"/>
              <w:bottom w:val="single" w:color="auto" w:sz="12" w:space="0"/>
            </w:tcBorders>
            <w:noWrap w:val="0"/>
            <w:vAlign w:val="center"/>
          </w:tcPr>
          <w:p w14:paraId="1FA350BD">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南岳区污水处理厂</w:t>
            </w:r>
            <w:r>
              <w:rPr>
                <w:rFonts w:hint="eastAsia" w:cs="Times New Roman"/>
                <w:b w:val="0"/>
                <w:bCs w:val="0"/>
                <w:color w:val="000000"/>
                <w:sz w:val="21"/>
                <w:szCs w:val="21"/>
                <w:highlight w:val="none"/>
                <w:vertAlign w:val="baseline"/>
                <w:lang w:val="en-US" w:eastAsia="zh-CN" w:bidi="ar-SA"/>
              </w:rPr>
              <w:t>入河排污口</w:t>
            </w:r>
          </w:p>
        </w:tc>
        <w:tc>
          <w:tcPr>
            <w:tcW w:w="1217" w:type="dxa"/>
            <w:tcBorders>
              <w:bottom w:val="single" w:color="auto" w:sz="12" w:space="0"/>
            </w:tcBorders>
            <w:noWrap w:val="0"/>
            <w:vAlign w:val="center"/>
          </w:tcPr>
          <w:p w14:paraId="69C0E848">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龙荫港</w:t>
            </w:r>
          </w:p>
        </w:tc>
        <w:tc>
          <w:tcPr>
            <w:tcW w:w="2910" w:type="dxa"/>
            <w:tcBorders>
              <w:bottom w:val="single" w:color="auto" w:sz="12" w:space="0"/>
            </w:tcBorders>
            <w:noWrap w:val="0"/>
            <w:vAlign w:val="center"/>
          </w:tcPr>
          <w:p w14:paraId="2D556886">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暂未划定水功能区，参照执行III类水质标准</w:t>
            </w:r>
          </w:p>
        </w:tc>
        <w:tc>
          <w:tcPr>
            <w:tcW w:w="2797" w:type="dxa"/>
            <w:tcBorders>
              <w:bottom w:val="single" w:color="auto" w:sz="12" w:space="0"/>
              <w:right w:val="single" w:color="auto" w:sz="12" w:space="0"/>
            </w:tcBorders>
            <w:noWrap w:val="0"/>
            <w:vAlign w:val="center"/>
          </w:tcPr>
          <w:p w14:paraId="6C3DBDB3">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eastAsia="宋体" w:cs="Times New Roman"/>
                <w:b w:val="0"/>
                <w:bCs w:val="0"/>
                <w:color w:val="000000"/>
                <w:sz w:val="21"/>
                <w:szCs w:val="21"/>
                <w:highlight w:val="none"/>
                <w:vertAlign w:val="baseline"/>
                <w:lang w:val="en-US" w:eastAsia="zh-CN" w:bidi="ar-SA"/>
              </w:rPr>
              <w:t>应采取措施，使龙荫港水质达到</w:t>
            </w:r>
            <w:r>
              <w:rPr>
                <w:rFonts w:hint="eastAsia" w:cs="Times New Roman"/>
                <w:b w:val="0"/>
                <w:bCs w:val="0"/>
                <w:color w:val="000000"/>
                <w:sz w:val="21"/>
                <w:szCs w:val="21"/>
                <w:highlight w:val="none"/>
                <w:vertAlign w:val="baseline"/>
                <w:lang w:val="en-US" w:eastAsia="zh-CN" w:bidi="ar-SA"/>
              </w:rPr>
              <w:t>相关</w:t>
            </w:r>
            <w:r>
              <w:rPr>
                <w:rFonts w:hint="eastAsia" w:eastAsia="宋体" w:cs="Times New Roman"/>
                <w:b w:val="0"/>
                <w:bCs w:val="0"/>
                <w:color w:val="000000"/>
                <w:sz w:val="21"/>
                <w:szCs w:val="21"/>
                <w:highlight w:val="none"/>
                <w:vertAlign w:val="baseline"/>
                <w:lang w:val="en-US" w:eastAsia="zh-CN" w:bidi="ar-SA"/>
              </w:rPr>
              <w:t>水质</w:t>
            </w:r>
            <w:r>
              <w:rPr>
                <w:rFonts w:hint="eastAsia" w:cs="Times New Roman"/>
                <w:b w:val="0"/>
                <w:bCs w:val="0"/>
                <w:color w:val="000000"/>
                <w:sz w:val="21"/>
                <w:szCs w:val="21"/>
                <w:highlight w:val="none"/>
                <w:vertAlign w:val="baseline"/>
                <w:lang w:val="en-US" w:eastAsia="zh-CN" w:bidi="ar-SA"/>
              </w:rPr>
              <w:t>标准</w:t>
            </w:r>
            <w:r>
              <w:rPr>
                <w:rFonts w:hint="eastAsia" w:eastAsia="宋体" w:cs="Times New Roman"/>
                <w:b w:val="0"/>
                <w:bCs w:val="0"/>
                <w:color w:val="000000"/>
                <w:sz w:val="21"/>
                <w:szCs w:val="21"/>
                <w:highlight w:val="none"/>
                <w:vertAlign w:val="baseline"/>
                <w:lang w:val="en-US" w:eastAsia="zh-CN" w:bidi="ar-SA"/>
              </w:rPr>
              <w:t>要求，避免破坏河流生态环境</w:t>
            </w:r>
          </w:p>
        </w:tc>
      </w:tr>
    </w:tbl>
    <w:p w14:paraId="25AA71C1">
      <w:pPr>
        <w:pStyle w:val="2"/>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水质管理目标标准限值如下表所示：</w:t>
      </w:r>
    </w:p>
    <w:p w14:paraId="2BCC9AA7">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ascii="Times New Roman" w:hAnsi="Times New Roman" w:eastAsia="宋体" w:cs="Times New Roman"/>
          <w:b/>
          <w:color w:val="000000"/>
          <w:sz w:val="21"/>
          <w:szCs w:val="21"/>
          <w:highlight w:val="none"/>
        </w:rPr>
        <w:t>表</w:t>
      </w:r>
      <w:r>
        <w:rPr>
          <w:rFonts w:hint="eastAsia" w:ascii="Times New Roman" w:hAnsi="Times New Roman" w:eastAsia="宋体" w:cs="Times New Roman"/>
          <w:b/>
          <w:color w:val="000000"/>
          <w:sz w:val="21"/>
          <w:szCs w:val="21"/>
          <w:highlight w:val="none"/>
          <w:lang w:val="en-US" w:eastAsia="zh-CN"/>
        </w:rPr>
        <w:t>4</w:t>
      </w:r>
      <w:r>
        <w:rPr>
          <w:rFonts w:ascii="Times New Roman" w:hAnsi="Times New Roman" w:eastAsia="宋体" w:cs="Times New Roman"/>
          <w:b/>
          <w:color w:val="000000"/>
          <w:sz w:val="21"/>
          <w:szCs w:val="21"/>
          <w:highlight w:val="none"/>
        </w:rPr>
        <w:t>.1-</w:t>
      </w:r>
      <w:r>
        <w:rPr>
          <w:rFonts w:hint="eastAsia" w:ascii="Times New Roman" w:hAnsi="Times New Roman" w:eastAsia="宋体" w:cs="Times New Roman"/>
          <w:b/>
          <w:color w:val="000000"/>
          <w:sz w:val="21"/>
          <w:szCs w:val="21"/>
          <w:highlight w:val="none"/>
          <w:lang w:val="en-US" w:eastAsia="zh-CN"/>
        </w:rPr>
        <w:t>4</w:t>
      </w:r>
      <w:r>
        <w:rPr>
          <w:rFonts w:ascii="Times New Roman" w:hAnsi="Times New Roman" w:eastAsia="宋体" w:cs="Times New Roman"/>
          <w:b/>
          <w:color w:val="000000"/>
          <w:sz w:val="21"/>
          <w:szCs w:val="21"/>
          <w:highlight w:val="none"/>
        </w:rPr>
        <w:t xml:space="preserve"> </w:t>
      </w:r>
      <w:r>
        <w:rPr>
          <w:rFonts w:hint="eastAsia" w:ascii="Times New Roman" w:hAnsi="Times New Roman" w:eastAsia="宋体" w:cs="Times New Roman"/>
          <w:b/>
          <w:color w:val="000000"/>
          <w:sz w:val="21"/>
          <w:szCs w:val="21"/>
          <w:highlight w:val="none"/>
          <w:lang w:val="en-US" w:eastAsia="zh-CN"/>
        </w:rPr>
        <w:t>地表水环境标准限值（单位：mg/L，pH无量纲）</w:t>
      </w:r>
    </w:p>
    <w:tbl>
      <w:tblPr>
        <w:tblStyle w:val="30"/>
        <w:tblW w:w="0" w:type="auto"/>
        <w:tblInd w:w="7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57"/>
        <w:gridCol w:w="855"/>
        <w:gridCol w:w="870"/>
        <w:gridCol w:w="975"/>
        <w:gridCol w:w="930"/>
        <w:gridCol w:w="1320"/>
        <w:gridCol w:w="1786"/>
      </w:tblGrid>
      <w:tr w14:paraId="039B5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3" w:type="dxa"/>
            <w:tcBorders>
              <w:tl2br w:val="nil"/>
              <w:tr2bl w:val="nil"/>
            </w:tcBorders>
            <w:noWrap w:val="0"/>
            <w:vAlign w:val="center"/>
          </w:tcPr>
          <w:p w14:paraId="07A35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项目</w:t>
            </w:r>
          </w:p>
        </w:tc>
        <w:tc>
          <w:tcPr>
            <w:tcW w:w="657" w:type="dxa"/>
            <w:tcBorders>
              <w:tl2br w:val="nil"/>
              <w:tr2bl w:val="nil"/>
            </w:tcBorders>
            <w:noWrap w:val="0"/>
            <w:vAlign w:val="center"/>
          </w:tcPr>
          <w:p w14:paraId="5ED21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pH</w:t>
            </w:r>
          </w:p>
        </w:tc>
        <w:tc>
          <w:tcPr>
            <w:tcW w:w="855" w:type="dxa"/>
            <w:tcBorders>
              <w:tl2br w:val="nil"/>
              <w:tr2bl w:val="nil"/>
            </w:tcBorders>
            <w:noWrap w:val="0"/>
            <w:vAlign w:val="center"/>
          </w:tcPr>
          <w:p w14:paraId="17629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溶解氧</w:t>
            </w:r>
          </w:p>
        </w:tc>
        <w:tc>
          <w:tcPr>
            <w:tcW w:w="870" w:type="dxa"/>
            <w:tcBorders>
              <w:tl2br w:val="nil"/>
              <w:tr2bl w:val="nil"/>
            </w:tcBorders>
            <w:noWrap w:val="0"/>
            <w:vAlign w:val="center"/>
          </w:tcPr>
          <w:p w14:paraId="7F3EC2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CODcr</w:t>
            </w:r>
          </w:p>
        </w:tc>
        <w:tc>
          <w:tcPr>
            <w:tcW w:w="975" w:type="dxa"/>
            <w:tcBorders>
              <w:tl2br w:val="nil"/>
              <w:tr2bl w:val="nil"/>
            </w:tcBorders>
            <w:noWrap w:val="0"/>
            <w:vAlign w:val="center"/>
          </w:tcPr>
          <w:p w14:paraId="58EEC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BOD</w:t>
            </w:r>
            <w:r>
              <w:rPr>
                <w:rFonts w:hint="eastAsia" w:ascii="Times New Roman" w:hAnsi="Times New Roman" w:eastAsia="宋体" w:cs="Times New Roman"/>
                <w:b w:val="0"/>
                <w:bCs w:val="0"/>
                <w:color w:val="000000"/>
                <w:sz w:val="21"/>
                <w:szCs w:val="21"/>
                <w:highlight w:val="none"/>
                <w:vertAlign w:val="subscript"/>
                <w:lang w:val="en-US" w:eastAsia="zh-CN" w:bidi="ar-SA"/>
              </w:rPr>
              <w:t>5</w:t>
            </w:r>
          </w:p>
        </w:tc>
        <w:tc>
          <w:tcPr>
            <w:tcW w:w="930" w:type="dxa"/>
            <w:tcBorders>
              <w:tl2br w:val="nil"/>
              <w:tr2bl w:val="nil"/>
            </w:tcBorders>
            <w:noWrap w:val="0"/>
            <w:vAlign w:val="center"/>
          </w:tcPr>
          <w:p w14:paraId="10AE88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SS</w:t>
            </w:r>
          </w:p>
        </w:tc>
        <w:tc>
          <w:tcPr>
            <w:tcW w:w="1320" w:type="dxa"/>
            <w:tcBorders>
              <w:tl2br w:val="nil"/>
              <w:tr2bl w:val="nil"/>
            </w:tcBorders>
            <w:noWrap w:val="0"/>
            <w:vAlign w:val="center"/>
          </w:tcPr>
          <w:p w14:paraId="30012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氨氮</w:t>
            </w:r>
          </w:p>
        </w:tc>
        <w:tc>
          <w:tcPr>
            <w:tcW w:w="1786" w:type="dxa"/>
            <w:vMerge w:val="restart"/>
            <w:tcBorders>
              <w:tl2br w:val="nil"/>
              <w:tr2bl w:val="nil"/>
            </w:tcBorders>
            <w:noWrap w:val="0"/>
            <w:vAlign w:val="center"/>
          </w:tcPr>
          <w:p w14:paraId="53162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bidi="ar-SA"/>
              </w:rPr>
              <w:t>《地表水环境质量标准》（GB3838-2002）III类标准</w:t>
            </w:r>
          </w:p>
        </w:tc>
      </w:tr>
      <w:tr w14:paraId="633CE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83" w:type="dxa"/>
            <w:tcBorders>
              <w:tl2br w:val="nil"/>
              <w:tr2bl w:val="nil"/>
            </w:tcBorders>
            <w:noWrap w:val="0"/>
            <w:vAlign w:val="center"/>
          </w:tcPr>
          <w:p w14:paraId="0B93E8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标准限值</w:t>
            </w:r>
          </w:p>
        </w:tc>
        <w:tc>
          <w:tcPr>
            <w:tcW w:w="657" w:type="dxa"/>
            <w:tcBorders>
              <w:tl2br w:val="nil"/>
              <w:tr2bl w:val="nil"/>
            </w:tcBorders>
            <w:noWrap w:val="0"/>
            <w:vAlign w:val="center"/>
          </w:tcPr>
          <w:p w14:paraId="4CBEE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6~9</w:t>
            </w:r>
          </w:p>
        </w:tc>
        <w:tc>
          <w:tcPr>
            <w:tcW w:w="855" w:type="dxa"/>
            <w:tcBorders>
              <w:tl2br w:val="nil"/>
              <w:tr2bl w:val="nil"/>
            </w:tcBorders>
            <w:noWrap w:val="0"/>
            <w:vAlign w:val="center"/>
          </w:tcPr>
          <w:p w14:paraId="143CD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5</w:t>
            </w:r>
          </w:p>
        </w:tc>
        <w:tc>
          <w:tcPr>
            <w:tcW w:w="870" w:type="dxa"/>
            <w:tcBorders>
              <w:tl2br w:val="nil"/>
              <w:tr2bl w:val="nil"/>
            </w:tcBorders>
            <w:noWrap w:val="0"/>
            <w:vAlign w:val="center"/>
          </w:tcPr>
          <w:p w14:paraId="4AA44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20</w:t>
            </w:r>
          </w:p>
        </w:tc>
        <w:tc>
          <w:tcPr>
            <w:tcW w:w="975" w:type="dxa"/>
            <w:tcBorders>
              <w:tl2br w:val="nil"/>
              <w:tr2bl w:val="nil"/>
            </w:tcBorders>
            <w:noWrap w:val="0"/>
            <w:vAlign w:val="center"/>
          </w:tcPr>
          <w:p w14:paraId="2D64AF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4</w:t>
            </w:r>
          </w:p>
        </w:tc>
        <w:tc>
          <w:tcPr>
            <w:tcW w:w="930" w:type="dxa"/>
            <w:tcBorders>
              <w:tl2br w:val="nil"/>
              <w:tr2bl w:val="nil"/>
            </w:tcBorders>
            <w:noWrap w:val="0"/>
            <w:vAlign w:val="center"/>
          </w:tcPr>
          <w:p w14:paraId="7EC42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w:t>
            </w:r>
          </w:p>
        </w:tc>
        <w:tc>
          <w:tcPr>
            <w:tcW w:w="1320" w:type="dxa"/>
            <w:tcBorders>
              <w:tl2br w:val="nil"/>
              <w:tr2bl w:val="nil"/>
            </w:tcBorders>
            <w:noWrap w:val="0"/>
            <w:vAlign w:val="center"/>
          </w:tcPr>
          <w:p w14:paraId="42DC9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1</w:t>
            </w:r>
          </w:p>
        </w:tc>
        <w:tc>
          <w:tcPr>
            <w:tcW w:w="1786" w:type="dxa"/>
            <w:vMerge w:val="continue"/>
            <w:tcBorders>
              <w:tl2br w:val="nil"/>
              <w:tr2bl w:val="nil"/>
            </w:tcBorders>
            <w:noWrap w:val="0"/>
            <w:vAlign w:val="center"/>
          </w:tcPr>
          <w:p w14:paraId="59A87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p>
        </w:tc>
      </w:tr>
      <w:tr w14:paraId="00F72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3" w:type="dxa"/>
            <w:tcBorders>
              <w:tl2br w:val="nil"/>
              <w:tr2bl w:val="nil"/>
            </w:tcBorders>
            <w:noWrap w:val="0"/>
            <w:vAlign w:val="center"/>
          </w:tcPr>
          <w:p w14:paraId="395DAC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项目</w:t>
            </w:r>
          </w:p>
        </w:tc>
        <w:tc>
          <w:tcPr>
            <w:tcW w:w="657" w:type="dxa"/>
            <w:tcBorders>
              <w:tl2br w:val="nil"/>
              <w:tr2bl w:val="nil"/>
            </w:tcBorders>
            <w:noWrap w:val="0"/>
            <w:vAlign w:val="center"/>
          </w:tcPr>
          <w:p w14:paraId="3F0FD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总氮</w:t>
            </w:r>
          </w:p>
        </w:tc>
        <w:tc>
          <w:tcPr>
            <w:tcW w:w="855" w:type="dxa"/>
            <w:tcBorders>
              <w:tl2br w:val="nil"/>
              <w:tr2bl w:val="nil"/>
            </w:tcBorders>
            <w:noWrap w:val="0"/>
            <w:vAlign w:val="center"/>
          </w:tcPr>
          <w:p w14:paraId="3BC53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总磷</w:t>
            </w:r>
          </w:p>
        </w:tc>
        <w:tc>
          <w:tcPr>
            <w:tcW w:w="870" w:type="dxa"/>
            <w:tcBorders>
              <w:tl2br w:val="nil"/>
              <w:tr2bl w:val="nil"/>
            </w:tcBorders>
            <w:noWrap w:val="0"/>
            <w:vAlign w:val="center"/>
          </w:tcPr>
          <w:p w14:paraId="1F6AE1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石油类</w:t>
            </w:r>
          </w:p>
        </w:tc>
        <w:tc>
          <w:tcPr>
            <w:tcW w:w="1905" w:type="dxa"/>
            <w:gridSpan w:val="2"/>
            <w:tcBorders>
              <w:tl2br w:val="nil"/>
              <w:tr2bl w:val="nil"/>
            </w:tcBorders>
            <w:noWrap w:val="0"/>
            <w:vAlign w:val="center"/>
          </w:tcPr>
          <w:p w14:paraId="721042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阴离子表面活性剂</w:t>
            </w:r>
          </w:p>
        </w:tc>
        <w:tc>
          <w:tcPr>
            <w:tcW w:w="1320" w:type="dxa"/>
            <w:tcBorders>
              <w:tl2br w:val="nil"/>
              <w:tr2bl w:val="nil"/>
            </w:tcBorders>
            <w:noWrap w:val="0"/>
            <w:vAlign w:val="center"/>
          </w:tcPr>
          <w:p w14:paraId="2D907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粪大肠菌群</w:t>
            </w:r>
          </w:p>
        </w:tc>
        <w:tc>
          <w:tcPr>
            <w:tcW w:w="1786" w:type="dxa"/>
            <w:vMerge w:val="continue"/>
            <w:tcBorders>
              <w:tl2br w:val="nil"/>
              <w:tr2bl w:val="nil"/>
            </w:tcBorders>
            <w:noWrap w:val="0"/>
            <w:vAlign w:val="center"/>
          </w:tcPr>
          <w:p w14:paraId="6E114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p>
        </w:tc>
      </w:tr>
      <w:tr w14:paraId="55B0D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83" w:type="dxa"/>
            <w:tcBorders>
              <w:tl2br w:val="nil"/>
              <w:tr2bl w:val="nil"/>
            </w:tcBorders>
            <w:noWrap w:val="0"/>
            <w:vAlign w:val="center"/>
          </w:tcPr>
          <w:p w14:paraId="23708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标准限值</w:t>
            </w:r>
          </w:p>
        </w:tc>
        <w:tc>
          <w:tcPr>
            <w:tcW w:w="657" w:type="dxa"/>
            <w:tcBorders>
              <w:tl2br w:val="nil"/>
              <w:tr2bl w:val="nil"/>
            </w:tcBorders>
            <w:noWrap w:val="0"/>
            <w:vAlign w:val="center"/>
          </w:tcPr>
          <w:p w14:paraId="7F5B02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1</w:t>
            </w:r>
          </w:p>
        </w:tc>
        <w:tc>
          <w:tcPr>
            <w:tcW w:w="855" w:type="dxa"/>
            <w:tcBorders>
              <w:tl2br w:val="nil"/>
              <w:tr2bl w:val="nil"/>
            </w:tcBorders>
            <w:noWrap w:val="0"/>
            <w:vAlign w:val="center"/>
          </w:tcPr>
          <w:p w14:paraId="758BB6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0.2</w:t>
            </w:r>
          </w:p>
        </w:tc>
        <w:tc>
          <w:tcPr>
            <w:tcW w:w="870" w:type="dxa"/>
            <w:tcBorders>
              <w:tl2br w:val="nil"/>
              <w:tr2bl w:val="nil"/>
            </w:tcBorders>
            <w:noWrap w:val="0"/>
            <w:vAlign w:val="center"/>
          </w:tcPr>
          <w:p w14:paraId="07756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0.05</w:t>
            </w:r>
          </w:p>
        </w:tc>
        <w:tc>
          <w:tcPr>
            <w:tcW w:w="1905" w:type="dxa"/>
            <w:gridSpan w:val="2"/>
            <w:tcBorders>
              <w:tl2br w:val="nil"/>
              <w:tr2bl w:val="nil"/>
            </w:tcBorders>
            <w:noWrap w:val="0"/>
            <w:vAlign w:val="center"/>
          </w:tcPr>
          <w:p w14:paraId="196AE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0.2</w:t>
            </w:r>
          </w:p>
        </w:tc>
        <w:tc>
          <w:tcPr>
            <w:tcW w:w="1320" w:type="dxa"/>
            <w:tcBorders>
              <w:tl2br w:val="nil"/>
              <w:tr2bl w:val="nil"/>
            </w:tcBorders>
            <w:noWrap w:val="0"/>
            <w:vAlign w:val="center"/>
          </w:tcPr>
          <w:p w14:paraId="0FD82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bidi="ar-SA"/>
              </w:rPr>
              <w:t>10000</w:t>
            </w:r>
          </w:p>
        </w:tc>
        <w:tc>
          <w:tcPr>
            <w:tcW w:w="1786" w:type="dxa"/>
            <w:vMerge w:val="continue"/>
            <w:tcBorders>
              <w:tl2br w:val="nil"/>
              <w:tr2bl w:val="nil"/>
            </w:tcBorders>
            <w:noWrap w:val="0"/>
            <w:vAlign w:val="center"/>
          </w:tcPr>
          <w:p w14:paraId="36FAC8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bidi="ar-SA"/>
              </w:rPr>
            </w:pPr>
          </w:p>
        </w:tc>
      </w:tr>
    </w:tbl>
    <w:p w14:paraId="499FB074">
      <w:pPr>
        <w:pStyle w:val="5"/>
        <w:numPr>
          <w:ilvl w:val="0"/>
          <w:numId w:val="0"/>
        </w:numPr>
        <w:bidi w:val="0"/>
        <w:ind w:left="0" w:leftChars="0" w:firstLine="0" w:firstLineChars="0"/>
        <w:rPr>
          <w:rFonts w:hint="default"/>
          <w:highlight w:val="none"/>
          <w:lang w:val="en-US" w:eastAsia="zh-CN"/>
        </w:rPr>
      </w:pPr>
      <w:bookmarkStart w:id="76" w:name="_Toc12601"/>
      <w:r>
        <w:rPr>
          <w:rFonts w:hint="eastAsia"/>
          <w:highlight w:val="none"/>
          <w:lang w:val="en-US" w:eastAsia="zh-CN"/>
        </w:rPr>
        <w:t>4.2 水域纳污能力及限值排污总量</w:t>
      </w:r>
      <w:bookmarkEnd w:id="76"/>
    </w:p>
    <w:p w14:paraId="52CD1FEE">
      <w:pPr>
        <w:pStyle w:val="6"/>
        <w:bidi w:val="0"/>
        <w:rPr>
          <w:rFonts w:hint="default"/>
          <w:highlight w:val="none"/>
          <w:lang w:val="en-US"/>
        </w:rPr>
      </w:pPr>
      <w:r>
        <w:rPr>
          <w:rFonts w:hint="default"/>
          <w:highlight w:val="none"/>
          <w:lang w:val="en-US" w:eastAsia="zh-CN"/>
        </w:rPr>
        <w:t>4.2.1</w:t>
      </w:r>
      <w:r>
        <w:rPr>
          <w:rFonts w:hint="eastAsia"/>
          <w:highlight w:val="none"/>
          <w:lang w:val="en-US" w:eastAsia="zh-CN"/>
        </w:rPr>
        <w:t xml:space="preserve"> 水域纳污能力计算</w:t>
      </w:r>
    </w:p>
    <w:p w14:paraId="6354AAE1">
      <w:pPr>
        <w:keepNext w:val="0"/>
        <w:keepLines w:val="0"/>
        <w:pageBreakBefore w:val="0"/>
        <w:widowControl w:val="0"/>
        <w:kinsoku/>
        <w:wordWrap/>
        <w:overflowPunct/>
        <w:topLinePunct w:val="0"/>
        <w:autoSpaceDE/>
        <w:autoSpaceDN/>
        <w:bidi w:val="0"/>
        <w:adjustRightInd w:val="0"/>
        <w:snapToGrid w:val="0"/>
        <w:ind w:left="0"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根据《入河排污口管理技术导则》（SL532-2011）中5.3.6条“水域纳污能力应采纳各级水行政主管部门或流域管理机构核定的数据，未核定纳污能力的水域，应按《水域纳污能力计算规范》（GB/T25173-2010）的规定和水功能区管理要求核算纳污能力”。</w:t>
      </w:r>
    </w:p>
    <w:p w14:paraId="16CD542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val="0"/>
          <w:bCs w:val="0"/>
          <w:color w:val="000000"/>
          <w:sz w:val="24"/>
          <w:szCs w:val="24"/>
          <w:highlight w:val="none"/>
          <w:lang w:val="en-US" w:eastAsia="zh-CN" w:bidi="ar-SA"/>
        </w:rPr>
        <w:t>（1）河道基本情况</w:t>
      </w:r>
    </w:p>
    <w:p w14:paraId="1E2CC36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val="0"/>
          <w:bCs w:val="0"/>
          <w:color w:val="000000"/>
          <w:sz w:val="24"/>
          <w:szCs w:val="24"/>
          <w:highlight w:val="none"/>
          <w:lang w:val="en-US" w:eastAsia="zh-CN" w:bidi="ar-SA"/>
        </w:rPr>
        <w:t>本入河排污口纳污水体为龙荫港，根据《南岳区城镇污水收集处理及配套设施建设项目（厂区部分）环境影响报告表》（湖南三方环境科技有限公司，2023年2月）中的地表水环境影响专项评价内容，纳污水体龙荫港枯水期平均流速u为0.14m/s、平均水深h为0.2m、平均河宽14m、平均流量为1.03m</w:t>
      </w:r>
      <w:r>
        <w:rPr>
          <w:rFonts w:hint="eastAsia" w:ascii="Times New Roman" w:hAnsi="Times New Roman" w:eastAsia="宋体" w:cs="Times New Roman"/>
          <w:b w:val="0"/>
          <w:bCs w:val="0"/>
          <w:color w:val="000000"/>
          <w:sz w:val="24"/>
          <w:szCs w:val="24"/>
          <w:highlight w:val="none"/>
          <w:vertAlign w:val="superscript"/>
          <w:lang w:val="en-US" w:eastAsia="zh-CN" w:bidi="ar-SA"/>
        </w:rPr>
        <w:t>3</w:t>
      </w:r>
      <w:r>
        <w:rPr>
          <w:rFonts w:hint="eastAsia" w:ascii="Times New Roman" w:hAnsi="Times New Roman" w:eastAsia="宋体" w:cs="Times New Roman"/>
          <w:b w:val="0"/>
          <w:bCs w:val="0"/>
          <w:color w:val="000000"/>
          <w:sz w:val="24"/>
          <w:szCs w:val="24"/>
          <w:highlight w:val="none"/>
          <w:lang w:val="en-US" w:eastAsia="zh-CN" w:bidi="ar-SA"/>
        </w:rPr>
        <w:t>/s；丰水期平均流速u为0.54m/s、平均水深h为1.5m、平均流量为10.1m</w:t>
      </w:r>
      <w:r>
        <w:rPr>
          <w:rFonts w:hint="eastAsia" w:ascii="Times New Roman" w:hAnsi="Times New Roman" w:eastAsia="宋体" w:cs="Times New Roman"/>
          <w:b w:val="0"/>
          <w:bCs w:val="0"/>
          <w:color w:val="000000"/>
          <w:sz w:val="24"/>
          <w:szCs w:val="24"/>
          <w:highlight w:val="none"/>
          <w:vertAlign w:val="superscript"/>
          <w:lang w:val="en-US" w:eastAsia="zh-CN" w:bidi="ar-SA"/>
        </w:rPr>
        <w:t>3</w:t>
      </w:r>
      <w:r>
        <w:rPr>
          <w:rFonts w:hint="eastAsia" w:ascii="Times New Roman" w:hAnsi="Times New Roman" w:eastAsia="宋体" w:cs="Times New Roman"/>
          <w:b w:val="0"/>
          <w:bCs w:val="0"/>
          <w:color w:val="000000"/>
          <w:sz w:val="24"/>
          <w:szCs w:val="24"/>
          <w:highlight w:val="none"/>
          <w:lang w:val="en-US" w:eastAsia="zh-CN" w:bidi="ar-SA"/>
        </w:rPr>
        <w:t>/s。</w:t>
      </w:r>
    </w:p>
    <w:p w14:paraId="1E79E15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val="0"/>
          <w:bCs w:val="0"/>
          <w:color w:val="000000"/>
          <w:sz w:val="24"/>
          <w:szCs w:val="24"/>
          <w:highlight w:val="none"/>
          <w:lang w:val="en-US" w:eastAsia="zh-CN" w:bidi="ar-SA"/>
        </w:rPr>
        <w:t>（2）计算模型的确定</w:t>
      </w:r>
    </w:p>
    <w:p w14:paraId="7A7555BD">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根据《水域纳污能力计算规范》（GB/T25173-2010）中相关规定，计算河流水域纳污能力。按计算河段的流量Q将计算河段划分为以下三种类型：</w:t>
      </w:r>
    </w:p>
    <w:p w14:paraId="47546467">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——Q≥150m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/s的为大型河段；</w:t>
      </w:r>
    </w:p>
    <w:p w14:paraId="1392E687">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——15m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/s＜Q＜150m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/s的为中型河段；</w:t>
      </w:r>
    </w:p>
    <w:p w14:paraId="3E2025F9">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——Q≤15m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/s的为小型河段。</w:t>
      </w:r>
    </w:p>
    <w:p w14:paraId="36E99F95">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b w:val="0"/>
          <w:bCs w:val="0"/>
          <w:color w:val="000000"/>
          <w:sz w:val="24"/>
          <w:szCs w:val="24"/>
          <w:highlight w:val="none"/>
          <w:lang w:val="en-US" w:eastAsia="zh-CN" w:bidi="ar-SA"/>
        </w:rPr>
        <w:t>本入河排污口</w:t>
      </w:r>
      <w:r>
        <w:rPr>
          <w:rFonts w:hint="eastAsia" w:ascii="Times New Roman" w:hAnsi="Times New Roman" w:eastAsia="宋体" w:cs="Times New Roman"/>
          <w:color w:val="000000"/>
          <w:kern w:val="0"/>
          <w:sz w:val="24"/>
          <w:szCs w:val="24"/>
          <w:highlight w:val="none"/>
          <w:lang w:val="en-US" w:eastAsia="zh-CN" w:bidi="ar"/>
        </w:rPr>
        <w:t>纳污水体为龙荫港，枯水期平均流量为</w:t>
      </w:r>
      <w:r>
        <w:rPr>
          <w:rFonts w:hint="eastAsia" w:ascii="Times New Roman" w:hAnsi="Times New Roman" w:eastAsia="宋体" w:cs="Times New Roman"/>
          <w:b w:val="0"/>
          <w:bCs w:val="0"/>
          <w:color w:val="000000"/>
          <w:sz w:val="24"/>
          <w:szCs w:val="24"/>
          <w:highlight w:val="none"/>
          <w:lang w:val="en-US" w:eastAsia="zh-CN" w:bidi="ar-SA"/>
        </w:rPr>
        <w:t>1.03m</w:t>
      </w:r>
      <w:r>
        <w:rPr>
          <w:rFonts w:hint="eastAsia" w:ascii="Times New Roman" w:hAnsi="Times New Roman" w:eastAsia="宋体" w:cs="Times New Roman"/>
          <w:b w:val="0"/>
          <w:bCs w:val="0"/>
          <w:color w:val="000000"/>
          <w:sz w:val="24"/>
          <w:szCs w:val="24"/>
          <w:highlight w:val="none"/>
          <w:vertAlign w:val="superscript"/>
          <w:lang w:val="en-US" w:eastAsia="zh-CN" w:bidi="ar-SA"/>
        </w:rPr>
        <w:t>3</w:t>
      </w:r>
      <w:r>
        <w:rPr>
          <w:rFonts w:hint="eastAsia" w:ascii="Times New Roman" w:hAnsi="Times New Roman" w:eastAsia="宋体" w:cs="Times New Roman"/>
          <w:b w:val="0"/>
          <w:bCs w:val="0"/>
          <w:color w:val="000000"/>
          <w:sz w:val="24"/>
          <w:szCs w:val="24"/>
          <w:highlight w:val="none"/>
          <w:lang w:val="en-US" w:eastAsia="zh-CN" w:bidi="ar-SA"/>
        </w:rPr>
        <w:t>/s，</w:t>
      </w:r>
      <w:r>
        <w:rPr>
          <w:rFonts w:hint="eastAsia" w:ascii="Times New Roman" w:hAnsi="Times New Roman" w:eastAsia="宋体" w:cs="Times New Roman"/>
          <w:color w:val="000000"/>
          <w:kern w:val="0"/>
          <w:sz w:val="24"/>
          <w:szCs w:val="24"/>
          <w:highlight w:val="none"/>
          <w:lang w:val="en-US" w:eastAsia="zh-CN" w:bidi="ar"/>
        </w:rPr>
        <w:t>丰水期平均流量为</w:t>
      </w:r>
      <w:r>
        <w:rPr>
          <w:rFonts w:hint="eastAsia" w:ascii="Times New Roman" w:hAnsi="Times New Roman" w:eastAsia="宋体" w:cs="Times New Roman"/>
          <w:b w:val="0"/>
          <w:bCs w:val="0"/>
          <w:color w:val="000000"/>
          <w:sz w:val="24"/>
          <w:szCs w:val="24"/>
          <w:highlight w:val="none"/>
          <w:lang w:val="en-US" w:eastAsia="zh-CN" w:bidi="ar-SA"/>
        </w:rPr>
        <w:t>10.1m</w:t>
      </w:r>
      <w:r>
        <w:rPr>
          <w:rFonts w:hint="eastAsia" w:ascii="Times New Roman" w:hAnsi="Times New Roman" w:eastAsia="宋体" w:cs="Times New Roman"/>
          <w:b w:val="0"/>
          <w:bCs w:val="0"/>
          <w:color w:val="000000"/>
          <w:sz w:val="24"/>
          <w:szCs w:val="24"/>
          <w:highlight w:val="none"/>
          <w:vertAlign w:val="superscript"/>
          <w:lang w:val="en-US" w:eastAsia="zh-CN" w:bidi="ar-SA"/>
        </w:rPr>
        <w:t>3</w:t>
      </w:r>
      <w:r>
        <w:rPr>
          <w:rFonts w:hint="eastAsia" w:ascii="Times New Roman" w:hAnsi="Times New Roman" w:eastAsia="宋体" w:cs="Times New Roman"/>
          <w:b w:val="0"/>
          <w:bCs w:val="0"/>
          <w:color w:val="000000"/>
          <w:sz w:val="24"/>
          <w:szCs w:val="24"/>
          <w:highlight w:val="none"/>
          <w:lang w:val="en-US" w:eastAsia="zh-CN" w:bidi="ar-SA"/>
        </w:rPr>
        <w:t>/s</w:t>
      </w:r>
      <w:r>
        <w:rPr>
          <w:rFonts w:hint="eastAsia" w:ascii="Times New Roman" w:hAnsi="Times New Roman" w:eastAsia="宋体" w:cs="Times New Roman"/>
          <w:color w:val="000000"/>
          <w:kern w:val="0"/>
          <w:sz w:val="24"/>
          <w:szCs w:val="24"/>
          <w:highlight w:val="none"/>
          <w:lang w:val="en-US" w:eastAsia="zh-CN" w:bidi="ar"/>
        </w:rPr>
        <w:t>；属于Q</w:t>
      </w:r>
      <w:r>
        <w:rPr>
          <w:rFonts w:hint="default" w:ascii="Times New Roman" w:hAnsi="Times New Roman" w:eastAsia="宋体" w:cs="Times New Roman"/>
          <w:color w:val="000000"/>
          <w:kern w:val="0"/>
          <w:sz w:val="24"/>
          <w:szCs w:val="24"/>
          <w:highlight w:val="none"/>
          <w:lang w:val="en-US" w:eastAsia="zh-CN" w:bidi="ar"/>
        </w:rPr>
        <w:t>≤15m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Times New Roman" w:hAnsi="Times New Roman" w:eastAsia="宋体" w:cs="Times New Roman"/>
          <w:color w:val="000000"/>
          <w:kern w:val="0"/>
          <w:sz w:val="24"/>
          <w:szCs w:val="24"/>
          <w:highlight w:val="none"/>
          <w:lang w:val="en-US" w:eastAsia="zh-CN" w:bidi="ar"/>
        </w:rPr>
        <w:t>的小型河段。根据</w:t>
      </w:r>
      <w:r>
        <w:rPr>
          <w:rFonts w:hint="default" w:ascii="Times New Roman" w:hAnsi="Times New Roman" w:eastAsia="宋体" w:cs="Times New Roman"/>
          <w:color w:val="000000"/>
          <w:kern w:val="0"/>
          <w:sz w:val="24"/>
          <w:szCs w:val="24"/>
          <w:highlight w:val="none"/>
          <w:lang w:val="en-US" w:eastAsia="zh-CN" w:bidi="ar"/>
        </w:rPr>
        <w:t>《水域纳污能力计算规范》（GB/T25173-2010）</w:t>
      </w:r>
      <w:r>
        <w:rPr>
          <w:rFonts w:hint="eastAsia" w:ascii="Times New Roman" w:hAnsi="Times New Roman" w:eastAsia="宋体" w:cs="Times New Roman"/>
          <w:color w:val="000000"/>
          <w:kern w:val="0"/>
          <w:sz w:val="24"/>
          <w:szCs w:val="24"/>
          <w:highlight w:val="none"/>
          <w:lang w:val="en-US" w:eastAsia="zh-CN" w:bidi="ar"/>
        </w:rPr>
        <w:t>中河流一维模型选定的要求“污染物在河段横断面上均匀混合，可采用河流一维模型计算水域纳污能力。主要适用于Q</w:t>
      </w:r>
      <w:r>
        <w:rPr>
          <w:rFonts w:hint="default" w:ascii="Times New Roman" w:hAnsi="Times New Roman" w:eastAsia="宋体" w:cs="Times New Roman"/>
          <w:color w:val="000000"/>
          <w:kern w:val="0"/>
          <w:sz w:val="24"/>
          <w:szCs w:val="24"/>
          <w:highlight w:val="none"/>
          <w:lang w:val="en-US" w:eastAsia="zh-CN" w:bidi="ar"/>
        </w:rPr>
        <w:t>＜150m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Times New Roman" w:hAnsi="Times New Roman" w:eastAsia="宋体" w:cs="Times New Roman"/>
          <w:color w:val="000000"/>
          <w:kern w:val="0"/>
          <w:sz w:val="24"/>
          <w:szCs w:val="24"/>
          <w:highlight w:val="none"/>
          <w:lang w:val="en-US" w:eastAsia="zh-CN" w:bidi="ar"/>
        </w:rPr>
        <w:t>的中小型河段”。因此，本入河排污口论证</w:t>
      </w:r>
      <w:r>
        <w:rPr>
          <w:rFonts w:hint="eastAsia" w:cs="Times New Roman"/>
          <w:color w:val="000000"/>
          <w:kern w:val="0"/>
          <w:sz w:val="24"/>
          <w:szCs w:val="24"/>
          <w:highlight w:val="none"/>
          <w:lang w:val="en-US" w:eastAsia="zh-CN" w:bidi="ar"/>
        </w:rPr>
        <w:t>范围内</w:t>
      </w:r>
      <w:r>
        <w:rPr>
          <w:rFonts w:hint="eastAsia" w:ascii="Times New Roman" w:hAnsi="Times New Roman" w:eastAsia="宋体" w:cs="Times New Roman"/>
          <w:b w:val="0"/>
          <w:bCs w:val="0"/>
          <w:color w:val="000000"/>
          <w:sz w:val="24"/>
          <w:szCs w:val="24"/>
          <w:highlight w:val="none"/>
          <w:lang w:val="en-US" w:eastAsia="zh-CN" w:bidi="ar-SA"/>
        </w:rPr>
        <w:t>龙荫港</w:t>
      </w:r>
      <w:r>
        <w:rPr>
          <w:rFonts w:hint="eastAsia" w:ascii="Times New Roman" w:hAnsi="Times New Roman" w:eastAsia="宋体" w:cs="Times New Roman"/>
          <w:color w:val="000000"/>
          <w:kern w:val="0"/>
          <w:sz w:val="24"/>
          <w:szCs w:val="24"/>
          <w:highlight w:val="none"/>
          <w:lang w:val="en-US" w:eastAsia="zh-CN" w:bidi="ar"/>
        </w:rPr>
        <w:t>纳污能力计算采用河流一维模型。</w:t>
      </w:r>
    </w:p>
    <w:p w14:paraId="10F7BB6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val="0"/>
          <w:bCs w:val="0"/>
          <w:color w:val="000000"/>
          <w:sz w:val="24"/>
          <w:szCs w:val="24"/>
          <w:highlight w:val="none"/>
          <w:lang w:val="en-US" w:eastAsia="zh-CN" w:bidi="ar-SA"/>
        </w:rPr>
        <w:t>具体计算公式如下：</w:t>
      </w:r>
    </w:p>
    <w:p w14:paraId="37CEDC90">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①</w:t>
      </w:r>
      <w:r>
        <w:rPr>
          <w:rFonts w:hint="default" w:ascii="Times New Roman" w:hAnsi="Times New Roman" w:eastAsia="宋体" w:cs="Times New Roman"/>
          <w:color w:val="000000"/>
          <w:kern w:val="0"/>
          <w:sz w:val="24"/>
          <w:szCs w:val="24"/>
          <w:highlight w:val="none"/>
          <w:lang w:val="en-US" w:eastAsia="zh-CN" w:bidi="ar"/>
        </w:rPr>
        <w:t>河段的污染物浓度计算公式为</w:t>
      </w:r>
      <w:r>
        <w:rPr>
          <w:rFonts w:hint="eastAsia" w:ascii="宋体" w:hAnsi="宋体" w:eastAsia="宋体" w:cs="宋体"/>
          <w:color w:val="000000"/>
          <w:kern w:val="0"/>
          <w:sz w:val="24"/>
          <w:szCs w:val="24"/>
          <w:highlight w:val="none"/>
          <w:lang w:val="en-US" w:eastAsia="zh-CN" w:bidi="ar"/>
        </w:rPr>
        <w:t>:</w:t>
      </w:r>
    </w:p>
    <w:p w14:paraId="33CF08DB">
      <w:pPr>
        <w:bidi w:val="0"/>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position w:val="-24"/>
          <w:sz w:val="24"/>
          <w:szCs w:val="24"/>
          <w:highlight w:val="none"/>
          <w:lang w:val="en-US" w:eastAsia="zh-CN" w:bidi="ar-SA"/>
        </w:rPr>
        <w:object>
          <v:shape id="_x0000_i1025" o:spt="75" type="#_x0000_t75" style="height:43.4pt;width:137.8pt;" o:ole="t" filled="f" o:preferrelative="t" stroked="f" coordsize="21600,21600">
            <v:path/>
            <v:fill on="f" focussize="0,0"/>
            <v:stroke on="f"/>
            <v:imagedata r:id="rId31" o:title=""/>
            <o:lock v:ext="edit" aspectratio="t"/>
            <w10:wrap type="none"/>
            <w10:anchorlock/>
          </v:shape>
          <o:OLEObject Type="Embed" ProgID="Equation.KSEE3" ShapeID="_x0000_i1025" DrawAspect="Content" ObjectID="_1468075725" r:id="rId30">
            <o:LockedField>false</o:LockedField>
          </o:OLEObject>
        </w:object>
      </w:r>
    </w:p>
    <w:p w14:paraId="1ECD0FB0">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式中：</w:t>
      </w:r>
    </w:p>
    <w:p w14:paraId="70A37B0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default" w:ascii="Times New Roman" w:hAnsi="Times New Roman" w:eastAsia="宋体" w:cs="Times New Roman"/>
          <w:color w:val="000000"/>
          <w:kern w:val="0"/>
          <w:sz w:val="24"/>
          <w:szCs w:val="24"/>
          <w:highlight w:val="none"/>
          <w:vertAlign w:val="subscript"/>
          <w:lang w:val="en-US" w:eastAsia="zh-CN" w:bidi="ar"/>
        </w:rPr>
        <w:t>X</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流经x距离后的污染物浓度</w:t>
      </w:r>
      <w:r>
        <w:rPr>
          <w:rFonts w:hint="default" w:ascii="Times New Roman" w:hAnsi="Times New Roman" w:eastAsia="宋体" w:cs="Times New Roman"/>
          <w:color w:val="000000"/>
          <w:kern w:val="0"/>
          <w:sz w:val="24"/>
          <w:szCs w:val="24"/>
          <w:highlight w:val="none"/>
          <w:lang w:val="en-US" w:eastAsia="zh-CN" w:bidi="ar"/>
        </w:rPr>
        <w:t>，mg/L；</w:t>
      </w:r>
    </w:p>
    <w:p w14:paraId="65B6E38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x</w:t>
      </w:r>
      <w:r>
        <w:rPr>
          <w:rFonts w:hint="default" w:ascii="Times New Roman" w:hAnsi="Times New Roman" w:eastAsia="宋体" w:cs="Times New Roman"/>
          <w:color w:val="000000"/>
          <w:kern w:val="0"/>
          <w:sz w:val="24"/>
          <w:szCs w:val="24"/>
          <w:highlight w:val="none"/>
          <w:lang w:val="en-US" w:eastAsia="zh-CN" w:bidi="ar"/>
        </w:rPr>
        <w:t>——沿河段的纵向距离，m；</w:t>
      </w:r>
    </w:p>
    <w:p w14:paraId="2F0DA51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u</w:t>
      </w:r>
      <w:r>
        <w:rPr>
          <w:rFonts w:hint="default" w:ascii="Times New Roman" w:hAnsi="Times New Roman" w:eastAsia="宋体" w:cs="Times New Roman"/>
          <w:color w:val="000000"/>
          <w:kern w:val="0"/>
          <w:sz w:val="24"/>
          <w:szCs w:val="24"/>
          <w:highlight w:val="none"/>
          <w:lang w:val="en-US" w:eastAsia="zh-CN" w:bidi="ar"/>
        </w:rPr>
        <w:t>——设计流量下河道断面的平均流速，m/s；</w:t>
      </w:r>
    </w:p>
    <w:p w14:paraId="13C0DD3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K——污染物综合衰减系数，1/s。</w:t>
      </w:r>
    </w:p>
    <w:p w14:paraId="741424C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C</w:t>
      </w:r>
      <w:r>
        <w:rPr>
          <w:rFonts w:hint="default" w:ascii="Times New Roman" w:hAnsi="Times New Roman" w:eastAsia="宋体" w:cs="Times New Roman"/>
          <w:color w:val="000000"/>
          <w:kern w:val="0"/>
          <w:sz w:val="24"/>
          <w:szCs w:val="24"/>
          <w:highlight w:val="none"/>
          <w:vertAlign w:val="subscript"/>
          <w:lang w:val="en-US" w:eastAsia="zh-CN" w:bidi="ar"/>
        </w:rPr>
        <w:t>0</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初始断面的污染物浓度</w:t>
      </w:r>
      <w:r>
        <w:rPr>
          <w:rFonts w:hint="default" w:ascii="Times New Roman" w:hAnsi="Times New Roman" w:eastAsia="宋体" w:cs="Times New Roman"/>
          <w:color w:val="000000"/>
          <w:kern w:val="0"/>
          <w:sz w:val="24"/>
          <w:szCs w:val="24"/>
          <w:highlight w:val="none"/>
          <w:lang w:val="en-US" w:eastAsia="zh-CN" w:bidi="ar"/>
        </w:rPr>
        <w:t>，mg/L</w:t>
      </w:r>
      <w:r>
        <w:rPr>
          <w:rFonts w:hint="eastAsia" w:ascii="Times New Roman" w:hAnsi="Times New Roman" w:eastAsia="宋体" w:cs="Times New Roman"/>
          <w:color w:val="000000"/>
          <w:kern w:val="0"/>
          <w:sz w:val="24"/>
          <w:szCs w:val="24"/>
          <w:highlight w:val="none"/>
          <w:lang w:val="en-US" w:eastAsia="zh-CN" w:bidi="ar"/>
        </w:rPr>
        <w:t>。</w:t>
      </w:r>
    </w:p>
    <w:p w14:paraId="0F64DC0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w:t>
      </w:r>
      <w:r>
        <w:rPr>
          <w:rFonts w:hint="eastAsia" w:ascii="Times New Roman" w:hAnsi="Times New Roman" w:eastAsia="宋体" w:cs="Times New Roman"/>
          <w:sz w:val="24"/>
          <w:szCs w:val="24"/>
          <w:highlight w:val="none"/>
          <w:lang w:val="en-US" w:eastAsia="zh-CN"/>
        </w:rPr>
        <w:t>河段的水域纳污能力计算公式为：</w:t>
      </w:r>
    </w:p>
    <w:p w14:paraId="1BC51004">
      <w:pPr>
        <w:keepNext w:val="0"/>
        <w:keepLines w:val="0"/>
        <w:widowControl/>
        <w:suppressLineNumbers w:val="0"/>
        <w:jc w:val="center"/>
        <w:rPr>
          <w:rFonts w:hint="default" w:eastAsia="宋体"/>
          <w:highlight w:val="none"/>
          <w:lang w:val="en-US" w:eastAsia="zh-CN"/>
        </w:rPr>
      </w:pPr>
      <w:r>
        <w:rPr>
          <w:rFonts w:hint="default" w:eastAsia="宋体"/>
          <w:position w:val="-10"/>
          <w:highlight w:val="none"/>
          <w:lang w:val="en-US" w:eastAsia="zh-CN"/>
        </w:rPr>
        <w:object>
          <v:shape id="_x0000_i1026" o:spt="75" type="#_x0000_t75" style="height:22.05pt;width:162.95pt;" o:ole="t" filled="f" o:preferrelative="t" stroked="f" coordsize="21600,21600">
            <v:path/>
            <v:fill on="f" focussize="0,0"/>
            <v:stroke on="f"/>
            <v:imagedata r:id="rId33" o:title=""/>
            <o:lock v:ext="edit" aspectratio="t"/>
            <w10:wrap type="none"/>
            <w10:anchorlock/>
          </v:shape>
          <o:OLEObject Type="Embed" ProgID="Equation.KSEE3" ShapeID="_x0000_i1026" DrawAspect="Content" ObjectID="_1468075726" r:id="rId32">
            <o:LockedField>false</o:LockedField>
          </o:OLEObject>
        </w:object>
      </w:r>
    </w:p>
    <w:p w14:paraId="1A65D87A">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式中：</w:t>
      </w:r>
    </w:p>
    <w:p w14:paraId="1EC45FF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lang w:val="en-US" w:eastAsia="zh-CN" w:bidi="ar"/>
        </w:rPr>
        <w:t>水域纳污能力，</w:t>
      </w:r>
      <w:r>
        <w:rPr>
          <w:rFonts w:hint="default" w:ascii="Times New Roman" w:hAnsi="Times New Roman" w:eastAsia="宋体" w:cs="Times New Roman"/>
          <w:color w:val="000000"/>
          <w:kern w:val="0"/>
          <w:sz w:val="24"/>
          <w:szCs w:val="24"/>
          <w:highlight w:val="none"/>
          <w:lang w:val="en-US" w:eastAsia="zh-CN" w:bidi="ar"/>
        </w:rPr>
        <w:t>g/s</w:t>
      </w:r>
      <w:r>
        <w:rPr>
          <w:rFonts w:hint="eastAsia" w:ascii="Times New Roman" w:hAnsi="Times New Roman" w:eastAsia="宋体" w:cs="Times New Roman"/>
          <w:color w:val="000000"/>
          <w:kern w:val="0"/>
          <w:sz w:val="24"/>
          <w:szCs w:val="24"/>
          <w:highlight w:val="none"/>
          <w:lang w:val="en-US" w:eastAsia="zh-CN" w:bidi="ar"/>
        </w:rPr>
        <w:t>；</w:t>
      </w:r>
    </w:p>
    <w:p w14:paraId="623B087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Times New Roman" w:hAnsi="Times New Roman" w:eastAsia="宋体" w:cs="Times New Roman"/>
          <w:color w:val="000000"/>
          <w:kern w:val="0"/>
          <w:sz w:val="24"/>
          <w:szCs w:val="24"/>
          <w:highlight w:val="none"/>
          <w:lang w:val="en-US" w:eastAsia="zh-CN" w:bidi="ar"/>
        </w:rPr>
        <w:t>s</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水质目标浓度值，</w:t>
      </w:r>
      <w:r>
        <w:rPr>
          <w:rFonts w:hint="default" w:ascii="Times New Roman" w:hAnsi="Times New Roman" w:eastAsia="宋体" w:cs="Times New Roman"/>
          <w:color w:val="000000"/>
          <w:kern w:val="0"/>
          <w:sz w:val="24"/>
          <w:szCs w:val="24"/>
          <w:highlight w:val="none"/>
          <w:lang w:val="en-US" w:eastAsia="zh-CN" w:bidi="ar"/>
        </w:rPr>
        <w:t>mg/L</w:t>
      </w:r>
      <w:r>
        <w:rPr>
          <w:rFonts w:hint="eastAsia" w:ascii="Times New Roman" w:hAnsi="Times New Roman" w:eastAsia="宋体" w:cs="Times New Roman"/>
          <w:color w:val="000000"/>
          <w:kern w:val="0"/>
          <w:sz w:val="24"/>
          <w:szCs w:val="24"/>
          <w:highlight w:val="none"/>
          <w:lang w:val="en-US" w:eastAsia="zh-CN" w:bidi="ar"/>
        </w:rPr>
        <w:t>；</w:t>
      </w:r>
    </w:p>
    <w:p w14:paraId="11740E6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C</w:t>
      </w:r>
      <w:r>
        <w:rPr>
          <w:rFonts w:hint="default" w:ascii="Times New Roman" w:hAnsi="Times New Roman" w:eastAsia="宋体" w:cs="Times New Roman"/>
          <w:color w:val="000000"/>
          <w:kern w:val="0"/>
          <w:sz w:val="24"/>
          <w:szCs w:val="24"/>
          <w:highlight w:val="none"/>
          <w:vertAlign w:val="subscript"/>
          <w:lang w:val="en-US" w:eastAsia="zh-CN" w:bidi="ar"/>
        </w:rPr>
        <w:t>X</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流经x距离后的污染物浓度</w:t>
      </w:r>
      <w:r>
        <w:rPr>
          <w:rFonts w:hint="default" w:ascii="Times New Roman" w:hAnsi="Times New Roman" w:eastAsia="宋体" w:cs="Times New Roman"/>
          <w:color w:val="000000"/>
          <w:kern w:val="0"/>
          <w:sz w:val="24"/>
          <w:szCs w:val="24"/>
          <w:highlight w:val="none"/>
          <w:lang w:val="en-US" w:eastAsia="zh-CN" w:bidi="ar"/>
        </w:rPr>
        <w:t>，mg/L；</w:t>
      </w:r>
    </w:p>
    <w:p w14:paraId="6CDF040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Q——</w:t>
      </w:r>
      <w:r>
        <w:rPr>
          <w:rFonts w:hint="eastAsia" w:ascii="Times New Roman" w:hAnsi="Times New Roman" w:eastAsia="宋体" w:cs="Times New Roman"/>
          <w:color w:val="000000"/>
          <w:kern w:val="0"/>
          <w:sz w:val="24"/>
          <w:szCs w:val="24"/>
          <w:highlight w:val="none"/>
          <w:lang w:val="en-US" w:eastAsia="zh-CN" w:bidi="ar"/>
        </w:rPr>
        <w:t>河流流量，</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Times New Roman" w:hAnsi="Times New Roman" w:eastAsia="宋体" w:cs="Times New Roman"/>
          <w:color w:val="000000"/>
          <w:kern w:val="0"/>
          <w:sz w:val="24"/>
          <w:szCs w:val="24"/>
          <w:highlight w:val="none"/>
          <w:lang w:val="en-US" w:eastAsia="zh-CN" w:bidi="ar"/>
        </w:rPr>
        <w:t>；</w:t>
      </w:r>
    </w:p>
    <w:p w14:paraId="64EA3A6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Qp</w:t>
      </w:r>
      <w:r>
        <w:rPr>
          <w:rFonts w:hint="eastAsia" w:ascii="Times New Roman" w:hAnsi="Times New Roman" w:eastAsia="宋体" w:cs="Times New Roman"/>
          <w:color w:val="000000"/>
          <w:kern w:val="0"/>
          <w:sz w:val="24"/>
          <w:szCs w:val="24"/>
          <w:highlight w:val="none"/>
          <w:lang w:val="en-US" w:eastAsia="zh-CN" w:bidi="ar"/>
        </w:rPr>
        <w:t>—污水排放量，</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Times New Roman" w:hAnsi="Times New Roman" w:eastAsia="宋体" w:cs="Times New Roman"/>
          <w:color w:val="000000"/>
          <w:kern w:val="0"/>
          <w:sz w:val="24"/>
          <w:szCs w:val="24"/>
          <w:highlight w:val="none"/>
          <w:lang w:val="en-US" w:eastAsia="zh-CN" w:bidi="ar"/>
        </w:rPr>
        <w:t>。</w:t>
      </w:r>
    </w:p>
    <w:p w14:paraId="584214E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bidi="ar-SA"/>
        </w:rPr>
      </w:pPr>
      <w:r>
        <w:rPr>
          <w:rFonts w:hint="eastAsia" w:ascii="Times New Roman" w:hAnsi="Times New Roman" w:eastAsia="宋体" w:cs="Times New Roman"/>
          <w:b w:val="0"/>
          <w:bCs w:val="0"/>
          <w:color w:val="000000"/>
          <w:sz w:val="24"/>
          <w:szCs w:val="24"/>
          <w:highlight w:val="none"/>
          <w:lang w:val="en-US" w:eastAsia="zh-CN" w:bidi="ar-SA"/>
        </w:rPr>
        <w:t>（2）计算参数的确定</w:t>
      </w:r>
    </w:p>
    <w:p w14:paraId="2DE1A01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①水质目标Cs的确定</w:t>
      </w:r>
    </w:p>
    <w:p w14:paraId="2095888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本入河排污口纳污水体龙荫港暂未划定水功能区，水质目标</w:t>
      </w:r>
      <w:r>
        <w:rPr>
          <w:rFonts w:hint="default" w:ascii="Times New Roman" w:hAnsi="Times New Roman" w:eastAsia="宋体" w:cs="Times New Roman"/>
          <w:color w:val="000000"/>
          <w:kern w:val="0"/>
          <w:sz w:val="24"/>
          <w:szCs w:val="24"/>
          <w:highlight w:val="none"/>
          <w:lang w:val="en-US" w:eastAsia="zh-CN" w:bidi="ar"/>
        </w:rPr>
        <w:t>Cs</w:t>
      </w:r>
      <w:r>
        <w:rPr>
          <w:rFonts w:hint="eastAsia" w:ascii="Times New Roman" w:hAnsi="Times New Roman" w:eastAsia="宋体" w:cs="Times New Roman"/>
          <w:color w:val="000000"/>
          <w:kern w:val="0"/>
          <w:sz w:val="24"/>
          <w:szCs w:val="24"/>
          <w:highlight w:val="none"/>
          <w:lang w:val="en-US" w:eastAsia="zh-CN" w:bidi="ar"/>
        </w:rPr>
        <w:t>参照执行《地表水环境质量标准》（GB3838—2002）III类水质标准执行，其中氨氮标准限值为1mg/L，CODcr标准限值为20mg/L，TP标准限值为0.2mg/L。</w:t>
      </w:r>
    </w:p>
    <w:p w14:paraId="7EF1B58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②设计流速u</w:t>
      </w:r>
    </w:p>
    <w:p w14:paraId="53990DC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设计流速是指对应于设计流量的过水断面的平均流速，用设计流量除以过水断面面积计算。设计流量是指纳污能力计算指定频率的河道月平均流量，根据《水域纳污能力计算规程》（</w:t>
      </w:r>
      <w:r>
        <w:rPr>
          <w:rFonts w:hint="default" w:ascii="Times New Roman" w:hAnsi="Times New Roman" w:eastAsia="宋体" w:cs="Times New Roman"/>
          <w:color w:val="000000"/>
          <w:kern w:val="0"/>
          <w:sz w:val="24"/>
          <w:szCs w:val="24"/>
          <w:highlight w:val="none"/>
          <w:lang w:val="en-US" w:eastAsia="zh-CN" w:bidi="ar"/>
        </w:rPr>
        <w:t>GB/T25173-1010</w:t>
      </w:r>
      <w:r>
        <w:rPr>
          <w:rFonts w:hint="eastAsia" w:ascii="宋体" w:hAnsi="宋体" w:eastAsia="宋体" w:cs="宋体"/>
          <w:color w:val="000000"/>
          <w:kern w:val="0"/>
          <w:sz w:val="24"/>
          <w:szCs w:val="24"/>
          <w:highlight w:val="none"/>
          <w:lang w:val="en-US" w:eastAsia="zh-CN" w:bidi="ar"/>
        </w:rPr>
        <w:t>）规定，河流设计流量一般采用</w:t>
      </w:r>
      <w:r>
        <w:rPr>
          <w:rFonts w:hint="default" w:ascii="Times New Roman" w:hAnsi="Times New Roman" w:eastAsia="宋体" w:cs="Times New Roman"/>
          <w:color w:val="000000"/>
          <w:kern w:val="0"/>
          <w:sz w:val="24"/>
          <w:szCs w:val="24"/>
          <w:highlight w:val="none"/>
          <w:lang w:val="en-US" w:eastAsia="zh-CN" w:bidi="ar"/>
        </w:rPr>
        <w:t>90%</w:t>
      </w:r>
      <w:r>
        <w:rPr>
          <w:rFonts w:hint="eastAsia" w:ascii="宋体" w:hAnsi="宋体" w:eastAsia="宋体" w:cs="宋体"/>
          <w:color w:val="000000"/>
          <w:kern w:val="0"/>
          <w:sz w:val="24"/>
          <w:szCs w:val="24"/>
          <w:highlight w:val="none"/>
          <w:lang w:val="en-US" w:eastAsia="zh-CN" w:bidi="ar"/>
        </w:rPr>
        <w:t>保证率最枯月平均流量或近</w:t>
      </w:r>
      <w:r>
        <w:rPr>
          <w:rFonts w:hint="default" w:ascii="Times New Roman" w:hAnsi="Times New Roman" w:eastAsia="宋体" w:cs="Times New Roman"/>
          <w:color w:val="000000"/>
          <w:kern w:val="0"/>
          <w:sz w:val="24"/>
          <w:szCs w:val="24"/>
          <w:highlight w:val="none"/>
          <w:lang w:val="en-US" w:eastAsia="zh-CN" w:bidi="ar"/>
        </w:rPr>
        <w:t>10</w:t>
      </w:r>
      <w:r>
        <w:rPr>
          <w:rFonts w:hint="eastAsia" w:ascii="宋体" w:hAnsi="宋体" w:eastAsia="宋体" w:cs="宋体"/>
          <w:color w:val="000000"/>
          <w:kern w:val="0"/>
          <w:sz w:val="24"/>
          <w:szCs w:val="24"/>
          <w:highlight w:val="none"/>
          <w:lang w:val="en-US" w:eastAsia="zh-CN" w:bidi="ar"/>
        </w:rPr>
        <w:t>年最枯月平均流量作为设计流量。</w:t>
      </w:r>
    </w:p>
    <w:p w14:paraId="22CDDF3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本次论证报告引用《南岳区城镇污水收集处理及配套设施建设项目（厂区部分）环境影响报告表》（湖南三方环境科技有限公司，2023年2月）中的地表水环境影响专项评价内容，纳污水体</w:t>
      </w:r>
      <w:r>
        <w:rPr>
          <w:rFonts w:hint="eastAsia" w:ascii="Times New Roman" w:hAnsi="Times New Roman" w:eastAsia="宋体" w:cs="Times New Roman"/>
          <w:color w:val="000000"/>
          <w:kern w:val="0"/>
          <w:sz w:val="24"/>
          <w:szCs w:val="24"/>
          <w:highlight w:val="none"/>
          <w:lang w:val="en-US" w:eastAsia="zh-CN" w:bidi="ar"/>
        </w:rPr>
        <w:t>龙荫港</w:t>
      </w:r>
      <w:r>
        <w:rPr>
          <w:rFonts w:hint="default" w:ascii="Times New Roman" w:hAnsi="Times New Roman" w:eastAsia="宋体" w:cs="Times New Roman"/>
          <w:color w:val="000000"/>
          <w:kern w:val="0"/>
          <w:sz w:val="24"/>
          <w:szCs w:val="24"/>
          <w:highlight w:val="none"/>
          <w:lang w:val="en-US" w:eastAsia="zh-CN" w:bidi="ar"/>
        </w:rPr>
        <w:t>枯水期平均流速u为0.14m/s</w:t>
      </w:r>
      <w:r>
        <w:rPr>
          <w:rFonts w:hint="eastAsia" w:ascii="Times New Roman" w:hAnsi="Times New Roman" w:eastAsia="宋体" w:cs="Times New Roman"/>
          <w:color w:val="000000"/>
          <w:kern w:val="0"/>
          <w:sz w:val="24"/>
          <w:szCs w:val="24"/>
          <w:highlight w:val="none"/>
          <w:lang w:val="en-US" w:eastAsia="zh-CN" w:bidi="ar"/>
        </w:rPr>
        <w:t>。</w:t>
      </w:r>
    </w:p>
    <w:p w14:paraId="0BA5F8A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③C</w:t>
      </w:r>
      <w:r>
        <w:rPr>
          <w:rFonts w:hint="eastAsia" w:ascii="Times New Roman" w:hAnsi="Times New Roman" w:eastAsia="宋体" w:cs="Times New Roman"/>
          <w:color w:val="000000"/>
          <w:kern w:val="0"/>
          <w:sz w:val="24"/>
          <w:szCs w:val="24"/>
          <w:highlight w:val="none"/>
          <w:vertAlign w:val="subscript"/>
          <w:lang w:val="en-US" w:eastAsia="zh-CN" w:bidi="ar"/>
        </w:rPr>
        <w:t>0</w:t>
      </w:r>
      <w:r>
        <w:rPr>
          <w:rFonts w:hint="eastAsia" w:ascii="Times New Roman" w:hAnsi="Times New Roman" w:eastAsia="宋体" w:cs="Times New Roman"/>
          <w:color w:val="000000"/>
          <w:kern w:val="0"/>
          <w:sz w:val="24"/>
          <w:szCs w:val="24"/>
          <w:highlight w:val="none"/>
          <w:lang w:val="en-US" w:eastAsia="zh-CN" w:bidi="ar"/>
        </w:rPr>
        <w:t>初始断面的污染物浓度</w:t>
      </w:r>
    </w:p>
    <w:p w14:paraId="17F64AC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根据引用龙荫港</w:t>
      </w:r>
      <w:r>
        <w:rPr>
          <w:rFonts w:hint="eastAsia" w:cs="Times New Roman"/>
          <w:color w:val="000000"/>
          <w:kern w:val="0"/>
          <w:sz w:val="24"/>
          <w:szCs w:val="24"/>
          <w:highlight w:val="none"/>
          <w:lang w:val="en-US" w:eastAsia="zh-CN" w:bidi="ar"/>
        </w:rPr>
        <w:t>水质现状</w:t>
      </w:r>
      <w:r>
        <w:rPr>
          <w:rFonts w:hint="eastAsia" w:ascii="Times New Roman" w:hAnsi="Times New Roman" w:eastAsia="宋体" w:cs="Times New Roman"/>
          <w:color w:val="000000"/>
          <w:kern w:val="0"/>
          <w:sz w:val="24"/>
          <w:szCs w:val="24"/>
          <w:highlight w:val="none"/>
          <w:lang w:val="en-US" w:eastAsia="zh-CN" w:bidi="ar"/>
        </w:rPr>
        <w:t>监测数据，CODcr的</w:t>
      </w:r>
      <w:r>
        <w:rPr>
          <w:rFonts w:hint="default" w:ascii="Times New Roman" w:hAnsi="Times New Roman" w:eastAsia="宋体" w:cs="Times New Roman"/>
          <w:color w:val="000000"/>
          <w:kern w:val="0"/>
          <w:sz w:val="24"/>
          <w:szCs w:val="24"/>
          <w:highlight w:val="none"/>
          <w:lang w:val="en-US" w:eastAsia="zh-CN" w:bidi="ar"/>
        </w:rPr>
        <w:t>C</w:t>
      </w:r>
      <w:r>
        <w:rPr>
          <w:rFonts w:hint="eastAsia" w:ascii="Times New Roman" w:hAnsi="Times New Roman" w:eastAsia="宋体" w:cs="Times New Roman"/>
          <w:color w:val="000000"/>
          <w:kern w:val="0"/>
          <w:sz w:val="24"/>
          <w:szCs w:val="24"/>
          <w:highlight w:val="none"/>
          <w:vertAlign w:val="subscript"/>
          <w:lang w:val="en-US" w:eastAsia="zh-CN" w:bidi="ar"/>
        </w:rPr>
        <w:t>0</w:t>
      </w:r>
      <w:r>
        <w:rPr>
          <w:rFonts w:hint="eastAsia" w:ascii="Times New Roman" w:hAnsi="Times New Roman" w:eastAsia="宋体" w:cs="Times New Roman"/>
          <w:color w:val="000000"/>
          <w:kern w:val="0"/>
          <w:sz w:val="24"/>
          <w:szCs w:val="24"/>
          <w:highlight w:val="none"/>
          <w:vertAlign w:val="baseline"/>
          <w:lang w:val="en-US" w:eastAsia="zh-CN" w:bidi="ar"/>
        </w:rPr>
        <w:t>值（取峰值）为17mg/L；NH</w:t>
      </w:r>
      <w:r>
        <w:rPr>
          <w:rFonts w:hint="eastAsia" w:ascii="Times New Roman" w:hAnsi="Times New Roman" w:eastAsia="宋体" w:cs="Times New Roman"/>
          <w:color w:val="000000"/>
          <w:kern w:val="0"/>
          <w:sz w:val="24"/>
          <w:szCs w:val="24"/>
          <w:highlight w:val="none"/>
          <w:vertAlign w:val="subscript"/>
          <w:lang w:val="en-US" w:eastAsia="zh-CN" w:bidi="ar"/>
        </w:rPr>
        <w:t>3</w:t>
      </w:r>
      <w:r>
        <w:rPr>
          <w:rFonts w:hint="eastAsia" w:ascii="Times New Roman" w:hAnsi="Times New Roman" w:eastAsia="宋体" w:cs="Times New Roman"/>
          <w:color w:val="000000"/>
          <w:kern w:val="0"/>
          <w:sz w:val="24"/>
          <w:szCs w:val="24"/>
          <w:highlight w:val="none"/>
          <w:vertAlign w:val="baseline"/>
          <w:lang w:val="en-US" w:eastAsia="zh-CN" w:bidi="ar"/>
        </w:rPr>
        <w:t>-N的</w:t>
      </w:r>
      <w:r>
        <w:rPr>
          <w:rFonts w:hint="default" w:ascii="Times New Roman" w:hAnsi="Times New Roman" w:eastAsia="宋体" w:cs="Times New Roman"/>
          <w:color w:val="000000"/>
          <w:kern w:val="0"/>
          <w:sz w:val="24"/>
          <w:szCs w:val="24"/>
          <w:highlight w:val="none"/>
          <w:lang w:val="en-US" w:eastAsia="zh-CN" w:bidi="ar"/>
        </w:rPr>
        <w:t>C</w:t>
      </w:r>
      <w:r>
        <w:rPr>
          <w:rFonts w:hint="eastAsia" w:ascii="Times New Roman" w:hAnsi="Times New Roman" w:eastAsia="宋体" w:cs="Times New Roman"/>
          <w:color w:val="000000"/>
          <w:kern w:val="0"/>
          <w:sz w:val="24"/>
          <w:szCs w:val="24"/>
          <w:highlight w:val="none"/>
          <w:vertAlign w:val="subscript"/>
          <w:lang w:val="en-US" w:eastAsia="zh-CN" w:bidi="ar"/>
        </w:rPr>
        <w:t>0</w:t>
      </w:r>
      <w:r>
        <w:rPr>
          <w:rFonts w:hint="eastAsia" w:ascii="Times New Roman" w:hAnsi="Times New Roman" w:eastAsia="宋体" w:cs="Times New Roman"/>
          <w:color w:val="000000"/>
          <w:kern w:val="0"/>
          <w:sz w:val="24"/>
          <w:szCs w:val="24"/>
          <w:highlight w:val="none"/>
          <w:vertAlign w:val="baseline"/>
          <w:lang w:val="en-US" w:eastAsia="zh-CN" w:bidi="ar"/>
        </w:rPr>
        <w:t>值（取峰值）为0.526mg/L；</w:t>
      </w:r>
      <w:r>
        <w:rPr>
          <w:rFonts w:hint="eastAsia" w:ascii="Times New Roman" w:hAnsi="Times New Roman" w:eastAsia="宋体" w:cs="Times New Roman"/>
          <w:color w:val="000000"/>
          <w:kern w:val="0"/>
          <w:sz w:val="24"/>
          <w:szCs w:val="24"/>
          <w:highlight w:val="none"/>
          <w:lang w:val="en-US" w:eastAsia="zh-CN" w:bidi="ar"/>
        </w:rPr>
        <w:t>TP的</w:t>
      </w:r>
      <w:r>
        <w:rPr>
          <w:rFonts w:hint="default" w:ascii="Times New Roman" w:hAnsi="Times New Roman" w:eastAsia="宋体" w:cs="Times New Roman"/>
          <w:color w:val="000000"/>
          <w:kern w:val="0"/>
          <w:sz w:val="24"/>
          <w:szCs w:val="24"/>
          <w:highlight w:val="none"/>
          <w:lang w:val="en-US" w:eastAsia="zh-CN" w:bidi="ar"/>
        </w:rPr>
        <w:t>C</w:t>
      </w:r>
      <w:r>
        <w:rPr>
          <w:rFonts w:hint="eastAsia" w:ascii="Times New Roman" w:hAnsi="Times New Roman" w:eastAsia="宋体" w:cs="Times New Roman"/>
          <w:color w:val="000000"/>
          <w:kern w:val="0"/>
          <w:sz w:val="24"/>
          <w:szCs w:val="24"/>
          <w:highlight w:val="none"/>
          <w:vertAlign w:val="subscript"/>
          <w:lang w:val="en-US" w:eastAsia="zh-CN" w:bidi="ar"/>
        </w:rPr>
        <w:t>0</w:t>
      </w:r>
      <w:r>
        <w:rPr>
          <w:rFonts w:hint="eastAsia" w:ascii="Times New Roman" w:hAnsi="Times New Roman" w:eastAsia="宋体" w:cs="Times New Roman"/>
          <w:color w:val="000000"/>
          <w:kern w:val="0"/>
          <w:sz w:val="24"/>
          <w:szCs w:val="24"/>
          <w:highlight w:val="none"/>
          <w:vertAlign w:val="baseline"/>
          <w:lang w:val="en-US" w:eastAsia="zh-CN" w:bidi="ar"/>
        </w:rPr>
        <w:t>值（取峰值）为0.14mg/L。</w:t>
      </w:r>
    </w:p>
    <w:p w14:paraId="547E836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highlight w:val="none"/>
        </w:rPr>
      </w:pPr>
      <w:r>
        <w:rPr>
          <w:rFonts w:hint="eastAsia" w:ascii="宋体" w:hAnsi="宋体" w:eastAsia="宋体" w:cs="宋体"/>
          <w:color w:val="000000"/>
          <w:kern w:val="0"/>
          <w:sz w:val="24"/>
          <w:szCs w:val="24"/>
          <w:highlight w:val="none"/>
          <w:lang w:val="en-US" w:eastAsia="zh-CN" w:bidi="ar"/>
        </w:rPr>
        <w:t>④</w:t>
      </w:r>
      <w:r>
        <w:rPr>
          <w:rFonts w:hint="default" w:ascii="Times New Roman" w:hAnsi="Times New Roman" w:eastAsia="宋体" w:cs="Times New Roman"/>
          <w:color w:val="000000"/>
          <w:kern w:val="0"/>
          <w:sz w:val="24"/>
          <w:szCs w:val="24"/>
          <w:highlight w:val="none"/>
          <w:lang w:val="en-US" w:eastAsia="zh-CN" w:bidi="ar"/>
        </w:rPr>
        <w:t>污染物综合衰减系数K</w:t>
      </w:r>
    </w:p>
    <w:p w14:paraId="260C842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污染物综合降解系数K是反映污染物沿程变化的综合系数，它体现污染物自身的变化，也体现了环境对污染物的影响。</w:t>
      </w:r>
    </w:p>
    <w:p w14:paraId="7DD9650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本次论证报告污染物综合衰减系数K采用资料借鉴法；</w:t>
      </w:r>
      <w:r>
        <w:rPr>
          <w:rFonts w:hint="eastAsia" w:ascii="Times New Roman" w:hAnsi="Times New Roman" w:eastAsia="宋体" w:cs="Times New Roman"/>
          <w:color w:val="000000" w:themeColor="text1"/>
          <w:sz w:val="24"/>
          <w:szCs w:val="24"/>
          <w:highlight w:val="none"/>
          <w:u w:val="none"/>
          <w:lang w:val="en-US" w:eastAsia="zh-CN" w:bidi="zh-CN"/>
          <w14:textFill>
            <w14:solidFill>
              <w14:schemeClr w14:val="tx1"/>
            </w14:solidFill>
          </w14:textFill>
        </w:rPr>
        <w:t>根据中国环境规划院发布的《全国地表水水环境容量核定技术复核要点》，一般河道水质降解系数参考值见下表</w:t>
      </w:r>
      <w:r>
        <w:rPr>
          <w:rFonts w:hint="eastAsia" w:ascii="Times New Roman" w:hAnsi="Times New Roman" w:cs="Times New Roman"/>
          <w:color w:val="000000" w:themeColor="text1"/>
          <w:sz w:val="24"/>
          <w:szCs w:val="24"/>
          <w:highlight w:val="none"/>
          <w:u w:val="none"/>
          <w:lang w:val="en-US" w:eastAsia="zh-CN" w:bidi="zh-CN"/>
          <w14:textFill>
            <w14:solidFill>
              <w14:schemeClr w14:val="tx1"/>
            </w14:solidFill>
          </w14:textFill>
        </w:rPr>
        <w:t>：</w:t>
      </w:r>
    </w:p>
    <w:p w14:paraId="31708143">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t>表4.2-1 大江大河水质降解系数参考值表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36"/>
        <w:gridCol w:w="2548"/>
        <w:gridCol w:w="2472"/>
      </w:tblGrid>
      <w:tr w14:paraId="6592E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6" w:hRule="atLeast"/>
          <w:jc w:val="center"/>
        </w:trPr>
        <w:tc>
          <w:tcPr>
            <w:tcW w:w="3336" w:type="dxa"/>
            <w:vMerge w:val="restart"/>
            <w:tcBorders>
              <w:tl2br w:val="nil"/>
              <w:tr2bl w:val="nil"/>
            </w:tcBorders>
            <w:noWrap w:val="0"/>
            <w:vAlign w:val="center"/>
          </w:tcPr>
          <w:p w14:paraId="0E068EC7">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水质及水生态环境状况</w:t>
            </w:r>
          </w:p>
        </w:tc>
        <w:tc>
          <w:tcPr>
            <w:tcW w:w="5020" w:type="dxa"/>
            <w:gridSpan w:val="2"/>
            <w:tcBorders>
              <w:tl2br w:val="nil"/>
              <w:tr2bl w:val="nil"/>
            </w:tcBorders>
            <w:noWrap w:val="0"/>
            <w:vAlign w:val="center"/>
          </w:tcPr>
          <w:p w14:paraId="601C554A">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水质降解系数参考值（1/d）</w:t>
            </w:r>
          </w:p>
        </w:tc>
      </w:tr>
      <w:tr w14:paraId="26A44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1" w:hRule="atLeast"/>
          <w:jc w:val="center"/>
        </w:trPr>
        <w:tc>
          <w:tcPr>
            <w:tcW w:w="3336" w:type="dxa"/>
            <w:vMerge w:val="continue"/>
            <w:tcBorders>
              <w:tl2br w:val="nil"/>
              <w:tr2bl w:val="nil"/>
            </w:tcBorders>
            <w:noWrap w:val="0"/>
            <w:vAlign w:val="center"/>
          </w:tcPr>
          <w:p w14:paraId="4AACDF3F">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p>
        </w:tc>
        <w:tc>
          <w:tcPr>
            <w:tcW w:w="2548" w:type="dxa"/>
            <w:tcBorders>
              <w:tl2br w:val="nil"/>
              <w:tr2bl w:val="nil"/>
            </w:tcBorders>
            <w:noWrap w:val="0"/>
            <w:vAlign w:val="center"/>
          </w:tcPr>
          <w:p w14:paraId="5E706A79">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COD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cr</w:t>
            </w:r>
          </w:p>
        </w:tc>
        <w:tc>
          <w:tcPr>
            <w:tcW w:w="2472" w:type="dxa"/>
            <w:tcBorders>
              <w:tl2br w:val="nil"/>
              <w:tr2bl w:val="nil"/>
            </w:tcBorders>
            <w:noWrap w:val="0"/>
            <w:vAlign w:val="center"/>
          </w:tcPr>
          <w:p w14:paraId="36B12AA7">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氨氮</w:t>
            </w:r>
          </w:p>
        </w:tc>
      </w:tr>
      <w:tr w14:paraId="24540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5EECD5C8">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优（相应水质为Ⅱ～Ⅲ类）</w:t>
            </w:r>
          </w:p>
        </w:tc>
        <w:tc>
          <w:tcPr>
            <w:tcW w:w="2548" w:type="dxa"/>
            <w:tcBorders>
              <w:tl2br w:val="nil"/>
              <w:tr2bl w:val="nil"/>
            </w:tcBorders>
            <w:noWrap w:val="0"/>
            <w:vAlign w:val="center"/>
          </w:tcPr>
          <w:p w14:paraId="6658CA06">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0.20～0.30</w:t>
            </w:r>
          </w:p>
        </w:tc>
        <w:tc>
          <w:tcPr>
            <w:tcW w:w="2472" w:type="dxa"/>
            <w:tcBorders>
              <w:tl2br w:val="nil"/>
              <w:tr2bl w:val="nil"/>
            </w:tcBorders>
            <w:noWrap w:val="0"/>
            <w:vAlign w:val="center"/>
          </w:tcPr>
          <w:p w14:paraId="0F379CA7">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0.20～0.25</w:t>
            </w:r>
          </w:p>
        </w:tc>
      </w:tr>
      <w:tr w14:paraId="58B81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26993098">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中（相应水质为Ⅲ～Ⅳ类）</w:t>
            </w:r>
          </w:p>
        </w:tc>
        <w:tc>
          <w:tcPr>
            <w:tcW w:w="2548" w:type="dxa"/>
            <w:tcBorders>
              <w:tl2br w:val="nil"/>
              <w:tr2bl w:val="nil"/>
            </w:tcBorders>
            <w:noWrap w:val="0"/>
            <w:vAlign w:val="center"/>
          </w:tcPr>
          <w:p w14:paraId="460E991B">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0.10～0.20</w:t>
            </w:r>
          </w:p>
        </w:tc>
        <w:tc>
          <w:tcPr>
            <w:tcW w:w="2472" w:type="dxa"/>
            <w:tcBorders>
              <w:tl2br w:val="nil"/>
              <w:tr2bl w:val="nil"/>
            </w:tcBorders>
            <w:noWrap w:val="0"/>
            <w:vAlign w:val="center"/>
          </w:tcPr>
          <w:p w14:paraId="1BF8C0FC">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0.10～0.20</w:t>
            </w:r>
          </w:p>
        </w:tc>
      </w:tr>
      <w:tr w14:paraId="79961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1C710A45">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劣（相应水质为Ⅴ类或劣Ⅴ类）</w:t>
            </w:r>
          </w:p>
        </w:tc>
        <w:tc>
          <w:tcPr>
            <w:tcW w:w="2548" w:type="dxa"/>
            <w:tcBorders>
              <w:tl2br w:val="nil"/>
              <w:tr2bl w:val="nil"/>
            </w:tcBorders>
            <w:noWrap w:val="0"/>
            <w:vAlign w:val="center"/>
          </w:tcPr>
          <w:p w14:paraId="0D342C3D">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0.05～0.10</w:t>
            </w:r>
          </w:p>
        </w:tc>
        <w:tc>
          <w:tcPr>
            <w:tcW w:w="2472" w:type="dxa"/>
            <w:tcBorders>
              <w:tl2br w:val="nil"/>
              <w:tr2bl w:val="nil"/>
            </w:tcBorders>
            <w:noWrap w:val="0"/>
            <w:vAlign w:val="center"/>
          </w:tcPr>
          <w:p w14:paraId="62E8387F">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0.05～0.10</w:t>
            </w:r>
          </w:p>
        </w:tc>
      </w:tr>
    </w:tbl>
    <w:p w14:paraId="23DAE8B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cs="Times New Roman"/>
          <w:color w:val="000000" w:themeColor="text1"/>
          <w:kern w:val="0"/>
          <w:sz w:val="24"/>
          <w:szCs w:val="24"/>
          <w:highlight w:val="none"/>
          <w:u w:val="none"/>
          <w:lang w:val="en-US" w:eastAsia="zh-CN" w:bidi="ar"/>
          <w14:textFill>
            <w14:solidFill>
              <w14:schemeClr w14:val="tx1"/>
            </w14:solidFill>
          </w14:textFill>
        </w:rPr>
        <w:t>本入河排污口纳污水体为</w:t>
      </w:r>
      <w:r>
        <w:rPr>
          <w:rFonts w:hint="eastAsia" w:ascii="Times New Roman" w:hAnsi="Times New Roman"/>
          <w:color w:val="000000" w:themeColor="text1"/>
          <w:sz w:val="24"/>
          <w:szCs w:val="24"/>
          <w:highlight w:val="none"/>
          <w:u w:val="none"/>
          <w14:textFill>
            <w14:solidFill>
              <w14:schemeClr w14:val="tx1"/>
            </w14:solidFill>
          </w14:textFill>
        </w:rPr>
        <w:t>龙荫港</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，现状水质为III类。因此，</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w:t>
      </w:r>
      <w:r>
        <w:rPr>
          <w:rFonts w:hint="eastAsia" w:ascii="Times New Roman" w:hAnsi="Times New Roman" w:eastAsia="宋体" w:cs="Times New Roman"/>
          <w:color w:val="000000" w:themeColor="text1"/>
          <w:kern w:val="0"/>
          <w:sz w:val="24"/>
          <w:szCs w:val="24"/>
          <w:highlight w:val="none"/>
          <w:u w:val="none"/>
          <w:vertAlign w:val="baseline"/>
          <w:lang w:val="en-US" w:eastAsia="zh-CN" w:bidi="ar"/>
          <w14:textFill>
            <w14:solidFill>
              <w14:schemeClr w14:val="tx1"/>
            </w14:solidFill>
          </w14:textFill>
        </w:rPr>
        <w:t>cr</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24"/>
          <w:szCs w:val="24"/>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综合衰减系数k参考取值为0.20</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、0.15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。TP综合衰减系数k参照</w:t>
      </w:r>
      <w:r>
        <w:rPr>
          <w:rFonts w:hint="default" w:ascii="Times New Roman" w:hAnsi="Times New Roman" w:eastAsia="宋体" w:cs="Times New Roman"/>
          <w:color w:val="000000" w:themeColor="text1"/>
          <w:sz w:val="24"/>
          <w:szCs w:val="24"/>
          <w:highlight w:val="none"/>
          <w:u w:val="none"/>
          <w:lang w:val="en-US" w:eastAsia="zh-CN" w:bidi="zh-CN"/>
          <w14:textFill>
            <w14:solidFill>
              <w14:schemeClr w14:val="tx1"/>
            </w14:solidFill>
          </w14:textFill>
        </w:rPr>
        <w:t>《湖南省水资源综合规范》</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《湖南省衡阳市水资源综合规划报告》（2020~2035）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取值为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p>
    <w:p w14:paraId="1EB7009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⑤</w:t>
      </w:r>
      <w:r>
        <w:rPr>
          <w:rFonts w:hint="default" w:ascii="Times New Roman" w:hAnsi="Times New Roman" w:eastAsia="宋体" w:cs="Times New Roman"/>
          <w:color w:val="000000"/>
          <w:kern w:val="0"/>
          <w:sz w:val="24"/>
          <w:szCs w:val="24"/>
          <w:highlight w:val="none"/>
          <w:lang w:val="en-US" w:eastAsia="zh-CN" w:bidi="ar"/>
        </w:rPr>
        <w:t>沿河段的纵向距离</w:t>
      </w:r>
    </w:p>
    <w:p w14:paraId="181422E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bCs/>
          <w:color w:val="000000"/>
          <w:sz w:val="24"/>
          <w:szCs w:val="24"/>
          <w:highlight w:val="none"/>
          <w:lang w:eastAsia="zh-CN"/>
        </w:rPr>
        <w:t>本</w:t>
      </w:r>
      <w:r>
        <w:rPr>
          <w:rFonts w:hint="eastAsia" w:ascii="Times New Roman" w:hAnsi="Times New Roman" w:eastAsia="宋体" w:cs="Times New Roman"/>
          <w:bCs/>
          <w:color w:val="000000"/>
          <w:sz w:val="24"/>
          <w:szCs w:val="24"/>
          <w:highlight w:val="none"/>
          <w:lang w:val="en-US" w:eastAsia="zh-CN"/>
        </w:rPr>
        <w:t>入河</w:t>
      </w:r>
      <w:r>
        <w:rPr>
          <w:rFonts w:hint="default" w:ascii="Times New Roman" w:hAnsi="Times New Roman" w:eastAsia="宋体" w:cs="Times New Roman"/>
          <w:bCs/>
          <w:color w:val="000000"/>
          <w:sz w:val="24"/>
          <w:szCs w:val="24"/>
          <w:highlight w:val="none"/>
          <w:lang w:eastAsia="zh-CN"/>
        </w:rPr>
        <w:t>排污口</w:t>
      </w:r>
      <w:r>
        <w:rPr>
          <w:rFonts w:hint="eastAsia" w:ascii="Times New Roman" w:hAnsi="Times New Roman" w:eastAsia="宋体" w:cs="Times New Roman"/>
          <w:bCs/>
          <w:color w:val="000000"/>
          <w:sz w:val="24"/>
          <w:szCs w:val="24"/>
          <w:highlight w:val="none"/>
          <w:lang w:val="en-US" w:eastAsia="zh-CN"/>
        </w:rPr>
        <w:t>入</w:t>
      </w:r>
      <w:r>
        <w:rPr>
          <w:rFonts w:hint="eastAsia" w:ascii="Times New Roman" w:hAnsi="Times New Roman"/>
          <w:color w:val="000000"/>
          <w:sz w:val="24"/>
          <w:szCs w:val="24"/>
          <w:highlight w:val="none"/>
        </w:rPr>
        <w:t>龙荫港</w:t>
      </w:r>
      <w:r>
        <w:rPr>
          <w:rFonts w:hint="eastAsia" w:ascii="Times New Roman" w:hAnsi="Times New Roman" w:eastAsia="宋体" w:cs="Times New Roman"/>
          <w:color w:val="000000"/>
          <w:kern w:val="2"/>
          <w:sz w:val="24"/>
          <w:szCs w:val="24"/>
          <w:highlight w:val="none"/>
          <w:lang w:val="en-US" w:eastAsia="zh-CN" w:bidi="ar-SA"/>
        </w:rPr>
        <w:t>至下游5000m</w:t>
      </w:r>
      <w:r>
        <w:rPr>
          <w:rFonts w:hint="default" w:ascii="Times New Roman" w:hAnsi="Times New Roman" w:eastAsia="宋体" w:cs="Times New Roman"/>
          <w:bCs/>
          <w:color w:val="000000"/>
          <w:sz w:val="24"/>
          <w:szCs w:val="24"/>
          <w:highlight w:val="none"/>
          <w:lang w:eastAsia="zh-CN"/>
        </w:rPr>
        <w:t>河段</w:t>
      </w:r>
      <w:r>
        <w:rPr>
          <w:rFonts w:hint="eastAsia" w:ascii="Times New Roman" w:hAnsi="Times New Roman" w:eastAsia="宋体" w:cs="Times New Roman"/>
          <w:bCs/>
          <w:color w:val="000000"/>
          <w:sz w:val="24"/>
          <w:szCs w:val="24"/>
          <w:highlight w:val="none"/>
          <w:lang w:eastAsia="zh-CN"/>
        </w:rPr>
        <w:t>。</w:t>
      </w:r>
    </w:p>
    <w:p w14:paraId="166C713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⑥</w:t>
      </w:r>
      <w:r>
        <w:rPr>
          <w:rFonts w:hint="eastAsia" w:ascii="Times New Roman" w:hAnsi="Times New Roman" w:eastAsia="宋体" w:cs="Times New Roman"/>
          <w:color w:val="000000"/>
          <w:kern w:val="0"/>
          <w:sz w:val="24"/>
          <w:szCs w:val="24"/>
          <w:highlight w:val="none"/>
          <w:lang w:val="en-US" w:eastAsia="zh-CN" w:bidi="ar"/>
        </w:rPr>
        <w:t>入河排污口尾水排放情况</w:t>
      </w:r>
    </w:p>
    <w:p w14:paraId="4EA620B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本</w:t>
      </w:r>
      <w:r>
        <w:rPr>
          <w:rFonts w:hint="eastAsia" w:ascii="Times New Roman" w:hAnsi="Times New Roman" w:eastAsia="宋体" w:cs="Times New Roman"/>
          <w:color w:val="000000"/>
          <w:kern w:val="0"/>
          <w:sz w:val="24"/>
          <w:szCs w:val="24"/>
          <w:highlight w:val="none"/>
          <w:lang w:val="en-US" w:eastAsia="zh-CN" w:bidi="ar"/>
        </w:rPr>
        <w:t>入河排污口尾水排放情况见下表4.2-</w:t>
      </w:r>
      <w:r>
        <w:rPr>
          <w:rFonts w:hint="eastAsia" w:cs="Times New Roman"/>
          <w:color w:val="000000"/>
          <w:kern w:val="0"/>
          <w:sz w:val="24"/>
          <w:szCs w:val="24"/>
          <w:highlight w:val="none"/>
          <w:lang w:val="en-US" w:eastAsia="zh-CN" w:bidi="ar"/>
        </w:rPr>
        <w:t>2</w:t>
      </w:r>
      <w:r>
        <w:rPr>
          <w:rFonts w:hint="eastAsia" w:ascii="Times New Roman" w:hAnsi="Times New Roman" w:eastAsia="宋体" w:cs="Times New Roman"/>
          <w:b w:val="0"/>
          <w:bCs w:val="0"/>
          <w:color w:val="auto"/>
          <w:kern w:val="2"/>
          <w:sz w:val="24"/>
          <w:szCs w:val="24"/>
          <w:highlight w:val="none"/>
          <w:u w:val="none"/>
          <w:lang w:val="en-US" w:eastAsia="zh-CN" w:bidi="ar-SA"/>
        </w:rPr>
        <w:t>。</w:t>
      </w:r>
    </w:p>
    <w:p w14:paraId="4D792CB2">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表4.2-</w:t>
      </w:r>
      <w:r>
        <w:rPr>
          <w:rFonts w:hint="eastAsia" w:cs="Times New Roman"/>
          <w:b/>
          <w:color w:val="000000"/>
          <w:sz w:val="21"/>
          <w:szCs w:val="21"/>
          <w:highlight w:val="none"/>
          <w:lang w:val="en-US" w:eastAsia="zh-CN"/>
        </w:rPr>
        <w:t>2</w:t>
      </w:r>
      <w:r>
        <w:rPr>
          <w:rFonts w:hint="eastAsia" w:ascii="Times New Roman" w:hAnsi="Times New Roman" w:eastAsia="宋体" w:cs="Times New Roman"/>
          <w:b/>
          <w:color w:val="000000"/>
          <w:sz w:val="21"/>
          <w:szCs w:val="21"/>
          <w:highlight w:val="none"/>
          <w:lang w:val="en-US" w:eastAsia="zh-CN"/>
        </w:rPr>
        <w:t xml:space="preserve"> </w:t>
      </w:r>
      <w:r>
        <w:rPr>
          <w:rFonts w:hint="eastAsia" w:cs="Times New Roman"/>
          <w:b/>
          <w:color w:val="000000"/>
          <w:sz w:val="21"/>
          <w:szCs w:val="21"/>
          <w:highlight w:val="none"/>
          <w:lang w:val="en-US" w:eastAsia="zh-CN"/>
        </w:rPr>
        <w:t>本</w:t>
      </w:r>
      <w:r>
        <w:rPr>
          <w:rFonts w:hint="eastAsia" w:ascii="Times New Roman" w:hAnsi="Times New Roman" w:eastAsia="宋体" w:cs="Times New Roman"/>
          <w:b/>
          <w:color w:val="000000"/>
          <w:sz w:val="21"/>
          <w:szCs w:val="21"/>
          <w:highlight w:val="none"/>
          <w:lang w:val="en-US" w:eastAsia="zh-CN"/>
        </w:rPr>
        <w:t>入河排污口尾水排放情况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1708"/>
        <w:gridCol w:w="1707"/>
        <w:gridCol w:w="1708"/>
        <w:gridCol w:w="1709"/>
      </w:tblGrid>
      <w:tr w14:paraId="533AF0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415" w:type="dxa"/>
            <w:gridSpan w:val="2"/>
            <w:tcBorders>
              <w:tl2br w:val="nil"/>
              <w:tr2bl w:val="nil"/>
            </w:tcBorders>
            <w:noWrap w:val="0"/>
            <w:vAlign w:val="center"/>
          </w:tcPr>
          <w:p w14:paraId="1F89FBD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出水量</w:t>
            </w:r>
          </w:p>
        </w:tc>
        <w:tc>
          <w:tcPr>
            <w:tcW w:w="1707" w:type="dxa"/>
            <w:vMerge w:val="restart"/>
            <w:tcBorders>
              <w:tl2br w:val="nil"/>
              <w:tr2bl w:val="nil"/>
            </w:tcBorders>
            <w:noWrap w:val="0"/>
            <w:vAlign w:val="center"/>
          </w:tcPr>
          <w:p w14:paraId="119158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污染因子名称</w:t>
            </w:r>
          </w:p>
        </w:tc>
        <w:tc>
          <w:tcPr>
            <w:tcW w:w="3417" w:type="dxa"/>
            <w:gridSpan w:val="2"/>
            <w:tcBorders>
              <w:tl2br w:val="nil"/>
              <w:tr2bl w:val="nil"/>
            </w:tcBorders>
            <w:noWrap w:val="0"/>
            <w:vAlign w:val="center"/>
          </w:tcPr>
          <w:p w14:paraId="04F0A1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正常工况</w:t>
            </w:r>
          </w:p>
        </w:tc>
      </w:tr>
      <w:tr w14:paraId="08BB9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1707" w:type="dxa"/>
            <w:tcBorders>
              <w:tl2br w:val="nil"/>
              <w:tr2bl w:val="nil"/>
            </w:tcBorders>
            <w:noWrap w:val="0"/>
            <w:vAlign w:val="center"/>
          </w:tcPr>
          <w:p w14:paraId="2542DC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m</w:t>
            </w:r>
            <w:r>
              <w:rPr>
                <w:rFonts w:hint="default" w:ascii="Times New Roman" w:hAnsi="Times New Roman" w:eastAsia="宋体" w:cs="Times New Roman"/>
                <w:b w:val="0"/>
                <w:bCs w:val="0"/>
                <w:color w:val="000000"/>
                <w:kern w:val="0"/>
                <w:sz w:val="21"/>
                <w:szCs w:val="21"/>
                <w:highlight w:val="none"/>
                <w:vertAlign w:val="superscript"/>
                <w:lang w:val="en-US" w:eastAsia="zh-CN" w:bidi="ar"/>
              </w:rPr>
              <w:t>3</w:t>
            </w:r>
            <w:r>
              <w:rPr>
                <w:rFonts w:hint="default" w:ascii="Times New Roman" w:hAnsi="Times New Roman" w:eastAsia="宋体" w:cs="Times New Roman"/>
                <w:b w:val="0"/>
                <w:bCs w:val="0"/>
                <w:color w:val="000000"/>
                <w:kern w:val="0"/>
                <w:sz w:val="21"/>
                <w:szCs w:val="21"/>
                <w:highlight w:val="none"/>
                <w:vertAlign w:val="baseline"/>
                <w:lang w:val="en-US" w:eastAsia="zh-CN" w:bidi="ar"/>
              </w:rPr>
              <w:t>/d</w:t>
            </w:r>
          </w:p>
        </w:tc>
        <w:tc>
          <w:tcPr>
            <w:tcW w:w="1708" w:type="dxa"/>
            <w:tcBorders>
              <w:tl2br w:val="nil"/>
              <w:tr2bl w:val="nil"/>
            </w:tcBorders>
            <w:noWrap w:val="0"/>
            <w:vAlign w:val="center"/>
          </w:tcPr>
          <w:p w14:paraId="4BD24E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m</w:t>
            </w:r>
            <w:r>
              <w:rPr>
                <w:rFonts w:hint="default" w:ascii="Times New Roman" w:hAnsi="Times New Roman" w:eastAsia="宋体" w:cs="Times New Roman"/>
                <w:b w:val="0"/>
                <w:bCs w:val="0"/>
                <w:color w:val="000000"/>
                <w:kern w:val="0"/>
                <w:sz w:val="21"/>
                <w:szCs w:val="21"/>
                <w:highlight w:val="none"/>
                <w:vertAlign w:val="superscript"/>
                <w:lang w:val="en-US" w:eastAsia="zh-CN" w:bidi="ar"/>
              </w:rPr>
              <w:t>3</w:t>
            </w:r>
            <w:r>
              <w:rPr>
                <w:rFonts w:hint="default" w:ascii="Times New Roman" w:hAnsi="Times New Roman" w:eastAsia="宋体" w:cs="Times New Roman"/>
                <w:b w:val="0"/>
                <w:bCs w:val="0"/>
                <w:color w:val="000000"/>
                <w:kern w:val="0"/>
                <w:sz w:val="21"/>
                <w:szCs w:val="21"/>
                <w:highlight w:val="none"/>
                <w:vertAlign w:val="baseline"/>
                <w:lang w:val="en-US" w:eastAsia="zh-CN" w:bidi="ar"/>
              </w:rPr>
              <w:t>/s</w:t>
            </w:r>
          </w:p>
        </w:tc>
        <w:tc>
          <w:tcPr>
            <w:tcW w:w="1707" w:type="dxa"/>
            <w:vMerge w:val="continue"/>
            <w:tcBorders>
              <w:tl2br w:val="nil"/>
              <w:tr2bl w:val="nil"/>
            </w:tcBorders>
            <w:noWrap w:val="0"/>
            <w:vAlign w:val="center"/>
          </w:tcPr>
          <w:p w14:paraId="761624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1708" w:type="dxa"/>
            <w:tcBorders>
              <w:tl2br w:val="nil"/>
              <w:tr2bl w:val="nil"/>
            </w:tcBorders>
            <w:noWrap w:val="0"/>
            <w:vAlign w:val="center"/>
          </w:tcPr>
          <w:p w14:paraId="4E0DA9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浓度（mg/L）</w:t>
            </w:r>
          </w:p>
        </w:tc>
        <w:tc>
          <w:tcPr>
            <w:tcW w:w="1709" w:type="dxa"/>
            <w:tcBorders>
              <w:tl2br w:val="nil"/>
              <w:tr2bl w:val="nil"/>
            </w:tcBorders>
            <w:noWrap w:val="0"/>
            <w:vAlign w:val="center"/>
          </w:tcPr>
          <w:p w14:paraId="7B3171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排放量（t/a）</w:t>
            </w:r>
          </w:p>
        </w:tc>
      </w:tr>
      <w:tr w14:paraId="32AF5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707" w:type="dxa"/>
            <w:vMerge w:val="restart"/>
            <w:tcBorders>
              <w:tl2br w:val="nil"/>
              <w:tr2bl w:val="nil"/>
            </w:tcBorders>
            <w:noWrap w:val="0"/>
            <w:vAlign w:val="center"/>
          </w:tcPr>
          <w:p w14:paraId="3EFBF4C8">
            <w:pPr>
              <w:pStyle w:val="6"/>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30000</w:t>
            </w:r>
          </w:p>
        </w:tc>
        <w:tc>
          <w:tcPr>
            <w:tcW w:w="1708" w:type="dxa"/>
            <w:vMerge w:val="restart"/>
            <w:tcBorders>
              <w:tl2br w:val="nil"/>
              <w:tr2bl w:val="nil"/>
            </w:tcBorders>
            <w:noWrap w:val="0"/>
            <w:vAlign w:val="center"/>
          </w:tcPr>
          <w:p w14:paraId="704C7D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kern w:val="0"/>
                <w:sz w:val="21"/>
                <w:szCs w:val="21"/>
                <w:highlight w:val="none"/>
                <w:vertAlign w:val="baseline"/>
                <w:lang w:val="en-US" w:eastAsia="zh-CN" w:bidi="ar"/>
              </w:rPr>
              <w:t>0.35</w:t>
            </w:r>
          </w:p>
        </w:tc>
        <w:tc>
          <w:tcPr>
            <w:tcW w:w="1707" w:type="dxa"/>
            <w:tcBorders>
              <w:tl2br w:val="nil"/>
              <w:tr2bl w:val="nil"/>
            </w:tcBorders>
            <w:noWrap w:val="0"/>
            <w:vAlign w:val="center"/>
          </w:tcPr>
          <w:p w14:paraId="468713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auto"/>
                <w:sz w:val="21"/>
                <w:szCs w:val="21"/>
                <w:highlight w:val="none"/>
                <w:u w:val="none"/>
                <w:lang w:val="en-US" w:eastAsia="zh-CN" w:bidi="zh-CN"/>
              </w:rPr>
              <w:t>CODcr</w:t>
            </w:r>
          </w:p>
        </w:tc>
        <w:tc>
          <w:tcPr>
            <w:tcW w:w="1708" w:type="dxa"/>
            <w:tcBorders>
              <w:tl2br w:val="nil"/>
              <w:tr2bl w:val="nil"/>
            </w:tcBorders>
            <w:noWrap w:val="0"/>
            <w:vAlign w:val="center"/>
          </w:tcPr>
          <w:p w14:paraId="198E16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30</w:t>
            </w:r>
          </w:p>
        </w:tc>
        <w:tc>
          <w:tcPr>
            <w:tcW w:w="1709" w:type="dxa"/>
            <w:tcBorders>
              <w:tl2br w:val="nil"/>
              <w:tr2bl w:val="nil"/>
            </w:tcBorders>
            <w:noWrap w:val="0"/>
            <w:vAlign w:val="center"/>
          </w:tcPr>
          <w:p w14:paraId="5937A50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328.5</w:t>
            </w:r>
          </w:p>
        </w:tc>
      </w:tr>
      <w:tr w14:paraId="58179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707" w:type="dxa"/>
            <w:vMerge w:val="continue"/>
            <w:tcBorders>
              <w:tl2br w:val="nil"/>
              <w:tr2bl w:val="nil"/>
            </w:tcBorders>
            <w:noWrap w:val="0"/>
            <w:vAlign w:val="center"/>
          </w:tcPr>
          <w:p w14:paraId="2BBB1B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1708" w:type="dxa"/>
            <w:vMerge w:val="continue"/>
            <w:tcBorders>
              <w:tl2br w:val="nil"/>
              <w:tr2bl w:val="nil"/>
            </w:tcBorders>
            <w:noWrap w:val="0"/>
            <w:vAlign w:val="center"/>
          </w:tcPr>
          <w:p w14:paraId="3C2418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1707" w:type="dxa"/>
            <w:tcBorders>
              <w:tl2br w:val="nil"/>
              <w:tr2bl w:val="nil"/>
            </w:tcBorders>
            <w:noWrap w:val="0"/>
            <w:vAlign w:val="center"/>
          </w:tcPr>
          <w:p w14:paraId="759E54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highlight w:val="none"/>
                <w:lang w:val="en-US" w:eastAsia="zh-CN"/>
              </w:rPr>
              <w:t>NH</w:t>
            </w:r>
            <w:r>
              <w:rPr>
                <w:rFonts w:hint="default" w:ascii="Times New Roman" w:hAnsi="Times New Roman" w:eastAsia="宋体" w:cs="Times New Roman"/>
                <w:b w:val="0"/>
                <w:bCs w:val="0"/>
                <w:color w:val="000000"/>
                <w:sz w:val="21"/>
                <w:szCs w:val="21"/>
                <w:highlight w:val="none"/>
                <w:vertAlign w:val="subscript"/>
                <w:lang w:val="en-US" w:eastAsia="zh-CN"/>
              </w:rPr>
              <w:t>3</w:t>
            </w:r>
            <w:r>
              <w:rPr>
                <w:rFonts w:hint="default" w:ascii="Times New Roman" w:hAnsi="Times New Roman" w:eastAsia="宋体" w:cs="Times New Roman"/>
                <w:b w:val="0"/>
                <w:bCs w:val="0"/>
                <w:color w:val="000000"/>
                <w:sz w:val="21"/>
                <w:szCs w:val="21"/>
                <w:highlight w:val="none"/>
                <w:lang w:val="en-US" w:eastAsia="zh-CN"/>
              </w:rPr>
              <w:t>-N</w:t>
            </w:r>
          </w:p>
        </w:tc>
        <w:tc>
          <w:tcPr>
            <w:tcW w:w="1708" w:type="dxa"/>
            <w:tcBorders>
              <w:tl2br w:val="nil"/>
              <w:tr2bl w:val="nil"/>
            </w:tcBorders>
            <w:noWrap w:val="0"/>
            <w:vAlign w:val="center"/>
          </w:tcPr>
          <w:p w14:paraId="08EA80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1.5</w:t>
            </w:r>
          </w:p>
        </w:tc>
        <w:tc>
          <w:tcPr>
            <w:tcW w:w="1709" w:type="dxa"/>
            <w:tcBorders>
              <w:tl2br w:val="nil"/>
              <w:tr2bl w:val="nil"/>
            </w:tcBorders>
            <w:noWrap w:val="0"/>
            <w:vAlign w:val="center"/>
          </w:tcPr>
          <w:p w14:paraId="588FAA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color w:val="auto"/>
                <w:sz w:val="21"/>
                <w:szCs w:val="21"/>
                <w:highlight w:val="none"/>
                <w:lang w:val="en-US" w:eastAsia="zh-CN"/>
              </w:rPr>
              <w:t>16.425</w:t>
            </w:r>
          </w:p>
        </w:tc>
      </w:tr>
      <w:tr w14:paraId="01FD7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1707" w:type="dxa"/>
            <w:vMerge w:val="continue"/>
            <w:tcBorders>
              <w:tl2br w:val="nil"/>
              <w:tr2bl w:val="nil"/>
            </w:tcBorders>
            <w:noWrap w:val="0"/>
            <w:vAlign w:val="center"/>
          </w:tcPr>
          <w:p w14:paraId="4A2041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1708" w:type="dxa"/>
            <w:vMerge w:val="continue"/>
            <w:tcBorders>
              <w:tl2br w:val="nil"/>
              <w:tr2bl w:val="nil"/>
            </w:tcBorders>
            <w:noWrap w:val="0"/>
            <w:vAlign w:val="center"/>
          </w:tcPr>
          <w:p w14:paraId="60019C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1707" w:type="dxa"/>
            <w:tcBorders>
              <w:tl2br w:val="nil"/>
              <w:tr2bl w:val="nil"/>
            </w:tcBorders>
            <w:noWrap w:val="0"/>
            <w:vAlign w:val="center"/>
          </w:tcPr>
          <w:p w14:paraId="117614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highlight w:val="none"/>
                <w:lang w:val="en-US" w:eastAsia="zh-CN"/>
              </w:rPr>
              <w:t>TP</w:t>
            </w:r>
          </w:p>
        </w:tc>
        <w:tc>
          <w:tcPr>
            <w:tcW w:w="1708" w:type="dxa"/>
            <w:tcBorders>
              <w:tl2br w:val="nil"/>
              <w:tr2bl w:val="nil"/>
            </w:tcBorders>
            <w:noWrap w:val="0"/>
            <w:vAlign w:val="center"/>
          </w:tcPr>
          <w:p w14:paraId="5FB531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0.3</w:t>
            </w:r>
          </w:p>
        </w:tc>
        <w:tc>
          <w:tcPr>
            <w:tcW w:w="1709" w:type="dxa"/>
            <w:tcBorders>
              <w:tl2br w:val="nil"/>
              <w:tr2bl w:val="nil"/>
            </w:tcBorders>
            <w:noWrap w:val="0"/>
            <w:vAlign w:val="center"/>
          </w:tcPr>
          <w:p w14:paraId="66855B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default"/>
                <w:color w:val="auto"/>
                <w:sz w:val="21"/>
                <w:szCs w:val="21"/>
                <w:highlight w:val="none"/>
                <w:lang w:val="en-US" w:eastAsia="zh-CN"/>
              </w:rPr>
              <w:t>3.285</w:t>
            </w:r>
          </w:p>
        </w:tc>
      </w:tr>
    </w:tbl>
    <w:p w14:paraId="5358EEFC">
      <w:pPr>
        <w:pStyle w:val="6"/>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4.2.</w:t>
      </w:r>
      <w:r>
        <w:rPr>
          <w:rFonts w:hint="eastAsia" w:ascii="Times New Roman" w:hAnsi="Times New Roman" w:eastAsia="宋体" w:cs="Times New Roman"/>
          <w:highlight w:val="none"/>
          <w:lang w:val="en-US" w:eastAsia="zh-CN"/>
        </w:rPr>
        <w:t>2 河段纳污能力结果分析</w:t>
      </w:r>
    </w:p>
    <w:p w14:paraId="449C6CA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根据上述公式及参数计算龙荫港论证区段的纳污能力见下表4.2-</w:t>
      </w:r>
      <w:r>
        <w:rPr>
          <w:rFonts w:hint="eastAsia" w:cs="Times New Roman"/>
          <w:color w:val="000000"/>
          <w:kern w:val="0"/>
          <w:sz w:val="24"/>
          <w:szCs w:val="24"/>
          <w:highlight w:val="none"/>
          <w:lang w:val="en-US" w:eastAsia="zh-CN" w:bidi="ar"/>
        </w:rPr>
        <w:t>3</w:t>
      </w:r>
      <w:r>
        <w:rPr>
          <w:rFonts w:hint="eastAsia" w:ascii="Times New Roman" w:hAnsi="Times New Roman" w:eastAsia="宋体" w:cs="Times New Roman"/>
          <w:color w:val="000000"/>
          <w:kern w:val="0"/>
          <w:sz w:val="24"/>
          <w:szCs w:val="24"/>
          <w:highlight w:val="none"/>
          <w:lang w:val="en-US" w:eastAsia="zh-CN" w:bidi="ar"/>
        </w:rPr>
        <w:t>。</w:t>
      </w:r>
    </w:p>
    <w:p w14:paraId="207789B5">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表4.2-</w:t>
      </w:r>
      <w:r>
        <w:rPr>
          <w:rFonts w:hint="eastAsia" w:cs="Times New Roman"/>
          <w:b/>
          <w:color w:val="000000"/>
          <w:sz w:val="21"/>
          <w:szCs w:val="21"/>
          <w:highlight w:val="none"/>
          <w:lang w:val="en-US" w:eastAsia="zh-CN"/>
        </w:rPr>
        <w:t>3</w:t>
      </w:r>
      <w:r>
        <w:rPr>
          <w:rFonts w:hint="eastAsia" w:ascii="Times New Roman" w:hAnsi="Times New Roman" w:eastAsia="宋体" w:cs="Times New Roman"/>
          <w:b/>
          <w:color w:val="000000"/>
          <w:sz w:val="21"/>
          <w:szCs w:val="21"/>
          <w:highlight w:val="none"/>
          <w:lang w:val="en-US" w:eastAsia="zh-CN"/>
        </w:rPr>
        <w:t xml:space="preserve"> 纳污水体龙荫港枯水期纳污能力估算表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5"/>
        <w:gridCol w:w="826"/>
        <w:gridCol w:w="1033"/>
        <w:gridCol w:w="1423"/>
        <w:gridCol w:w="1423"/>
        <w:gridCol w:w="1424"/>
        <w:gridCol w:w="1424"/>
      </w:tblGrid>
      <w:tr w14:paraId="4AAF0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atLeast"/>
        </w:trPr>
        <w:tc>
          <w:tcPr>
            <w:tcW w:w="985" w:type="dxa"/>
            <w:tcBorders>
              <w:tl2br w:val="nil"/>
              <w:tr2bl w:val="nil"/>
            </w:tcBorders>
            <w:noWrap w:val="0"/>
            <w:vAlign w:val="center"/>
          </w:tcPr>
          <w:p w14:paraId="3207A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名称</w:t>
            </w:r>
          </w:p>
        </w:tc>
        <w:tc>
          <w:tcPr>
            <w:tcW w:w="826" w:type="dxa"/>
            <w:tcBorders>
              <w:tl2br w:val="nil"/>
              <w:tr2bl w:val="nil"/>
            </w:tcBorders>
            <w:noWrap w:val="0"/>
            <w:vAlign w:val="center"/>
          </w:tcPr>
          <w:p w14:paraId="23D23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纳污水体</w:t>
            </w:r>
          </w:p>
        </w:tc>
        <w:tc>
          <w:tcPr>
            <w:tcW w:w="1033" w:type="dxa"/>
            <w:tcBorders>
              <w:tl2br w:val="nil"/>
              <w:tr2bl w:val="nil"/>
            </w:tcBorders>
            <w:noWrap w:val="0"/>
            <w:vAlign w:val="center"/>
          </w:tcPr>
          <w:p w14:paraId="5A869B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时期</w:t>
            </w:r>
          </w:p>
        </w:tc>
        <w:tc>
          <w:tcPr>
            <w:tcW w:w="1423" w:type="dxa"/>
            <w:tcBorders>
              <w:tl2br w:val="nil"/>
              <w:tr2bl w:val="nil"/>
            </w:tcBorders>
            <w:noWrap w:val="0"/>
            <w:vAlign w:val="center"/>
          </w:tcPr>
          <w:p w14:paraId="615A0D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污染因子</w:t>
            </w:r>
          </w:p>
        </w:tc>
        <w:tc>
          <w:tcPr>
            <w:tcW w:w="1423" w:type="dxa"/>
            <w:tcBorders>
              <w:tl2br w:val="nil"/>
              <w:tr2bl w:val="nil"/>
            </w:tcBorders>
            <w:noWrap w:val="0"/>
            <w:vAlign w:val="center"/>
          </w:tcPr>
          <w:p w14:paraId="4DCD6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理想纳污能力（t/a）</w:t>
            </w:r>
          </w:p>
        </w:tc>
        <w:tc>
          <w:tcPr>
            <w:tcW w:w="1424" w:type="dxa"/>
            <w:tcBorders>
              <w:tl2br w:val="nil"/>
              <w:tr2bl w:val="nil"/>
            </w:tcBorders>
            <w:noWrap w:val="0"/>
            <w:vAlign w:val="center"/>
          </w:tcPr>
          <w:p w14:paraId="65458F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正常排放量（t/a）</w:t>
            </w:r>
          </w:p>
        </w:tc>
        <w:tc>
          <w:tcPr>
            <w:tcW w:w="1424" w:type="dxa"/>
            <w:tcBorders>
              <w:tl2br w:val="nil"/>
              <w:tr2bl w:val="nil"/>
            </w:tcBorders>
            <w:noWrap w:val="0"/>
            <w:vAlign w:val="center"/>
          </w:tcPr>
          <w:p w14:paraId="78787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剩余环境容量（t/a）</w:t>
            </w:r>
          </w:p>
        </w:tc>
      </w:tr>
      <w:tr w14:paraId="05FAB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85" w:type="dxa"/>
            <w:vMerge w:val="restart"/>
            <w:tcBorders>
              <w:tl2br w:val="nil"/>
              <w:tr2bl w:val="nil"/>
            </w:tcBorders>
            <w:noWrap w:val="0"/>
            <w:vAlign w:val="center"/>
          </w:tcPr>
          <w:p w14:paraId="49770A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南岳区污水处理厂入河排污口</w:t>
            </w:r>
          </w:p>
        </w:tc>
        <w:tc>
          <w:tcPr>
            <w:tcW w:w="826" w:type="dxa"/>
            <w:vMerge w:val="restart"/>
            <w:tcBorders>
              <w:tl2br w:val="nil"/>
              <w:tr2bl w:val="nil"/>
            </w:tcBorders>
            <w:noWrap w:val="0"/>
            <w:vAlign w:val="center"/>
          </w:tcPr>
          <w:p w14:paraId="1CF18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龙荫港</w:t>
            </w:r>
          </w:p>
        </w:tc>
        <w:tc>
          <w:tcPr>
            <w:tcW w:w="1033" w:type="dxa"/>
            <w:vMerge w:val="restart"/>
            <w:tcBorders>
              <w:tl2br w:val="nil"/>
              <w:tr2bl w:val="nil"/>
            </w:tcBorders>
            <w:noWrap w:val="0"/>
            <w:vAlign w:val="center"/>
          </w:tcPr>
          <w:p w14:paraId="2DC1C1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枯水期</w:t>
            </w:r>
          </w:p>
        </w:tc>
        <w:tc>
          <w:tcPr>
            <w:tcW w:w="1423" w:type="dxa"/>
            <w:tcBorders>
              <w:tl2br w:val="nil"/>
              <w:tr2bl w:val="nil"/>
            </w:tcBorders>
            <w:noWrap w:val="0"/>
            <w:vAlign w:val="center"/>
          </w:tcPr>
          <w:p w14:paraId="11688F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bidi="zh-CN"/>
              </w:rPr>
              <w:t>CODcr</w:t>
            </w:r>
          </w:p>
        </w:tc>
        <w:tc>
          <w:tcPr>
            <w:tcW w:w="1423" w:type="dxa"/>
            <w:tcBorders>
              <w:tl2br w:val="nil"/>
              <w:tr2bl w:val="nil"/>
            </w:tcBorders>
            <w:noWrap w:val="0"/>
            <w:vAlign w:val="center"/>
          </w:tcPr>
          <w:p w14:paraId="014C4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457.051</w:t>
            </w:r>
          </w:p>
        </w:tc>
        <w:tc>
          <w:tcPr>
            <w:tcW w:w="1424" w:type="dxa"/>
            <w:tcBorders>
              <w:tl2br w:val="nil"/>
              <w:tr2bl w:val="nil"/>
            </w:tcBorders>
            <w:noWrap w:val="0"/>
            <w:vAlign w:val="center"/>
          </w:tcPr>
          <w:p w14:paraId="6510ED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328.5</w:t>
            </w:r>
          </w:p>
        </w:tc>
        <w:tc>
          <w:tcPr>
            <w:tcW w:w="1424" w:type="dxa"/>
            <w:tcBorders>
              <w:tl2br w:val="nil"/>
              <w:tr2bl w:val="nil"/>
            </w:tcBorders>
            <w:noWrap w:val="0"/>
            <w:vAlign w:val="center"/>
          </w:tcPr>
          <w:p w14:paraId="632BBD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128.551</w:t>
            </w:r>
          </w:p>
        </w:tc>
      </w:tr>
      <w:tr w14:paraId="197FC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85" w:type="dxa"/>
            <w:vMerge w:val="continue"/>
            <w:tcBorders>
              <w:tl2br w:val="nil"/>
              <w:tr2bl w:val="nil"/>
            </w:tcBorders>
            <w:noWrap w:val="0"/>
            <w:vAlign w:val="center"/>
          </w:tcPr>
          <w:p w14:paraId="1AFB9C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826" w:type="dxa"/>
            <w:vMerge w:val="continue"/>
            <w:tcBorders>
              <w:tl2br w:val="nil"/>
              <w:tr2bl w:val="nil"/>
            </w:tcBorders>
            <w:noWrap w:val="0"/>
            <w:vAlign w:val="center"/>
          </w:tcPr>
          <w:p w14:paraId="6181AC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1033" w:type="dxa"/>
            <w:vMerge w:val="continue"/>
            <w:tcBorders>
              <w:tl2br w:val="nil"/>
              <w:tr2bl w:val="nil"/>
            </w:tcBorders>
            <w:noWrap w:val="0"/>
            <w:vAlign w:val="center"/>
          </w:tcPr>
          <w:p w14:paraId="71046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1423" w:type="dxa"/>
            <w:tcBorders>
              <w:tl2br w:val="nil"/>
              <w:tr2bl w:val="nil"/>
            </w:tcBorders>
            <w:noWrap w:val="0"/>
            <w:vAlign w:val="center"/>
          </w:tcPr>
          <w:p w14:paraId="3F5735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default" w:ascii="Times New Roman" w:hAnsi="Times New Roman" w:eastAsia="宋体" w:cs="Times New Roman"/>
                <w:b w:val="0"/>
                <w:bCs w:val="0"/>
                <w:color w:val="000000"/>
                <w:sz w:val="21"/>
                <w:szCs w:val="21"/>
                <w:highlight w:val="none"/>
                <w:lang w:val="en-US" w:eastAsia="zh-CN"/>
              </w:rPr>
              <w:t>NH</w:t>
            </w:r>
            <w:r>
              <w:rPr>
                <w:rFonts w:hint="default" w:ascii="Times New Roman" w:hAnsi="Times New Roman" w:eastAsia="宋体" w:cs="Times New Roman"/>
                <w:b w:val="0"/>
                <w:bCs w:val="0"/>
                <w:color w:val="000000"/>
                <w:sz w:val="21"/>
                <w:szCs w:val="21"/>
                <w:highlight w:val="none"/>
                <w:vertAlign w:val="subscript"/>
                <w:lang w:val="en-US" w:eastAsia="zh-CN"/>
              </w:rPr>
              <w:t>3</w:t>
            </w:r>
            <w:r>
              <w:rPr>
                <w:rFonts w:hint="default" w:ascii="Times New Roman" w:hAnsi="Times New Roman" w:eastAsia="宋体" w:cs="Times New Roman"/>
                <w:b w:val="0"/>
                <w:bCs w:val="0"/>
                <w:color w:val="000000"/>
                <w:sz w:val="21"/>
                <w:szCs w:val="21"/>
                <w:highlight w:val="none"/>
                <w:lang w:val="en-US" w:eastAsia="zh-CN"/>
              </w:rPr>
              <w:t>-N</w:t>
            </w:r>
          </w:p>
        </w:tc>
        <w:tc>
          <w:tcPr>
            <w:tcW w:w="1423" w:type="dxa"/>
            <w:tcBorders>
              <w:tl2br w:val="nil"/>
              <w:tr2bl w:val="nil"/>
            </w:tcBorders>
            <w:noWrap w:val="0"/>
            <w:vAlign w:val="center"/>
          </w:tcPr>
          <w:p w14:paraId="62EC8C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22.852</w:t>
            </w:r>
          </w:p>
        </w:tc>
        <w:tc>
          <w:tcPr>
            <w:tcW w:w="1424" w:type="dxa"/>
            <w:tcBorders>
              <w:tl2br w:val="nil"/>
              <w:tr2bl w:val="nil"/>
            </w:tcBorders>
            <w:noWrap w:val="0"/>
            <w:vAlign w:val="center"/>
          </w:tcPr>
          <w:p w14:paraId="3D96D6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default"/>
                <w:color w:val="auto"/>
                <w:sz w:val="21"/>
                <w:szCs w:val="21"/>
                <w:highlight w:val="none"/>
                <w:lang w:val="en-US" w:eastAsia="zh-CN"/>
              </w:rPr>
              <w:t>16.425</w:t>
            </w:r>
          </w:p>
        </w:tc>
        <w:tc>
          <w:tcPr>
            <w:tcW w:w="1424" w:type="dxa"/>
            <w:tcBorders>
              <w:tl2br w:val="nil"/>
              <w:tr2bl w:val="nil"/>
            </w:tcBorders>
            <w:noWrap w:val="0"/>
            <w:vAlign w:val="center"/>
          </w:tcPr>
          <w:p w14:paraId="1F93E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6.427</w:t>
            </w:r>
          </w:p>
        </w:tc>
      </w:tr>
      <w:tr w14:paraId="7D214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985" w:type="dxa"/>
            <w:vMerge w:val="continue"/>
            <w:tcBorders>
              <w:tl2br w:val="nil"/>
              <w:tr2bl w:val="nil"/>
            </w:tcBorders>
            <w:noWrap w:val="0"/>
            <w:vAlign w:val="center"/>
          </w:tcPr>
          <w:p w14:paraId="698D0E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826" w:type="dxa"/>
            <w:vMerge w:val="continue"/>
            <w:tcBorders>
              <w:tl2br w:val="nil"/>
              <w:tr2bl w:val="nil"/>
            </w:tcBorders>
            <w:noWrap w:val="0"/>
            <w:vAlign w:val="center"/>
          </w:tcPr>
          <w:p w14:paraId="645A2C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1033" w:type="dxa"/>
            <w:vMerge w:val="continue"/>
            <w:tcBorders>
              <w:tl2br w:val="nil"/>
              <w:tr2bl w:val="nil"/>
            </w:tcBorders>
            <w:noWrap w:val="0"/>
            <w:vAlign w:val="center"/>
          </w:tcPr>
          <w:p w14:paraId="67262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p>
        </w:tc>
        <w:tc>
          <w:tcPr>
            <w:tcW w:w="1423" w:type="dxa"/>
            <w:tcBorders>
              <w:tl2br w:val="nil"/>
              <w:tr2bl w:val="nil"/>
            </w:tcBorders>
            <w:noWrap w:val="0"/>
            <w:vAlign w:val="center"/>
          </w:tcPr>
          <w:p w14:paraId="57D4C5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default" w:ascii="Times New Roman" w:hAnsi="Times New Roman" w:eastAsia="宋体" w:cs="Times New Roman"/>
                <w:b w:val="0"/>
                <w:bCs w:val="0"/>
                <w:color w:val="000000"/>
                <w:sz w:val="21"/>
                <w:szCs w:val="21"/>
                <w:highlight w:val="none"/>
                <w:lang w:val="en-US" w:eastAsia="zh-CN"/>
              </w:rPr>
              <w:t>TP</w:t>
            </w:r>
          </w:p>
        </w:tc>
        <w:tc>
          <w:tcPr>
            <w:tcW w:w="1423" w:type="dxa"/>
            <w:tcBorders>
              <w:tl2br w:val="nil"/>
              <w:tr2bl w:val="nil"/>
            </w:tcBorders>
            <w:noWrap w:val="0"/>
            <w:vAlign w:val="center"/>
          </w:tcPr>
          <w:p w14:paraId="549FB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6.856</w:t>
            </w:r>
          </w:p>
        </w:tc>
        <w:tc>
          <w:tcPr>
            <w:tcW w:w="1424" w:type="dxa"/>
            <w:tcBorders>
              <w:tl2br w:val="nil"/>
              <w:tr2bl w:val="nil"/>
            </w:tcBorders>
            <w:noWrap w:val="0"/>
            <w:vAlign w:val="center"/>
          </w:tcPr>
          <w:p w14:paraId="0D8770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highlight w:val="none"/>
                <w:vertAlign w:val="baseline"/>
                <w:lang w:val="en-US" w:eastAsia="zh-CN"/>
              </w:rPr>
            </w:pPr>
            <w:r>
              <w:rPr>
                <w:rFonts w:hint="default"/>
                <w:color w:val="auto"/>
                <w:sz w:val="21"/>
                <w:szCs w:val="21"/>
                <w:highlight w:val="none"/>
                <w:lang w:val="en-US" w:eastAsia="zh-CN"/>
              </w:rPr>
              <w:t>3.285</w:t>
            </w:r>
          </w:p>
        </w:tc>
        <w:tc>
          <w:tcPr>
            <w:tcW w:w="1424" w:type="dxa"/>
            <w:tcBorders>
              <w:tl2br w:val="nil"/>
              <w:tr2bl w:val="nil"/>
            </w:tcBorders>
            <w:noWrap w:val="0"/>
            <w:vAlign w:val="center"/>
          </w:tcPr>
          <w:p w14:paraId="03CB16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3.571</w:t>
            </w:r>
          </w:p>
        </w:tc>
      </w:tr>
    </w:tbl>
    <w:p w14:paraId="5E467A0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根据上表4.2-2可知，</w:t>
      </w:r>
      <w:r>
        <w:rPr>
          <w:rFonts w:hint="eastAsia"/>
          <w:sz w:val="24"/>
          <w:szCs w:val="24"/>
          <w:highlight w:val="none"/>
          <w:vertAlign w:val="baseline"/>
          <w:lang w:val="en-US" w:eastAsia="zh-CN"/>
        </w:rPr>
        <w:t>南岳区污水处理厂入河排污口排放总量小于龙荫港论证区段的纳污能力</w:t>
      </w:r>
      <w:r>
        <w:rPr>
          <w:rFonts w:hint="eastAsia" w:ascii="Times New Roman" w:hAnsi="Times New Roman" w:eastAsia="宋体" w:cs="Times New Roman"/>
          <w:sz w:val="24"/>
          <w:szCs w:val="24"/>
          <w:highlight w:val="none"/>
          <w:lang w:val="en-US" w:eastAsia="zh-CN" w:bidi="ar-SA"/>
        </w:rPr>
        <w:t>，满足区域水域纳污能力及限值排放总量要求。</w:t>
      </w:r>
    </w:p>
    <w:p w14:paraId="3E061767">
      <w:pPr>
        <w:pStyle w:val="5"/>
        <w:numPr>
          <w:ilvl w:val="0"/>
          <w:numId w:val="0"/>
        </w:numPr>
        <w:bidi w:val="0"/>
        <w:ind w:left="0" w:leftChars="0" w:firstLine="0" w:firstLineChars="0"/>
        <w:rPr>
          <w:rFonts w:hint="eastAsia"/>
          <w:highlight w:val="none"/>
          <w:lang w:val="en-US" w:eastAsia="zh-CN"/>
        </w:rPr>
      </w:pPr>
      <w:bookmarkStart w:id="77" w:name="_Toc21435"/>
      <w:r>
        <w:rPr>
          <w:rFonts w:hint="eastAsia"/>
          <w:highlight w:val="none"/>
          <w:lang w:val="en-US" w:eastAsia="zh-CN"/>
        </w:rPr>
        <w:t>4.3 论证水功能区（水域）现有取排水状况</w:t>
      </w:r>
      <w:bookmarkEnd w:id="77"/>
    </w:p>
    <w:p w14:paraId="4070B9F3">
      <w:pPr>
        <w:pStyle w:val="6"/>
        <w:bidi w:val="0"/>
        <w:rPr>
          <w:rFonts w:hint="default"/>
          <w:highlight w:val="none"/>
          <w:lang w:val="en-US" w:eastAsia="zh-CN"/>
        </w:rPr>
      </w:pPr>
      <w:r>
        <w:rPr>
          <w:rFonts w:hint="eastAsia"/>
          <w:highlight w:val="none"/>
          <w:lang w:val="en-US" w:eastAsia="zh-CN"/>
        </w:rPr>
        <w:t>4.3.1 论证范围内的取水现状</w:t>
      </w:r>
    </w:p>
    <w:p w14:paraId="5E639B6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本入河排污口设置于南岳区南岳镇红星村老屋组（南岳区龙荫港左岸），论证范围</w:t>
      </w:r>
      <w:r>
        <w:rPr>
          <w:rFonts w:hint="eastAsia" w:cs="Times New Roman"/>
          <w:color w:val="000000"/>
          <w:kern w:val="0"/>
          <w:sz w:val="24"/>
          <w:szCs w:val="24"/>
          <w:highlight w:val="none"/>
          <w:lang w:val="en-US" w:eastAsia="zh-CN" w:bidi="ar"/>
        </w:rPr>
        <w:t>为本</w:t>
      </w:r>
      <w:r>
        <w:rPr>
          <w:rFonts w:hint="eastAsia" w:ascii="Times New Roman" w:hAnsi="Times New Roman" w:eastAsia="宋体" w:cs="Times New Roman"/>
          <w:color w:val="000000"/>
          <w:kern w:val="2"/>
          <w:sz w:val="24"/>
          <w:szCs w:val="20"/>
          <w:highlight w:val="none"/>
          <w:lang w:val="en-US" w:eastAsia="zh-CN" w:bidi="ar-SA"/>
        </w:rPr>
        <w:t>入河排污口</w:t>
      </w:r>
      <w:r>
        <w:rPr>
          <w:rFonts w:hint="eastAsia" w:cs="Times New Roman"/>
          <w:color w:val="000000"/>
          <w:kern w:val="2"/>
          <w:sz w:val="24"/>
          <w:szCs w:val="20"/>
          <w:highlight w:val="none"/>
          <w:lang w:val="en-US" w:eastAsia="zh-CN" w:bidi="ar-SA"/>
        </w:rPr>
        <w:t>入</w:t>
      </w:r>
      <w:r>
        <w:rPr>
          <w:rFonts w:hint="eastAsia" w:ascii="Times New Roman" w:hAnsi="Times New Roman"/>
          <w:color w:val="000000"/>
          <w:sz w:val="24"/>
          <w:szCs w:val="24"/>
          <w:highlight w:val="none"/>
        </w:rPr>
        <w:t>龙荫港</w:t>
      </w:r>
      <w:r>
        <w:rPr>
          <w:rFonts w:hint="eastAsia" w:ascii="Times New Roman" w:hAnsi="Times New Roman" w:eastAsia="宋体" w:cs="Times New Roman"/>
          <w:color w:val="000000"/>
          <w:kern w:val="2"/>
          <w:sz w:val="24"/>
          <w:szCs w:val="20"/>
          <w:highlight w:val="none"/>
          <w:lang w:val="en-US" w:eastAsia="zh-CN" w:bidi="ar-SA"/>
        </w:rPr>
        <w:t>上游500m处至下游5000m</w:t>
      </w:r>
      <w:r>
        <w:rPr>
          <w:rFonts w:hint="default" w:ascii="Times New Roman" w:hAnsi="Times New Roman" w:eastAsia="宋体" w:cs="Times New Roman"/>
          <w:color w:val="000000"/>
          <w:kern w:val="0"/>
          <w:sz w:val="24"/>
          <w:szCs w:val="24"/>
          <w:highlight w:val="none"/>
          <w:lang w:val="en-US" w:eastAsia="zh-CN" w:bidi="ar"/>
        </w:rPr>
        <w:t>，结合勘查及资料收集，</w:t>
      </w:r>
      <w:r>
        <w:rPr>
          <w:rFonts w:hint="eastAsia" w:cs="Times New Roman"/>
          <w:color w:val="000000"/>
          <w:kern w:val="0"/>
          <w:sz w:val="24"/>
          <w:szCs w:val="24"/>
          <w:highlight w:val="none"/>
          <w:lang w:val="en-US" w:eastAsia="zh-CN" w:bidi="ar"/>
        </w:rPr>
        <w:t>本入河</w:t>
      </w:r>
      <w:r>
        <w:rPr>
          <w:rFonts w:hint="eastAsia" w:ascii="Times New Roman" w:hAnsi="Times New Roman" w:eastAsia="宋体" w:cs="Times New Roman"/>
          <w:color w:val="000000"/>
          <w:kern w:val="0"/>
          <w:sz w:val="24"/>
          <w:szCs w:val="24"/>
          <w:highlight w:val="none"/>
          <w:lang w:val="en-US" w:eastAsia="zh-CN" w:bidi="ar"/>
        </w:rPr>
        <w:t>排污口</w:t>
      </w:r>
      <w:r>
        <w:rPr>
          <w:rFonts w:hint="eastAsia" w:cs="Times New Roman"/>
          <w:color w:val="auto"/>
          <w:spacing w:val="-1"/>
          <w:sz w:val="24"/>
          <w:szCs w:val="24"/>
          <w:highlight w:val="none"/>
          <w:u w:val="none"/>
          <w:lang w:val="en-US" w:eastAsia="zh-CN" w:bidi="zh-CN"/>
        </w:rPr>
        <w:t>上游5.6km为衡阳市南岳区兴隆水库饮用水水源保护区，不在本次论证范围内，</w:t>
      </w:r>
      <w:r>
        <w:rPr>
          <w:rFonts w:hint="default" w:ascii="Times New Roman" w:hAnsi="Times New Roman" w:eastAsia="宋体" w:cs="Times New Roman"/>
          <w:color w:val="000000"/>
          <w:kern w:val="0"/>
          <w:sz w:val="24"/>
          <w:szCs w:val="24"/>
          <w:highlight w:val="none"/>
          <w:lang w:val="en-US" w:eastAsia="zh-CN" w:bidi="ar"/>
        </w:rPr>
        <w:t>论证范围内主要为农业灌溉取水，不涉及其他重要取水口。</w:t>
      </w:r>
    </w:p>
    <w:p w14:paraId="778E678F">
      <w:pPr>
        <w:pStyle w:val="6"/>
        <w:bidi w:val="0"/>
        <w:rPr>
          <w:highlight w:val="none"/>
        </w:rPr>
      </w:pPr>
      <w:r>
        <w:rPr>
          <w:rFonts w:hint="eastAsia"/>
          <w:highlight w:val="none"/>
          <w:lang w:val="en-US" w:eastAsia="zh-CN"/>
        </w:rPr>
        <w:t>4.3.2 论证范围的排水现状</w:t>
      </w:r>
    </w:p>
    <w:p w14:paraId="1FBDCFC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本入河排污口设置于南岳区南岳镇红星村老屋组（南岳区龙荫港左岸），论证范围</w:t>
      </w:r>
      <w:r>
        <w:rPr>
          <w:rFonts w:hint="eastAsia" w:cs="Times New Roman"/>
          <w:color w:val="000000"/>
          <w:kern w:val="0"/>
          <w:sz w:val="24"/>
          <w:szCs w:val="24"/>
          <w:highlight w:val="none"/>
          <w:lang w:val="en-US" w:eastAsia="zh-CN" w:bidi="ar"/>
        </w:rPr>
        <w:t>为本</w:t>
      </w:r>
      <w:r>
        <w:rPr>
          <w:rFonts w:hint="eastAsia" w:ascii="Times New Roman" w:hAnsi="Times New Roman" w:eastAsia="宋体" w:cs="Times New Roman"/>
          <w:color w:val="000000"/>
          <w:kern w:val="2"/>
          <w:sz w:val="24"/>
          <w:szCs w:val="20"/>
          <w:highlight w:val="none"/>
          <w:lang w:val="en-US" w:eastAsia="zh-CN" w:bidi="ar-SA"/>
        </w:rPr>
        <w:t>入河排污口</w:t>
      </w:r>
      <w:r>
        <w:rPr>
          <w:rFonts w:hint="eastAsia" w:cs="Times New Roman"/>
          <w:color w:val="000000"/>
          <w:kern w:val="2"/>
          <w:sz w:val="24"/>
          <w:szCs w:val="20"/>
          <w:highlight w:val="none"/>
          <w:lang w:val="en-US" w:eastAsia="zh-CN" w:bidi="ar-SA"/>
        </w:rPr>
        <w:t>入</w:t>
      </w:r>
      <w:r>
        <w:rPr>
          <w:rFonts w:hint="eastAsia" w:ascii="Times New Roman" w:hAnsi="Times New Roman"/>
          <w:color w:val="000000"/>
          <w:sz w:val="24"/>
          <w:szCs w:val="24"/>
          <w:highlight w:val="none"/>
        </w:rPr>
        <w:t>龙荫港</w:t>
      </w:r>
      <w:r>
        <w:rPr>
          <w:rFonts w:hint="eastAsia" w:ascii="Times New Roman" w:hAnsi="Times New Roman" w:eastAsia="宋体" w:cs="Times New Roman"/>
          <w:color w:val="000000"/>
          <w:kern w:val="2"/>
          <w:sz w:val="24"/>
          <w:szCs w:val="20"/>
          <w:highlight w:val="none"/>
          <w:lang w:val="en-US" w:eastAsia="zh-CN" w:bidi="ar-SA"/>
        </w:rPr>
        <w:t>上游500m处至下游5000m</w:t>
      </w:r>
      <w:r>
        <w:rPr>
          <w:rFonts w:hint="default" w:ascii="Times New Roman" w:hAnsi="Times New Roman" w:eastAsia="宋体" w:cs="Times New Roman"/>
          <w:color w:val="000000"/>
          <w:kern w:val="0"/>
          <w:sz w:val="24"/>
          <w:szCs w:val="24"/>
          <w:highlight w:val="none"/>
          <w:lang w:val="en-US" w:eastAsia="zh-CN" w:bidi="ar"/>
        </w:rPr>
        <w:t>，结合勘查及资料收集，论证范围内</w:t>
      </w:r>
      <w:r>
        <w:rPr>
          <w:rFonts w:hint="eastAsia" w:ascii="Times New Roman" w:hAnsi="Times New Roman" w:eastAsia="宋体" w:cs="Times New Roman"/>
          <w:color w:val="000000"/>
          <w:kern w:val="0"/>
          <w:sz w:val="24"/>
          <w:szCs w:val="24"/>
          <w:highlight w:val="none"/>
          <w:lang w:val="en-US" w:eastAsia="zh-CN" w:bidi="ar"/>
        </w:rPr>
        <w:t>无其他入河排污口。</w:t>
      </w:r>
    </w:p>
    <w:p w14:paraId="0B5F6201">
      <w:pPr>
        <w:pStyle w:val="5"/>
        <w:numPr>
          <w:ilvl w:val="0"/>
          <w:numId w:val="0"/>
        </w:numPr>
        <w:bidi w:val="0"/>
        <w:ind w:left="0" w:leftChars="0" w:firstLine="0" w:firstLineChars="0"/>
        <w:rPr>
          <w:rFonts w:hint="default"/>
          <w:highlight w:val="none"/>
          <w:lang w:val="en-US" w:eastAsia="zh-CN"/>
        </w:rPr>
      </w:pPr>
      <w:bookmarkStart w:id="78" w:name="_Toc18068"/>
      <w:r>
        <w:rPr>
          <w:rFonts w:hint="eastAsia"/>
          <w:highlight w:val="none"/>
          <w:lang w:val="en-US" w:eastAsia="zh-CN"/>
        </w:rPr>
        <w:t>4.4 水功能区（水域）水质现状</w:t>
      </w:r>
      <w:bookmarkEnd w:id="78"/>
    </w:p>
    <w:p w14:paraId="094BDBE5">
      <w:pPr>
        <w:pStyle w:val="6"/>
        <w:bidi w:val="0"/>
        <w:rPr>
          <w:rFonts w:hint="default"/>
          <w:highlight w:val="none"/>
          <w:lang w:val="en-US" w:eastAsia="zh-CN"/>
        </w:rPr>
      </w:pPr>
      <w:r>
        <w:rPr>
          <w:rFonts w:hint="eastAsia"/>
          <w:highlight w:val="none"/>
          <w:lang w:val="en-US" w:eastAsia="zh-CN"/>
        </w:rPr>
        <w:t>4.4.1 常规监测断面</w:t>
      </w:r>
    </w:p>
    <w:p w14:paraId="014873B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sz w:val="24"/>
          <w:szCs w:val="24"/>
          <w:highlight w:val="none"/>
          <w:lang w:val="en-US" w:eastAsia="zh-CN"/>
        </w:rPr>
        <w:t>本入河排污口纳污水体为南岳区龙荫港</w:t>
      </w:r>
      <w:r>
        <w:rPr>
          <w:rFonts w:hint="eastAsia"/>
          <w:sz w:val="24"/>
          <w:szCs w:val="24"/>
          <w:highlight w:val="none"/>
          <w:lang w:val="en-US" w:eastAsia="zh-CN"/>
        </w:rPr>
        <w:t>，根据衡阳市生态环境局发布的《关于2022年12月及1-12月全市环境质量状况的通报》可知，“2022年1~12，衡阳市44个断面中，II类37个，III类7个。其中13个交界断面中II类水质10个，III类3个；13个国考断面中II类12个，III类1个”，根据附表6可知，湘江龙荫港兴隆水库断面、梅桥村断面水质满足III类标准，区域水环境质量较好。</w:t>
      </w:r>
    </w:p>
    <w:p w14:paraId="35D7106C">
      <w:pPr>
        <w:pStyle w:val="6"/>
        <w:bidi w:val="0"/>
        <w:rPr>
          <w:rFonts w:hint="default"/>
          <w:highlight w:val="none"/>
          <w:lang w:val="en-US" w:eastAsia="zh-CN"/>
        </w:rPr>
      </w:pPr>
      <w:r>
        <w:rPr>
          <w:rFonts w:hint="eastAsia"/>
          <w:highlight w:val="none"/>
          <w:lang w:val="en-US" w:eastAsia="zh-CN"/>
        </w:rPr>
        <w:t>4.4.2 现状引用监测</w:t>
      </w:r>
    </w:p>
    <w:p w14:paraId="1FAB6B3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sz w:val="24"/>
          <w:szCs w:val="24"/>
          <w:highlight w:val="none"/>
          <w:lang w:val="en-US" w:eastAsia="zh-CN"/>
        </w:rPr>
        <w:t>本入河排污口纳污水体为南岳区龙荫港，暂未划定水功能区，属于农业用水</w:t>
      </w:r>
      <w:r>
        <w:rPr>
          <w:rFonts w:hint="eastAsia"/>
          <w:sz w:val="24"/>
          <w:szCs w:val="24"/>
          <w:highlight w:val="none"/>
          <w:lang w:val="en-US" w:eastAsia="zh-CN"/>
        </w:rPr>
        <w:t>区</w:t>
      </w:r>
      <w:r>
        <w:rPr>
          <w:rFonts w:hint="default"/>
          <w:sz w:val="24"/>
          <w:szCs w:val="24"/>
          <w:highlight w:val="none"/>
          <w:lang w:val="en-US" w:eastAsia="zh-CN"/>
        </w:rPr>
        <w:t>，参照执行《</w:t>
      </w:r>
      <w:r>
        <w:rPr>
          <w:rFonts w:hint="eastAsia"/>
          <w:sz w:val="24"/>
          <w:szCs w:val="24"/>
          <w:highlight w:val="none"/>
          <w:lang w:val="en-US" w:eastAsia="zh-CN"/>
        </w:rPr>
        <w:t>地表水环境质量标准</w:t>
      </w:r>
      <w:r>
        <w:rPr>
          <w:rFonts w:hint="default"/>
          <w:sz w:val="24"/>
          <w:szCs w:val="24"/>
          <w:highlight w:val="none"/>
          <w:lang w:val="en-US" w:eastAsia="zh-CN"/>
        </w:rPr>
        <w:t>》（GB3838-2002）</w:t>
      </w:r>
      <w:r>
        <w:rPr>
          <w:rFonts w:hint="eastAsia"/>
          <w:sz w:val="24"/>
          <w:szCs w:val="24"/>
          <w:highlight w:val="none"/>
          <w:lang w:val="en-US" w:eastAsia="zh-CN"/>
        </w:rPr>
        <w:t>中</w:t>
      </w:r>
      <w:r>
        <w:rPr>
          <w:rFonts w:hint="default"/>
          <w:sz w:val="24"/>
          <w:szCs w:val="24"/>
          <w:highlight w:val="none"/>
          <w:lang w:val="en-US" w:eastAsia="zh-CN"/>
        </w:rPr>
        <w:t>III类</w:t>
      </w:r>
      <w:r>
        <w:rPr>
          <w:rFonts w:hint="eastAsia"/>
          <w:sz w:val="24"/>
          <w:szCs w:val="24"/>
          <w:highlight w:val="none"/>
          <w:lang w:val="en-US" w:eastAsia="zh-CN"/>
        </w:rPr>
        <w:t>水质</w:t>
      </w:r>
      <w:r>
        <w:rPr>
          <w:rFonts w:hint="default"/>
          <w:sz w:val="24"/>
          <w:szCs w:val="24"/>
          <w:highlight w:val="none"/>
          <w:lang w:val="en-US" w:eastAsia="zh-CN"/>
        </w:rPr>
        <w:t>标准。</w:t>
      </w:r>
    </w:p>
    <w:p w14:paraId="2438603B">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sz w:val="24"/>
          <w:szCs w:val="24"/>
          <w:highlight w:val="none"/>
          <w:lang w:val="en-US" w:eastAsia="zh-CN"/>
        </w:rPr>
        <w:t>为了更好地了解本入河排污口论证范围内龙荫港的水质现状，</w:t>
      </w:r>
      <w:r>
        <w:rPr>
          <w:rFonts w:hint="eastAsia"/>
          <w:sz w:val="24"/>
          <w:szCs w:val="24"/>
          <w:highlight w:val="none"/>
          <w:lang w:val="en-US" w:eastAsia="zh-CN"/>
        </w:rPr>
        <w:t>本次论证</w:t>
      </w:r>
      <w:r>
        <w:rPr>
          <w:rFonts w:hint="default"/>
          <w:sz w:val="24"/>
          <w:szCs w:val="24"/>
          <w:highlight w:val="none"/>
          <w:lang w:val="en-US" w:eastAsia="zh-CN"/>
        </w:rPr>
        <w:t>引用《南岳区城镇污水收集处理及配套设施建设项目（厂区部分）环境影响报告表》（湖南三方环境科技有限公司，2023年2月）中的地表水环境影响专项评价中对龙荫港的</w:t>
      </w:r>
      <w:r>
        <w:rPr>
          <w:rFonts w:hint="eastAsia"/>
          <w:sz w:val="24"/>
          <w:szCs w:val="24"/>
          <w:highlight w:val="none"/>
          <w:lang w:val="en-US" w:eastAsia="zh-CN"/>
        </w:rPr>
        <w:t>地表水现状</w:t>
      </w:r>
      <w:r>
        <w:rPr>
          <w:rFonts w:hint="default"/>
          <w:sz w:val="24"/>
          <w:szCs w:val="24"/>
          <w:highlight w:val="none"/>
          <w:lang w:val="en-US" w:eastAsia="zh-CN"/>
        </w:rPr>
        <w:t>监测数据。</w:t>
      </w:r>
    </w:p>
    <w:p w14:paraId="78EE88BA">
      <w:pPr>
        <w:pStyle w:val="59"/>
        <w:ind w:firstLine="480"/>
        <w:rPr>
          <w:rFonts w:hint="default" w:ascii="Times New Roman" w:hAnsi="Times New Roman" w:eastAsia="宋体" w:cs="Times New Roman"/>
          <w:snapToGrid w:val="0"/>
          <w:highlight w:val="none"/>
          <w:u w:val="none"/>
          <w:lang w:val="en-US" w:eastAsia="zh-CN"/>
        </w:rPr>
      </w:pPr>
      <w:r>
        <w:rPr>
          <w:rFonts w:hint="eastAsia" w:ascii="Times New Roman" w:hAnsi="Times New Roman" w:eastAsia="宋体" w:cs="Times New Roman"/>
          <w:snapToGrid w:val="0"/>
          <w:highlight w:val="none"/>
          <w:u w:val="none"/>
          <w:lang w:val="en-US" w:eastAsia="zh-CN"/>
        </w:rPr>
        <w:t>（1）监测方案</w:t>
      </w:r>
    </w:p>
    <w:p w14:paraId="0CDEB21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bCs/>
          <w:color w:val="000000"/>
          <w:sz w:val="24"/>
          <w:szCs w:val="24"/>
          <w:highlight w:val="none"/>
          <w:lang w:val="en-US" w:eastAsia="zh-CN" w:bidi="ar-SA"/>
        </w:rPr>
      </w:pPr>
      <w:r>
        <w:rPr>
          <w:rFonts w:hint="eastAsia"/>
          <w:sz w:val="24"/>
          <w:szCs w:val="24"/>
          <w:highlight w:val="none"/>
          <w:lang w:val="en-US" w:eastAsia="zh-CN"/>
        </w:rPr>
        <w:t>2023年2月4日至6日，</w:t>
      </w:r>
      <w:r>
        <w:rPr>
          <w:rFonts w:hint="default"/>
          <w:sz w:val="24"/>
          <w:szCs w:val="24"/>
          <w:highlight w:val="none"/>
          <w:lang w:val="en-US" w:eastAsia="zh-CN"/>
        </w:rPr>
        <w:t>湖南三方环境科技有限公司</w:t>
      </w:r>
      <w:r>
        <w:rPr>
          <w:rFonts w:hint="eastAsia"/>
          <w:sz w:val="24"/>
          <w:szCs w:val="24"/>
          <w:highlight w:val="none"/>
          <w:lang w:val="en-US" w:eastAsia="zh-CN"/>
        </w:rPr>
        <w:t>委托湖南中盛检测技术有限公司对南岳区污水处理厂纳污水体龙荫港进行现状监测，监测方案如下，检测报告详见附件1</w:t>
      </w:r>
      <w:r>
        <w:rPr>
          <w:rFonts w:hint="default"/>
          <w:sz w:val="24"/>
          <w:szCs w:val="24"/>
          <w:highlight w:val="none"/>
          <w:lang w:val="en-US" w:eastAsia="zh-CN"/>
        </w:rPr>
        <w:t>。</w:t>
      </w:r>
    </w:p>
    <w:p w14:paraId="3587A8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highlight w:val="none"/>
          <w:lang w:val="en-US" w:eastAsia="zh-CN"/>
        </w:rPr>
      </w:pPr>
      <w:r>
        <w:rPr>
          <w:rFonts w:hint="eastAsia"/>
          <w:b/>
          <w:bCs/>
          <w:highlight w:val="none"/>
          <w:lang w:val="en-US" w:eastAsia="zh-CN"/>
        </w:rPr>
        <w:t>表4.4-1 引用监测方案一览表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630"/>
        <w:gridCol w:w="2562"/>
        <w:gridCol w:w="2135"/>
      </w:tblGrid>
      <w:tr w14:paraId="26BAF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11" w:type="dxa"/>
            <w:tcBorders>
              <w:tl2br w:val="nil"/>
              <w:tr2bl w:val="nil"/>
            </w:tcBorders>
            <w:noWrap w:val="0"/>
            <w:vAlign w:val="center"/>
          </w:tcPr>
          <w:p w14:paraId="01360E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样品类别</w:t>
            </w:r>
          </w:p>
        </w:tc>
        <w:tc>
          <w:tcPr>
            <w:tcW w:w="2630" w:type="dxa"/>
            <w:tcBorders>
              <w:tl2br w:val="nil"/>
              <w:tr2bl w:val="nil"/>
            </w:tcBorders>
            <w:noWrap w:val="0"/>
            <w:vAlign w:val="center"/>
          </w:tcPr>
          <w:p w14:paraId="53F061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监测点位</w:t>
            </w:r>
          </w:p>
        </w:tc>
        <w:tc>
          <w:tcPr>
            <w:tcW w:w="2562" w:type="dxa"/>
            <w:tcBorders>
              <w:tl2br w:val="nil"/>
              <w:tr2bl w:val="nil"/>
            </w:tcBorders>
            <w:noWrap w:val="0"/>
            <w:vAlign w:val="center"/>
          </w:tcPr>
          <w:p w14:paraId="71BBA2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检测项目</w:t>
            </w:r>
          </w:p>
        </w:tc>
        <w:tc>
          <w:tcPr>
            <w:tcW w:w="2135" w:type="dxa"/>
            <w:tcBorders>
              <w:tl2br w:val="nil"/>
              <w:tr2bl w:val="nil"/>
            </w:tcBorders>
            <w:noWrap w:val="0"/>
            <w:vAlign w:val="center"/>
          </w:tcPr>
          <w:p w14:paraId="1121C2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检测频次</w:t>
            </w:r>
          </w:p>
        </w:tc>
      </w:tr>
      <w:tr w14:paraId="1A53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11" w:type="dxa"/>
            <w:vMerge w:val="restart"/>
            <w:tcBorders>
              <w:tl2br w:val="nil"/>
              <w:tr2bl w:val="nil"/>
            </w:tcBorders>
            <w:noWrap w:val="0"/>
            <w:vAlign w:val="center"/>
          </w:tcPr>
          <w:p w14:paraId="41FC47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地表水</w:t>
            </w:r>
          </w:p>
        </w:tc>
        <w:tc>
          <w:tcPr>
            <w:tcW w:w="2630" w:type="dxa"/>
            <w:tcBorders>
              <w:tl2br w:val="nil"/>
              <w:tr2bl w:val="nil"/>
            </w:tcBorders>
            <w:noWrap w:val="0"/>
            <w:vAlign w:val="center"/>
          </w:tcPr>
          <w:p w14:paraId="58576B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S1排口上游500m处</w:t>
            </w:r>
          </w:p>
        </w:tc>
        <w:tc>
          <w:tcPr>
            <w:tcW w:w="2562" w:type="dxa"/>
            <w:vMerge w:val="restart"/>
            <w:tcBorders>
              <w:tl2br w:val="nil"/>
              <w:tr2bl w:val="nil"/>
            </w:tcBorders>
            <w:noWrap w:val="0"/>
            <w:vAlign w:val="center"/>
          </w:tcPr>
          <w:p w14:paraId="22E137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rPr>
              <w:t>pH值</w:t>
            </w:r>
            <w:r>
              <w:rPr>
                <w:rFonts w:hint="eastAsia"/>
                <w:highlight w:val="none"/>
                <w:lang w:eastAsia="zh-CN"/>
              </w:rPr>
              <w:t>、</w:t>
            </w:r>
            <w:r>
              <w:rPr>
                <w:rFonts w:hint="eastAsia"/>
                <w:highlight w:val="none"/>
                <w:lang w:val="en-US" w:eastAsia="zh-CN"/>
              </w:rPr>
              <w:t>化学需氧量、五日生化需氧量、悬浮物、氨氮、总磷、总氮、水温</w:t>
            </w:r>
          </w:p>
        </w:tc>
        <w:tc>
          <w:tcPr>
            <w:tcW w:w="2135" w:type="dxa"/>
            <w:vMerge w:val="restart"/>
            <w:tcBorders>
              <w:tl2br w:val="nil"/>
              <w:tr2bl w:val="nil"/>
            </w:tcBorders>
            <w:noWrap w:val="0"/>
            <w:vAlign w:val="center"/>
          </w:tcPr>
          <w:p w14:paraId="48D0A2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1次/天，连续三天</w:t>
            </w:r>
          </w:p>
        </w:tc>
      </w:tr>
      <w:tr w14:paraId="3EDF7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11" w:type="dxa"/>
            <w:vMerge w:val="continue"/>
            <w:tcBorders>
              <w:tl2br w:val="nil"/>
              <w:tr2bl w:val="nil"/>
            </w:tcBorders>
            <w:noWrap w:val="0"/>
            <w:vAlign w:val="center"/>
          </w:tcPr>
          <w:p w14:paraId="5F03B3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c>
          <w:tcPr>
            <w:tcW w:w="2630" w:type="dxa"/>
            <w:tcBorders>
              <w:tl2br w:val="nil"/>
              <w:tr2bl w:val="nil"/>
            </w:tcBorders>
            <w:noWrap w:val="0"/>
            <w:vAlign w:val="center"/>
          </w:tcPr>
          <w:p w14:paraId="5B6EF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S2排口下游1000m处</w:t>
            </w:r>
          </w:p>
        </w:tc>
        <w:tc>
          <w:tcPr>
            <w:tcW w:w="2562" w:type="dxa"/>
            <w:vMerge w:val="continue"/>
            <w:tcBorders>
              <w:tl2br w:val="nil"/>
              <w:tr2bl w:val="nil"/>
            </w:tcBorders>
            <w:noWrap w:val="0"/>
            <w:vAlign w:val="center"/>
          </w:tcPr>
          <w:p w14:paraId="4470B2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c>
          <w:tcPr>
            <w:tcW w:w="2135" w:type="dxa"/>
            <w:vMerge w:val="continue"/>
            <w:tcBorders>
              <w:tl2br w:val="nil"/>
              <w:tr2bl w:val="nil"/>
            </w:tcBorders>
            <w:noWrap w:val="0"/>
            <w:vAlign w:val="center"/>
          </w:tcPr>
          <w:p w14:paraId="1768F3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r>
      <w:tr w14:paraId="2D677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11" w:type="dxa"/>
            <w:vMerge w:val="continue"/>
            <w:tcBorders>
              <w:tl2br w:val="nil"/>
              <w:tr2bl w:val="nil"/>
            </w:tcBorders>
            <w:noWrap w:val="0"/>
            <w:vAlign w:val="center"/>
          </w:tcPr>
          <w:p w14:paraId="76A56F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c>
          <w:tcPr>
            <w:tcW w:w="2630" w:type="dxa"/>
            <w:tcBorders>
              <w:tl2br w:val="nil"/>
              <w:tr2bl w:val="nil"/>
            </w:tcBorders>
            <w:noWrap w:val="0"/>
            <w:vAlign w:val="center"/>
          </w:tcPr>
          <w:p w14:paraId="313452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r>
              <w:rPr>
                <w:rFonts w:hint="eastAsia"/>
                <w:highlight w:val="none"/>
                <w:lang w:val="en-US" w:eastAsia="zh-CN"/>
              </w:rPr>
              <w:t>S3支流汇入后200m处</w:t>
            </w:r>
          </w:p>
        </w:tc>
        <w:tc>
          <w:tcPr>
            <w:tcW w:w="2562" w:type="dxa"/>
            <w:vMerge w:val="continue"/>
            <w:tcBorders>
              <w:tl2br w:val="nil"/>
              <w:tr2bl w:val="nil"/>
            </w:tcBorders>
            <w:noWrap w:val="0"/>
            <w:vAlign w:val="center"/>
          </w:tcPr>
          <w:p w14:paraId="4F1A6E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c>
          <w:tcPr>
            <w:tcW w:w="2135" w:type="dxa"/>
            <w:vMerge w:val="continue"/>
            <w:tcBorders>
              <w:tl2br w:val="nil"/>
              <w:tr2bl w:val="nil"/>
            </w:tcBorders>
            <w:noWrap w:val="0"/>
            <w:vAlign w:val="center"/>
          </w:tcPr>
          <w:p w14:paraId="352270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highlight w:val="none"/>
                <w:lang w:val="en-US" w:eastAsia="zh-CN"/>
              </w:rPr>
            </w:pPr>
          </w:p>
        </w:tc>
      </w:tr>
    </w:tbl>
    <w:p w14:paraId="0E7E68F3">
      <w:pPr>
        <w:pStyle w:val="59"/>
        <w:ind w:firstLine="480"/>
        <w:rPr>
          <w:snapToGrid w:val="0"/>
          <w:highlight w:val="none"/>
          <w:u w:val="none"/>
        </w:rPr>
      </w:pPr>
      <w:r>
        <w:rPr>
          <w:rFonts w:hint="eastAsia"/>
          <w:snapToGrid w:val="0"/>
          <w:highlight w:val="none"/>
          <w:u w:val="none"/>
        </w:rPr>
        <w:t>（</w:t>
      </w:r>
      <w:r>
        <w:rPr>
          <w:rFonts w:hint="eastAsia"/>
          <w:snapToGrid w:val="0"/>
          <w:highlight w:val="none"/>
          <w:u w:val="none"/>
          <w:lang w:val="en-US" w:eastAsia="zh-CN"/>
        </w:rPr>
        <w:t>2</w:t>
      </w:r>
      <w:r>
        <w:rPr>
          <w:rFonts w:hint="eastAsia"/>
          <w:snapToGrid w:val="0"/>
          <w:highlight w:val="none"/>
          <w:u w:val="none"/>
        </w:rPr>
        <w:t>）</w:t>
      </w:r>
      <w:r>
        <w:rPr>
          <w:snapToGrid w:val="0"/>
          <w:highlight w:val="none"/>
          <w:u w:val="none"/>
        </w:rPr>
        <w:t>评价方法</w:t>
      </w:r>
    </w:p>
    <w:p w14:paraId="61EC225A">
      <w:pPr>
        <w:pStyle w:val="59"/>
        <w:ind w:firstLine="480"/>
        <w:rPr>
          <w:highlight w:val="none"/>
          <w:u w:val="none"/>
          <w:lang w:val="zh-CN"/>
        </w:rPr>
      </w:pPr>
      <w:r>
        <w:rPr>
          <w:rFonts w:hint="eastAsia"/>
          <w:highlight w:val="none"/>
          <w:u w:val="none"/>
          <w:lang w:val="en-US" w:eastAsia="zh-CN"/>
        </w:rPr>
        <w:t>根据《环境影响评价技术导则 地表水环境》（HJ2.2-2018）附录D中的水环境质量评价方法，本次论证报告</w:t>
      </w:r>
      <w:r>
        <w:rPr>
          <w:highlight w:val="none"/>
          <w:u w:val="none"/>
          <w:lang w:val="zh-CN"/>
        </w:rPr>
        <w:t>评价方法采用单项水质指数法进行评价</w:t>
      </w:r>
      <w:r>
        <w:rPr>
          <w:rFonts w:hint="eastAsia"/>
          <w:highlight w:val="none"/>
          <w:u w:val="none"/>
          <w:lang w:val="zh-CN"/>
        </w:rPr>
        <w:t>。</w:t>
      </w:r>
    </w:p>
    <w:p w14:paraId="423D9A9C">
      <w:pPr>
        <w:pStyle w:val="59"/>
        <w:ind w:firstLine="480"/>
        <w:rPr>
          <w:rFonts w:hint="default" w:eastAsia="宋体"/>
          <w:highlight w:val="none"/>
          <w:u w:val="none"/>
          <w:lang w:val="en-US" w:eastAsia="zh-CN"/>
        </w:rPr>
      </w:pPr>
      <w:r>
        <w:rPr>
          <w:rFonts w:hint="eastAsia"/>
          <w:highlight w:val="none"/>
          <w:u w:val="none"/>
          <w:lang w:val="en-US" w:eastAsia="zh-CN"/>
        </w:rPr>
        <w:t>一般性水质因子的指数计算公式：</w:t>
      </w:r>
    </w:p>
    <w:p w14:paraId="14395FE2">
      <w:pPr>
        <w:pStyle w:val="53"/>
        <w:jc w:val="center"/>
        <w:rPr>
          <w:highlight w:val="none"/>
          <w:u w:val="none"/>
          <w:lang w:val="zh-CN"/>
        </w:rPr>
      </w:pPr>
      <w:r>
        <w:rPr>
          <w:position w:val="-14"/>
          <w:highlight w:val="none"/>
          <w:u w:val="none"/>
          <w:lang w:val="zh-CN"/>
        </w:rPr>
        <w:object>
          <v:shape id="_x0000_i1027" o:spt="75" type="#_x0000_t75" style="height:27.25pt;width:94.65pt;" o:ole="t" filled="f" o:preferrelative="t" stroked="f" coordsize="21600,21600">
            <v:path/>
            <v:fill on="f" focussize="0,0"/>
            <v:stroke on="f"/>
            <v:imagedata r:id="rId35" o:title=""/>
            <o:lock v:ext="edit" aspectratio="t"/>
            <w10:wrap type="none"/>
            <w10:anchorlock/>
          </v:shape>
          <o:OLEObject Type="Embed" ProgID="Equation.KSEE3" ShapeID="_x0000_i1027" DrawAspect="Content" ObjectID="_1468075727" r:id="rId34">
            <o:LockedField>false</o:LockedField>
          </o:OLEObject>
        </w:object>
      </w:r>
    </w:p>
    <w:p w14:paraId="7A76030D">
      <w:pPr>
        <w:pStyle w:val="59"/>
        <w:ind w:firstLine="480"/>
        <w:rPr>
          <w:highlight w:val="none"/>
          <w:u w:val="none"/>
          <w:lang w:val="zh-CN"/>
        </w:rPr>
      </w:pPr>
      <w:r>
        <w:rPr>
          <w:highlight w:val="none"/>
          <w:u w:val="none"/>
          <w:lang w:val="zh-CN"/>
        </w:rPr>
        <w:t>式中：</w:t>
      </w:r>
      <w:r>
        <w:rPr>
          <w:rFonts w:hint="eastAsia"/>
          <w:highlight w:val="none"/>
          <w:u w:val="none"/>
          <w:lang w:val="en-US" w:eastAsia="zh-CN"/>
        </w:rPr>
        <w:t>S</w:t>
      </w:r>
      <w:r>
        <w:rPr>
          <w:rFonts w:hint="eastAsia"/>
          <w:highlight w:val="none"/>
          <w:u w:val="none"/>
          <w:vertAlign w:val="subscript"/>
          <w:lang w:val="en-US" w:eastAsia="zh-CN"/>
        </w:rPr>
        <w:t>i,j</w:t>
      </w:r>
      <w:r>
        <w:rPr>
          <w:highlight w:val="none"/>
          <w:u w:val="none"/>
          <w:lang w:val="zh-CN"/>
        </w:rPr>
        <w:t>——</w:t>
      </w:r>
      <w:r>
        <w:rPr>
          <w:rFonts w:hint="eastAsia"/>
          <w:highlight w:val="none"/>
          <w:u w:val="none"/>
          <w:lang w:val="en-US" w:eastAsia="zh-CN"/>
        </w:rPr>
        <w:t>评价因子i的水质指数，大于1表明该水质因子超标</w:t>
      </w:r>
      <w:r>
        <w:rPr>
          <w:highlight w:val="none"/>
          <w:u w:val="none"/>
          <w:lang w:val="zh-CN"/>
        </w:rPr>
        <w:t>；</w:t>
      </w:r>
    </w:p>
    <w:p w14:paraId="3174C30B">
      <w:pPr>
        <w:pStyle w:val="59"/>
        <w:ind w:firstLine="1300" w:firstLineChars="500"/>
        <w:rPr>
          <w:spacing w:val="10"/>
          <w:highlight w:val="none"/>
          <w:u w:val="none"/>
          <w:lang w:val="zh-CN"/>
        </w:rPr>
      </w:pPr>
      <w:r>
        <w:rPr>
          <w:spacing w:val="10"/>
          <w:highlight w:val="none"/>
          <w:u w:val="none"/>
          <w:lang w:val="zh-CN"/>
        </w:rPr>
        <w:t>Ci——</w:t>
      </w:r>
      <w:r>
        <w:rPr>
          <w:rFonts w:hint="eastAsia"/>
          <w:spacing w:val="10"/>
          <w:highlight w:val="none"/>
          <w:u w:val="none"/>
          <w:lang w:val="en-US" w:eastAsia="zh-CN"/>
        </w:rPr>
        <w:t>评价因子i在j点处</w:t>
      </w:r>
      <w:r>
        <w:rPr>
          <w:spacing w:val="10"/>
          <w:highlight w:val="none"/>
          <w:u w:val="none"/>
          <w:lang w:val="zh-CN"/>
        </w:rPr>
        <w:t>的实测</w:t>
      </w:r>
      <w:r>
        <w:rPr>
          <w:rFonts w:hint="eastAsia"/>
          <w:spacing w:val="10"/>
          <w:highlight w:val="none"/>
          <w:u w:val="none"/>
          <w:lang w:val="en-US" w:eastAsia="zh-CN"/>
        </w:rPr>
        <w:t>统计代表值</w:t>
      </w:r>
      <w:r>
        <w:rPr>
          <w:spacing w:val="10"/>
          <w:highlight w:val="none"/>
          <w:u w:val="none"/>
          <w:lang w:val="zh-CN"/>
        </w:rPr>
        <w:t>，mg/L；</w:t>
      </w:r>
    </w:p>
    <w:p w14:paraId="732FF16A">
      <w:pPr>
        <w:pStyle w:val="59"/>
        <w:ind w:firstLine="1300" w:firstLineChars="500"/>
        <w:rPr>
          <w:spacing w:val="10"/>
          <w:highlight w:val="none"/>
          <w:u w:val="none"/>
          <w:lang w:val="zh-CN"/>
        </w:rPr>
      </w:pPr>
      <w:r>
        <w:rPr>
          <w:spacing w:val="10"/>
          <w:highlight w:val="none"/>
          <w:u w:val="none"/>
          <w:lang w:val="zh-CN"/>
        </w:rPr>
        <w:t>C</w:t>
      </w:r>
      <w:r>
        <w:rPr>
          <w:spacing w:val="10"/>
          <w:highlight w:val="none"/>
          <w:u w:val="none"/>
          <w:vertAlign w:val="subscript"/>
          <w:lang w:val="zh-CN"/>
        </w:rPr>
        <w:t>0</w:t>
      </w:r>
      <w:r>
        <w:rPr>
          <w:spacing w:val="10"/>
          <w:highlight w:val="none"/>
          <w:u w:val="none"/>
          <w:lang w:val="zh-CN"/>
        </w:rPr>
        <w:t>——</w:t>
      </w:r>
      <w:r>
        <w:rPr>
          <w:rFonts w:hint="eastAsia"/>
          <w:spacing w:val="10"/>
          <w:highlight w:val="none"/>
          <w:u w:val="none"/>
          <w:lang w:val="en-US" w:eastAsia="zh-CN"/>
        </w:rPr>
        <w:t>评价因子i的水质</w:t>
      </w:r>
      <w:r>
        <w:rPr>
          <w:spacing w:val="10"/>
          <w:highlight w:val="none"/>
          <w:u w:val="none"/>
          <w:lang w:val="zh-CN"/>
        </w:rPr>
        <w:t>评价标准</w:t>
      </w:r>
      <w:r>
        <w:rPr>
          <w:rFonts w:hint="eastAsia"/>
          <w:spacing w:val="10"/>
          <w:highlight w:val="none"/>
          <w:u w:val="none"/>
          <w:lang w:val="en-US" w:eastAsia="zh-CN"/>
        </w:rPr>
        <w:t>限值</w:t>
      </w:r>
      <w:r>
        <w:rPr>
          <w:spacing w:val="10"/>
          <w:highlight w:val="none"/>
          <w:u w:val="none"/>
          <w:lang w:val="zh-CN"/>
        </w:rPr>
        <w:t>，mg/L。</w:t>
      </w:r>
    </w:p>
    <w:p w14:paraId="50D7267B">
      <w:pPr>
        <w:pStyle w:val="59"/>
        <w:ind w:firstLine="520"/>
        <w:rPr>
          <w:spacing w:val="10"/>
          <w:highlight w:val="none"/>
          <w:u w:val="none"/>
          <w:lang w:val="zh-CN"/>
        </w:rPr>
      </w:pPr>
      <w:r>
        <w:rPr>
          <w:spacing w:val="10"/>
          <w:highlight w:val="none"/>
          <w:u w:val="none"/>
          <w:lang w:val="zh-CN"/>
        </w:rPr>
        <w:t>pH值</w:t>
      </w:r>
      <w:r>
        <w:rPr>
          <w:rFonts w:hint="eastAsia"/>
          <w:spacing w:val="10"/>
          <w:highlight w:val="none"/>
          <w:u w:val="none"/>
          <w:lang w:val="en-US" w:eastAsia="zh-CN"/>
        </w:rPr>
        <w:t>的</w:t>
      </w:r>
      <w:r>
        <w:rPr>
          <w:spacing w:val="10"/>
          <w:highlight w:val="none"/>
          <w:u w:val="none"/>
          <w:lang w:val="zh-CN"/>
        </w:rPr>
        <w:t>指数计算公式：</w:t>
      </w:r>
    </w:p>
    <w:p w14:paraId="004A4C80">
      <w:pPr>
        <w:pStyle w:val="5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snapToGrid w:val="0"/>
          <w:highlight w:val="none"/>
          <w:u w:val="none"/>
        </w:rPr>
      </w:pPr>
      <w:r>
        <w:rPr>
          <w:highlight w:val="none"/>
        </w:rPr>
        <w:drawing>
          <wp:inline distT="0" distB="0" distL="114300" distR="114300">
            <wp:extent cx="5269865" cy="2186305"/>
            <wp:effectExtent l="0" t="0" r="6985" b="444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6"/>
                    <a:stretch>
                      <a:fillRect/>
                    </a:stretch>
                  </pic:blipFill>
                  <pic:spPr>
                    <a:xfrm>
                      <a:off x="0" y="0"/>
                      <a:ext cx="5269865" cy="2186305"/>
                    </a:xfrm>
                    <a:prstGeom prst="rect">
                      <a:avLst/>
                    </a:prstGeom>
                    <a:noFill/>
                    <a:ln>
                      <a:noFill/>
                    </a:ln>
                  </pic:spPr>
                </pic:pic>
              </a:graphicData>
            </a:graphic>
          </wp:inline>
        </w:drawing>
      </w:r>
    </w:p>
    <w:p w14:paraId="6D1B4C5B">
      <w:pPr>
        <w:pStyle w:val="59"/>
        <w:ind w:firstLine="520"/>
        <w:rPr>
          <w:rFonts w:ascii="Times New Roman" w:hAnsi="Times New Roman" w:eastAsia="宋体" w:cs="Times New Roman"/>
          <w:spacing w:val="10"/>
          <w:highlight w:val="none"/>
          <w:u w:val="none"/>
          <w:lang w:val="zh-CN"/>
        </w:rPr>
      </w:pPr>
      <w:r>
        <w:rPr>
          <w:rFonts w:hint="eastAsia" w:ascii="Times New Roman" w:hAnsi="Times New Roman" w:eastAsia="宋体" w:cs="Times New Roman"/>
          <w:spacing w:val="10"/>
          <w:highlight w:val="none"/>
          <w:u w:val="none"/>
          <w:lang w:val="zh-CN"/>
        </w:rPr>
        <w:t>（</w:t>
      </w:r>
      <w:r>
        <w:rPr>
          <w:rFonts w:hint="eastAsia" w:ascii="Times New Roman" w:hAnsi="Times New Roman" w:eastAsia="宋体" w:cs="Times New Roman"/>
          <w:spacing w:val="10"/>
          <w:highlight w:val="none"/>
          <w:u w:val="none"/>
          <w:lang w:val="en-US" w:eastAsia="zh-CN"/>
        </w:rPr>
        <w:t>3</w:t>
      </w:r>
      <w:r>
        <w:rPr>
          <w:rFonts w:hint="eastAsia" w:ascii="Times New Roman" w:hAnsi="Times New Roman" w:eastAsia="宋体" w:cs="Times New Roman"/>
          <w:spacing w:val="10"/>
          <w:highlight w:val="none"/>
          <w:u w:val="none"/>
          <w:lang w:val="zh-CN"/>
        </w:rPr>
        <w:t>）</w:t>
      </w:r>
      <w:r>
        <w:rPr>
          <w:rFonts w:ascii="Times New Roman" w:hAnsi="Times New Roman" w:eastAsia="宋体" w:cs="Times New Roman"/>
          <w:spacing w:val="10"/>
          <w:highlight w:val="none"/>
          <w:u w:val="none"/>
          <w:lang w:val="zh-CN"/>
        </w:rPr>
        <w:t>评价标准</w:t>
      </w:r>
    </w:p>
    <w:p w14:paraId="5ABB4F9C">
      <w:pPr>
        <w:pStyle w:val="59"/>
        <w:ind w:firstLine="520"/>
        <w:rPr>
          <w:rFonts w:ascii="Times New Roman" w:hAnsi="Times New Roman" w:eastAsia="宋体" w:cs="Times New Roman"/>
          <w:spacing w:val="10"/>
          <w:highlight w:val="none"/>
          <w:u w:val="none"/>
          <w:lang w:val="zh-CN"/>
        </w:rPr>
      </w:pPr>
      <w:r>
        <w:rPr>
          <w:rFonts w:hint="eastAsia" w:ascii="Times New Roman" w:hAnsi="Times New Roman" w:eastAsia="宋体" w:cs="Times New Roman"/>
          <w:spacing w:val="10"/>
          <w:highlight w:val="none"/>
          <w:u w:val="none"/>
          <w:lang w:val="en-US" w:eastAsia="zh-CN"/>
        </w:rPr>
        <w:t>参照</w:t>
      </w:r>
      <w:r>
        <w:rPr>
          <w:rFonts w:ascii="Times New Roman" w:hAnsi="Times New Roman" w:eastAsia="宋体" w:cs="Times New Roman"/>
          <w:spacing w:val="10"/>
          <w:highlight w:val="none"/>
          <w:u w:val="none"/>
          <w:lang w:val="zh-CN"/>
        </w:rPr>
        <w:t>执行</w:t>
      </w:r>
      <w:r>
        <w:rPr>
          <w:rFonts w:hint="eastAsia" w:ascii="Times New Roman" w:hAnsi="Times New Roman" w:eastAsia="宋体" w:cs="Times New Roman"/>
          <w:spacing w:val="10"/>
          <w:highlight w:val="none"/>
          <w:u w:val="none"/>
          <w:lang w:val="zh-CN"/>
        </w:rPr>
        <w:t>《地表水环境质量标准》（</w:t>
      </w:r>
      <w:r>
        <w:rPr>
          <w:rFonts w:ascii="Times New Roman" w:hAnsi="Times New Roman" w:eastAsia="宋体" w:cs="Times New Roman"/>
          <w:spacing w:val="10"/>
          <w:highlight w:val="none"/>
          <w:u w:val="none"/>
          <w:lang w:val="zh-CN"/>
        </w:rPr>
        <w:t>GB3838-2002）</w:t>
      </w:r>
      <w:r>
        <w:rPr>
          <w:rFonts w:hint="eastAsia" w:ascii="Times New Roman" w:hAnsi="Times New Roman" w:eastAsia="宋体" w:cs="Times New Roman"/>
          <w:spacing w:val="10"/>
          <w:highlight w:val="none"/>
          <w:u w:val="none"/>
          <w:lang w:val="en-US" w:eastAsia="zh-CN"/>
        </w:rPr>
        <w:t>中</w:t>
      </w:r>
      <w:r>
        <w:rPr>
          <w:rFonts w:ascii="Times New Roman" w:hAnsi="Times New Roman" w:eastAsia="宋体" w:cs="Times New Roman"/>
          <w:spacing w:val="10"/>
          <w:highlight w:val="none"/>
          <w:u w:val="none"/>
          <w:lang w:val="zh-CN"/>
        </w:rPr>
        <w:t>Ⅲ类</w:t>
      </w:r>
      <w:r>
        <w:rPr>
          <w:rFonts w:hint="eastAsia" w:ascii="Times New Roman" w:hAnsi="Times New Roman" w:eastAsia="宋体" w:cs="Times New Roman"/>
          <w:spacing w:val="10"/>
          <w:highlight w:val="none"/>
          <w:u w:val="none"/>
          <w:lang w:val="en-US" w:eastAsia="zh-CN"/>
        </w:rPr>
        <w:t>水质</w:t>
      </w:r>
      <w:r>
        <w:rPr>
          <w:rFonts w:ascii="Times New Roman" w:hAnsi="Times New Roman" w:eastAsia="宋体" w:cs="Times New Roman"/>
          <w:spacing w:val="10"/>
          <w:highlight w:val="none"/>
          <w:u w:val="none"/>
          <w:lang w:val="zh-CN"/>
        </w:rPr>
        <w:t>标准。</w:t>
      </w:r>
    </w:p>
    <w:p w14:paraId="3D5B411E">
      <w:pPr>
        <w:pStyle w:val="59"/>
        <w:ind w:firstLine="520"/>
        <w:rPr>
          <w:rFonts w:ascii="Times New Roman" w:hAnsi="Times New Roman" w:eastAsia="宋体" w:cs="Times New Roman"/>
          <w:spacing w:val="10"/>
          <w:highlight w:val="none"/>
          <w:u w:val="none"/>
          <w:lang w:val="zh-CN"/>
        </w:rPr>
      </w:pPr>
      <w:r>
        <w:rPr>
          <w:rFonts w:hint="eastAsia" w:ascii="Times New Roman" w:hAnsi="Times New Roman" w:eastAsia="宋体" w:cs="Times New Roman"/>
          <w:spacing w:val="10"/>
          <w:highlight w:val="none"/>
          <w:u w:val="none"/>
          <w:lang w:val="zh-CN"/>
        </w:rPr>
        <w:t>（</w:t>
      </w:r>
      <w:r>
        <w:rPr>
          <w:rFonts w:hint="eastAsia" w:ascii="Times New Roman" w:hAnsi="Times New Roman" w:eastAsia="宋体" w:cs="Times New Roman"/>
          <w:spacing w:val="10"/>
          <w:highlight w:val="none"/>
          <w:u w:val="none"/>
          <w:lang w:val="en-US" w:eastAsia="zh-CN"/>
        </w:rPr>
        <w:t>4</w:t>
      </w:r>
      <w:r>
        <w:rPr>
          <w:rFonts w:hint="eastAsia" w:ascii="Times New Roman" w:hAnsi="Times New Roman" w:eastAsia="宋体" w:cs="Times New Roman"/>
          <w:spacing w:val="10"/>
          <w:highlight w:val="none"/>
          <w:u w:val="none"/>
          <w:lang w:val="zh-CN"/>
        </w:rPr>
        <w:t>）</w:t>
      </w:r>
      <w:r>
        <w:rPr>
          <w:rFonts w:hint="eastAsia" w:ascii="Times New Roman" w:hAnsi="Times New Roman" w:eastAsia="宋体" w:cs="Times New Roman"/>
          <w:spacing w:val="10"/>
          <w:highlight w:val="none"/>
          <w:u w:val="none"/>
          <w:lang w:val="en-US" w:eastAsia="zh-CN"/>
        </w:rPr>
        <w:t>监测数据统计</w:t>
      </w:r>
      <w:r>
        <w:rPr>
          <w:rFonts w:ascii="Times New Roman" w:hAnsi="Times New Roman" w:eastAsia="宋体" w:cs="Times New Roman"/>
          <w:spacing w:val="10"/>
          <w:highlight w:val="none"/>
          <w:u w:val="none"/>
          <w:lang w:val="zh-CN"/>
        </w:rPr>
        <w:t>结果分析与评价</w:t>
      </w:r>
    </w:p>
    <w:p w14:paraId="5A870683">
      <w:pPr>
        <w:pStyle w:val="59"/>
        <w:ind w:firstLine="520"/>
        <w:rPr>
          <w:rFonts w:ascii="Times New Roman" w:hAnsi="Times New Roman" w:eastAsia="宋体" w:cs="Times New Roman"/>
          <w:spacing w:val="10"/>
          <w:highlight w:val="none"/>
          <w:u w:val="none"/>
          <w:lang w:val="zh-CN"/>
        </w:rPr>
      </w:pPr>
      <w:r>
        <w:rPr>
          <w:rFonts w:hint="eastAsia" w:ascii="Times New Roman" w:hAnsi="Times New Roman" w:eastAsia="宋体" w:cs="Times New Roman"/>
          <w:spacing w:val="10"/>
          <w:highlight w:val="none"/>
          <w:u w:val="none"/>
          <w:lang w:val="en-US" w:eastAsia="zh-CN"/>
        </w:rPr>
        <w:t>监测数据统计</w:t>
      </w:r>
      <w:r>
        <w:rPr>
          <w:rFonts w:ascii="Times New Roman" w:hAnsi="Times New Roman" w:eastAsia="宋体" w:cs="Times New Roman"/>
          <w:spacing w:val="10"/>
          <w:highlight w:val="none"/>
          <w:u w:val="none"/>
          <w:lang w:val="zh-CN"/>
        </w:rPr>
        <w:t>结果分析与评价</w:t>
      </w:r>
      <w:r>
        <w:rPr>
          <w:rFonts w:hint="eastAsia" w:ascii="Times New Roman" w:hAnsi="Times New Roman" w:eastAsia="宋体" w:cs="Times New Roman"/>
          <w:spacing w:val="10"/>
          <w:highlight w:val="none"/>
          <w:u w:val="none"/>
          <w:lang w:val="en-US" w:eastAsia="zh-CN"/>
        </w:rPr>
        <w:t>结果见下表</w:t>
      </w:r>
      <w:r>
        <w:rPr>
          <w:rFonts w:ascii="Times New Roman" w:hAnsi="Times New Roman" w:eastAsia="宋体" w:cs="Times New Roman"/>
          <w:spacing w:val="10"/>
          <w:highlight w:val="none"/>
          <w:u w:val="none"/>
          <w:lang w:val="zh-CN"/>
        </w:rPr>
        <w:t>。</w:t>
      </w:r>
    </w:p>
    <w:p w14:paraId="41F0B9E6">
      <w:pPr>
        <w:pStyle w:val="74"/>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u w:val="none"/>
        </w:rPr>
      </w:pPr>
    </w:p>
    <w:p w14:paraId="32D5B914">
      <w:pPr>
        <w:pStyle w:val="74"/>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u w:val="none"/>
        </w:rPr>
      </w:pPr>
      <w:r>
        <w:rPr>
          <w:highlight w:val="none"/>
          <w:u w:val="none"/>
        </w:rPr>
        <w:t>表</w:t>
      </w:r>
      <w:r>
        <w:rPr>
          <w:rFonts w:hint="eastAsia"/>
          <w:highlight w:val="none"/>
          <w:u w:val="none"/>
          <w:lang w:val="en-US" w:eastAsia="zh-CN"/>
        </w:rPr>
        <w:t>4</w:t>
      </w:r>
      <w:r>
        <w:rPr>
          <w:rFonts w:hint="eastAsia"/>
          <w:highlight w:val="none"/>
          <w:u w:val="none"/>
        </w:rPr>
        <w:t>.</w:t>
      </w:r>
      <w:r>
        <w:rPr>
          <w:rFonts w:hint="eastAsia"/>
          <w:highlight w:val="none"/>
          <w:u w:val="none"/>
          <w:lang w:val="en-US" w:eastAsia="zh-CN"/>
        </w:rPr>
        <w:t>4</w:t>
      </w:r>
      <w:r>
        <w:rPr>
          <w:rFonts w:hint="eastAsia"/>
          <w:highlight w:val="none"/>
          <w:u w:val="none"/>
        </w:rPr>
        <w:t>-2</w:t>
      </w:r>
      <w:r>
        <w:rPr>
          <w:highlight w:val="none"/>
          <w:u w:val="none"/>
        </w:rPr>
        <w:t xml:space="preserve"> </w:t>
      </w:r>
      <w:r>
        <w:rPr>
          <w:rFonts w:hint="eastAsia"/>
          <w:highlight w:val="none"/>
          <w:u w:val="none"/>
        </w:rPr>
        <w:t>地表水监测</w:t>
      </w:r>
      <w:r>
        <w:rPr>
          <w:rFonts w:hint="eastAsia"/>
          <w:highlight w:val="none"/>
          <w:u w:val="none"/>
          <w:lang w:val="en-US" w:eastAsia="zh-CN"/>
        </w:rPr>
        <w:t>与评价</w:t>
      </w:r>
      <w:r>
        <w:rPr>
          <w:rFonts w:hint="eastAsia"/>
          <w:highlight w:val="none"/>
          <w:u w:val="none"/>
        </w:rPr>
        <w:t>结果</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35"/>
        <w:gridCol w:w="646"/>
        <w:gridCol w:w="584"/>
        <w:gridCol w:w="833"/>
        <w:gridCol w:w="1038"/>
        <w:gridCol w:w="695"/>
        <w:gridCol w:w="695"/>
        <w:gridCol w:w="695"/>
        <w:gridCol w:w="696"/>
        <w:gridCol w:w="891"/>
      </w:tblGrid>
      <w:tr w14:paraId="210C4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shd w:val="clear" w:color="auto" w:fill="F1F1F1"/>
            <w:noWrap w:val="0"/>
            <w:vAlign w:val="center"/>
          </w:tcPr>
          <w:p w14:paraId="0CDB7D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采样点位</w:t>
            </w:r>
          </w:p>
        </w:tc>
        <w:tc>
          <w:tcPr>
            <w:tcW w:w="1035" w:type="dxa"/>
            <w:shd w:val="clear" w:color="auto" w:fill="F1F1F1"/>
            <w:noWrap w:val="0"/>
            <w:vAlign w:val="center"/>
          </w:tcPr>
          <w:p w14:paraId="17B3B1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采样日期</w:t>
            </w:r>
          </w:p>
        </w:tc>
        <w:tc>
          <w:tcPr>
            <w:tcW w:w="646" w:type="dxa"/>
            <w:shd w:val="clear" w:color="auto" w:fill="F1F1F1"/>
            <w:noWrap w:val="0"/>
            <w:vAlign w:val="center"/>
          </w:tcPr>
          <w:p w14:paraId="3E390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pH值/无量纲</w:t>
            </w:r>
          </w:p>
        </w:tc>
        <w:tc>
          <w:tcPr>
            <w:tcW w:w="584" w:type="dxa"/>
            <w:shd w:val="clear" w:color="auto" w:fill="F1F1F1"/>
            <w:noWrap w:val="0"/>
            <w:vAlign w:val="center"/>
          </w:tcPr>
          <w:p w14:paraId="4427DD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水温/℃</w:t>
            </w:r>
          </w:p>
        </w:tc>
        <w:tc>
          <w:tcPr>
            <w:tcW w:w="833" w:type="dxa"/>
            <w:shd w:val="clear" w:color="auto" w:fill="F1F1F1"/>
            <w:noWrap w:val="0"/>
            <w:vAlign w:val="center"/>
          </w:tcPr>
          <w:p w14:paraId="3B9CE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化学需氧量mg/L</w:t>
            </w:r>
          </w:p>
        </w:tc>
        <w:tc>
          <w:tcPr>
            <w:tcW w:w="1038" w:type="dxa"/>
            <w:shd w:val="clear" w:color="auto" w:fill="F1F1F1"/>
            <w:noWrap w:val="0"/>
            <w:vAlign w:val="center"/>
          </w:tcPr>
          <w:p w14:paraId="58D726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五日生化需氧量mg/L</w:t>
            </w:r>
          </w:p>
        </w:tc>
        <w:tc>
          <w:tcPr>
            <w:tcW w:w="695" w:type="dxa"/>
            <w:shd w:val="clear" w:color="auto" w:fill="F1F1F1"/>
            <w:noWrap w:val="0"/>
            <w:vAlign w:val="center"/>
          </w:tcPr>
          <w:p w14:paraId="4346F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悬浮物mg/L</w:t>
            </w:r>
          </w:p>
        </w:tc>
        <w:tc>
          <w:tcPr>
            <w:tcW w:w="695" w:type="dxa"/>
            <w:shd w:val="clear" w:color="auto" w:fill="F1F1F1"/>
            <w:noWrap w:val="0"/>
            <w:vAlign w:val="center"/>
          </w:tcPr>
          <w:p w14:paraId="2074B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氨氮mg/L</w:t>
            </w:r>
          </w:p>
        </w:tc>
        <w:tc>
          <w:tcPr>
            <w:tcW w:w="695" w:type="dxa"/>
            <w:shd w:val="clear" w:color="auto" w:fill="F1F1F1"/>
            <w:noWrap w:val="0"/>
            <w:vAlign w:val="center"/>
          </w:tcPr>
          <w:p w14:paraId="4ACAA3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总磷mg/L</w:t>
            </w:r>
          </w:p>
        </w:tc>
        <w:tc>
          <w:tcPr>
            <w:tcW w:w="696" w:type="dxa"/>
            <w:shd w:val="clear" w:color="auto" w:fill="F1F1F1"/>
            <w:noWrap w:val="0"/>
            <w:vAlign w:val="center"/>
          </w:tcPr>
          <w:p w14:paraId="4F6A45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总氮mg/L</w:t>
            </w:r>
          </w:p>
        </w:tc>
        <w:tc>
          <w:tcPr>
            <w:tcW w:w="891" w:type="dxa"/>
            <w:shd w:val="clear" w:color="auto" w:fill="F1F1F1"/>
            <w:noWrap w:val="0"/>
            <w:vAlign w:val="center"/>
          </w:tcPr>
          <w:p w14:paraId="7FAF2F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highlight w:val="none"/>
                <w:u w:val="none"/>
              </w:rPr>
            </w:pPr>
            <w:r>
              <w:rPr>
                <w:rFonts w:hint="eastAsia" w:ascii="Times New Roman" w:hAnsi="Times New Roman" w:eastAsia="宋体" w:cs="Times New Roman"/>
                <w:sz w:val="21"/>
                <w:szCs w:val="21"/>
                <w:highlight w:val="none"/>
                <w:u w:val="none"/>
              </w:rPr>
              <w:t>样品性状</w:t>
            </w:r>
          </w:p>
        </w:tc>
      </w:tr>
      <w:tr w14:paraId="04B99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restart"/>
            <w:noWrap w:val="0"/>
            <w:vAlign w:val="center"/>
          </w:tcPr>
          <w:p w14:paraId="11751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sz w:val="21"/>
                <w:szCs w:val="21"/>
                <w:highlight w:val="none"/>
                <w:u w:val="none"/>
              </w:rPr>
              <w:t>S1排口上游500m处</w:t>
            </w:r>
          </w:p>
        </w:tc>
        <w:tc>
          <w:tcPr>
            <w:tcW w:w="1035" w:type="dxa"/>
            <w:noWrap w:val="0"/>
            <w:vAlign w:val="center"/>
          </w:tcPr>
          <w:p w14:paraId="1E19DD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2023.2.4</w:t>
            </w:r>
          </w:p>
        </w:tc>
        <w:tc>
          <w:tcPr>
            <w:tcW w:w="646" w:type="dxa"/>
            <w:noWrap w:val="0"/>
            <w:vAlign w:val="center"/>
          </w:tcPr>
          <w:p w14:paraId="1A72E4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61419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4.6</w:t>
            </w:r>
          </w:p>
        </w:tc>
        <w:tc>
          <w:tcPr>
            <w:tcW w:w="833" w:type="dxa"/>
            <w:noWrap w:val="0"/>
            <w:vAlign w:val="center"/>
          </w:tcPr>
          <w:p w14:paraId="1C05D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16</w:t>
            </w:r>
          </w:p>
        </w:tc>
        <w:tc>
          <w:tcPr>
            <w:tcW w:w="1038" w:type="dxa"/>
            <w:noWrap w:val="0"/>
            <w:vAlign w:val="center"/>
          </w:tcPr>
          <w:p w14:paraId="7FD795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3.4</w:t>
            </w:r>
          </w:p>
        </w:tc>
        <w:tc>
          <w:tcPr>
            <w:tcW w:w="695" w:type="dxa"/>
            <w:noWrap w:val="0"/>
            <w:vAlign w:val="center"/>
          </w:tcPr>
          <w:p w14:paraId="49036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15</w:t>
            </w:r>
          </w:p>
        </w:tc>
        <w:tc>
          <w:tcPr>
            <w:tcW w:w="695" w:type="dxa"/>
            <w:noWrap w:val="0"/>
            <w:vAlign w:val="center"/>
          </w:tcPr>
          <w:p w14:paraId="388D2B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0.526</w:t>
            </w:r>
          </w:p>
        </w:tc>
        <w:tc>
          <w:tcPr>
            <w:tcW w:w="695" w:type="dxa"/>
            <w:noWrap w:val="0"/>
            <w:vAlign w:val="center"/>
          </w:tcPr>
          <w:p w14:paraId="083C1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0.11</w:t>
            </w:r>
          </w:p>
        </w:tc>
        <w:tc>
          <w:tcPr>
            <w:tcW w:w="696" w:type="dxa"/>
            <w:noWrap w:val="0"/>
            <w:vAlign w:val="center"/>
          </w:tcPr>
          <w:p w14:paraId="40BC6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0.83</w:t>
            </w:r>
          </w:p>
        </w:tc>
        <w:tc>
          <w:tcPr>
            <w:tcW w:w="891" w:type="dxa"/>
            <w:vMerge w:val="restart"/>
            <w:noWrap w:val="0"/>
            <w:vAlign w:val="center"/>
          </w:tcPr>
          <w:p w14:paraId="3DA260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无色、无气味、无浮油</w:t>
            </w:r>
          </w:p>
        </w:tc>
      </w:tr>
      <w:tr w14:paraId="0A8D8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1F46E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356364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2023.2.5</w:t>
            </w:r>
          </w:p>
        </w:tc>
        <w:tc>
          <w:tcPr>
            <w:tcW w:w="646" w:type="dxa"/>
            <w:noWrap w:val="0"/>
            <w:vAlign w:val="center"/>
          </w:tcPr>
          <w:p w14:paraId="2550B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7.2</w:t>
            </w:r>
          </w:p>
        </w:tc>
        <w:tc>
          <w:tcPr>
            <w:tcW w:w="584" w:type="dxa"/>
            <w:noWrap w:val="0"/>
            <w:vAlign w:val="center"/>
          </w:tcPr>
          <w:p w14:paraId="22532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9.7</w:t>
            </w:r>
          </w:p>
        </w:tc>
        <w:tc>
          <w:tcPr>
            <w:tcW w:w="833" w:type="dxa"/>
            <w:noWrap w:val="0"/>
            <w:vAlign w:val="center"/>
          </w:tcPr>
          <w:p w14:paraId="48D6C6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17</w:t>
            </w:r>
          </w:p>
        </w:tc>
        <w:tc>
          <w:tcPr>
            <w:tcW w:w="1038" w:type="dxa"/>
            <w:noWrap w:val="0"/>
            <w:vAlign w:val="center"/>
          </w:tcPr>
          <w:p w14:paraId="7AA02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3.5</w:t>
            </w:r>
          </w:p>
        </w:tc>
        <w:tc>
          <w:tcPr>
            <w:tcW w:w="695" w:type="dxa"/>
            <w:noWrap w:val="0"/>
            <w:vAlign w:val="center"/>
          </w:tcPr>
          <w:p w14:paraId="5EA524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13</w:t>
            </w:r>
          </w:p>
        </w:tc>
        <w:tc>
          <w:tcPr>
            <w:tcW w:w="695" w:type="dxa"/>
            <w:noWrap w:val="0"/>
            <w:vAlign w:val="center"/>
          </w:tcPr>
          <w:p w14:paraId="5D4B1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0.457</w:t>
            </w:r>
          </w:p>
        </w:tc>
        <w:tc>
          <w:tcPr>
            <w:tcW w:w="695" w:type="dxa"/>
            <w:noWrap w:val="0"/>
            <w:vAlign w:val="center"/>
          </w:tcPr>
          <w:p w14:paraId="55B83E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0.14</w:t>
            </w:r>
          </w:p>
        </w:tc>
        <w:tc>
          <w:tcPr>
            <w:tcW w:w="696" w:type="dxa"/>
            <w:noWrap w:val="0"/>
            <w:vAlign w:val="center"/>
          </w:tcPr>
          <w:p w14:paraId="37CE22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0.76</w:t>
            </w:r>
          </w:p>
        </w:tc>
        <w:tc>
          <w:tcPr>
            <w:tcW w:w="891" w:type="dxa"/>
            <w:vMerge w:val="continue"/>
            <w:noWrap w:val="0"/>
            <w:vAlign w:val="center"/>
          </w:tcPr>
          <w:p w14:paraId="0F47D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0FA21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104F4D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087B97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2023.2.6</w:t>
            </w:r>
          </w:p>
        </w:tc>
        <w:tc>
          <w:tcPr>
            <w:tcW w:w="646" w:type="dxa"/>
            <w:noWrap w:val="0"/>
            <w:vAlign w:val="center"/>
          </w:tcPr>
          <w:p w14:paraId="147708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1C3D2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10.3</w:t>
            </w:r>
          </w:p>
        </w:tc>
        <w:tc>
          <w:tcPr>
            <w:tcW w:w="833" w:type="dxa"/>
            <w:noWrap w:val="0"/>
            <w:vAlign w:val="center"/>
          </w:tcPr>
          <w:p w14:paraId="4A1D7A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14</w:t>
            </w:r>
          </w:p>
        </w:tc>
        <w:tc>
          <w:tcPr>
            <w:tcW w:w="1038" w:type="dxa"/>
            <w:noWrap w:val="0"/>
            <w:vAlign w:val="center"/>
          </w:tcPr>
          <w:p w14:paraId="68FF7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3.0</w:t>
            </w:r>
          </w:p>
        </w:tc>
        <w:tc>
          <w:tcPr>
            <w:tcW w:w="695" w:type="dxa"/>
            <w:noWrap w:val="0"/>
            <w:vAlign w:val="center"/>
          </w:tcPr>
          <w:p w14:paraId="27EDD1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10</w:t>
            </w:r>
          </w:p>
        </w:tc>
        <w:tc>
          <w:tcPr>
            <w:tcW w:w="695" w:type="dxa"/>
            <w:noWrap w:val="0"/>
            <w:vAlign w:val="center"/>
          </w:tcPr>
          <w:p w14:paraId="1EDC3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0.474</w:t>
            </w:r>
          </w:p>
        </w:tc>
        <w:tc>
          <w:tcPr>
            <w:tcW w:w="695" w:type="dxa"/>
            <w:noWrap w:val="0"/>
            <w:vAlign w:val="center"/>
          </w:tcPr>
          <w:p w14:paraId="5B488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0.06</w:t>
            </w:r>
          </w:p>
        </w:tc>
        <w:tc>
          <w:tcPr>
            <w:tcW w:w="696" w:type="dxa"/>
            <w:noWrap w:val="0"/>
            <w:vAlign w:val="center"/>
          </w:tcPr>
          <w:p w14:paraId="0DE97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0.80</w:t>
            </w:r>
          </w:p>
        </w:tc>
        <w:tc>
          <w:tcPr>
            <w:tcW w:w="891" w:type="dxa"/>
            <w:vMerge w:val="continue"/>
            <w:noWrap w:val="0"/>
            <w:vAlign w:val="center"/>
          </w:tcPr>
          <w:p w14:paraId="56309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46208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2B10B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超标率</w:t>
            </w:r>
          </w:p>
        </w:tc>
        <w:tc>
          <w:tcPr>
            <w:tcW w:w="646" w:type="dxa"/>
            <w:noWrap w:val="0"/>
            <w:vAlign w:val="center"/>
          </w:tcPr>
          <w:p w14:paraId="3BC3F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584" w:type="dxa"/>
            <w:noWrap w:val="0"/>
            <w:vAlign w:val="center"/>
          </w:tcPr>
          <w:p w14:paraId="5D117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w:t>
            </w:r>
          </w:p>
        </w:tc>
        <w:tc>
          <w:tcPr>
            <w:tcW w:w="833" w:type="dxa"/>
            <w:noWrap w:val="0"/>
            <w:vAlign w:val="center"/>
          </w:tcPr>
          <w:p w14:paraId="735FF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1038" w:type="dxa"/>
            <w:noWrap w:val="0"/>
            <w:vAlign w:val="center"/>
          </w:tcPr>
          <w:p w14:paraId="0B843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695" w:type="dxa"/>
            <w:noWrap w:val="0"/>
            <w:vAlign w:val="center"/>
          </w:tcPr>
          <w:p w14:paraId="51518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w:t>
            </w:r>
          </w:p>
        </w:tc>
        <w:tc>
          <w:tcPr>
            <w:tcW w:w="695" w:type="dxa"/>
            <w:noWrap w:val="0"/>
            <w:vAlign w:val="center"/>
          </w:tcPr>
          <w:p w14:paraId="133750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695" w:type="dxa"/>
            <w:noWrap w:val="0"/>
            <w:vAlign w:val="center"/>
          </w:tcPr>
          <w:p w14:paraId="769F5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696" w:type="dxa"/>
            <w:noWrap w:val="0"/>
            <w:vAlign w:val="center"/>
          </w:tcPr>
          <w:p w14:paraId="0F9F4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0</w:t>
            </w:r>
          </w:p>
        </w:tc>
        <w:tc>
          <w:tcPr>
            <w:tcW w:w="891" w:type="dxa"/>
            <w:noWrap w:val="0"/>
            <w:vAlign w:val="center"/>
          </w:tcPr>
          <w:p w14:paraId="434D2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highlight w:val="none"/>
                <w:u w:val="none"/>
                <w:lang w:val="en-US" w:eastAsia="zh-CN"/>
              </w:rPr>
            </w:pPr>
            <w:r>
              <w:rPr>
                <w:rFonts w:hint="eastAsia"/>
                <w:sz w:val="21"/>
                <w:szCs w:val="21"/>
                <w:highlight w:val="none"/>
                <w:u w:val="none"/>
                <w:lang w:val="en-US" w:eastAsia="zh-CN"/>
              </w:rPr>
              <w:t>/</w:t>
            </w:r>
          </w:p>
        </w:tc>
      </w:tr>
      <w:tr w14:paraId="40BB2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38B136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最大超标数</w:t>
            </w:r>
          </w:p>
        </w:tc>
        <w:tc>
          <w:tcPr>
            <w:tcW w:w="646" w:type="dxa"/>
            <w:noWrap w:val="0"/>
            <w:vAlign w:val="center"/>
          </w:tcPr>
          <w:p w14:paraId="29041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584" w:type="dxa"/>
            <w:noWrap w:val="0"/>
            <w:vAlign w:val="center"/>
          </w:tcPr>
          <w:p w14:paraId="7CE0B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833" w:type="dxa"/>
            <w:noWrap w:val="0"/>
            <w:vAlign w:val="center"/>
          </w:tcPr>
          <w:p w14:paraId="0F683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1038" w:type="dxa"/>
            <w:noWrap w:val="0"/>
            <w:vAlign w:val="center"/>
          </w:tcPr>
          <w:p w14:paraId="5FDB6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695" w:type="dxa"/>
            <w:noWrap w:val="0"/>
            <w:vAlign w:val="center"/>
          </w:tcPr>
          <w:p w14:paraId="191A5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695" w:type="dxa"/>
            <w:noWrap w:val="0"/>
            <w:vAlign w:val="center"/>
          </w:tcPr>
          <w:p w14:paraId="0E6F8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695" w:type="dxa"/>
            <w:noWrap w:val="0"/>
            <w:vAlign w:val="center"/>
          </w:tcPr>
          <w:p w14:paraId="59F86A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696" w:type="dxa"/>
            <w:noWrap w:val="0"/>
            <w:vAlign w:val="center"/>
          </w:tcPr>
          <w:p w14:paraId="40B8D5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lang w:val="en-US" w:eastAsia="zh-CN"/>
              </w:rPr>
              <w:t>/</w:t>
            </w:r>
          </w:p>
        </w:tc>
        <w:tc>
          <w:tcPr>
            <w:tcW w:w="891" w:type="dxa"/>
            <w:noWrap w:val="0"/>
            <w:vAlign w:val="center"/>
          </w:tcPr>
          <w:p w14:paraId="1CF56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lang w:val="en-US" w:eastAsia="zh-CN"/>
              </w:rPr>
              <w:t>/</w:t>
            </w:r>
          </w:p>
        </w:tc>
      </w:tr>
      <w:tr w14:paraId="52A5A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68DB5B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highlight w:val="none"/>
                <w:u w:val="none"/>
              </w:rPr>
            </w:pPr>
            <w:r>
              <w:rPr>
                <w:rFonts w:hint="eastAsia"/>
                <w:b/>
                <w:bCs/>
                <w:sz w:val="21"/>
                <w:szCs w:val="21"/>
                <w:highlight w:val="none"/>
                <w:u w:val="none"/>
                <w:lang w:val="en-US" w:eastAsia="zh-CN"/>
              </w:rPr>
              <w:t>标准值</w:t>
            </w:r>
          </w:p>
        </w:tc>
        <w:tc>
          <w:tcPr>
            <w:tcW w:w="646" w:type="dxa"/>
            <w:noWrap w:val="0"/>
            <w:vAlign w:val="center"/>
          </w:tcPr>
          <w:p w14:paraId="0FFDA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6~9</w:t>
            </w:r>
          </w:p>
        </w:tc>
        <w:tc>
          <w:tcPr>
            <w:tcW w:w="584" w:type="dxa"/>
            <w:noWrap w:val="0"/>
            <w:vAlign w:val="center"/>
          </w:tcPr>
          <w:p w14:paraId="5DEB2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833" w:type="dxa"/>
            <w:noWrap w:val="0"/>
            <w:vAlign w:val="center"/>
          </w:tcPr>
          <w:p w14:paraId="4AAB2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20</w:t>
            </w:r>
          </w:p>
        </w:tc>
        <w:tc>
          <w:tcPr>
            <w:tcW w:w="1038" w:type="dxa"/>
            <w:noWrap w:val="0"/>
            <w:vAlign w:val="center"/>
          </w:tcPr>
          <w:p w14:paraId="63B8D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4</w:t>
            </w:r>
          </w:p>
        </w:tc>
        <w:tc>
          <w:tcPr>
            <w:tcW w:w="695" w:type="dxa"/>
            <w:noWrap w:val="0"/>
            <w:vAlign w:val="center"/>
          </w:tcPr>
          <w:p w14:paraId="0021A1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695" w:type="dxa"/>
            <w:noWrap w:val="0"/>
            <w:vAlign w:val="center"/>
          </w:tcPr>
          <w:p w14:paraId="72471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695" w:type="dxa"/>
            <w:noWrap w:val="0"/>
            <w:vAlign w:val="center"/>
          </w:tcPr>
          <w:p w14:paraId="3968F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0.2</w:t>
            </w:r>
          </w:p>
        </w:tc>
        <w:tc>
          <w:tcPr>
            <w:tcW w:w="696" w:type="dxa"/>
            <w:noWrap w:val="0"/>
            <w:vAlign w:val="center"/>
          </w:tcPr>
          <w:p w14:paraId="37E29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891" w:type="dxa"/>
            <w:noWrap w:val="0"/>
            <w:vAlign w:val="center"/>
          </w:tcPr>
          <w:p w14:paraId="7B087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r>
      <w:tr w14:paraId="5001A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restart"/>
            <w:noWrap w:val="0"/>
            <w:vAlign w:val="center"/>
          </w:tcPr>
          <w:p w14:paraId="762BFB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sz w:val="21"/>
                <w:szCs w:val="21"/>
                <w:highlight w:val="none"/>
                <w:u w:val="none"/>
              </w:rPr>
              <w:t>S2排口下游1000m处</w:t>
            </w:r>
          </w:p>
        </w:tc>
        <w:tc>
          <w:tcPr>
            <w:tcW w:w="1035" w:type="dxa"/>
            <w:noWrap w:val="0"/>
            <w:vAlign w:val="center"/>
          </w:tcPr>
          <w:p w14:paraId="017D04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2023.2.4</w:t>
            </w:r>
          </w:p>
        </w:tc>
        <w:tc>
          <w:tcPr>
            <w:tcW w:w="646" w:type="dxa"/>
            <w:noWrap w:val="0"/>
            <w:vAlign w:val="center"/>
          </w:tcPr>
          <w:p w14:paraId="5065DE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5C063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4.7</w:t>
            </w:r>
          </w:p>
        </w:tc>
        <w:tc>
          <w:tcPr>
            <w:tcW w:w="833" w:type="dxa"/>
            <w:noWrap w:val="0"/>
            <w:vAlign w:val="center"/>
          </w:tcPr>
          <w:p w14:paraId="6662B3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12</w:t>
            </w:r>
          </w:p>
        </w:tc>
        <w:tc>
          <w:tcPr>
            <w:tcW w:w="1038" w:type="dxa"/>
            <w:noWrap w:val="0"/>
            <w:vAlign w:val="center"/>
          </w:tcPr>
          <w:p w14:paraId="52BD3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2.9</w:t>
            </w:r>
          </w:p>
        </w:tc>
        <w:tc>
          <w:tcPr>
            <w:tcW w:w="695" w:type="dxa"/>
            <w:noWrap w:val="0"/>
            <w:vAlign w:val="center"/>
          </w:tcPr>
          <w:p w14:paraId="40C28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12</w:t>
            </w:r>
          </w:p>
        </w:tc>
        <w:tc>
          <w:tcPr>
            <w:tcW w:w="695" w:type="dxa"/>
            <w:noWrap w:val="0"/>
            <w:vAlign w:val="center"/>
          </w:tcPr>
          <w:p w14:paraId="0E5B67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0.584</w:t>
            </w:r>
          </w:p>
        </w:tc>
        <w:tc>
          <w:tcPr>
            <w:tcW w:w="695" w:type="dxa"/>
            <w:noWrap w:val="0"/>
            <w:vAlign w:val="center"/>
          </w:tcPr>
          <w:p w14:paraId="3788A0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0.13</w:t>
            </w:r>
          </w:p>
        </w:tc>
        <w:tc>
          <w:tcPr>
            <w:tcW w:w="696" w:type="dxa"/>
            <w:noWrap w:val="0"/>
            <w:vAlign w:val="center"/>
          </w:tcPr>
          <w:p w14:paraId="76B00A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0.89</w:t>
            </w:r>
          </w:p>
        </w:tc>
        <w:tc>
          <w:tcPr>
            <w:tcW w:w="891" w:type="dxa"/>
            <w:vMerge w:val="restart"/>
            <w:noWrap w:val="0"/>
            <w:vAlign w:val="center"/>
          </w:tcPr>
          <w:p w14:paraId="4C219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无色、无气味、无浮油</w:t>
            </w:r>
          </w:p>
        </w:tc>
      </w:tr>
      <w:tr w14:paraId="18327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77D5B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3F040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2023.2.5</w:t>
            </w:r>
          </w:p>
        </w:tc>
        <w:tc>
          <w:tcPr>
            <w:tcW w:w="646" w:type="dxa"/>
            <w:noWrap w:val="0"/>
            <w:vAlign w:val="center"/>
          </w:tcPr>
          <w:p w14:paraId="79C412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0DF7F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9.6</w:t>
            </w:r>
          </w:p>
        </w:tc>
        <w:tc>
          <w:tcPr>
            <w:tcW w:w="833" w:type="dxa"/>
            <w:noWrap w:val="0"/>
            <w:vAlign w:val="center"/>
          </w:tcPr>
          <w:p w14:paraId="12A56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13</w:t>
            </w:r>
          </w:p>
        </w:tc>
        <w:tc>
          <w:tcPr>
            <w:tcW w:w="1038" w:type="dxa"/>
            <w:noWrap w:val="0"/>
            <w:vAlign w:val="center"/>
          </w:tcPr>
          <w:p w14:paraId="218D0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3.1</w:t>
            </w:r>
          </w:p>
        </w:tc>
        <w:tc>
          <w:tcPr>
            <w:tcW w:w="695" w:type="dxa"/>
            <w:noWrap w:val="0"/>
            <w:vAlign w:val="center"/>
          </w:tcPr>
          <w:p w14:paraId="4A6BB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9</w:t>
            </w:r>
          </w:p>
        </w:tc>
        <w:tc>
          <w:tcPr>
            <w:tcW w:w="695" w:type="dxa"/>
            <w:noWrap w:val="0"/>
            <w:vAlign w:val="center"/>
          </w:tcPr>
          <w:p w14:paraId="04DBB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0.555</w:t>
            </w:r>
          </w:p>
        </w:tc>
        <w:tc>
          <w:tcPr>
            <w:tcW w:w="695" w:type="dxa"/>
            <w:noWrap w:val="0"/>
            <w:vAlign w:val="center"/>
          </w:tcPr>
          <w:p w14:paraId="173E7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0.16</w:t>
            </w:r>
          </w:p>
        </w:tc>
        <w:tc>
          <w:tcPr>
            <w:tcW w:w="696" w:type="dxa"/>
            <w:noWrap w:val="0"/>
            <w:vAlign w:val="center"/>
          </w:tcPr>
          <w:p w14:paraId="7FF6D7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0.83</w:t>
            </w:r>
          </w:p>
        </w:tc>
        <w:tc>
          <w:tcPr>
            <w:tcW w:w="891" w:type="dxa"/>
            <w:vMerge w:val="continue"/>
            <w:noWrap w:val="0"/>
            <w:vAlign w:val="center"/>
          </w:tcPr>
          <w:p w14:paraId="67741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77004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53D42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219CD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2023.2.6</w:t>
            </w:r>
          </w:p>
        </w:tc>
        <w:tc>
          <w:tcPr>
            <w:tcW w:w="646" w:type="dxa"/>
            <w:noWrap w:val="0"/>
            <w:vAlign w:val="center"/>
          </w:tcPr>
          <w:p w14:paraId="7DDEA5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29091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10.3</w:t>
            </w:r>
          </w:p>
        </w:tc>
        <w:tc>
          <w:tcPr>
            <w:tcW w:w="833" w:type="dxa"/>
            <w:noWrap w:val="0"/>
            <w:vAlign w:val="center"/>
          </w:tcPr>
          <w:p w14:paraId="36831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15</w:t>
            </w:r>
          </w:p>
        </w:tc>
        <w:tc>
          <w:tcPr>
            <w:tcW w:w="1038" w:type="dxa"/>
            <w:noWrap w:val="0"/>
            <w:vAlign w:val="center"/>
          </w:tcPr>
          <w:p w14:paraId="59BB4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3.3</w:t>
            </w:r>
          </w:p>
        </w:tc>
        <w:tc>
          <w:tcPr>
            <w:tcW w:w="695" w:type="dxa"/>
            <w:noWrap w:val="0"/>
            <w:vAlign w:val="center"/>
          </w:tcPr>
          <w:p w14:paraId="3B6ED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11</w:t>
            </w:r>
          </w:p>
        </w:tc>
        <w:tc>
          <w:tcPr>
            <w:tcW w:w="695" w:type="dxa"/>
            <w:noWrap w:val="0"/>
            <w:vAlign w:val="center"/>
          </w:tcPr>
          <w:p w14:paraId="2FB433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0.567</w:t>
            </w:r>
          </w:p>
        </w:tc>
        <w:tc>
          <w:tcPr>
            <w:tcW w:w="695" w:type="dxa"/>
            <w:noWrap w:val="0"/>
            <w:vAlign w:val="center"/>
          </w:tcPr>
          <w:p w14:paraId="2FD670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0.14</w:t>
            </w:r>
          </w:p>
        </w:tc>
        <w:tc>
          <w:tcPr>
            <w:tcW w:w="696" w:type="dxa"/>
            <w:noWrap w:val="0"/>
            <w:vAlign w:val="center"/>
          </w:tcPr>
          <w:p w14:paraId="4F828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0.87</w:t>
            </w:r>
          </w:p>
        </w:tc>
        <w:tc>
          <w:tcPr>
            <w:tcW w:w="891" w:type="dxa"/>
            <w:vMerge w:val="continue"/>
            <w:noWrap w:val="0"/>
            <w:vAlign w:val="center"/>
          </w:tcPr>
          <w:p w14:paraId="3DD06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3A0BB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506A1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超标率</w:t>
            </w:r>
          </w:p>
        </w:tc>
        <w:tc>
          <w:tcPr>
            <w:tcW w:w="646" w:type="dxa"/>
            <w:noWrap w:val="0"/>
            <w:vAlign w:val="center"/>
          </w:tcPr>
          <w:p w14:paraId="0714B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584" w:type="dxa"/>
            <w:noWrap w:val="0"/>
            <w:vAlign w:val="center"/>
          </w:tcPr>
          <w:p w14:paraId="6A6B70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33" w:type="dxa"/>
            <w:noWrap w:val="0"/>
            <w:vAlign w:val="center"/>
          </w:tcPr>
          <w:p w14:paraId="180B4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1038" w:type="dxa"/>
            <w:noWrap w:val="0"/>
            <w:vAlign w:val="center"/>
          </w:tcPr>
          <w:p w14:paraId="5A8F2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5" w:type="dxa"/>
            <w:noWrap w:val="0"/>
            <w:vAlign w:val="center"/>
          </w:tcPr>
          <w:p w14:paraId="211E7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63AC1B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5" w:type="dxa"/>
            <w:noWrap w:val="0"/>
            <w:vAlign w:val="center"/>
          </w:tcPr>
          <w:p w14:paraId="4DF5E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6" w:type="dxa"/>
            <w:noWrap w:val="0"/>
            <w:vAlign w:val="center"/>
          </w:tcPr>
          <w:p w14:paraId="23489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891" w:type="dxa"/>
            <w:noWrap w:val="0"/>
            <w:vAlign w:val="center"/>
          </w:tcPr>
          <w:p w14:paraId="58D37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r>
      <w:tr w14:paraId="79EA8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196C6C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最大超标数</w:t>
            </w:r>
          </w:p>
        </w:tc>
        <w:tc>
          <w:tcPr>
            <w:tcW w:w="646" w:type="dxa"/>
            <w:noWrap w:val="0"/>
            <w:vAlign w:val="center"/>
          </w:tcPr>
          <w:p w14:paraId="3B9A1A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584" w:type="dxa"/>
            <w:noWrap w:val="0"/>
            <w:vAlign w:val="center"/>
          </w:tcPr>
          <w:p w14:paraId="1975E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33" w:type="dxa"/>
            <w:noWrap w:val="0"/>
            <w:vAlign w:val="center"/>
          </w:tcPr>
          <w:p w14:paraId="6E725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1038" w:type="dxa"/>
            <w:noWrap w:val="0"/>
            <w:vAlign w:val="center"/>
          </w:tcPr>
          <w:p w14:paraId="34BF3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69D581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49596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73CC6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6" w:type="dxa"/>
            <w:noWrap w:val="0"/>
            <w:vAlign w:val="center"/>
          </w:tcPr>
          <w:p w14:paraId="208E3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91" w:type="dxa"/>
            <w:noWrap w:val="0"/>
            <w:vAlign w:val="center"/>
          </w:tcPr>
          <w:p w14:paraId="1ADAE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r>
      <w:tr w14:paraId="47BD3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55B7FB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lang w:val="en-US" w:eastAsia="zh-CN"/>
              </w:rPr>
              <w:t>标准值</w:t>
            </w:r>
          </w:p>
        </w:tc>
        <w:tc>
          <w:tcPr>
            <w:tcW w:w="646" w:type="dxa"/>
            <w:noWrap w:val="0"/>
            <w:vAlign w:val="center"/>
          </w:tcPr>
          <w:p w14:paraId="56584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6~9</w:t>
            </w:r>
          </w:p>
        </w:tc>
        <w:tc>
          <w:tcPr>
            <w:tcW w:w="584" w:type="dxa"/>
            <w:noWrap w:val="0"/>
            <w:vAlign w:val="center"/>
          </w:tcPr>
          <w:p w14:paraId="31C871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833" w:type="dxa"/>
            <w:noWrap w:val="0"/>
            <w:vAlign w:val="center"/>
          </w:tcPr>
          <w:p w14:paraId="1B2BC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20</w:t>
            </w:r>
          </w:p>
        </w:tc>
        <w:tc>
          <w:tcPr>
            <w:tcW w:w="1038" w:type="dxa"/>
            <w:noWrap w:val="0"/>
            <w:vAlign w:val="center"/>
          </w:tcPr>
          <w:p w14:paraId="753C7E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4</w:t>
            </w:r>
          </w:p>
        </w:tc>
        <w:tc>
          <w:tcPr>
            <w:tcW w:w="695" w:type="dxa"/>
            <w:noWrap w:val="0"/>
            <w:vAlign w:val="center"/>
          </w:tcPr>
          <w:p w14:paraId="42C9A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695" w:type="dxa"/>
            <w:noWrap w:val="0"/>
            <w:vAlign w:val="center"/>
          </w:tcPr>
          <w:p w14:paraId="226CC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695" w:type="dxa"/>
            <w:noWrap w:val="0"/>
            <w:vAlign w:val="center"/>
          </w:tcPr>
          <w:p w14:paraId="6C207A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0.2</w:t>
            </w:r>
          </w:p>
        </w:tc>
        <w:tc>
          <w:tcPr>
            <w:tcW w:w="696" w:type="dxa"/>
            <w:noWrap w:val="0"/>
            <w:vAlign w:val="center"/>
          </w:tcPr>
          <w:p w14:paraId="749CA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891" w:type="dxa"/>
            <w:noWrap w:val="0"/>
            <w:vAlign w:val="center"/>
          </w:tcPr>
          <w:p w14:paraId="10A8B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r>
      <w:tr w14:paraId="07E1E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restart"/>
            <w:noWrap w:val="0"/>
            <w:vAlign w:val="center"/>
          </w:tcPr>
          <w:p w14:paraId="71C88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sz w:val="21"/>
                <w:szCs w:val="21"/>
                <w:highlight w:val="none"/>
                <w:u w:val="none"/>
              </w:rPr>
              <w:t>S3支流汇入后200m处</w:t>
            </w:r>
          </w:p>
        </w:tc>
        <w:tc>
          <w:tcPr>
            <w:tcW w:w="1035" w:type="dxa"/>
            <w:noWrap w:val="0"/>
            <w:vAlign w:val="center"/>
          </w:tcPr>
          <w:p w14:paraId="24FF1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2023.2.4</w:t>
            </w:r>
          </w:p>
        </w:tc>
        <w:tc>
          <w:tcPr>
            <w:tcW w:w="646" w:type="dxa"/>
            <w:noWrap w:val="0"/>
            <w:vAlign w:val="center"/>
          </w:tcPr>
          <w:p w14:paraId="51458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7.2</w:t>
            </w:r>
          </w:p>
        </w:tc>
        <w:tc>
          <w:tcPr>
            <w:tcW w:w="584" w:type="dxa"/>
            <w:noWrap w:val="0"/>
            <w:vAlign w:val="center"/>
          </w:tcPr>
          <w:p w14:paraId="3E11A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4.6</w:t>
            </w:r>
          </w:p>
        </w:tc>
        <w:tc>
          <w:tcPr>
            <w:tcW w:w="833" w:type="dxa"/>
            <w:noWrap w:val="0"/>
            <w:vAlign w:val="center"/>
          </w:tcPr>
          <w:p w14:paraId="40D97C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16</w:t>
            </w:r>
          </w:p>
        </w:tc>
        <w:tc>
          <w:tcPr>
            <w:tcW w:w="1038" w:type="dxa"/>
            <w:noWrap w:val="0"/>
            <w:vAlign w:val="center"/>
          </w:tcPr>
          <w:p w14:paraId="0FC87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3.5</w:t>
            </w:r>
          </w:p>
        </w:tc>
        <w:tc>
          <w:tcPr>
            <w:tcW w:w="695" w:type="dxa"/>
            <w:noWrap w:val="0"/>
            <w:vAlign w:val="center"/>
          </w:tcPr>
          <w:p w14:paraId="0346A4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12</w:t>
            </w:r>
          </w:p>
        </w:tc>
        <w:tc>
          <w:tcPr>
            <w:tcW w:w="695" w:type="dxa"/>
            <w:noWrap w:val="0"/>
            <w:vAlign w:val="center"/>
          </w:tcPr>
          <w:p w14:paraId="2B594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0.561</w:t>
            </w:r>
          </w:p>
        </w:tc>
        <w:tc>
          <w:tcPr>
            <w:tcW w:w="695" w:type="dxa"/>
            <w:noWrap w:val="0"/>
            <w:vAlign w:val="center"/>
          </w:tcPr>
          <w:p w14:paraId="51D09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0.12</w:t>
            </w:r>
          </w:p>
        </w:tc>
        <w:tc>
          <w:tcPr>
            <w:tcW w:w="696" w:type="dxa"/>
            <w:noWrap w:val="0"/>
            <w:vAlign w:val="center"/>
          </w:tcPr>
          <w:p w14:paraId="5FF5B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0.91</w:t>
            </w:r>
          </w:p>
        </w:tc>
        <w:tc>
          <w:tcPr>
            <w:tcW w:w="891" w:type="dxa"/>
            <w:vMerge w:val="restart"/>
            <w:noWrap w:val="0"/>
            <w:vAlign w:val="center"/>
          </w:tcPr>
          <w:p w14:paraId="560E90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无色、无气味、无浮油</w:t>
            </w:r>
          </w:p>
        </w:tc>
      </w:tr>
      <w:tr w14:paraId="652E2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0F871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14B0D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2023.2.5</w:t>
            </w:r>
          </w:p>
        </w:tc>
        <w:tc>
          <w:tcPr>
            <w:tcW w:w="646" w:type="dxa"/>
            <w:noWrap w:val="0"/>
            <w:vAlign w:val="center"/>
          </w:tcPr>
          <w:p w14:paraId="29C31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0CC1F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9.8</w:t>
            </w:r>
          </w:p>
        </w:tc>
        <w:tc>
          <w:tcPr>
            <w:tcW w:w="833" w:type="dxa"/>
            <w:noWrap w:val="0"/>
            <w:vAlign w:val="center"/>
          </w:tcPr>
          <w:p w14:paraId="346E3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11</w:t>
            </w:r>
          </w:p>
        </w:tc>
        <w:tc>
          <w:tcPr>
            <w:tcW w:w="1038" w:type="dxa"/>
            <w:noWrap w:val="0"/>
            <w:vAlign w:val="center"/>
          </w:tcPr>
          <w:p w14:paraId="53BC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2.8</w:t>
            </w:r>
          </w:p>
        </w:tc>
        <w:tc>
          <w:tcPr>
            <w:tcW w:w="695" w:type="dxa"/>
            <w:noWrap w:val="0"/>
            <w:vAlign w:val="center"/>
          </w:tcPr>
          <w:p w14:paraId="05CDC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14</w:t>
            </w:r>
          </w:p>
        </w:tc>
        <w:tc>
          <w:tcPr>
            <w:tcW w:w="695" w:type="dxa"/>
            <w:noWrap w:val="0"/>
            <w:vAlign w:val="center"/>
          </w:tcPr>
          <w:p w14:paraId="01251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0.579</w:t>
            </w:r>
          </w:p>
        </w:tc>
        <w:tc>
          <w:tcPr>
            <w:tcW w:w="695" w:type="dxa"/>
            <w:noWrap w:val="0"/>
            <w:vAlign w:val="center"/>
          </w:tcPr>
          <w:p w14:paraId="6395C8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0.08</w:t>
            </w:r>
          </w:p>
        </w:tc>
        <w:tc>
          <w:tcPr>
            <w:tcW w:w="696" w:type="dxa"/>
            <w:noWrap w:val="0"/>
            <w:vAlign w:val="center"/>
          </w:tcPr>
          <w:p w14:paraId="3F571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0.83</w:t>
            </w:r>
          </w:p>
        </w:tc>
        <w:tc>
          <w:tcPr>
            <w:tcW w:w="891" w:type="dxa"/>
            <w:vMerge w:val="continue"/>
            <w:noWrap w:val="0"/>
            <w:vAlign w:val="center"/>
          </w:tcPr>
          <w:p w14:paraId="33FE7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37875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14" w:type="dxa"/>
            <w:vMerge w:val="continue"/>
            <w:noWrap w:val="0"/>
            <w:vAlign w:val="center"/>
          </w:tcPr>
          <w:p w14:paraId="6DF2A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c>
          <w:tcPr>
            <w:tcW w:w="1035" w:type="dxa"/>
            <w:noWrap w:val="0"/>
            <w:vAlign w:val="center"/>
          </w:tcPr>
          <w:p w14:paraId="6ECF2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2023.2.6</w:t>
            </w:r>
          </w:p>
        </w:tc>
        <w:tc>
          <w:tcPr>
            <w:tcW w:w="646" w:type="dxa"/>
            <w:noWrap w:val="0"/>
            <w:vAlign w:val="center"/>
          </w:tcPr>
          <w:p w14:paraId="0021C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7.1</w:t>
            </w:r>
          </w:p>
        </w:tc>
        <w:tc>
          <w:tcPr>
            <w:tcW w:w="584" w:type="dxa"/>
            <w:noWrap w:val="0"/>
            <w:vAlign w:val="center"/>
          </w:tcPr>
          <w:p w14:paraId="53572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10.4</w:t>
            </w:r>
          </w:p>
        </w:tc>
        <w:tc>
          <w:tcPr>
            <w:tcW w:w="833" w:type="dxa"/>
            <w:noWrap w:val="0"/>
            <w:vAlign w:val="center"/>
          </w:tcPr>
          <w:p w14:paraId="61FD1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12</w:t>
            </w:r>
          </w:p>
        </w:tc>
        <w:tc>
          <w:tcPr>
            <w:tcW w:w="1038" w:type="dxa"/>
            <w:noWrap w:val="0"/>
            <w:vAlign w:val="center"/>
          </w:tcPr>
          <w:p w14:paraId="3CA61B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2.8</w:t>
            </w:r>
          </w:p>
        </w:tc>
        <w:tc>
          <w:tcPr>
            <w:tcW w:w="695" w:type="dxa"/>
            <w:noWrap w:val="0"/>
            <w:vAlign w:val="center"/>
          </w:tcPr>
          <w:p w14:paraId="6481B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10</w:t>
            </w:r>
          </w:p>
        </w:tc>
        <w:tc>
          <w:tcPr>
            <w:tcW w:w="695" w:type="dxa"/>
            <w:noWrap w:val="0"/>
            <w:vAlign w:val="center"/>
          </w:tcPr>
          <w:p w14:paraId="48330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0.515</w:t>
            </w:r>
          </w:p>
        </w:tc>
        <w:tc>
          <w:tcPr>
            <w:tcW w:w="695" w:type="dxa"/>
            <w:noWrap w:val="0"/>
            <w:vAlign w:val="center"/>
          </w:tcPr>
          <w:p w14:paraId="09EE4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0.06</w:t>
            </w:r>
          </w:p>
        </w:tc>
        <w:tc>
          <w:tcPr>
            <w:tcW w:w="696" w:type="dxa"/>
            <w:noWrap w:val="0"/>
            <w:vAlign w:val="center"/>
          </w:tcPr>
          <w:p w14:paraId="42BA25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r>
              <w:rPr>
                <w:rFonts w:hint="eastAsia"/>
                <w:sz w:val="21"/>
                <w:szCs w:val="21"/>
                <w:highlight w:val="none"/>
                <w:u w:val="none"/>
              </w:rPr>
              <w:t>0.87</w:t>
            </w:r>
          </w:p>
        </w:tc>
        <w:tc>
          <w:tcPr>
            <w:tcW w:w="891" w:type="dxa"/>
            <w:vMerge w:val="continue"/>
            <w:noWrap w:val="0"/>
            <w:vAlign w:val="center"/>
          </w:tcPr>
          <w:p w14:paraId="24349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highlight w:val="none"/>
                <w:u w:val="none"/>
              </w:rPr>
            </w:pPr>
          </w:p>
        </w:tc>
      </w:tr>
      <w:tr w14:paraId="5B2FB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68086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超标率</w:t>
            </w:r>
          </w:p>
        </w:tc>
        <w:tc>
          <w:tcPr>
            <w:tcW w:w="646" w:type="dxa"/>
            <w:noWrap w:val="0"/>
            <w:vAlign w:val="center"/>
          </w:tcPr>
          <w:p w14:paraId="58F02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584" w:type="dxa"/>
            <w:noWrap w:val="0"/>
            <w:vAlign w:val="center"/>
          </w:tcPr>
          <w:p w14:paraId="31014C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33" w:type="dxa"/>
            <w:noWrap w:val="0"/>
            <w:vAlign w:val="center"/>
          </w:tcPr>
          <w:p w14:paraId="7EA18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1038" w:type="dxa"/>
            <w:noWrap w:val="0"/>
            <w:vAlign w:val="center"/>
          </w:tcPr>
          <w:p w14:paraId="7E37F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5" w:type="dxa"/>
            <w:noWrap w:val="0"/>
            <w:vAlign w:val="center"/>
          </w:tcPr>
          <w:p w14:paraId="3D4426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34E68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5" w:type="dxa"/>
            <w:noWrap w:val="0"/>
            <w:vAlign w:val="center"/>
          </w:tcPr>
          <w:p w14:paraId="0BE3D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696" w:type="dxa"/>
            <w:noWrap w:val="0"/>
            <w:vAlign w:val="center"/>
          </w:tcPr>
          <w:p w14:paraId="687538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0</w:t>
            </w:r>
          </w:p>
        </w:tc>
        <w:tc>
          <w:tcPr>
            <w:tcW w:w="891" w:type="dxa"/>
            <w:noWrap w:val="0"/>
            <w:vAlign w:val="center"/>
          </w:tcPr>
          <w:p w14:paraId="210843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r>
      <w:tr w14:paraId="36150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1F1830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最大超标数</w:t>
            </w:r>
          </w:p>
        </w:tc>
        <w:tc>
          <w:tcPr>
            <w:tcW w:w="646" w:type="dxa"/>
            <w:noWrap w:val="0"/>
            <w:vAlign w:val="center"/>
          </w:tcPr>
          <w:p w14:paraId="2E291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584" w:type="dxa"/>
            <w:noWrap w:val="0"/>
            <w:vAlign w:val="center"/>
          </w:tcPr>
          <w:p w14:paraId="0FE78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33" w:type="dxa"/>
            <w:noWrap w:val="0"/>
            <w:vAlign w:val="center"/>
          </w:tcPr>
          <w:p w14:paraId="133774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1038" w:type="dxa"/>
            <w:noWrap w:val="0"/>
            <w:vAlign w:val="center"/>
          </w:tcPr>
          <w:p w14:paraId="5D1463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35359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19E913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5" w:type="dxa"/>
            <w:noWrap w:val="0"/>
            <w:vAlign w:val="center"/>
          </w:tcPr>
          <w:p w14:paraId="6F880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696" w:type="dxa"/>
            <w:noWrap w:val="0"/>
            <w:vAlign w:val="center"/>
          </w:tcPr>
          <w:p w14:paraId="611E8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c>
          <w:tcPr>
            <w:tcW w:w="891" w:type="dxa"/>
            <w:noWrap w:val="0"/>
            <w:vAlign w:val="center"/>
          </w:tcPr>
          <w:p w14:paraId="28D17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u w:val="none"/>
                <w:lang w:val="en-US" w:eastAsia="zh-CN" w:bidi="ar-SA"/>
              </w:rPr>
            </w:pPr>
            <w:r>
              <w:rPr>
                <w:rFonts w:hint="eastAsia"/>
                <w:b w:val="0"/>
                <w:bCs w:val="0"/>
                <w:sz w:val="21"/>
                <w:szCs w:val="21"/>
                <w:highlight w:val="none"/>
                <w:u w:val="none"/>
                <w:lang w:val="en-US" w:eastAsia="zh-CN"/>
              </w:rPr>
              <w:t>/</w:t>
            </w:r>
          </w:p>
        </w:tc>
      </w:tr>
      <w:tr w14:paraId="5116A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49" w:type="dxa"/>
            <w:gridSpan w:val="2"/>
            <w:noWrap w:val="0"/>
            <w:vAlign w:val="center"/>
          </w:tcPr>
          <w:p w14:paraId="3DC31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lang w:val="en-US" w:eastAsia="zh-CN"/>
              </w:rPr>
              <w:t>标准值</w:t>
            </w:r>
          </w:p>
        </w:tc>
        <w:tc>
          <w:tcPr>
            <w:tcW w:w="646" w:type="dxa"/>
            <w:noWrap w:val="0"/>
            <w:vAlign w:val="center"/>
          </w:tcPr>
          <w:p w14:paraId="08E76C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6~9</w:t>
            </w:r>
          </w:p>
        </w:tc>
        <w:tc>
          <w:tcPr>
            <w:tcW w:w="584" w:type="dxa"/>
            <w:noWrap w:val="0"/>
            <w:vAlign w:val="center"/>
          </w:tcPr>
          <w:p w14:paraId="4ED90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833" w:type="dxa"/>
            <w:noWrap w:val="0"/>
            <w:vAlign w:val="center"/>
          </w:tcPr>
          <w:p w14:paraId="33072B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20</w:t>
            </w:r>
          </w:p>
        </w:tc>
        <w:tc>
          <w:tcPr>
            <w:tcW w:w="1038" w:type="dxa"/>
            <w:noWrap w:val="0"/>
            <w:vAlign w:val="center"/>
          </w:tcPr>
          <w:p w14:paraId="43389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4</w:t>
            </w:r>
          </w:p>
        </w:tc>
        <w:tc>
          <w:tcPr>
            <w:tcW w:w="695" w:type="dxa"/>
            <w:noWrap w:val="0"/>
            <w:vAlign w:val="center"/>
          </w:tcPr>
          <w:p w14:paraId="52B88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c>
          <w:tcPr>
            <w:tcW w:w="695" w:type="dxa"/>
            <w:noWrap w:val="0"/>
            <w:vAlign w:val="center"/>
          </w:tcPr>
          <w:p w14:paraId="5C10D3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695" w:type="dxa"/>
            <w:noWrap w:val="0"/>
            <w:vAlign w:val="center"/>
          </w:tcPr>
          <w:p w14:paraId="173DA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0.2</w:t>
            </w:r>
          </w:p>
        </w:tc>
        <w:tc>
          <w:tcPr>
            <w:tcW w:w="696" w:type="dxa"/>
            <w:noWrap w:val="0"/>
            <w:vAlign w:val="center"/>
          </w:tcPr>
          <w:p w14:paraId="0D1DA6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891" w:type="dxa"/>
            <w:noWrap w:val="0"/>
            <w:vAlign w:val="center"/>
          </w:tcPr>
          <w:p w14:paraId="789315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w:t>
            </w:r>
          </w:p>
        </w:tc>
      </w:tr>
    </w:tbl>
    <w:p w14:paraId="7CB75252">
      <w:pPr>
        <w:spacing w:line="360" w:lineRule="auto"/>
        <w:ind w:firstLine="520" w:firstLineChars="200"/>
        <w:jc w:val="both"/>
        <w:rPr>
          <w:rFonts w:hint="default" w:ascii="Times New Roman" w:hAnsi="Times New Roman" w:eastAsia="宋体" w:cs="Times New Roman"/>
          <w:b/>
          <w:bCs/>
          <w:color w:val="000000"/>
          <w:sz w:val="24"/>
          <w:szCs w:val="24"/>
          <w:highlight w:val="none"/>
          <w:lang w:val="en-US" w:eastAsia="zh-CN" w:bidi="ar-SA"/>
        </w:rPr>
      </w:pPr>
      <w:r>
        <w:rPr>
          <w:rFonts w:hint="eastAsia" w:ascii="Times New Roman" w:hAnsi="Times New Roman" w:eastAsia="宋体" w:cs="Times New Roman"/>
          <w:spacing w:val="10"/>
          <w:kern w:val="2"/>
          <w:sz w:val="24"/>
          <w:szCs w:val="24"/>
          <w:highlight w:val="none"/>
          <w:u w:val="none"/>
          <w:lang w:val="zh-CN" w:eastAsia="zh-CN" w:bidi="ar-SA"/>
        </w:rPr>
        <w:t>由上表</w:t>
      </w:r>
      <w:r>
        <w:rPr>
          <w:rFonts w:hint="eastAsia" w:ascii="Times New Roman" w:hAnsi="Times New Roman" w:eastAsia="宋体" w:cs="Times New Roman"/>
          <w:spacing w:val="10"/>
          <w:kern w:val="2"/>
          <w:sz w:val="24"/>
          <w:szCs w:val="24"/>
          <w:highlight w:val="none"/>
          <w:u w:val="none"/>
          <w:lang w:val="en-US" w:eastAsia="zh-CN" w:bidi="ar-SA"/>
        </w:rPr>
        <w:t>4.4-2</w:t>
      </w:r>
      <w:r>
        <w:rPr>
          <w:rFonts w:hint="eastAsia" w:ascii="Times New Roman" w:hAnsi="Times New Roman" w:eastAsia="宋体" w:cs="Times New Roman"/>
          <w:spacing w:val="10"/>
          <w:kern w:val="2"/>
          <w:sz w:val="24"/>
          <w:szCs w:val="24"/>
          <w:highlight w:val="none"/>
          <w:u w:val="none"/>
          <w:lang w:val="zh-CN" w:eastAsia="zh-CN" w:bidi="ar-SA"/>
        </w:rPr>
        <w:t>可知，</w:t>
      </w:r>
      <w:r>
        <w:rPr>
          <w:rFonts w:hint="eastAsia" w:ascii="Times New Roman" w:hAnsi="Times New Roman" w:eastAsia="宋体" w:cs="Times New Roman"/>
          <w:spacing w:val="10"/>
          <w:kern w:val="2"/>
          <w:sz w:val="24"/>
          <w:szCs w:val="24"/>
          <w:highlight w:val="none"/>
          <w:u w:val="none"/>
          <w:lang w:val="en-US" w:eastAsia="zh-CN" w:bidi="ar-SA"/>
        </w:rPr>
        <w:t>本入河排污口纳污水体龙荫港水质较好，监测的各项水质监测结果可以满足</w:t>
      </w:r>
      <w:r>
        <w:rPr>
          <w:rFonts w:hint="eastAsia" w:ascii="Times New Roman" w:hAnsi="Times New Roman" w:eastAsia="宋体" w:cs="Times New Roman"/>
          <w:spacing w:val="10"/>
          <w:kern w:val="2"/>
          <w:sz w:val="24"/>
          <w:szCs w:val="24"/>
          <w:highlight w:val="none"/>
          <w:u w:val="none"/>
          <w:lang w:val="zh-CN" w:eastAsia="zh-CN" w:bidi="ar-SA"/>
        </w:rPr>
        <w:t>《地表水环境质量标准》（GB3838-2002）</w:t>
      </w:r>
      <w:r>
        <w:rPr>
          <w:rFonts w:hint="eastAsia" w:ascii="Times New Roman" w:hAnsi="Times New Roman" w:eastAsia="宋体" w:cs="Times New Roman"/>
          <w:spacing w:val="10"/>
          <w:kern w:val="2"/>
          <w:sz w:val="24"/>
          <w:szCs w:val="24"/>
          <w:highlight w:val="none"/>
          <w:u w:val="none"/>
          <w:lang w:val="en-US" w:eastAsia="zh-CN" w:bidi="ar-SA"/>
        </w:rPr>
        <w:t>III</w:t>
      </w:r>
      <w:r>
        <w:rPr>
          <w:rFonts w:hint="eastAsia" w:ascii="Times New Roman" w:hAnsi="Times New Roman" w:eastAsia="宋体" w:cs="Times New Roman"/>
          <w:spacing w:val="10"/>
          <w:kern w:val="2"/>
          <w:sz w:val="24"/>
          <w:szCs w:val="24"/>
          <w:highlight w:val="none"/>
          <w:u w:val="none"/>
          <w:lang w:val="zh-CN" w:eastAsia="zh-CN" w:bidi="ar-SA"/>
        </w:rPr>
        <w:t>类标准。</w:t>
      </w:r>
    </w:p>
    <w:p w14:paraId="088D356A">
      <w:pPr>
        <w:pStyle w:val="6"/>
        <w:outlineLvl w:val="9"/>
        <w:rPr>
          <w:rFonts w:hint="default" w:ascii="Times New Roman" w:hAnsi="Times New Roman" w:eastAsia="宋体" w:cs="Times New Roman"/>
          <w:b/>
          <w:bCs/>
          <w:color w:val="000000"/>
          <w:sz w:val="24"/>
          <w:szCs w:val="24"/>
          <w:highlight w:val="none"/>
          <w:lang w:val="en-US" w:eastAsia="zh-CN" w:bidi="ar-SA"/>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7BBAA672">
      <w:pPr>
        <w:pStyle w:val="5"/>
        <w:numPr>
          <w:ilvl w:val="0"/>
          <w:numId w:val="0"/>
        </w:numPr>
        <w:bidi w:val="0"/>
        <w:ind w:leftChars="0"/>
        <w:jc w:val="center"/>
        <w:outlineLvl w:val="0"/>
        <w:rPr>
          <w:rStyle w:val="35"/>
          <w:rFonts w:hint="eastAsia" w:ascii="Times New Roman" w:hAnsi="Times New Roman" w:eastAsia="宋体" w:cs="Times New Roman"/>
          <w:b/>
          <w:highlight w:val="none"/>
          <w:lang w:val="en-US" w:eastAsia="zh-CN"/>
        </w:rPr>
      </w:pPr>
      <w:bookmarkStart w:id="79" w:name="_Toc9564"/>
      <w:r>
        <w:rPr>
          <w:rStyle w:val="35"/>
          <w:rFonts w:hint="eastAsia" w:ascii="Times New Roman" w:hAnsi="Times New Roman" w:eastAsia="宋体" w:cs="Times New Roman"/>
          <w:b/>
          <w:highlight w:val="none"/>
          <w:lang w:val="en-US" w:eastAsia="zh-CN"/>
        </w:rPr>
        <w:t>第五章  入河排污口设置及可行性分析论证</w:t>
      </w:r>
      <w:bookmarkEnd w:id="79"/>
    </w:p>
    <w:p w14:paraId="6EAB6D50">
      <w:pPr>
        <w:pStyle w:val="5"/>
        <w:numPr>
          <w:ilvl w:val="0"/>
          <w:numId w:val="0"/>
        </w:numPr>
        <w:bidi w:val="0"/>
        <w:ind w:left="0" w:leftChars="0" w:firstLine="0" w:firstLineChars="0"/>
        <w:rPr>
          <w:rFonts w:hint="eastAsia"/>
          <w:highlight w:val="none"/>
          <w:lang w:val="en-US" w:eastAsia="zh-CN"/>
        </w:rPr>
      </w:pPr>
      <w:bookmarkStart w:id="80" w:name="_Toc20409"/>
      <w:r>
        <w:rPr>
          <w:rFonts w:hint="eastAsia"/>
          <w:highlight w:val="none"/>
          <w:lang w:val="en-US" w:eastAsia="zh-CN"/>
        </w:rPr>
        <w:t>5.1 废污水来源及构成</w:t>
      </w:r>
      <w:bookmarkEnd w:id="80"/>
    </w:p>
    <w:p w14:paraId="0AF72DE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本入河排污口属于南岳区污水处理厂重要组成部分，南岳区污水处理厂处理后的尾水经本入河排污口外排，南岳区污水处理厂主要纳污范围为南岳区城区居民生活污水，无工业废水。</w:t>
      </w:r>
    </w:p>
    <w:p w14:paraId="2CDB26D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根据《南岳区城镇污水收集处理及配套设施建设项目（厂区部分）环境影响报告表》及批复相关内容，南岳区污水处理厂扩建及提质改造项目建成后，日处理规模为30000m</w:t>
      </w:r>
      <w:r>
        <w:rPr>
          <w:rFonts w:hint="eastAsia"/>
          <w:sz w:val="24"/>
          <w:szCs w:val="24"/>
          <w:highlight w:val="none"/>
          <w:vertAlign w:val="superscript"/>
          <w:lang w:val="en-US" w:eastAsia="zh-CN"/>
        </w:rPr>
        <w:t>3</w:t>
      </w:r>
      <w:r>
        <w:rPr>
          <w:rFonts w:hint="eastAsia"/>
          <w:sz w:val="24"/>
          <w:szCs w:val="24"/>
          <w:highlight w:val="none"/>
          <w:lang w:val="en-US" w:eastAsia="zh-CN"/>
        </w:rPr>
        <w:t>/d，设计进水水质详见下表5.1-1。</w:t>
      </w:r>
    </w:p>
    <w:p w14:paraId="4EAEAD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000000"/>
          <w:highlight w:val="none"/>
          <w:lang w:val="en-US" w:eastAsia="zh-CN"/>
        </w:rPr>
      </w:pPr>
      <w:r>
        <w:rPr>
          <w:rFonts w:hint="eastAsia"/>
          <w:b/>
          <w:bCs/>
          <w:color w:val="000000"/>
          <w:highlight w:val="none"/>
          <w:lang w:val="en-US" w:eastAsia="zh-CN"/>
        </w:rPr>
        <w:t>表5.1-1 南岳区污水处理厂设计进水水质（单位：mg/L）</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225"/>
        <w:gridCol w:w="1225"/>
        <w:gridCol w:w="1225"/>
        <w:gridCol w:w="1226"/>
        <w:gridCol w:w="1226"/>
        <w:gridCol w:w="1226"/>
      </w:tblGrid>
      <w:tr w14:paraId="2266C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25" w:type="dxa"/>
            <w:tcBorders>
              <w:tl2br w:val="nil"/>
              <w:tr2bl w:val="nil"/>
            </w:tcBorders>
            <w:noWrap w:val="0"/>
            <w:vAlign w:val="center"/>
          </w:tcPr>
          <w:p w14:paraId="5D4497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项目</w:t>
            </w:r>
          </w:p>
        </w:tc>
        <w:tc>
          <w:tcPr>
            <w:tcW w:w="1225" w:type="dxa"/>
            <w:tcBorders>
              <w:tl2br w:val="nil"/>
              <w:tr2bl w:val="nil"/>
            </w:tcBorders>
            <w:noWrap w:val="0"/>
            <w:vAlign w:val="center"/>
          </w:tcPr>
          <w:p w14:paraId="1E7A0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CODcr</w:t>
            </w:r>
          </w:p>
        </w:tc>
        <w:tc>
          <w:tcPr>
            <w:tcW w:w="1225" w:type="dxa"/>
            <w:tcBorders>
              <w:tl2br w:val="nil"/>
              <w:tr2bl w:val="nil"/>
            </w:tcBorders>
            <w:noWrap w:val="0"/>
            <w:vAlign w:val="center"/>
          </w:tcPr>
          <w:p w14:paraId="415087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BOD</w:t>
            </w:r>
            <w:r>
              <w:rPr>
                <w:rFonts w:hint="eastAsia"/>
                <w:highlight w:val="none"/>
                <w:vertAlign w:val="subscript"/>
                <w:lang w:val="en-US" w:eastAsia="zh-CN"/>
              </w:rPr>
              <w:t>5</w:t>
            </w:r>
          </w:p>
        </w:tc>
        <w:tc>
          <w:tcPr>
            <w:tcW w:w="1225" w:type="dxa"/>
            <w:tcBorders>
              <w:tl2br w:val="nil"/>
              <w:tr2bl w:val="nil"/>
            </w:tcBorders>
            <w:noWrap w:val="0"/>
            <w:vAlign w:val="center"/>
          </w:tcPr>
          <w:p w14:paraId="52BAF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SS</w:t>
            </w:r>
          </w:p>
        </w:tc>
        <w:tc>
          <w:tcPr>
            <w:tcW w:w="1226" w:type="dxa"/>
            <w:tcBorders>
              <w:tl2br w:val="nil"/>
              <w:tr2bl w:val="nil"/>
            </w:tcBorders>
            <w:noWrap w:val="0"/>
            <w:vAlign w:val="center"/>
          </w:tcPr>
          <w:p w14:paraId="1D11A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TN</w:t>
            </w:r>
          </w:p>
        </w:tc>
        <w:tc>
          <w:tcPr>
            <w:tcW w:w="1226" w:type="dxa"/>
            <w:tcBorders>
              <w:tl2br w:val="nil"/>
              <w:tr2bl w:val="nil"/>
            </w:tcBorders>
            <w:noWrap w:val="0"/>
            <w:vAlign w:val="center"/>
          </w:tcPr>
          <w:p w14:paraId="18630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NH</w:t>
            </w:r>
            <w:r>
              <w:rPr>
                <w:rFonts w:hint="eastAsia"/>
                <w:highlight w:val="none"/>
                <w:vertAlign w:val="subscript"/>
                <w:lang w:val="en-US" w:eastAsia="zh-CN"/>
              </w:rPr>
              <w:t>3</w:t>
            </w:r>
            <w:r>
              <w:rPr>
                <w:rFonts w:hint="eastAsia"/>
                <w:highlight w:val="none"/>
                <w:vertAlign w:val="baseline"/>
                <w:lang w:val="en-US" w:eastAsia="zh-CN"/>
              </w:rPr>
              <w:t>-N</w:t>
            </w:r>
          </w:p>
        </w:tc>
        <w:tc>
          <w:tcPr>
            <w:tcW w:w="1226" w:type="dxa"/>
            <w:tcBorders>
              <w:tl2br w:val="nil"/>
              <w:tr2bl w:val="nil"/>
            </w:tcBorders>
            <w:noWrap w:val="0"/>
            <w:vAlign w:val="center"/>
          </w:tcPr>
          <w:p w14:paraId="66C631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TP</w:t>
            </w:r>
          </w:p>
        </w:tc>
      </w:tr>
      <w:tr w14:paraId="590F2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25" w:type="dxa"/>
            <w:tcBorders>
              <w:tl2br w:val="nil"/>
              <w:tr2bl w:val="nil"/>
            </w:tcBorders>
            <w:noWrap w:val="0"/>
            <w:vAlign w:val="center"/>
          </w:tcPr>
          <w:p w14:paraId="1442F96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highlight w:val="none"/>
                <w:vertAlign w:val="baseline"/>
                <w:lang w:val="en-US" w:eastAsia="zh-CN"/>
              </w:rPr>
            </w:pPr>
            <w:r>
              <w:rPr>
                <w:rFonts w:hint="eastAsia"/>
                <w:highlight w:val="none"/>
                <w:vertAlign w:val="baseline"/>
                <w:lang w:val="en-US" w:eastAsia="zh-CN"/>
              </w:rPr>
              <w:t>进水水质</w:t>
            </w:r>
          </w:p>
        </w:tc>
        <w:tc>
          <w:tcPr>
            <w:tcW w:w="1225" w:type="dxa"/>
            <w:tcBorders>
              <w:tl2br w:val="nil"/>
              <w:tr2bl w:val="nil"/>
            </w:tcBorders>
            <w:noWrap w:val="0"/>
            <w:vAlign w:val="center"/>
          </w:tcPr>
          <w:p w14:paraId="4E003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260</w:t>
            </w:r>
          </w:p>
        </w:tc>
        <w:tc>
          <w:tcPr>
            <w:tcW w:w="1225" w:type="dxa"/>
            <w:tcBorders>
              <w:tl2br w:val="nil"/>
              <w:tr2bl w:val="nil"/>
            </w:tcBorders>
            <w:noWrap w:val="0"/>
            <w:vAlign w:val="center"/>
          </w:tcPr>
          <w:p w14:paraId="0D401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130</w:t>
            </w:r>
          </w:p>
        </w:tc>
        <w:tc>
          <w:tcPr>
            <w:tcW w:w="1225" w:type="dxa"/>
            <w:tcBorders>
              <w:tl2br w:val="nil"/>
              <w:tr2bl w:val="nil"/>
            </w:tcBorders>
            <w:noWrap w:val="0"/>
            <w:vAlign w:val="center"/>
          </w:tcPr>
          <w:p w14:paraId="58A9D9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180</w:t>
            </w:r>
          </w:p>
        </w:tc>
        <w:tc>
          <w:tcPr>
            <w:tcW w:w="1226" w:type="dxa"/>
            <w:tcBorders>
              <w:tl2br w:val="nil"/>
              <w:tr2bl w:val="nil"/>
            </w:tcBorders>
            <w:noWrap w:val="0"/>
            <w:vAlign w:val="center"/>
          </w:tcPr>
          <w:p w14:paraId="6E0175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35</w:t>
            </w:r>
          </w:p>
        </w:tc>
        <w:tc>
          <w:tcPr>
            <w:tcW w:w="1226" w:type="dxa"/>
            <w:tcBorders>
              <w:tl2br w:val="nil"/>
              <w:tr2bl w:val="nil"/>
            </w:tcBorders>
            <w:noWrap w:val="0"/>
            <w:vAlign w:val="center"/>
          </w:tcPr>
          <w:p w14:paraId="4DEF3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25</w:t>
            </w:r>
          </w:p>
        </w:tc>
        <w:tc>
          <w:tcPr>
            <w:tcW w:w="1226" w:type="dxa"/>
            <w:tcBorders>
              <w:tl2br w:val="nil"/>
              <w:tr2bl w:val="nil"/>
            </w:tcBorders>
            <w:noWrap w:val="0"/>
            <w:vAlign w:val="center"/>
          </w:tcPr>
          <w:p w14:paraId="2DE2E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ighlight w:val="none"/>
                <w:vertAlign w:val="baseline"/>
                <w:lang w:val="en-US" w:eastAsia="zh-CN"/>
              </w:rPr>
            </w:pPr>
            <w:r>
              <w:rPr>
                <w:rFonts w:hint="eastAsia"/>
                <w:highlight w:val="none"/>
                <w:vertAlign w:val="baseline"/>
                <w:lang w:val="en-US" w:eastAsia="zh-CN"/>
              </w:rPr>
              <w:t>3</w:t>
            </w:r>
          </w:p>
        </w:tc>
      </w:tr>
    </w:tbl>
    <w:p w14:paraId="2B3C5B41">
      <w:pPr>
        <w:pStyle w:val="5"/>
        <w:numPr>
          <w:ilvl w:val="0"/>
          <w:numId w:val="0"/>
        </w:numPr>
        <w:bidi w:val="0"/>
        <w:ind w:left="0" w:leftChars="0" w:firstLine="0" w:firstLineChars="0"/>
        <w:rPr>
          <w:rFonts w:hint="eastAsia"/>
          <w:highlight w:val="none"/>
          <w:lang w:val="en-US" w:eastAsia="zh-CN"/>
        </w:rPr>
      </w:pPr>
      <w:bookmarkStart w:id="81" w:name="_Toc30322"/>
      <w:r>
        <w:rPr>
          <w:rFonts w:hint="eastAsia"/>
          <w:highlight w:val="none"/>
          <w:lang w:val="en-US" w:eastAsia="zh-CN"/>
        </w:rPr>
        <w:t>5.2 废污水所含主要污染物种类及排放浓度、总量</w:t>
      </w:r>
      <w:bookmarkEnd w:id="81"/>
    </w:p>
    <w:p w14:paraId="649F3AB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南岳区污水处理厂排放的尾水中主要污染物为CODcr、</w:t>
      </w:r>
      <w:r>
        <w:rPr>
          <w:rFonts w:hint="default" w:ascii="Times New Roman" w:hAnsi="Times New Roman" w:cs="Times New Roman"/>
          <w:sz w:val="24"/>
          <w:szCs w:val="24"/>
          <w:highlight w:val="none"/>
          <w:vertAlign w:val="baseline"/>
          <w:lang w:val="en-US" w:eastAsia="zh-CN"/>
        </w:rPr>
        <w:t>BOD</w:t>
      </w:r>
      <w:r>
        <w:rPr>
          <w:rFonts w:hint="default" w:ascii="Times New Roman" w:hAnsi="Times New Roman" w:cs="Times New Roman"/>
          <w:sz w:val="24"/>
          <w:szCs w:val="24"/>
          <w:highlight w:val="none"/>
          <w:vertAlign w:val="subscript"/>
          <w:lang w:val="en-US" w:eastAsia="zh-CN"/>
        </w:rPr>
        <w:t>5</w:t>
      </w:r>
      <w:r>
        <w:rPr>
          <w:rFonts w:hint="default" w:ascii="Times New Roman" w:hAnsi="Times New Roman" w:cs="Times New Roman"/>
          <w:sz w:val="24"/>
          <w:szCs w:val="24"/>
          <w:highlight w:val="none"/>
          <w:vertAlign w:val="baseline"/>
          <w:lang w:val="en-US" w:eastAsia="zh-CN"/>
        </w:rPr>
        <w:t>、SS、TN、NH</w:t>
      </w:r>
      <w:r>
        <w:rPr>
          <w:rFonts w:hint="default" w:ascii="Times New Roman" w:hAnsi="Times New Roman" w:cs="Times New Roman"/>
          <w:sz w:val="24"/>
          <w:szCs w:val="24"/>
          <w:highlight w:val="none"/>
          <w:vertAlign w:val="subscript"/>
          <w:lang w:val="en-US" w:eastAsia="zh-CN"/>
        </w:rPr>
        <w:t>3</w:t>
      </w:r>
      <w:r>
        <w:rPr>
          <w:rFonts w:hint="default" w:ascii="Times New Roman" w:hAnsi="Times New Roman" w:cs="Times New Roman"/>
          <w:sz w:val="24"/>
          <w:szCs w:val="24"/>
          <w:highlight w:val="none"/>
          <w:vertAlign w:val="baseline"/>
          <w:lang w:val="en-US" w:eastAsia="zh-CN"/>
        </w:rPr>
        <w:t>-N、TP；其中</w:t>
      </w:r>
      <w:r>
        <w:rPr>
          <w:rFonts w:hint="default" w:ascii="Times New Roman" w:hAnsi="Times New Roman" w:cs="Times New Roman"/>
          <w:sz w:val="24"/>
          <w:szCs w:val="24"/>
          <w:highlight w:val="none"/>
          <w:lang w:val="en-US" w:eastAsia="zh-CN"/>
        </w:rPr>
        <w:t>CODcr、</w:t>
      </w:r>
      <w:r>
        <w:rPr>
          <w:rFonts w:hint="default" w:ascii="Times New Roman" w:hAnsi="Times New Roman" w:cs="Times New Roman"/>
          <w:sz w:val="24"/>
          <w:szCs w:val="24"/>
          <w:highlight w:val="none"/>
          <w:vertAlign w:val="baseline"/>
          <w:lang w:val="en-US" w:eastAsia="zh-CN"/>
        </w:rPr>
        <w:t>TN、NH</w:t>
      </w:r>
      <w:r>
        <w:rPr>
          <w:rFonts w:hint="default" w:ascii="Times New Roman" w:hAnsi="Times New Roman" w:cs="Times New Roman"/>
          <w:sz w:val="24"/>
          <w:szCs w:val="24"/>
          <w:highlight w:val="none"/>
          <w:vertAlign w:val="subscript"/>
          <w:lang w:val="en-US" w:eastAsia="zh-CN"/>
        </w:rPr>
        <w:t>3</w:t>
      </w:r>
      <w:r>
        <w:rPr>
          <w:rFonts w:hint="default" w:ascii="Times New Roman" w:hAnsi="Times New Roman" w:cs="Times New Roman"/>
          <w:sz w:val="24"/>
          <w:szCs w:val="24"/>
          <w:highlight w:val="none"/>
          <w:vertAlign w:val="baseline"/>
          <w:lang w:val="en-US" w:eastAsia="zh-CN"/>
        </w:rPr>
        <w:t>-N、TP</w:t>
      </w:r>
      <w:r>
        <w:rPr>
          <w:rFonts w:hint="default" w:ascii="Times New Roman" w:hAnsi="Times New Roman" w:cs="Times New Roman"/>
          <w:sz w:val="24"/>
          <w:szCs w:val="24"/>
          <w:highlight w:val="none"/>
        </w:rPr>
        <w:t>执行《湖南省城镇污水处理厂主要污染物排放标准》（DB43/T 1546-2018）一级标准</w:t>
      </w:r>
      <w:r>
        <w:rPr>
          <w:rFonts w:hint="eastAsia"/>
          <w:sz w:val="24"/>
          <w:szCs w:val="24"/>
          <w:highlight w:val="none"/>
          <w:lang w:val="en-US" w:eastAsia="zh-CN"/>
        </w:rPr>
        <w:t>，</w:t>
      </w:r>
      <w:r>
        <w:rPr>
          <w:rFonts w:hint="default" w:ascii="Times New Roman" w:hAnsi="Times New Roman" w:cs="Times New Roman"/>
          <w:sz w:val="24"/>
          <w:szCs w:val="24"/>
          <w:highlight w:val="none"/>
          <w:lang w:val="en-US" w:eastAsia="zh-CN"/>
        </w:rPr>
        <w:t>其余指标执行</w:t>
      </w:r>
      <w:r>
        <w:rPr>
          <w:rFonts w:hint="default" w:ascii="Times New Roman" w:hAnsi="Times New Roman" w:cs="Times New Roman"/>
          <w:sz w:val="24"/>
          <w:szCs w:val="24"/>
          <w:highlight w:val="none"/>
        </w:rPr>
        <w:t>《城镇污水处理厂污染物排放标准》（GB18918-2002）一级标准的A标准。</w:t>
      </w:r>
      <w:r>
        <w:rPr>
          <w:rFonts w:hint="default" w:ascii="Times New Roman" w:hAnsi="Times New Roman" w:cs="Times New Roman"/>
          <w:sz w:val="24"/>
          <w:szCs w:val="24"/>
          <w:highlight w:val="none"/>
          <w:lang w:val="en-US" w:eastAsia="zh-CN"/>
        </w:rPr>
        <w:t>南岳区污水处理厂</w:t>
      </w:r>
      <w:r>
        <w:rPr>
          <w:rFonts w:hint="default" w:ascii="Times New Roman" w:hAnsi="Times New Roman" w:eastAsia="宋体" w:cs="Times New Roman"/>
          <w:color w:val="000000"/>
          <w:kern w:val="0"/>
          <w:sz w:val="24"/>
          <w:szCs w:val="24"/>
          <w:highlight w:val="none"/>
          <w:lang w:val="en-US" w:eastAsia="zh-CN" w:bidi="ar"/>
        </w:rPr>
        <w:t>各污染物产生及排放情况见下表5.2-1。</w:t>
      </w:r>
    </w:p>
    <w:p w14:paraId="400202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highlight w:val="none"/>
          <w:lang w:val="en-US" w:eastAsia="zh-CN"/>
        </w:rPr>
      </w:pPr>
      <w:r>
        <w:rPr>
          <w:rFonts w:hint="eastAsia" w:ascii="Times New Roman" w:hAnsi="Times New Roman" w:eastAsia="宋体" w:cs="Times New Roman"/>
          <w:b/>
          <w:bCs/>
          <w:color w:val="000000"/>
          <w:highlight w:val="none"/>
          <w:lang w:val="en-US" w:eastAsia="zh-CN"/>
        </w:rPr>
        <w:t>表5.2-1 南岳区污水处理厂各污染物产生及排放情况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987"/>
        <w:gridCol w:w="1107"/>
        <w:gridCol w:w="1049"/>
        <w:gridCol w:w="1140"/>
        <w:gridCol w:w="1108"/>
        <w:gridCol w:w="975"/>
        <w:gridCol w:w="1046"/>
      </w:tblGrid>
      <w:tr w14:paraId="49E59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086" w:type="dxa"/>
            <w:tcBorders>
              <w:tl2br w:val="nil"/>
              <w:tr2bl w:val="nil"/>
            </w:tcBorders>
            <w:noWrap w:val="0"/>
            <w:vAlign w:val="center"/>
          </w:tcPr>
          <w:p w14:paraId="2CF9B1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处理规模（m</w:t>
            </w:r>
            <w:r>
              <w:rPr>
                <w:rFonts w:hint="eastAsia"/>
                <w:b w:val="0"/>
                <w:bCs w:val="0"/>
                <w:sz w:val="21"/>
                <w:szCs w:val="21"/>
                <w:highlight w:val="none"/>
                <w:vertAlign w:val="superscript"/>
                <w:lang w:val="en-US" w:eastAsia="zh-CN"/>
              </w:rPr>
              <w:t>3</w:t>
            </w:r>
            <w:r>
              <w:rPr>
                <w:rFonts w:hint="eastAsia"/>
                <w:b w:val="0"/>
                <w:bCs w:val="0"/>
                <w:sz w:val="21"/>
                <w:szCs w:val="21"/>
                <w:highlight w:val="none"/>
                <w:vertAlign w:val="baseline"/>
                <w:lang w:val="en-US" w:eastAsia="zh-CN"/>
              </w:rPr>
              <w:t>/d）</w:t>
            </w:r>
          </w:p>
        </w:tc>
        <w:tc>
          <w:tcPr>
            <w:tcW w:w="987" w:type="dxa"/>
            <w:tcBorders>
              <w:tl2br w:val="nil"/>
              <w:tr2bl w:val="nil"/>
            </w:tcBorders>
            <w:noWrap w:val="0"/>
            <w:vAlign w:val="center"/>
          </w:tcPr>
          <w:p w14:paraId="241380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污染物名称</w:t>
            </w:r>
          </w:p>
        </w:tc>
        <w:tc>
          <w:tcPr>
            <w:tcW w:w="1107" w:type="dxa"/>
            <w:tcBorders>
              <w:tl2br w:val="nil"/>
              <w:tr2bl w:val="nil"/>
            </w:tcBorders>
            <w:noWrap w:val="0"/>
            <w:vAlign w:val="center"/>
          </w:tcPr>
          <w:p w14:paraId="12A256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进水浓度（</w:t>
            </w:r>
            <w:r>
              <w:rPr>
                <w:rFonts w:hint="eastAsia"/>
                <w:b w:val="0"/>
                <w:bCs w:val="0"/>
                <w:color w:val="000000"/>
                <w:sz w:val="21"/>
                <w:szCs w:val="21"/>
                <w:highlight w:val="none"/>
                <w:lang w:val="en-US" w:eastAsia="zh-CN"/>
              </w:rPr>
              <w:t>mg/L</w:t>
            </w:r>
            <w:r>
              <w:rPr>
                <w:rFonts w:hint="eastAsia"/>
                <w:b w:val="0"/>
                <w:bCs w:val="0"/>
                <w:sz w:val="21"/>
                <w:szCs w:val="21"/>
                <w:highlight w:val="none"/>
                <w:vertAlign w:val="baseline"/>
                <w:lang w:val="en-US" w:eastAsia="zh-CN"/>
              </w:rPr>
              <w:t>）</w:t>
            </w:r>
          </w:p>
        </w:tc>
        <w:tc>
          <w:tcPr>
            <w:tcW w:w="1049" w:type="dxa"/>
            <w:tcBorders>
              <w:tl2br w:val="nil"/>
              <w:tr2bl w:val="nil"/>
            </w:tcBorders>
            <w:noWrap w:val="0"/>
            <w:vAlign w:val="center"/>
          </w:tcPr>
          <w:p w14:paraId="3DE806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产生量（t/d）</w:t>
            </w:r>
          </w:p>
        </w:tc>
        <w:tc>
          <w:tcPr>
            <w:tcW w:w="1140" w:type="dxa"/>
            <w:tcBorders>
              <w:tl2br w:val="nil"/>
              <w:tr2bl w:val="nil"/>
            </w:tcBorders>
            <w:noWrap w:val="0"/>
            <w:vAlign w:val="center"/>
          </w:tcPr>
          <w:p w14:paraId="456C9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外排尾水量（m</w:t>
            </w:r>
            <w:r>
              <w:rPr>
                <w:rFonts w:hint="eastAsia"/>
                <w:b w:val="0"/>
                <w:bCs w:val="0"/>
                <w:sz w:val="21"/>
                <w:szCs w:val="21"/>
                <w:highlight w:val="none"/>
                <w:vertAlign w:val="superscript"/>
                <w:lang w:val="en-US" w:eastAsia="zh-CN"/>
              </w:rPr>
              <w:t>3</w:t>
            </w:r>
            <w:r>
              <w:rPr>
                <w:rFonts w:hint="eastAsia"/>
                <w:b w:val="0"/>
                <w:bCs w:val="0"/>
                <w:sz w:val="21"/>
                <w:szCs w:val="21"/>
                <w:highlight w:val="none"/>
                <w:vertAlign w:val="baseline"/>
                <w:lang w:val="en-US" w:eastAsia="zh-CN"/>
              </w:rPr>
              <w:t>/d）</w:t>
            </w:r>
          </w:p>
        </w:tc>
        <w:tc>
          <w:tcPr>
            <w:tcW w:w="1108" w:type="dxa"/>
            <w:tcBorders>
              <w:tl2br w:val="nil"/>
              <w:tr2bl w:val="nil"/>
            </w:tcBorders>
            <w:noWrap w:val="0"/>
            <w:vAlign w:val="center"/>
          </w:tcPr>
          <w:p w14:paraId="40643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出水浓度（</w:t>
            </w:r>
            <w:r>
              <w:rPr>
                <w:rFonts w:hint="eastAsia"/>
                <w:b w:val="0"/>
                <w:bCs w:val="0"/>
                <w:color w:val="000000"/>
                <w:sz w:val="21"/>
                <w:szCs w:val="21"/>
                <w:highlight w:val="none"/>
                <w:lang w:val="en-US" w:eastAsia="zh-CN"/>
              </w:rPr>
              <w:t>mg/L</w:t>
            </w:r>
            <w:r>
              <w:rPr>
                <w:rFonts w:hint="eastAsia"/>
                <w:b w:val="0"/>
                <w:bCs w:val="0"/>
                <w:sz w:val="21"/>
                <w:szCs w:val="21"/>
                <w:highlight w:val="none"/>
                <w:vertAlign w:val="baseline"/>
                <w:lang w:val="en-US" w:eastAsia="zh-CN"/>
              </w:rPr>
              <w:t>）</w:t>
            </w:r>
          </w:p>
        </w:tc>
        <w:tc>
          <w:tcPr>
            <w:tcW w:w="975" w:type="dxa"/>
            <w:tcBorders>
              <w:tl2br w:val="nil"/>
              <w:tr2bl w:val="nil"/>
            </w:tcBorders>
            <w:noWrap w:val="0"/>
            <w:vAlign w:val="center"/>
          </w:tcPr>
          <w:p w14:paraId="32057D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排放量（t/d）</w:t>
            </w:r>
          </w:p>
        </w:tc>
        <w:tc>
          <w:tcPr>
            <w:tcW w:w="1046" w:type="dxa"/>
            <w:tcBorders>
              <w:tl2br w:val="nil"/>
              <w:tr2bl w:val="nil"/>
            </w:tcBorders>
            <w:noWrap w:val="0"/>
            <w:vAlign w:val="center"/>
          </w:tcPr>
          <w:p w14:paraId="7C846A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年排放量（t/a）</w:t>
            </w:r>
          </w:p>
        </w:tc>
      </w:tr>
      <w:tr w14:paraId="37F0E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86" w:type="dxa"/>
            <w:vMerge w:val="restart"/>
            <w:tcBorders>
              <w:tl2br w:val="nil"/>
              <w:tr2bl w:val="nil"/>
            </w:tcBorders>
            <w:noWrap w:val="0"/>
            <w:vAlign w:val="center"/>
          </w:tcPr>
          <w:p w14:paraId="22A9CE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30000</w:t>
            </w:r>
          </w:p>
        </w:tc>
        <w:tc>
          <w:tcPr>
            <w:tcW w:w="987" w:type="dxa"/>
            <w:tcBorders>
              <w:tl2br w:val="nil"/>
              <w:tr2bl w:val="nil"/>
            </w:tcBorders>
            <w:noWrap w:val="0"/>
            <w:vAlign w:val="center"/>
          </w:tcPr>
          <w:p w14:paraId="6F19B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lang w:val="en-US" w:eastAsia="zh-CN"/>
              </w:rPr>
              <w:t>CODcr</w:t>
            </w:r>
          </w:p>
        </w:tc>
        <w:tc>
          <w:tcPr>
            <w:tcW w:w="1107" w:type="dxa"/>
            <w:tcBorders>
              <w:tl2br w:val="nil"/>
              <w:tr2bl w:val="nil"/>
            </w:tcBorders>
            <w:noWrap w:val="0"/>
            <w:vAlign w:val="center"/>
          </w:tcPr>
          <w:p w14:paraId="17BD1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260</w:t>
            </w:r>
          </w:p>
        </w:tc>
        <w:tc>
          <w:tcPr>
            <w:tcW w:w="1049" w:type="dxa"/>
            <w:tcBorders>
              <w:tl2br w:val="nil"/>
              <w:tr2bl w:val="nil"/>
            </w:tcBorders>
            <w:noWrap w:val="0"/>
            <w:vAlign w:val="center"/>
          </w:tcPr>
          <w:p w14:paraId="48893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7.8</w:t>
            </w:r>
          </w:p>
        </w:tc>
        <w:tc>
          <w:tcPr>
            <w:tcW w:w="1140" w:type="dxa"/>
            <w:vMerge w:val="restart"/>
            <w:tcBorders>
              <w:tl2br w:val="nil"/>
              <w:tr2bl w:val="nil"/>
            </w:tcBorders>
            <w:noWrap w:val="0"/>
            <w:vAlign w:val="center"/>
          </w:tcPr>
          <w:p w14:paraId="79C8B2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30000</w:t>
            </w:r>
          </w:p>
        </w:tc>
        <w:tc>
          <w:tcPr>
            <w:tcW w:w="1108" w:type="dxa"/>
            <w:tcBorders>
              <w:tl2br w:val="nil"/>
              <w:tr2bl w:val="nil"/>
            </w:tcBorders>
            <w:noWrap w:val="0"/>
            <w:vAlign w:val="center"/>
          </w:tcPr>
          <w:p w14:paraId="32EA9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30</w:t>
            </w:r>
          </w:p>
        </w:tc>
        <w:tc>
          <w:tcPr>
            <w:tcW w:w="975" w:type="dxa"/>
            <w:tcBorders>
              <w:tl2br w:val="nil"/>
              <w:tr2bl w:val="nil"/>
            </w:tcBorders>
            <w:noWrap w:val="0"/>
            <w:vAlign w:val="center"/>
          </w:tcPr>
          <w:p w14:paraId="20157B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0.9</w:t>
            </w:r>
          </w:p>
        </w:tc>
        <w:tc>
          <w:tcPr>
            <w:tcW w:w="1046" w:type="dxa"/>
            <w:tcBorders>
              <w:tl2br w:val="nil"/>
              <w:tr2bl w:val="nil"/>
            </w:tcBorders>
            <w:noWrap w:val="0"/>
            <w:vAlign w:val="center"/>
          </w:tcPr>
          <w:p w14:paraId="3D03A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328.5</w:t>
            </w:r>
          </w:p>
        </w:tc>
      </w:tr>
      <w:tr w14:paraId="5FA54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86" w:type="dxa"/>
            <w:vMerge w:val="continue"/>
            <w:tcBorders>
              <w:tl2br w:val="nil"/>
              <w:tr2bl w:val="nil"/>
            </w:tcBorders>
            <w:noWrap w:val="0"/>
            <w:vAlign w:val="center"/>
          </w:tcPr>
          <w:p w14:paraId="4971D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987" w:type="dxa"/>
            <w:tcBorders>
              <w:tl2br w:val="nil"/>
              <w:tr2bl w:val="nil"/>
            </w:tcBorders>
            <w:noWrap w:val="0"/>
            <w:vAlign w:val="center"/>
          </w:tcPr>
          <w:p w14:paraId="006F5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TN</w:t>
            </w:r>
          </w:p>
        </w:tc>
        <w:tc>
          <w:tcPr>
            <w:tcW w:w="1107" w:type="dxa"/>
            <w:tcBorders>
              <w:tl2br w:val="nil"/>
              <w:tr2bl w:val="nil"/>
            </w:tcBorders>
            <w:noWrap w:val="0"/>
            <w:vAlign w:val="center"/>
          </w:tcPr>
          <w:p w14:paraId="54F1D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35</w:t>
            </w:r>
          </w:p>
        </w:tc>
        <w:tc>
          <w:tcPr>
            <w:tcW w:w="1049" w:type="dxa"/>
            <w:tcBorders>
              <w:tl2br w:val="nil"/>
              <w:tr2bl w:val="nil"/>
            </w:tcBorders>
            <w:noWrap w:val="0"/>
            <w:vAlign w:val="center"/>
          </w:tcPr>
          <w:p w14:paraId="57DE7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1.05</w:t>
            </w:r>
          </w:p>
        </w:tc>
        <w:tc>
          <w:tcPr>
            <w:tcW w:w="1140" w:type="dxa"/>
            <w:vMerge w:val="continue"/>
            <w:tcBorders>
              <w:tl2br w:val="nil"/>
              <w:tr2bl w:val="nil"/>
            </w:tcBorders>
            <w:noWrap w:val="0"/>
            <w:vAlign w:val="center"/>
          </w:tcPr>
          <w:p w14:paraId="6C691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1108" w:type="dxa"/>
            <w:tcBorders>
              <w:tl2br w:val="nil"/>
              <w:tr2bl w:val="nil"/>
            </w:tcBorders>
            <w:noWrap w:val="0"/>
            <w:vAlign w:val="center"/>
          </w:tcPr>
          <w:p w14:paraId="6434D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0.3</w:t>
            </w:r>
          </w:p>
        </w:tc>
        <w:tc>
          <w:tcPr>
            <w:tcW w:w="975" w:type="dxa"/>
            <w:tcBorders>
              <w:tl2br w:val="nil"/>
              <w:tr2bl w:val="nil"/>
            </w:tcBorders>
            <w:noWrap w:val="0"/>
            <w:vAlign w:val="center"/>
          </w:tcPr>
          <w:p w14:paraId="2B254A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0.009</w:t>
            </w:r>
          </w:p>
        </w:tc>
        <w:tc>
          <w:tcPr>
            <w:tcW w:w="1046" w:type="dxa"/>
            <w:tcBorders>
              <w:tl2br w:val="nil"/>
              <w:tr2bl w:val="nil"/>
            </w:tcBorders>
            <w:noWrap w:val="0"/>
            <w:vAlign w:val="center"/>
          </w:tcPr>
          <w:p w14:paraId="4B33B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3.285</w:t>
            </w:r>
          </w:p>
        </w:tc>
      </w:tr>
      <w:tr w14:paraId="6F3D5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86" w:type="dxa"/>
            <w:vMerge w:val="continue"/>
            <w:tcBorders>
              <w:tl2br w:val="nil"/>
              <w:tr2bl w:val="nil"/>
            </w:tcBorders>
            <w:noWrap w:val="0"/>
            <w:vAlign w:val="center"/>
          </w:tcPr>
          <w:p w14:paraId="6B8565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987" w:type="dxa"/>
            <w:tcBorders>
              <w:tl2br w:val="nil"/>
              <w:tr2bl w:val="nil"/>
            </w:tcBorders>
            <w:noWrap w:val="0"/>
            <w:vAlign w:val="center"/>
          </w:tcPr>
          <w:p w14:paraId="0B9895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NH</w:t>
            </w:r>
            <w:r>
              <w:rPr>
                <w:rFonts w:hint="default" w:ascii="Times New Roman" w:hAnsi="Times New Roman" w:cs="Times New Roman"/>
                <w:b w:val="0"/>
                <w:bCs w:val="0"/>
                <w:sz w:val="21"/>
                <w:szCs w:val="21"/>
                <w:highlight w:val="none"/>
                <w:vertAlign w:val="subscript"/>
                <w:lang w:val="en-US" w:eastAsia="zh-CN"/>
              </w:rPr>
              <w:t>3</w:t>
            </w:r>
            <w:r>
              <w:rPr>
                <w:rFonts w:hint="default" w:ascii="Times New Roman" w:hAnsi="Times New Roman" w:cs="Times New Roman"/>
                <w:b w:val="0"/>
                <w:bCs w:val="0"/>
                <w:sz w:val="21"/>
                <w:szCs w:val="21"/>
                <w:highlight w:val="none"/>
                <w:vertAlign w:val="baseline"/>
                <w:lang w:val="en-US" w:eastAsia="zh-CN"/>
              </w:rPr>
              <w:t>-N</w:t>
            </w:r>
          </w:p>
        </w:tc>
        <w:tc>
          <w:tcPr>
            <w:tcW w:w="1107" w:type="dxa"/>
            <w:tcBorders>
              <w:tl2br w:val="nil"/>
              <w:tr2bl w:val="nil"/>
            </w:tcBorders>
            <w:noWrap w:val="0"/>
            <w:vAlign w:val="center"/>
          </w:tcPr>
          <w:p w14:paraId="5DDE4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25</w:t>
            </w:r>
          </w:p>
        </w:tc>
        <w:tc>
          <w:tcPr>
            <w:tcW w:w="1049" w:type="dxa"/>
            <w:tcBorders>
              <w:tl2br w:val="nil"/>
              <w:tr2bl w:val="nil"/>
            </w:tcBorders>
            <w:noWrap w:val="0"/>
            <w:vAlign w:val="center"/>
          </w:tcPr>
          <w:p w14:paraId="12798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0.75</w:t>
            </w:r>
          </w:p>
        </w:tc>
        <w:tc>
          <w:tcPr>
            <w:tcW w:w="1140" w:type="dxa"/>
            <w:vMerge w:val="continue"/>
            <w:tcBorders>
              <w:tl2br w:val="nil"/>
              <w:tr2bl w:val="nil"/>
            </w:tcBorders>
            <w:noWrap w:val="0"/>
            <w:vAlign w:val="center"/>
          </w:tcPr>
          <w:p w14:paraId="3978BF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1108" w:type="dxa"/>
            <w:tcBorders>
              <w:tl2br w:val="nil"/>
              <w:tr2bl w:val="nil"/>
            </w:tcBorders>
            <w:noWrap w:val="0"/>
            <w:vAlign w:val="center"/>
          </w:tcPr>
          <w:p w14:paraId="3FD09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1.5</w:t>
            </w:r>
          </w:p>
        </w:tc>
        <w:tc>
          <w:tcPr>
            <w:tcW w:w="975" w:type="dxa"/>
            <w:tcBorders>
              <w:tl2br w:val="nil"/>
              <w:tr2bl w:val="nil"/>
            </w:tcBorders>
            <w:noWrap w:val="0"/>
            <w:vAlign w:val="center"/>
          </w:tcPr>
          <w:p w14:paraId="04DA6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0.045</w:t>
            </w:r>
          </w:p>
        </w:tc>
        <w:tc>
          <w:tcPr>
            <w:tcW w:w="1046" w:type="dxa"/>
            <w:tcBorders>
              <w:tl2br w:val="nil"/>
              <w:tr2bl w:val="nil"/>
            </w:tcBorders>
            <w:noWrap w:val="0"/>
            <w:vAlign w:val="center"/>
          </w:tcPr>
          <w:p w14:paraId="4D157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16.425</w:t>
            </w:r>
          </w:p>
        </w:tc>
      </w:tr>
      <w:tr w14:paraId="08CA6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86" w:type="dxa"/>
            <w:vMerge w:val="continue"/>
            <w:tcBorders>
              <w:tl2br w:val="nil"/>
              <w:tr2bl w:val="nil"/>
            </w:tcBorders>
            <w:noWrap w:val="0"/>
            <w:vAlign w:val="center"/>
          </w:tcPr>
          <w:p w14:paraId="07E391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987" w:type="dxa"/>
            <w:tcBorders>
              <w:tl2br w:val="nil"/>
              <w:tr2bl w:val="nil"/>
            </w:tcBorders>
            <w:noWrap w:val="0"/>
            <w:vAlign w:val="center"/>
          </w:tcPr>
          <w:p w14:paraId="21CB9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TP</w:t>
            </w:r>
          </w:p>
        </w:tc>
        <w:tc>
          <w:tcPr>
            <w:tcW w:w="1107" w:type="dxa"/>
            <w:tcBorders>
              <w:tl2br w:val="nil"/>
              <w:tr2bl w:val="nil"/>
            </w:tcBorders>
            <w:noWrap w:val="0"/>
            <w:vAlign w:val="center"/>
          </w:tcPr>
          <w:p w14:paraId="61113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w:t>
            </w:r>
          </w:p>
        </w:tc>
        <w:tc>
          <w:tcPr>
            <w:tcW w:w="1049" w:type="dxa"/>
            <w:tcBorders>
              <w:tl2br w:val="nil"/>
              <w:tr2bl w:val="nil"/>
            </w:tcBorders>
            <w:noWrap w:val="0"/>
            <w:vAlign w:val="center"/>
          </w:tcPr>
          <w:p w14:paraId="2F769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0.09</w:t>
            </w:r>
          </w:p>
        </w:tc>
        <w:tc>
          <w:tcPr>
            <w:tcW w:w="1140" w:type="dxa"/>
            <w:vMerge w:val="continue"/>
            <w:tcBorders>
              <w:tl2br w:val="nil"/>
              <w:tr2bl w:val="nil"/>
            </w:tcBorders>
            <w:noWrap w:val="0"/>
            <w:vAlign w:val="center"/>
          </w:tcPr>
          <w:p w14:paraId="0220A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1108" w:type="dxa"/>
            <w:tcBorders>
              <w:tl2br w:val="nil"/>
              <w:tr2bl w:val="nil"/>
            </w:tcBorders>
            <w:noWrap w:val="0"/>
            <w:vAlign w:val="center"/>
          </w:tcPr>
          <w:p w14:paraId="5D5029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10</w:t>
            </w:r>
          </w:p>
        </w:tc>
        <w:tc>
          <w:tcPr>
            <w:tcW w:w="975" w:type="dxa"/>
            <w:tcBorders>
              <w:tl2br w:val="nil"/>
              <w:tr2bl w:val="nil"/>
            </w:tcBorders>
            <w:noWrap w:val="0"/>
            <w:vAlign w:val="center"/>
          </w:tcPr>
          <w:p w14:paraId="2127C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0.3</w:t>
            </w:r>
          </w:p>
        </w:tc>
        <w:tc>
          <w:tcPr>
            <w:tcW w:w="1046" w:type="dxa"/>
            <w:tcBorders>
              <w:tl2br w:val="nil"/>
              <w:tr2bl w:val="nil"/>
            </w:tcBorders>
            <w:noWrap w:val="0"/>
            <w:vAlign w:val="center"/>
          </w:tcPr>
          <w:p w14:paraId="72FEA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109.5</w:t>
            </w:r>
          </w:p>
        </w:tc>
      </w:tr>
      <w:tr w14:paraId="24713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86" w:type="dxa"/>
            <w:vMerge w:val="continue"/>
            <w:tcBorders>
              <w:tl2br w:val="nil"/>
              <w:tr2bl w:val="nil"/>
            </w:tcBorders>
            <w:noWrap w:val="0"/>
            <w:vAlign w:val="center"/>
          </w:tcPr>
          <w:p w14:paraId="6B9210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987" w:type="dxa"/>
            <w:tcBorders>
              <w:tl2br w:val="nil"/>
              <w:tr2bl w:val="nil"/>
            </w:tcBorders>
            <w:noWrap w:val="0"/>
            <w:vAlign w:val="center"/>
          </w:tcPr>
          <w:p w14:paraId="44F48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BOD</w:t>
            </w:r>
            <w:r>
              <w:rPr>
                <w:rFonts w:hint="default" w:ascii="Times New Roman" w:hAnsi="Times New Roman" w:cs="Times New Roman"/>
                <w:b w:val="0"/>
                <w:bCs w:val="0"/>
                <w:sz w:val="21"/>
                <w:szCs w:val="21"/>
                <w:highlight w:val="none"/>
                <w:vertAlign w:val="subscript"/>
                <w:lang w:val="en-US" w:eastAsia="zh-CN"/>
              </w:rPr>
              <w:t>5</w:t>
            </w:r>
          </w:p>
        </w:tc>
        <w:tc>
          <w:tcPr>
            <w:tcW w:w="1107" w:type="dxa"/>
            <w:tcBorders>
              <w:tl2br w:val="nil"/>
              <w:tr2bl w:val="nil"/>
            </w:tcBorders>
            <w:noWrap w:val="0"/>
            <w:vAlign w:val="center"/>
          </w:tcPr>
          <w:p w14:paraId="0E9D37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130</w:t>
            </w:r>
          </w:p>
        </w:tc>
        <w:tc>
          <w:tcPr>
            <w:tcW w:w="1049" w:type="dxa"/>
            <w:tcBorders>
              <w:tl2br w:val="nil"/>
              <w:tr2bl w:val="nil"/>
            </w:tcBorders>
            <w:noWrap w:val="0"/>
            <w:vAlign w:val="center"/>
          </w:tcPr>
          <w:p w14:paraId="30770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3.9</w:t>
            </w:r>
          </w:p>
        </w:tc>
        <w:tc>
          <w:tcPr>
            <w:tcW w:w="1140" w:type="dxa"/>
            <w:vMerge w:val="continue"/>
            <w:tcBorders>
              <w:tl2br w:val="nil"/>
              <w:tr2bl w:val="nil"/>
            </w:tcBorders>
            <w:noWrap w:val="0"/>
            <w:vAlign w:val="center"/>
          </w:tcPr>
          <w:p w14:paraId="3FDFD1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1108" w:type="dxa"/>
            <w:tcBorders>
              <w:tl2br w:val="nil"/>
              <w:tr2bl w:val="nil"/>
            </w:tcBorders>
            <w:noWrap w:val="0"/>
            <w:vAlign w:val="center"/>
          </w:tcPr>
          <w:p w14:paraId="3E9E26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10</w:t>
            </w:r>
          </w:p>
        </w:tc>
        <w:tc>
          <w:tcPr>
            <w:tcW w:w="975" w:type="dxa"/>
            <w:tcBorders>
              <w:tl2br w:val="nil"/>
              <w:tr2bl w:val="nil"/>
            </w:tcBorders>
            <w:noWrap w:val="0"/>
            <w:vAlign w:val="center"/>
          </w:tcPr>
          <w:p w14:paraId="001B7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0.3</w:t>
            </w:r>
          </w:p>
        </w:tc>
        <w:tc>
          <w:tcPr>
            <w:tcW w:w="1046" w:type="dxa"/>
            <w:tcBorders>
              <w:tl2br w:val="nil"/>
              <w:tr2bl w:val="nil"/>
            </w:tcBorders>
            <w:noWrap w:val="0"/>
            <w:vAlign w:val="center"/>
          </w:tcPr>
          <w:p w14:paraId="2C75E8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109.5</w:t>
            </w:r>
          </w:p>
        </w:tc>
      </w:tr>
      <w:tr w14:paraId="1A5BB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86" w:type="dxa"/>
            <w:vMerge w:val="continue"/>
            <w:tcBorders>
              <w:tl2br w:val="nil"/>
              <w:tr2bl w:val="nil"/>
            </w:tcBorders>
            <w:noWrap w:val="0"/>
            <w:vAlign w:val="center"/>
          </w:tcPr>
          <w:p w14:paraId="69AD6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987" w:type="dxa"/>
            <w:tcBorders>
              <w:tl2br w:val="nil"/>
              <w:tr2bl w:val="nil"/>
            </w:tcBorders>
            <w:noWrap w:val="0"/>
            <w:vAlign w:val="center"/>
          </w:tcPr>
          <w:p w14:paraId="42C597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SS</w:t>
            </w:r>
          </w:p>
        </w:tc>
        <w:tc>
          <w:tcPr>
            <w:tcW w:w="1107" w:type="dxa"/>
            <w:tcBorders>
              <w:tl2br w:val="nil"/>
              <w:tr2bl w:val="nil"/>
            </w:tcBorders>
            <w:noWrap w:val="0"/>
            <w:vAlign w:val="center"/>
          </w:tcPr>
          <w:p w14:paraId="16C72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180</w:t>
            </w:r>
          </w:p>
        </w:tc>
        <w:tc>
          <w:tcPr>
            <w:tcW w:w="1049" w:type="dxa"/>
            <w:tcBorders>
              <w:tl2br w:val="nil"/>
              <w:tr2bl w:val="nil"/>
            </w:tcBorders>
            <w:noWrap w:val="0"/>
            <w:vAlign w:val="center"/>
          </w:tcPr>
          <w:p w14:paraId="7D867E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5.4</w:t>
            </w:r>
          </w:p>
        </w:tc>
        <w:tc>
          <w:tcPr>
            <w:tcW w:w="1140" w:type="dxa"/>
            <w:vMerge w:val="continue"/>
            <w:tcBorders>
              <w:tl2br w:val="nil"/>
              <w:tr2bl w:val="nil"/>
            </w:tcBorders>
            <w:noWrap w:val="0"/>
            <w:vAlign w:val="center"/>
          </w:tcPr>
          <w:p w14:paraId="161CD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val="en-US" w:eastAsia="zh-CN"/>
              </w:rPr>
            </w:pPr>
          </w:p>
        </w:tc>
        <w:tc>
          <w:tcPr>
            <w:tcW w:w="1108" w:type="dxa"/>
            <w:tcBorders>
              <w:tl2br w:val="nil"/>
              <w:tr2bl w:val="nil"/>
            </w:tcBorders>
            <w:noWrap w:val="0"/>
            <w:vAlign w:val="center"/>
          </w:tcPr>
          <w:p w14:paraId="7D6884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10</w:t>
            </w:r>
          </w:p>
        </w:tc>
        <w:tc>
          <w:tcPr>
            <w:tcW w:w="975" w:type="dxa"/>
            <w:tcBorders>
              <w:tl2br w:val="nil"/>
              <w:tr2bl w:val="nil"/>
            </w:tcBorders>
            <w:noWrap w:val="0"/>
            <w:vAlign w:val="center"/>
          </w:tcPr>
          <w:p w14:paraId="3D77B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0.3</w:t>
            </w:r>
          </w:p>
        </w:tc>
        <w:tc>
          <w:tcPr>
            <w:tcW w:w="1046" w:type="dxa"/>
            <w:tcBorders>
              <w:tl2br w:val="nil"/>
              <w:tr2bl w:val="nil"/>
            </w:tcBorders>
            <w:noWrap w:val="0"/>
            <w:vAlign w:val="center"/>
          </w:tcPr>
          <w:p w14:paraId="5B590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109.5</w:t>
            </w:r>
          </w:p>
        </w:tc>
      </w:tr>
    </w:tbl>
    <w:p w14:paraId="0FB91182">
      <w:pPr>
        <w:jc w:val="both"/>
        <w:rPr>
          <w:rFonts w:hint="eastAsia"/>
          <w:sz w:val="21"/>
          <w:szCs w:val="21"/>
          <w:highlight w:val="none"/>
          <w:lang w:val="en-US" w:eastAsia="zh-CN"/>
        </w:rPr>
      </w:pPr>
      <w:r>
        <w:rPr>
          <w:rFonts w:hint="eastAsia" w:ascii="黑体" w:hAnsi="黑体" w:eastAsia="黑体" w:cs="黑体"/>
          <w:b w:val="0"/>
          <w:bCs w:val="0"/>
          <w:sz w:val="21"/>
          <w:szCs w:val="21"/>
          <w:highlight w:val="none"/>
          <w:lang w:val="en-US" w:eastAsia="zh-CN"/>
        </w:rPr>
        <w:t>注：出水浓度取最高限值计算；氨氮取水温＞12℃时的控制指标。</w:t>
      </w:r>
    </w:p>
    <w:p w14:paraId="1D8615C1">
      <w:pPr>
        <w:pStyle w:val="5"/>
        <w:numPr>
          <w:ilvl w:val="0"/>
          <w:numId w:val="0"/>
        </w:numPr>
        <w:bidi w:val="0"/>
        <w:ind w:left="0" w:leftChars="0" w:firstLine="0" w:firstLineChars="0"/>
        <w:rPr>
          <w:rFonts w:hint="default"/>
          <w:highlight w:val="none"/>
          <w:lang w:val="en-US" w:eastAsia="zh-CN"/>
        </w:rPr>
      </w:pPr>
      <w:bookmarkStart w:id="82" w:name="_Toc25355"/>
      <w:r>
        <w:rPr>
          <w:rFonts w:hint="eastAsia"/>
          <w:highlight w:val="none"/>
          <w:lang w:val="en-US" w:eastAsia="zh-CN"/>
        </w:rPr>
        <w:t>5.3 废污水处理措施及达标排放可行性分析</w:t>
      </w:r>
      <w:bookmarkEnd w:id="82"/>
    </w:p>
    <w:p w14:paraId="04C28B3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lang w:val="en-US" w:eastAsia="zh-CN"/>
          <w14:textFill>
            <w14:solidFill>
              <w14:schemeClr w14:val="tx1"/>
            </w14:solidFill>
          </w14:textFill>
        </w:rPr>
        <w:t>南岳区污水处理厂扩建及提质改造后污水处理采用“预处理+活性污泥法（一、二期为改良型氧化沟、三期为A</w:t>
      </w:r>
      <w:r>
        <w:rPr>
          <w:rFonts w:hint="eastAsia"/>
          <w:color w:val="000000" w:themeColor="text1"/>
          <w:sz w:val="24"/>
          <w:szCs w:val="24"/>
          <w:highlight w:val="none"/>
          <w:u w:val="none"/>
          <w:vertAlign w:val="superscript"/>
          <w:lang w:val="en-US" w:eastAsia="zh-CN"/>
          <w14:textFill>
            <w14:solidFill>
              <w14:schemeClr w14:val="tx1"/>
            </w14:solidFill>
          </w14:textFill>
        </w:rPr>
        <w:t>2</w:t>
      </w:r>
      <w:r>
        <w:rPr>
          <w:rFonts w:hint="eastAsia"/>
          <w:color w:val="000000" w:themeColor="text1"/>
          <w:sz w:val="24"/>
          <w:szCs w:val="24"/>
          <w:highlight w:val="none"/>
          <w:u w:val="none"/>
          <w:lang w:val="en-US" w:eastAsia="zh-CN"/>
          <w14:textFill>
            <w14:solidFill>
              <w14:schemeClr w14:val="tx1"/>
            </w14:solidFill>
          </w14:textFill>
        </w:rPr>
        <w:t>O工艺）+二沉池+高效沉淀池+反硝化深床滤池+紫外线消毒”的处理工艺。根据《排污许可证申请与核发技术规范 水处理通用工序》（HJ1120-2020）附录A中服务类排污单位废水和生活污水可行性技术参照表，详见下表5.3-1</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3596A0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cs="Times New Roman"/>
          <w:b/>
          <w:bCs/>
          <w:color w:val="000000" w:themeColor="text1"/>
          <w:sz w:val="21"/>
          <w:szCs w:val="21"/>
          <w:highlight w:val="none"/>
          <w:u w:val="none"/>
          <w:lang w:val="en-US" w:eastAsia="zh-CN"/>
          <w14:textFill>
            <w14:solidFill>
              <w14:schemeClr w14:val="tx1"/>
            </w14:solidFill>
          </w14:textFill>
        </w:rPr>
      </w:pPr>
      <w:r>
        <w:rPr>
          <w:rFonts w:hint="eastAsia" w:cs="Times New Roman"/>
          <w:b/>
          <w:bCs/>
          <w:color w:val="000000" w:themeColor="text1"/>
          <w:sz w:val="21"/>
          <w:szCs w:val="21"/>
          <w:highlight w:val="none"/>
          <w:u w:val="none"/>
          <w:lang w:val="en-US" w:eastAsia="zh-CN"/>
          <w14:textFill>
            <w14:solidFill>
              <w14:schemeClr w14:val="tx1"/>
            </w14:solidFill>
          </w14:textFill>
        </w:rPr>
        <w:t>表5.3-1 污水达标排放可行性分析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9"/>
        <w:gridCol w:w="1012"/>
        <w:gridCol w:w="858"/>
        <w:gridCol w:w="3688"/>
        <w:gridCol w:w="1301"/>
        <w:gridCol w:w="788"/>
      </w:tblGrid>
      <w:tr w14:paraId="2C9B5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9" w:type="dxa"/>
            <w:noWrap w:val="0"/>
            <w:vAlign w:val="center"/>
          </w:tcPr>
          <w:p w14:paraId="05667D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废水类别</w:t>
            </w:r>
          </w:p>
        </w:tc>
        <w:tc>
          <w:tcPr>
            <w:tcW w:w="1012" w:type="dxa"/>
            <w:tcBorders>
              <w:right w:val="single" w:color="auto" w:sz="4" w:space="0"/>
            </w:tcBorders>
            <w:noWrap w:val="0"/>
            <w:vAlign w:val="center"/>
          </w:tcPr>
          <w:p w14:paraId="39DF27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执行标准</w:t>
            </w:r>
          </w:p>
        </w:tc>
        <w:tc>
          <w:tcPr>
            <w:tcW w:w="858" w:type="dxa"/>
            <w:tcBorders>
              <w:left w:val="single" w:color="auto" w:sz="4" w:space="0"/>
              <w:right w:val="single" w:color="auto" w:sz="4" w:space="0"/>
            </w:tcBorders>
            <w:noWrap w:val="0"/>
            <w:vAlign w:val="center"/>
          </w:tcPr>
          <w:p w14:paraId="39F8A4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工段</w:t>
            </w:r>
          </w:p>
        </w:tc>
        <w:tc>
          <w:tcPr>
            <w:tcW w:w="3688" w:type="dxa"/>
            <w:tcBorders>
              <w:left w:val="single" w:color="auto" w:sz="4" w:space="0"/>
              <w:right w:val="single" w:color="auto" w:sz="4" w:space="0"/>
            </w:tcBorders>
            <w:noWrap w:val="0"/>
            <w:vAlign w:val="center"/>
          </w:tcPr>
          <w:p w14:paraId="2A6F68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val="zh-CN" w:eastAsia="zh-CN"/>
                <w14:textFill>
                  <w14:solidFill>
                    <w14:schemeClr w14:val="tx1"/>
                  </w14:solidFill>
                </w14:textFill>
              </w:rPr>
              <w:t>HJ1120-2020可行技术</w:t>
            </w:r>
          </w:p>
        </w:tc>
        <w:tc>
          <w:tcPr>
            <w:tcW w:w="1301" w:type="dxa"/>
            <w:tcBorders>
              <w:left w:val="single" w:color="auto" w:sz="4" w:space="0"/>
              <w:right w:val="single" w:color="auto" w:sz="4" w:space="0"/>
            </w:tcBorders>
            <w:noWrap w:val="0"/>
            <w:vAlign w:val="center"/>
          </w:tcPr>
          <w:p w14:paraId="6355F1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pPr>
            <w:r>
              <w:rPr>
                <w:rFonts w:hint="eastAsia" w:cs="Times New Roman"/>
                <w:b w:val="0"/>
                <w:bCs/>
                <w:color w:val="000000" w:themeColor="text1"/>
                <w:kern w:val="0"/>
                <w:sz w:val="21"/>
                <w:szCs w:val="21"/>
                <w:highlight w:val="none"/>
                <w:u w:val="none"/>
                <w:lang w:val="en-US" w:eastAsia="zh-CN"/>
                <w14:textFill>
                  <w14:solidFill>
                    <w14:schemeClr w14:val="tx1"/>
                  </w14:solidFill>
                </w14:textFill>
              </w:rPr>
              <w:t>南岳区污水处理厂</w:t>
            </w:r>
          </w:p>
        </w:tc>
        <w:tc>
          <w:tcPr>
            <w:tcW w:w="788" w:type="dxa"/>
            <w:tcBorders>
              <w:left w:val="single" w:color="auto" w:sz="4" w:space="0"/>
            </w:tcBorders>
            <w:noWrap w:val="0"/>
            <w:vAlign w:val="center"/>
          </w:tcPr>
          <w:p w14:paraId="0BE1E9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是否属于可行技术</w:t>
            </w:r>
          </w:p>
        </w:tc>
      </w:tr>
      <w:tr w14:paraId="6A53D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9" w:type="dxa"/>
            <w:vMerge w:val="restart"/>
            <w:noWrap w:val="0"/>
            <w:vAlign w:val="center"/>
          </w:tcPr>
          <w:p w14:paraId="04A3DD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生活污水</w:t>
            </w:r>
          </w:p>
        </w:tc>
        <w:tc>
          <w:tcPr>
            <w:tcW w:w="1012" w:type="dxa"/>
            <w:vMerge w:val="restart"/>
            <w:tcBorders>
              <w:right w:val="single" w:color="auto" w:sz="4" w:space="0"/>
            </w:tcBorders>
            <w:noWrap w:val="0"/>
            <w:vAlign w:val="center"/>
          </w:tcPr>
          <w:p w14:paraId="314820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t>《湖南省城镇污水处理厂主要污染物排放标准》（DB43/T 1546-2018）一级标准</w:t>
            </w:r>
          </w:p>
        </w:tc>
        <w:tc>
          <w:tcPr>
            <w:tcW w:w="858" w:type="dxa"/>
            <w:tcBorders>
              <w:left w:val="single" w:color="auto" w:sz="4" w:space="0"/>
              <w:right w:val="single" w:color="auto" w:sz="4" w:space="0"/>
            </w:tcBorders>
            <w:noWrap w:val="0"/>
            <w:vAlign w:val="center"/>
          </w:tcPr>
          <w:p w14:paraId="3F95C7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预处理</w:t>
            </w:r>
          </w:p>
        </w:tc>
        <w:tc>
          <w:tcPr>
            <w:tcW w:w="3688" w:type="dxa"/>
            <w:tcBorders>
              <w:left w:val="single" w:color="auto" w:sz="4" w:space="0"/>
              <w:right w:val="single" w:color="auto" w:sz="4" w:space="0"/>
            </w:tcBorders>
            <w:noWrap w:val="0"/>
            <w:vAlign w:val="center"/>
          </w:tcPr>
          <w:p w14:paraId="43BBA5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调整、隔油、格栅、沉淀、气浮、混凝</w:t>
            </w:r>
          </w:p>
        </w:tc>
        <w:tc>
          <w:tcPr>
            <w:tcW w:w="1301" w:type="dxa"/>
            <w:tcBorders>
              <w:left w:val="single" w:color="auto" w:sz="4" w:space="0"/>
              <w:right w:val="single" w:color="auto" w:sz="4" w:space="0"/>
            </w:tcBorders>
            <w:noWrap w:val="0"/>
            <w:vAlign w:val="center"/>
          </w:tcPr>
          <w:p w14:paraId="11EB14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eastAsia" w:cs="Times New Roman"/>
                <w:b w:val="0"/>
                <w:bCs/>
                <w:color w:val="000000" w:themeColor="text1"/>
                <w:kern w:val="0"/>
                <w:sz w:val="21"/>
                <w:szCs w:val="21"/>
                <w:highlight w:val="none"/>
                <w:u w:val="none"/>
                <w:lang w:val="en-US" w:eastAsia="zh-CN"/>
                <w14:textFill>
                  <w14:solidFill>
                    <w14:schemeClr w14:val="tx1"/>
                  </w14:solidFill>
                </w14:textFill>
              </w:rPr>
              <w:t>粗/细</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格栅、</w:t>
            </w:r>
            <w:r>
              <w:rPr>
                <w:rFonts w:hint="eastAsia" w:cs="Times New Roman"/>
                <w:b w:val="0"/>
                <w:bCs/>
                <w:color w:val="000000" w:themeColor="text1"/>
                <w:kern w:val="0"/>
                <w:sz w:val="21"/>
                <w:szCs w:val="21"/>
                <w:highlight w:val="none"/>
                <w:u w:val="none"/>
                <w:lang w:val="en-US" w:eastAsia="zh-CN"/>
                <w14:textFill>
                  <w14:solidFill>
                    <w14:schemeClr w14:val="tx1"/>
                  </w14:solidFill>
                </w14:textFill>
              </w:rPr>
              <w:t>初沉池</w:t>
            </w:r>
          </w:p>
        </w:tc>
        <w:tc>
          <w:tcPr>
            <w:tcW w:w="788" w:type="dxa"/>
            <w:tcBorders>
              <w:left w:val="single" w:color="auto" w:sz="4" w:space="0"/>
            </w:tcBorders>
            <w:noWrap w:val="0"/>
            <w:vAlign w:val="center"/>
          </w:tcPr>
          <w:p w14:paraId="7DD682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是</w:t>
            </w:r>
          </w:p>
        </w:tc>
      </w:tr>
      <w:tr w14:paraId="6CFB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9" w:type="dxa"/>
            <w:vMerge w:val="continue"/>
            <w:noWrap w:val="0"/>
            <w:vAlign w:val="center"/>
          </w:tcPr>
          <w:p w14:paraId="65CDEA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p>
        </w:tc>
        <w:tc>
          <w:tcPr>
            <w:tcW w:w="1012" w:type="dxa"/>
            <w:vMerge w:val="continue"/>
            <w:tcBorders>
              <w:right w:val="single" w:color="auto" w:sz="4" w:space="0"/>
            </w:tcBorders>
            <w:noWrap w:val="0"/>
            <w:vAlign w:val="center"/>
          </w:tcPr>
          <w:p w14:paraId="64445A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p>
        </w:tc>
        <w:tc>
          <w:tcPr>
            <w:tcW w:w="858" w:type="dxa"/>
            <w:tcBorders>
              <w:left w:val="single" w:color="auto" w:sz="4" w:space="0"/>
              <w:right w:val="single" w:color="auto" w:sz="4" w:space="0"/>
            </w:tcBorders>
            <w:noWrap w:val="0"/>
            <w:vAlign w:val="center"/>
          </w:tcPr>
          <w:p w14:paraId="10B26D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生化处理</w:t>
            </w:r>
          </w:p>
        </w:tc>
        <w:tc>
          <w:tcPr>
            <w:tcW w:w="3688" w:type="dxa"/>
            <w:tcBorders>
              <w:left w:val="single" w:color="auto" w:sz="4" w:space="0"/>
              <w:right w:val="single" w:color="auto" w:sz="4" w:space="0"/>
            </w:tcBorders>
            <w:noWrap w:val="0"/>
            <w:vAlign w:val="center"/>
          </w:tcPr>
          <w:p w14:paraId="5613C6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水解酸化、厌氧、好氧、缺氧好氧（</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A/O</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）、厌氧缺氧好氧</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(A/</w:t>
            </w:r>
            <w:r>
              <w:rPr>
                <w:rFonts w:hint="eastAsia" w:cs="Times New Roman"/>
                <w:b w:val="0"/>
                <w:bCs/>
                <w:color w:val="000000" w:themeColor="text1"/>
                <w:kern w:val="0"/>
                <w:sz w:val="21"/>
                <w:szCs w:val="21"/>
                <w:highlight w:val="none"/>
                <w:u w:val="none"/>
                <w:lang w:val="en-US" w:eastAsia="zh-CN"/>
                <w14:textFill>
                  <w14:solidFill>
                    <w14:schemeClr w14:val="tx1"/>
                  </w14:solidFill>
                </w14:textFill>
              </w:rPr>
              <w:t>A/</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O</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、序批式活性污泥（</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SBR</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）、氧化沟、曝气生物滤池（</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BAF</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）、移动生物床反应器（</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MBBR</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）、膜生物反应器（</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MBR</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）、二沉池</w:t>
            </w:r>
          </w:p>
        </w:tc>
        <w:tc>
          <w:tcPr>
            <w:tcW w:w="1301" w:type="dxa"/>
            <w:tcBorders>
              <w:left w:val="single" w:color="auto" w:sz="4" w:space="0"/>
              <w:right w:val="single" w:color="auto" w:sz="4" w:space="0"/>
            </w:tcBorders>
            <w:noWrap w:val="0"/>
            <w:vAlign w:val="center"/>
          </w:tcPr>
          <w:p w14:paraId="4613F1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pPr>
            <w:r>
              <w:rPr>
                <w:rFonts w:hint="eastAsia" w:cs="Times New Roman"/>
                <w:b w:val="0"/>
                <w:bCs/>
                <w:color w:val="000000" w:themeColor="text1"/>
                <w:kern w:val="0"/>
                <w:sz w:val="21"/>
                <w:szCs w:val="21"/>
                <w:highlight w:val="none"/>
                <w:u w:val="none"/>
                <w:lang w:val="en-US" w:eastAsia="zh-CN"/>
                <w14:textFill>
                  <w14:solidFill>
                    <w14:schemeClr w14:val="tx1"/>
                  </w14:solidFill>
                </w14:textFill>
              </w:rPr>
              <w:t>改良型</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氧化沟、</w:t>
            </w:r>
            <w:r>
              <w:rPr>
                <w:rFonts w:hint="eastAsia" w:cs="Times New Roman"/>
                <w:b w:val="0"/>
                <w:bCs/>
                <w:color w:val="000000" w:themeColor="text1"/>
                <w:kern w:val="0"/>
                <w:sz w:val="21"/>
                <w:szCs w:val="21"/>
                <w:highlight w:val="none"/>
                <w:u w:val="none"/>
                <w:lang w:val="en-US" w:eastAsia="zh-CN"/>
                <w14:textFill>
                  <w14:solidFill>
                    <w14:schemeClr w14:val="tx1"/>
                  </w14:solidFill>
                </w14:textFill>
              </w:rPr>
              <w:t>A</w:t>
            </w:r>
            <w:r>
              <w:rPr>
                <w:rFonts w:hint="eastAsia" w:cs="Times New Roman"/>
                <w:b w:val="0"/>
                <w:bCs/>
                <w:color w:val="000000" w:themeColor="text1"/>
                <w:kern w:val="0"/>
                <w:sz w:val="21"/>
                <w:szCs w:val="21"/>
                <w:highlight w:val="none"/>
                <w:u w:val="none"/>
                <w:vertAlign w:val="superscript"/>
                <w:lang w:val="en-US" w:eastAsia="zh-CN"/>
                <w14:textFill>
                  <w14:solidFill>
                    <w14:schemeClr w14:val="tx1"/>
                  </w14:solidFill>
                </w14:textFill>
              </w:rPr>
              <w:t>2</w:t>
            </w:r>
            <w:r>
              <w:rPr>
                <w:rFonts w:hint="eastAsia" w:cs="Times New Roman"/>
                <w:b w:val="0"/>
                <w:bCs/>
                <w:color w:val="000000" w:themeColor="text1"/>
                <w:kern w:val="0"/>
                <w:sz w:val="21"/>
                <w:szCs w:val="21"/>
                <w:highlight w:val="none"/>
                <w:u w:val="none"/>
                <w:vertAlign w:val="baseline"/>
                <w:lang w:val="en-US" w:eastAsia="zh-CN"/>
                <w14:textFill>
                  <w14:solidFill>
                    <w14:schemeClr w14:val="tx1"/>
                  </w14:solidFill>
                </w14:textFill>
              </w:rPr>
              <w:t>O</w:t>
            </w:r>
            <w:r>
              <w:rPr>
                <w:rFonts w:hint="eastAsia" w:cs="Times New Roman"/>
                <w:b w:val="0"/>
                <w:bCs/>
                <w:color w:val="000000" w:themeColor="text1"/>
                <w:kern w:val="0"/>
                <w:sz w:val="21"/>
                <w:szCs w:val="21"/>
                <w:highlight w:val="none"/>
                <w:u w:val="none"/>
                <w:lang w:val="en-US" w:eastAsia="zh-CN"/>
                <w14:textFill>
                  <w14:solidFill>
                    <w14:schemeClr w14:val="tx1"/>
                  </w14:solidFill>
                </w14:textFill>
              </w:rPr>
              <w:t>生化池</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、二沉池</w:t>
            </w:r>
            <w:r>
              <w:rPr>
                <w:rFonts w:hint="eastAsia" w:cs="Times New Roman"/>
                <w:b w:val="0"/>
                <w:bCs/>
                <w:color w:val="000000" w:themeColor="text1"/>
                <w:kern w:val="0"/>
                <w:sz w:val="21"/>
                <w:szCs w:val="21"/>
                <w:highlight w:val="none"/>
                <w:u w:val="none"/>
                <w:lang w:val="en-US" w:eastAsia="zh-CN"/>
                <w14:textFill>
                  <w14:solidFill>
                    <w14:schemeClr w14:val="tx1"/>
                  </w14:solidFill>
                </w14:textFill>
              </w:rPr>
              <w:t>等</w:t>
            </w:r>
          </w:p>
        </w:tc>
        <w:tc>
          <w:tcPr>
            <w:tcW w:w="788" w:type="dxa"/>
            <w:tcBorders>
              <w:left w:val="single" w:color="auto" w:sz="4" w:space="0"/>
            </w:tcBorders>
            <w:noWrap w:val="0"/>
            <w:vAlign w:val="center"/>
          </w:tcPr>
          <w:p w14:paraId="4F62E8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是</w:t>
            </w:r>
          </w:p>
        </w:tc>
      </w:tr>
      <w:tr w14:paraId="7B064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89" w:type="dxa"/>
            <w:vMerge w:val="continue"/>
            <w:noWrap w:val="0"/>
            <w:vAlign w:val="center"/>
          </w:tcPr>
          <w:p w14:paraId="74F1ED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p>
        </w:tc>
        <w:tc>
          <w:tcPr>
            <w:tcW w:w="1012" w:type="dxa"/>
            <w:vMerge w:val="continue"/>
            <w:tcBorders>
              <w:right w:val="single" w:color="auto" w:sz="4" w:space="0"/>
            </w:tcBorders>
            <w:noWrap w:val="0"/>
            <w:vAlign w:val="center"/>
          </w:tcPr>
          <w:p w14:paraId="409B3D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14:textFill>
                  <w14:solidFill>
                    <w14:schemeClr w14:val="tx1"/>
                  </w14:solidFill>
                </w14:textFill>
              </w:rPr>
            </w:pPr>
          </w:p>
        </w:tc>
        <w:tc>
          <w:tcPr>
            <w:tcW w:w="858" w:type="dxa"/>
            <w:tcBorders>
              <w:left w:val="single" w:color="auto" w:sz="4" w:space="0"/>
              <w:right w:val="single" w:color="auto" w:sz="4" w:space="0"/>
            </w:tcBorders>
            <w:noWrap w:val="0"/>
            <w:vAlign w:val="center"/>
          </w:tcPr>
          <w:p w14:paraId="373C4A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深度处理</w:t>
            </w:r>
          </w:p>
        </w:tc>
        <w:tc>
          <w:tcPr>
            <w:tcW w:w="3688" w:type="dxa"/>
            <w:tcBorders>
              <w:left w:val="single" w:color="auto" w:sz="4" w:space="0"/>
              <w:right w:val="single" w:color="auto" w:sz="4" w:space="0"/>
            </w:tcBorders>
            <w:noWrap w:val="0"/>
            <w:vAlign w:val="center"/>
          </w:tcPr>
          <w:p w14:paraId="7128A4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沉淀、过滤、高级氧化、曝气生物滤池、超滤、反渗透、电渗析、离子交换、消毒（次氯酸钠、臭氧、紫外、二氧化氯）</w:t>
            </w:r>
          </w:p>
        </w:tc>
        <w:tc>
          <w:tcPr>
            <w:tcW w:w="1301" w:type="dxa"/>
            <w:tcBorders>
              <w:left w:val="single" w:color="auto" w:sz="4" w:space="0"/>
              <w:right w:val="single" w:color="auto" w:sz="4" w:space="0"/>
            </w:tcBorders>
            <w:noWrap w:val="0"/>
            <w:vAlign w:val="center"/>
          </w:tcPr>
          <w:p w14:paraId="4D0F61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eastAsia" w:cs="Times New Roman"/>
                <w:b w:val="0"/>
                <w:bCs/>
                <w:color w:val="000000" w:themeColor="text1"/>
                <w:kern w:val="0"/>
                <w:sz w:val="21"/>
                <w:szCs w:val="21"/>
                <w:highlight w:val="none"/>
                <w:u w:val="none"/>
                <w:lang w:val="en-US" w:eastAsia="zh-CN"/>
                <w14:textFill>
                  <w14:solidFill>
                    <w14:schemeClr w14:val="tx1"/>
                  </w14:solidFill>
                </w14:textFill>
              </w:rPr>
              <w:t>高效沉淀池</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u w:val="none"/>
                <w:lang w:val="en-US" w:eastAsia="zh-CN"/>
                <w14:textFill>
                  <w14:solidFill>
                    <w14:schemeClr w14:val="tx1"/>
                  </w14:solidFill>
                </w14:textFill>
              </w:rPr>
              <w:t>反硝化深床滤池</w:t>
            </w: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、紫外消毒</w:t>
            </w:r>
          </w:p>
        </w:tc>
        <w:tc>
          <w:tcPr>
            <w:tcW w:w="788" w:type="dxa"/>
            <w:tcBorders>
              <w:left w:val="single" w:color="auto" w:sz="4" w:space="0"/>
            </w:tcBorders>
            <w:noWrap w:val="0"/>
            <w:vAlign w:val="center"/>
          </w:tcPr>
          <w:p w14:paraId="35D038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eastAsia="zh-CN"/>
                <w14:textFill>
                  <w14:solidFill>
                    <w14:schemeClr w14:val="tx1"/>
                  </w14:solidFill>
                </w14:textFill>
              </w:rPr>
              <w:t>是</w:t>
            </w:r>
          </w:p>
        </w:tc>
      </w:tr>
    </w:tbl>
    <w:p w14:paraId="3D4DE4E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eastAsia="宋体"/>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lang w:val="en-US" w:eastAsia="zh-CN"/>
          <w14:textFill>
            <w14:solidFill>
              <w14:schemeClr w14:val="tx1"/>
            </w14:solidFill>
          </w14:textFill>
        </w:rPr>
        <w:t>根据上表5.3-1，南岳区污水处理厂污水处理工艺属于可行技术，能够保证尾水达到《湖南省城镇污水处理厂主要污染物排放标准》（DB43/T 1546-2018）一级</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标准后排放。</w:t>
      </w:r>
    </w:p>
    <w:p w14:paraId="24A690CD">
      <w:pPr>
        <w:pStyle w:val="5"/>
        <w:numPr>
          <w:ilvl w:val="0"/>
          <w:numId w:val="0"/>
        </w:numPr>
        <w:bidi w:val="0"/>
        <w:ind w:left="0" w:leftChars="0" w:firstLine="0" w:firstLineChars="0"/>
        <w:rPr>
          <w:rFonts w:hint="default"/>
          <w:highlight w:val="none"/>
          <w:lang w:val="en-US" w:eastAsia="zh-CN"/>
        </w:rPr>
      </w:pPr>
      <w:bookmarkStart w:id="83" w:name="_Toc17508"/>
      <w:r>
        <w:rPr>
          <w:rFonts w:hint="eastAsia"/>
          <w:highlight w:val="none"/>
          <w:lang w:val="en-US" w:eastAsia="zh-CN"/>
        </w:rPr>
        <w:t>5.4 入河排污口设置可行性分析论证</w:t>
      </w:r>
      <w:bookmarkEnd w:id="83"/>
    </w:p>
    <w:p w14:paraId="1C49EDEB">
      <w:pPr>
        <w:pStyle w:val="6"/>
        <w:bidi w:val="0"/>
        <w:rPr>
          <w:highlight w:val="none"/>
        </w:rPr>
      </w:pPr>
      <w:r>
        <w:rPr>
          <w:rFonts w:hint="eastAsia"/>
          <w:highlight w:val="none"/>
          <w:lang w:val="en-US" w:eastAsia="zh-CN"/>
        </w:rPr>
        <w:t>5.4.1 与《水污染防治行动计划》的符合性分析</w:t>
      </w:r>
    </w:p>
    <w:p w14:paraId="5BC7873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水污染防治行动计划》（国发〔2015〕17号）提出“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w:t>
      </w:r>
    </w:p>
    <w:p w14:paraId="4686620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本入河排污口位于南岳区南岳镇红星村老屋组（南岳区龙荫港左岸），属于湘江流域，南岳区污水处理厂提质扩建后，外排尾水</w:t>
      </w:r>
      <w:r>
        <w:rPr>
          <w:rFonts w:hint="default" w:ascii="Times New Roman" w:hAnsi="Times New Roman" w:cs="Times New Roman"/>
          <w:sz w:val="24"/>
          <w:szCs w:val="24"/>
          <w:highlight w:val="none"/>
          <w:lang w:val="en-US" w:eastAsia="zh-CN"/>
        </w:rPr>
        <w:t>CODcr、</w:t>
      </w:r>
      <w:r>
        <w:rPr>
          <w:rFonts w:hint="default" w:ascii="Times New Roman" w:hAnsi="Times New Roman" w:cs="Times New Roman"/>
          <w:sz w:val="24"/>
          <w:szCs w:val="24"/>
          <w:highlight w:val="none"/>
          <w:vertAlign w:val="baseline"/>
          <w:lang w:val="en-US" w:eastAsia="zh-CN"/>
        </w:rPr>
        <w:t>TN、NH</w:t>
      </w:r>
      <w:r>
        <w:rPr>
          <w:rFonts w:hint="default" w:ascii="Times New Roman" w:hAnsi="Times New Roman" w:cs="Times New Roman"/>
          <w:sz w:val="24"/>
          <w:szCs w:val="24"/>
          <w:highlight w:val="none"/>
          <w:vertAlign w:val="subscript"/>
          <w:lang w:val="en-US" w:eastAsia="zh-CN"/>
        </w:rPr>
        <w:t>3</w:t>
      </w:r>
      <w:r>
        <w:rPr>
          <w:rFonts w:hint="default" w:ascii="Times New Roman" w:hAnsi="Times New Roman" w:cs="Times New Roman"/>
          <w:sz w:val="24"/>
          <w:szCs w:val="24"/>
          <w:highlight w:val="none"/>
          <w:vertAlign w:val="baseline"/>
          <w:lang w:val="en-US" w:eastAsia="zh-CN"/>
        </w:rPr>
        <w:t>-N、TP</w:t>
      </w:r>
      <w:r>
        <w:rPr>
          <w:rFonts w:hint="default" w:ascii="Times New Roman" w:hAnsi="Times New Roman" w:cs="Times New Roman"/>
          <w:sz w:val="24"/>
          <w:szCs w:val="24"/>
          <w:highlight w:val="none"/>
        </w:rPr>
        <w:t>执行《湖南省城镇污水处理厂主要污染物排放标准》（DB43/T 1546-2018）一级标准</w:t>
      </w:r>
      <w:r>
        <w:rPr>
          <w:rFonts w:hint="eastAsia"/>
          <w:sz w:val="24"/>
          <w:szCs w:val="24"/>
          <w:highlight w:val="none"/>
          <w:lang w:val="en-US" w:eastAsia="zh-CN"/>
        </w:rPr>
        <w:t>，</w:t>
      </w:r>
      <w:r>
        <w:rPr>
          <w:rFonts w:hint="default" w:ascii="Times New Roman" w:hAnsi="Times New Roman" w:cs="Times New Roman"/>
          <w:sz w:val="24"/>
          <w:szCs w:val="24"/>
          <w:highlight w:val="none"/>
          <w:lang w:val="en-US" w:eastAsia="zh-CN"/>
        </w:rPr>
        <w:t>其余指标执行</w:t>
      </w:r>
      <w:r>
        <w:rPr>
          <w:rFonts w:hint="default" w:ascii="Times New Roman" w:hAnsi="Times New Roman" w:cs="Times New Roman"/>
          <w:sz w:val="24"/>
          <w:szCs w:val="24"/>
          <w:highlight w:val="none"/>
        </w:rPr>
        <w:t>《城镇污水处理厂污染物排放标准》（GB18918-2002）一级标准的A标准</w:t>
      </w:r>
      <w:r>
        <w:rPr>
          <w:rFonts w:hint="eastAsia" w:ascii="Times New Roman" w:hAnsi="Times New Roman" w:eastAsia="宋体" w:cs="Times New Roman"/>
          <w:sz w:val="24"/>
          <w:szCs w:val="24"/>
          <w:highlight w:val="none"/>
          <w:lang w:val="en-US" w:eastAsia="zh-CN"/>
        </w:rPr>
        <w:t>。因此，本入河排污口尾水排放符合《水污染防治行动计划》的相关要求。</w:t>
      </w:r>
    </w:p>
    <w:p w14:paraId="749F4FCD">
      <w:pPr>
        <w:pStyle w:val="6"/>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 xml:space="preserve">.2 </w:t>
      </w:r>
      <w:r>
        <w:rPr>
          <w:rFonts w:hint="eastAsia" w:ascii="Times New Roman" w:hAnsi="Times New Roman" w:eastAsia="宋体" w:cs="Times New Roman"/>
          <w:highlight w:val="none"/>
          <w:lang w:val="en-US" w:eastAsia="zh-CN"/>
        </w:rPr>
        <w:t>与《入河排污口监督管理办法》的符合性分析</w:t>
      </w:r>
    </w:p>
    <w:p w14:paraId="3DF3DDE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本入河排污口</w:t>
      </w:r>
      <w:r>
        <w:rPr>
          <w:rFonts w:hint="eastAsia" w:ascii="宋体" w:hAnsi="宋体" w:eastAsia="宋体" w:cs="宋体"/>
          <w:color w:val="000000"/>
          <w:kern w:val="0"/>
          <w:sz w:val="24"/>
          <w:szCs w:val="24"/>
          <w:highlight w:val="none"/>
          <w:lang w:val="en-US" w:eastAsia="zh-CN" w:bidi="ar"/>
        </w:rPr>
        <w:t>与《入河排污口监督管理办法》（水利部令第</w:t>
      </w:r>
      <w:r>
        <w:rPr>
          <w:rFonts w:hint="default" w:ascii="Times New Roman" w:hAnsi="Times New Roman" w:eastAsia="宋体" w:cs="Times New Roman"/>
          <w:color w:val="000000"/>
          <w:kern w:val="0"/>
          <w:sz w:val="24"/>
          <w:szCs w:val="24"/>
          <w:highlight w:val="none"/>
          <w:lang w:val="en-US" w:eastAsia="zh-CN" w:bidi="ar"/>
        </w:rPr>
        <w:t>47</w:t>
      </w:r>
      <w:r>
        <w:rPr>
          <w:rFonts w:hint="eastAsia" w:ascii="宋体" w:hAnsi="宋体" w:eastAsia="宋体" w:cs="宋体"/>
          <w:color w:val="000000"/>
          <w:kern w:val="0"/>
          <w:sz w:val="24"/>
          <w:szCs w:val="24"/>
          <w:highlight w:val="none"/>
          <w:lang w:val="en-US" w:eastAsia="zh-CN" w:bidi="ar"/>
        </w:rPr>
        <w:t>号）第十四条符合性分析如下。</w:t>
      </w:r>
    </w:p>
    <w:p w14:paraId="29BBB3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highlight w:val="none"/>
          <w:lang w:val="en-US" w:eastAsia="zh-CN" w:bidi="ar"/>
        </w:rPr>
      </w:pPr>
    </w:p>
    <w:p w14:paraId="70DA65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eastAsia="宋体" w:cs="Times New Roman"/>
          <w:b/>
          <w:bCs/>
          <w:color w:val="000000"/>
          <w:kern w:val="0"/>
          <w:sz w:val="21"/>
          <w:szCs w:val="21"/>
          <w:highlight w:val="none"/>
          <w:lang w:val="en-US" w:eastAsia="zh-CN" w:bidi="ar"/>
        </w:rPr>
        <w:t>表5.4-1 与《入河排污口监督管理办法》第十四条符合性分析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378"/>
        <w:gridCol w:w="3537"/>
        <w:gridCol w:w="893"/>
      </w:tblGrid>
      <w:tr w14:paraId="12223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14" w:type="dxa"/>
            <w:tcBorders>
              <w:tl2br w:val="nil"/>
              <w:tr2bl w:val="nil"/>
            </w:tcBorders>
            <w:noWrap w:val="0"/>
            <w:vAlign w:val="center"/>
          </w:tcPr>
          <w:p w14:paraId="4904E6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序号</w:t>
            </w:r>
          </w:p>
        </w:tc>
        <w:tc>
          <w:tcPr>
            <w:tcW w:w="3378" w:type="dxa"/>
            <w:tcBorders>
              <w:tl2br w:val="nil"/>
              <w:tr2bl w:val="nil"/>
            </w:tcBorders>
            <w:noWrap w:val="0"/>
            <w:vAlign w:val="center"/>
          </w:tcPr>
          <w:p w14:paraId="45803B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《入河排污口监督管理办法》</w:t>
            </w:r>
          </w:p>
          <w:p w14:paraId="0F0D53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（水利部令第</w:t>
            </w:r>
            <w:r>
              <w:rPr>
                <w:rFonts w:hint="default" w:ascii="Times New Roman" w:hAnsi="Times New Roman" w:eastAsia="宋体" w:cs="Times New Roman"/>
                <w:color w:val="000000"/>
                <w:kern w:val="0"/>
                <w:sz w:val="21"/>
                <w:szCs w:val="21"/>
                <w:highlight w:val="none"/>
                <w:lang w:val="en-US" w:eastAsia="zh-CN" w:bidi="ar"/>
              </w:rPr>
              <w:t>47</w:t>
            </w:r>
            <w:r>
              <w:rPr>
                <w:rFonts w:hint="eastAsia" w:ascii="宋体" w:hAnsi="宋体" w:eastAsia="宋体" w:cs="宋体"/>
                <w:color w:val="000000"/>
                <w:kern w:val="0"/>
                <w:sz w:val="21"/>
                <w:szCs w:val="21"/>
                <w:highlight w:val="none"/>
                <w:lang w:val="en-US" w:eastAsia="zh-CN" w:bidi="ar"/>
              </w:rPr>
              <w:t>号）第十四条要求</w:t>
            </w:r>
          </w:p>
        </w:tc>
        <w:tc>
          <w:tcPr>
            <w:tcW w:w="3537" w:type="dxa"/>
            <w:tcBorders>
              <w:tl2br w:val="nil"/>
              <w:tr2bl w:val="nil"/>
            </w:tcBorders>
            <w:noWrap w:val="0"/>
            <w:vAlign w:val="center"/>
          </w:tcPr>
          <w:p w14:paraId="44E0A4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本入河排污口情况</w:t>
            </w:r>
          </w:p>
        </w:tc>
        <w:tc>
          <w:tcPr>
            <w:tcW w:w="893" w:type="dxa"/>
            <w:tcBorders>
              <w:tl2br w:val="nil"/>
              <w:tr2bl w:val="nil"/>
            </w:tcBorders>
            <w:noWrap w:val="0"/>
            <w:vAlign w:val="center"/>
          </w:tcPr>
          <w:p w14:paraId="519588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是否有该情形</w:t>
            </w:r>
          </w:p>
        </w:tc>
      </w:tr>
      <w:tr w14:paraId="6B17B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14" w:type="dxa"/>
            <w:tcBorders>
              <w:tl2br w:val="nil"/>
              <w:tr2bl w:val="nil"/>
            </w:tcBorders>
            <w:noWrap w:val="0"/>
            <w:vAlign w:val="center"/>
          </w:tcPr>
          <w:p w14:paraId="6361B6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3378" w:type="dxa"/>
            <w:tcBorders>
              <w:tl2br w:val="nil"/>
              <w:tr2bl w:val="nil"/>
            </w:tcBorders>
            <w:noWrap w:val="0"/>
            <w:vAlign w:val="center"/>
          </w:tcPr>
          <w:p w14:paraId="3571BF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在饮用水水源保护区内设置入河排污口的</w:t>
            </w:r>
          </w:p>
        </w:tc>
        <w:tc>
          <w:tcPr>
            <w:tcW w:w="3537" w:type="dxa"/>
            <w:tcBorders>
              <w:tl2br w:val="nil"/>
              <w:tr2bl w:val="nil"/>
            </w:tcBorders>
            <w:noWrap w:val="0"/>
            <w:vAlign w:val="center"/>
          </w:tcPr>
          <w:p w14:paraId="06FB74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cs="宋体"/>
                <w:color w:val="000000"/>
                <w:kern w:val="0"/>
                <w:sz w:val="21"/>
                <w:szCs w:val="21"/>
                <w:highlight w:val="none"/>
                <w:lang w:val="en-US" w:eastAsia="zh-CN" w:bidi="ar"/>
              </w:rPr>
              <w:t>本</w:t>
            </w:r>
            <w:r>
              <w:rPr>
                <w:rFonts w:hint="eastAsia" w:ascii="宋体" w:hAnsi="宋体" w:eastAsia="宋体" w:cs="宋体"/>
                <w:color w:val="000000"/>
                <w:kern w:val="0"/>
                <w:sz w:val="21"/>
                <w:szCs w:val="21"/>
                <w:highlight w:val="none"/>
                <w:lang w:val="en-US" w:eastAsia="zh-CN" w:bidi="ar"/>
              </w:rPr>
              <w:t>入河排污口</w:t>
            </w:r>
            <w:r>
              <w:rPr>
                <w:rFonts w:hint="eastAsia" w:ascii="宋体" w:hAnsi="宋体" w:cs="宋体"/>
                <w:color w:val="000000"/>
                <w:kern w:val="0"/>
                <w:sz w:val="21"/>
                <w:szCs w:val="21"/>
                <w:highlight w:val="none"/>
                <w:lang w:val="en-US" w:eastAsia="zh-CN" w:bidi="ar"/>
              </w:rPr>
              <w:t>位</w:t>
            </w:r>
            <w:r>
              <w:rPr>
                <w:rFonts w:hint="eastAsia" w:ascii="宋体" w:hAnsi="宋体" w:eastAsia="宋体" w:cs="宋体"/>
                <w:color w:val="000000"/>
                <w:kern w:val="0"/>
                <w:sz w:val="21"/>
                <w:szCs w:val="21"/>
                <w:highlight w:val="none"/>
                <w:lang w:val="en-US" w:eastAsia="zh-CN" w:bidi="ar"/>
              </w:rPr>
              <w:t>于南岳区南岳镇红星村老屋组（南岳区龙荫港左岸），龙荫港暂未划定水功能区；不属于饮用水水源保护区，满足要求</w:t>
            </w:r>
          </w:p>
        </w:tc>
        <w:tc>
          <w:tcPr>
            <w:tcW w:w="893" w:type="dxa"/>
            <w:tcBorders>
              <w:tl2br w:val="nil"/>
              <w:tr2bl w:val="nil"/>
            </w:tcBorders>
            <w:noWrap w:val="0"/>
            <w:vAlign w:val="center"/>
          </w:tcPr>
          <w:p w14:paraId="7EA158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273BB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tcBorders>
              <w:tl2br w:val="nil"/>
              <w:tr2bl w:val="nil"/>
            </w:tcBorders>
            <w:noWrap w:val="0"/>
            <w:vAlign w:val="center"/>
          </w:tcPr>
          <w:p w14:paraId="546CDA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3378" w:type="dxa"/>
            <w:tcBorders>
              <w:tl2br w:val="nil"/>
              <w:tr2bl w:val="nil"/>
            </w:tcBorders>
            <w:noWrap w:val="0"/>
            <w:vAlign w:val="center"/>
          </w:tcPr>
          <w:p w14:paraId="4272AA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在省级以上人民政府要求削减排污总量的水域设置入河排污口的</w:t>
            </w:r>
          </w:p>
        </w:tc>
        <w:tc>
          <w:tcPr>
            <w:tcW w:w="3537" w:type="dxa"/>
            <w:tcBorders>
              <w:tl2br w:val="nil"/>
              <w:tr2bl w:val="nil"/>
            </w:tcBorders>
            <w:noWrap w:val="0"/>
            <w:vAlign w:val="center"/>
          </w:tcPr>
          <w:p w14:paraId="5916DA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不在省级以上人民政府要求</w:t>
            </w:r>
            <w:r>
              <w:rPr>
                <w:rFonts w:hint="eastAsia" w:ascii="宋体" w:hAnsi="宋体" w:eastAsia="宋体" w:cs="宋体"/>
                <w:color w:val="000000"/>
                <w:kern w:val="0"/>
                <w:sz w:val="21"/>
                <w:szCs w:val="21"/>
                <w:highlight w:val="none"/>
                <w:lang w:val="en-US" w:eastAsia="zh-CN" w:bidi="ar"/>
              </w:rPr>
              <w:t>削减排污总量的水域</w:t>
            </w:r>
          </w:p>
        </w:tc>
        <w:tc>
          <w:tcPr>
            <w:tcW w:w="893" w:type="dxa"/>
            <w:tcBorders>
              <w:tl2br w:val="nil"/>
              <w:tr2bl w:val="nil"/>
            </w:tcBorders>
            <w:noWrap w:val="0"/>
            <w:vAlign w:val="center"/>
          </w:tcPr>
          <w:p w14:paraId="74D5FD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3592B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14" w:type="dxa"/>
            <w:tcBorders>
              <w:tl2br w:val="nil"/>
              <w:tr2bl w:val="nil"/>
            </w:tcBorders>
            <w:noWrap w:val="0"/>
            <w:vAlign w:val="center"/>
          </w:tcPr>
          <w:p w14:paraId="1ACE2E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3378" w:type="dxa"/>
            <w:tcBorders>
              <w:tl2br w:val="nil"/>
              <w:tr2bl w:val="nil"/>
            </w:tcBorders>
            <w:noWrap w:val="0"/>
            <w:vAlign w:val="center"/>
          </w:tcPr>
          <w:p w14:paraId="23ABC0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入河排污口设置可能使水域水质达不到水功能区要求的</w:t>
            </w:r>
          </w:p>
        </w:tc>
        <w:tc>
          <w:tcPr>
            <w:tcW w:w="3537" w:type="dxa"/>
            <w:tcBorders>
              <w:tl2br w:val="nil"/>
              <w:tr2bl w:val="nil"/>
            </w:tcBorders>
            <w:noWrap w:val="0"/>
            <w:vAlign w:val="center"/>
          </w:tcPr>
          <w:p w14:paraId="63C4B90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根据预测结果分析，本入河排污口设置不会使水域水质达不到水功能区要求</w:t>
            </w:r>
          </w:p>
        </w:tc>
        <w:tc>
          <w:tcPr>
            <w:tcW w:w="893" w:type="dxa"/>
            <w:tcBorders>
              <w:tl2br w:val="nil"/>
              <w:tr2bl w:val="nil"/>
            </w:tcBorders>
            <w:noWrap w:val="0"/>
            <w:vAlign w:val="center"/>
          </w:tcPr>
          <w:p w14:paraId="4B075F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1EBFB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14" w:type="dxa"/>
            <w:tcBorders>
              <w:tl2br w:val="nil"/>
              <w:tr2bl w:val="nil"/>
            </w:tcBorders>
            <w:noWrap w:val="0"/>
            <w:vAlign w:val="center"/>
          </w:tcPr>
          <w:p w14:paraId="1A65BC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3378" w:type="dxa"/>
            <w:tcBorders>
              <w:tl2br w:val="nil"/>
              <w:tr2bl w:val="nil"/>
            </w:tcBorders>
            <w:noWrap w:val="0"/>
            <w:vAlign w:val="center"/>
          </w:tcPr>
          <w:p w14:paraId="64C10B7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入河排污口设置直接影响合法取水户用水安全的</w:t>
            </w:r>
          </w:p>
        </w:tc>
        <w:tc>
          <w:tcPr>
            <w:tcW w:w="3537" w:type="dxa"/>
            <w:tcBorders>
              <w:tl2br w:val="nil"/>
              <w:tr2bl w:val="nil"/>
            </w:tcBorders>
            <w:noWrap w:val="0"/>
            <w:vAlign w:val="center"/>
          </w:tcPr>
          <w:p w14:paraId="625ED2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根据预测结果分析，本入河排污口设置不会影响下游取水安全</w:t>
            </w:r>
          </w:p>
        </w:tc>
        <w:tc>
          <w:tcPr>
            <w:tcW w:w="893" w:type="dxa"/>
            <w:tcBorders>
              <w:tl2br w:val="nil"/>
              <w:tr2bl w:val="nil"/>
            </w:tcBorders>
            <w:noWrap w:val="0"/>
            <w:vAlign w:val="center"/>
          </w:tcPr>
          <w:p w14:paraId="3196D8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3CE84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14" w:type="dxa"/>
            <w:tcBorders>
              <w:tl2br w:val="nil"/>
              <w:tr2bl w:val="nil"/>
            </w:tcBorders>
            <w:noWrap w:val="0"/>
            <w:vAlign w:val="center"/>
          </w:tcPr>
          <w:p w14:paraId="4E9D217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w:t>
            </w:r>
          </w:p>
        </w:tc>
        <w:tc>
          <w:tcPr>
            <w:tcW w:w="3378" w:type="dxa"/>
            <w:tcBorders>
              <w:tl2br w:val="nil"/>
              <w:tr2bl w:val="nil"/>
            </w:tcBorders>
            <w:noWrap w:val="0"/>
            <w:vAlign w:val="center"/>
          </w:tcPr>
          <w:p w14:paraId="075DED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入河排污口设置不符合防洪要求的</w:t>
            </w:r>
          </w:p>
        </w:tc>
        <w:tc>
          <w:tcPr>
            <w:tcW w:w="3537" w:type="dxa"/>
            <w:tcBorders>
              <w:tl2br w:val="nil"/>
              <w:tr2bl w:val="nil"/>
            </w:tcBorders>
            <w:noWrap w:val="0"/>
            <w:vAlign w:val="center"/>
          </w:tcPr>
          <w:p w14:paraId="5FDC2C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本入河排污口设置符合防洪要求</w:t>
            </w:r>
          </w:p>
        </w:tc>
        <w:tc>
          <w:tcPr>
            <w:tcW w:w="893" w:type="dxa"/>
            <w:tcBorders>
              <w:tl2br w:val="nil"/>
              <w:tr2bl w:val="nil"/>
            </w:tcBorders>
            <w:noWrap w:val="0"/>
            <w:vAlign w:val="center"/>
          </w:tcPr>
          <w:p w14:paraId="17D97C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32450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14" w:type="dxa"/>
            <w:tcBorders>
              <w:tl2br w:val="nil"/>
              <w:tr2bl w:val="nil"/>
            </w:tcBorders>
            <w:noWrap w:val="0"/>
            <w:vAlign w:val="center"/>
          </w:tcPr>
          <w:p w14:paraId="7C5516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3378" w:type="dxa"/>
            <w:tcBorders>
              <w:tl2br w:val="nil"/>
              <w:tr2bl w:val="nil"/>
            </w:tcBorders>
            <w:noWrap w:val="0"/>
            <w:vAlign w:val="center"/>
          </w:tcPr>
          <w:p w14:paraId="0D716E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不符合法律、法规和国家产业政策规定的</w:t>
            </w:r>
          </w:p>
        </w:tc>
        <w:tc>
          <w:tcPr>
            <w:tcW w:w="3537" w:type="dxa"/>
            <w:tcBorders>
              <w:tl2br w:val="nil"/>
              <w:tr2bl w:val="nil"/>
            </w:tcBorders>
            <w:noWrap w:val="0"/>
            <w:vAlign w:val="center"/>
          </w:tcPr>
          <w:p w14:paraId="760D97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本入河排污口设置符合法律、法规和国家产业政策规定</w:t>
            </w:r>
          </w:p>
        </w:tc>
        <w:tc>
          <w:tcPr>
            <w:tcW w:w="893" w:type="dxa"/>
            <w:tcBorders>
              <w:tl2br w:val="nil"/>
              <w:tr2bl w:val="nil"/>
            </w:tcBorders>
            <w:noWrap w:val="0"/>
            <w:vAlign w:val="center"/>
          </w:tcPr>
          <w:p w14:paraId="362F9E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r w14:paraId="4E27B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14" w:type="dxa"/>
            <w:tcBorders>
              <w:tl2br w:val="nil"/>
              <w:tr2bl w:val="nil"/>
            </w:tcBorders>
            <w:noWrap w:val="0"/>
            <w:vAlign w:val="center"/>
          </w:tcPr>
          <w:p w14:paraId="7F6CF3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w:t>
            </w:r>
          </w:p>
        </w:tc>
        <w:tc>
          <w:tcPr>
            <w:tcW w:w="3378" w:type="dxa"/>
            <w:tcBorders>
              <w:tl2br w:val="nil"/>
              <w:tr2bl w:val="nil"/>
            </w:tcBorders>
            <w:noWrap w:val="0"/>
            <w:vAlign w:val="center"/>
          </w:tcPr>
          <w:p w14:paraId="06A9EC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其他不符合国务院水行政主管部门规定条件的</w:t>
            </w:r>
          </w:p>
        </w:tc>
        <w:tc>
          <w:tcPr>
            <w:tcW w:w="3537" w:type="dxa"/>
            <w:tcBorders>
              <w:tl2br w:val="nil"/>
              <w:tr2bl w:val="nil"/>
            </w:tcBorders>
            <w:noWrap w:val="0"/>
            <w:vAlign w:val="center"/>
          </w:tcPr>
          <w:p w14:paraId="4A141D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本入河排污口设置</w:t>
            </w:r>
            <w:r>
              <w:rPr>
                <w:rFonts w:hint="eastAsia" w:ascii="宋体" w:hAnsi="宋体" w:eastAsia="宋体" w:cs="宋体"/>
                <w:color w:val="000000"/>
                <w:kern w:val="0"/>
                <w:sz w:val="21"/>
                <w:szCs w:val="21"/>
                <w:highlight w:val="none"/>
                <w:lang w:val="en-US" w:eastAsia="zh-CN" w:bidi="ar"/>
              </w:rPr>
              <w:t>无其他不符合国务院水行政主管部门规定条件</w:t>
            </w:r>
          </w:p>
        </w:tc>
        <w:tc>
          <w:tcPr>
            <w:tcW w:w="893" w:type="dxa"/>
            <w:tcBorders>
              <w:tl2br w:val="nil"/>
              <w:tr2bl w:val="nil"/>
            </w:tcBorders>
            <w:noWrap w:val="0"/>
            <w:vAlign w:val="center"/>
          </w:tcPr>
          <w:p w14:paraId="5E7F4D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w:t>
            </w:r>
          </w:p>
        </w:tc>
      </w:tr>
    </w:tbl>
    <w:p w14:paraId="611FB9C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根据上表5.4-1可知，本入河排污口设置无《入河排污口监督管理办法》第十四条所列情形，符合《入河排污口监督管理办法》要求。</w:t>
      </w:r>
    </w:p>
    <w:p w14:paraId="0DD69733">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 xml:space="preserve">.3 </w:t>
      </w:r>
      <w:r>
        <w:rPr>
          <w:rFonts w:hint="eastAsia" w:ascii="Times New Roman" w:hAnsi="Times New Roman" w:eastAsia="宋体" w:cs="Times New Roman"/>
          <w:highlight w:val="none"/>
          <w:lang w:val="en-US" w:eastAsia="zh-CN"/>
        </w:rPr>
        <w:t>与《湖南省入河排污口监督管理办法》符合性分析</w:t>
      </w:r>
    </w:p>
    <w:p w14:paraId="7794840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本入河排污口</w:t>
      </w:r>
      <w:r>
        <w:rPr>
          <w:rFonts w:hint="default" w:ascii="Times New Roman" w:hAnsi="Times New Roman" w:eastAsia="宋体" w:cs="Times New Roman"/>
          <w:color w:val="000000"/>
          <w:kern w:val="0"/>
          <w:sz w:val="24"/>
          <w:szCs w:val="24"/>
          <w:highlight w:val="none"/>
          <w:lang w:val="en-US" w:eastAsia="zh-CN" w:bidi="ar"/>
        </w:rPr>
        <w:t>与《湖南省入河排污口监督管理办法》（湘政办发〔2018〕44号）第十五条符合性分析如下。</w:t>
      </w:r>
    </w:p>
    <w:p w14:paraId="2A2A98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highlight w:val="none"/>
          <w:lang w:val="en-US" w:eastAsia="zh-CN" w:bidi="ar"/>
        </w:rPr>
      </w:pPr>
      <w:r>
        <w:rPr>
          <w:rFonts w:hint="eastAsia" w:ascii="Times New Roman" w:hAnsi="Times New Roman" w:eastAsia="宋体" w:cs="Times New Roman"/>
          <w:b/>
          <w:bCs/>
          <w:color w:val="000000"/>
          <w:kern w:val="0"/>
          <w:sz w:val="21"/>
          <w:szCs w:val="21"/>
          <w:highlight w:val="none"/>
          <w:lang w:val="en-US" w:eastAsia="zh-CN" w:bidi="ar"/>
        </w:rPr>
        <w:t>表</w:t>
      </w:r>
      <w:r>
        <w:rPr>
          <w:rFonts w:hint="default" w:ascii="Times New Roman" w:hAnsi="Times New Roman" w:eastAsia="宋体" w:cs="Times New Roman"/>
          <w:b/>
          <w:bCs/>
          <w:color w:val="000000"/>
          <w:kern w:val="0"/>
          <w:sz w:val="21"/>
          <w:szCs w:val="21"/>
          <w:highlight w:val="none"/>
          <w:lang w:val="en-US" w:eastAsia="zh-CN" w:bidi="ar"/>
        </w:rPr>
        <w:t>5.</w:t>
      </w:r>
      <w:r>
        <w:rPr>
          <w:rFonts w:hint="eastAsia" w:ascii="Times New Roman" w:hAnsi="Times New Roman" w:eastAsia="宋体" w:cs="Times New Roman"/>
          <w:b/>
          <w:bCs/>
          <w:color w:val="000000"/>
          <w:kern w:val="0"/>
          <w:sz w:val="21"/>
          <w:szCs w:val="21"/>
          <w:highlight w:val="none"/>
          <w:lang w:val="en-US" w:eastAsia="zh-CN" w:bidi="ar"/>
        </w:rPr>
        <w:t>4</w:t>
      </w:r>
      <w:r>
        <w:rPr>
          <w:rFonts w:hint="default" w:ascii="Times New Roman" w:hAnsi="Times New Roman" w:eastAsia="宋体" w:cs="Times New Roman"/>
          <w:b/>
          <w:bCs/>
          <w:color w:val="000000"/>
          <w:kern w:val="0"/>
          <w:sz w:val="21"/>
          <w:szCs w:val="21"/>
          <w:highlight w:val="none"/>
          <w:lang w:val="en-US" w:eastAsia="zh-CN" w:bidi="ar"/>
        </w:rPr>
        <w:t xml:space="preserve">-2 </w:t>
      </w:r>
      <w:r>
        <w:rPr>
          <w:rFonts w:hint="eastAsia" w:ascii="Times New Roman" w:hAnsi="Times New Roman" w:eastAsia="宋体" w:cs="Times New Roman"/>
          <w:b/>
          <w:bCs/>
          <w:color w:val="000000"/>
          <w:kern w:val="0"/>
          <w:sz w:val="21"/>
          <w:szCs w:val="21"/>
          <w:highlight w:val="none"/>
          <w:lang w:val="en-US" w:eastAsia="zh-CN" w:bidi="ar"/>
        </w:rPr>
        <w:t>与《湖南省入河排污口监督管理办法》第十五条符合性分析</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481"/>
        <w:gridCol w:w="3567"/>
        <w:gridCol w:w="727"/>
      </w:tblGrid>
      <w:tr w14:paraId="4D9C7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43" w:type="dxa"/>
            <w:tcBorders>
              <w:tl2br w:val="nil"/>
              <w:tr2bl w:val="nil"/>
            </w:tcBorders>
            <w:noWrap w:val="0"/>
            <w:vAlign w:val="center"/>
          </w:tcPr>
          <w:p w14:paraId="2E9136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序号</w:t>
            </w:r>
          </w:p>
        </w:tc>
        <w:tc>
          <w:tcPr>
            <w:tcW w:w="3481" w:type="dxa"/>
            <w:tcBorders>
              <w:tl2br w:val="nil"/>
              <w:tr2bl w:val="nil"/>
            </w:tcBorders>
            <w:noWrap w:val="0"/>
            <w:vAlign w:val="center"/>
          </w:tcPr>
          <w:p w14:paraId="0761FB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《湖南省入河排污口监督管理办法》（湘政办发〔2018〕44号）</w:t>
            </w:r>
          </w:p>
          <w:p w14:paraId="30E2A9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第十五条要求</w:t>
            </w:r>
          </w:p>
        </w:tc>
        <w:tc>
          <w:tcPr>
            <w:tcW w:w="3567" w:type="dxa"/>
            <w:tcBorders>
              <w:tl2br w:val="nil"/>
              <w:tr2bl w:val="nil"/>
            </w:tcBorders>
            <w:noWrap w:val="0"/>
            <w:vAlign w:val="center"/>
          </w:tcPr>
          <w:p w14:paraId="78F03C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本入河排污口情况</w:t>
            </w:r>
          </w:p>
        </w:tc>
        <w:tc>
          <w:tcPr>
            <w:tcW w:w="727" w:type="dxa"/>
            <w:tcBorders>
              <w:tl2br w:val="nil"/>
              <w:tr2bl w:val="nil"/>
            </w:tcBorders>
            <w:noWrap w:val="0"/>
            <w:vAlign w:val="center"/>
          </w:tcPr>
          <w:p w14:paraId="29B3E1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是否有该情形</w:t>
            </w:r>
          </w:p>
        </w:tc>
      </w:tr>
      <w:tr w14:paraId="63BE0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43" w:type="dxa"/>
            <w:tcBorders>
              <w:tl2br w:val="nil"/>
              <w:tr2bl w:val="nil"/>
            </w:tcBorders>
            <w:noWrap w:val="0"/>
            <w:vAlign w:val="center"/>
          </w:tcPr>
          <w:p w14:paraId="0108C5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1</w:t>
            </w:r>
          </w:p>
        </w:tc>
        <w:tc>
          <w:tcPr>
            <w:tcW w:w="3481" w:type="dxa"/>
            <w:tcBorders>
              <w:tl2br w:val="nil"/>
              <w:tr2bl w:val="nil"/>
            </w:tcBorders>
            <w:noWrap w:val="0"/>
            <w:vAlign w:val="center"/>
          </w:tcPr>
          <w:p w14:paraId="402BF78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饮用水水源一级、二级保护区内</w:t>
            </w:r>
          </w:p>
        </w:tc>
        <w:tc>
          <w:tcPr>
            <w:tcW w:w="3567" w:type="dxa"/>
            <w:tcBorders>
              <w:tl2br w:val="nil"/>
              <w:tr2bl w:val="nil"/>
            </w:tcBorders>
            <w:noWrap w:val="0"/>
            <w:vAlign w:val="center"/>
          </w:tcPr>
          <w:p w14:paraId="53F09A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入河排污口</w:t>
            </w:r>
            <w:r>
              <w:rPr>
                <w:rFonts w:hint="eastAsia" w:ascii="宋体" w:hAnsi="宋体" w:cs="宋体"/>
                <w:color w:val="000000"/>
                <w:kern w:val="0"/>
                <w:sz w:val="21"/>
                <w:szCs w:val="21"/>
                <w:highlight w:val="none"/>
                <w:lang w:val="en-US" w:eastAsia="zh-CN" w:bidi="ar"/>
              </w:rPr>
              <w:t>位</w:t>
            </w:r>
            <w:r>
              <w:rPr>
                <w:rFonts w:hint="eastAsia" w:ascii="宋体" w:hAnsi="宋体" w:eastAsia="宋体" w:cs="宋体"/>
                <w:color w:val="000000"/>
                <w:kern w:val="0"/>
                <w:sz w:val="21"/>
                <w:szCs w:val="21"/>
                <w:highlight w:val="none"/>
                <w:lang w:val="en-US" w:eastAsia="zh-CN" w:bidi="ar"/>
              </w:rPr>
              <w:t>于南岳区南岳镇红星村老屋组（南岳区龙荫港左岸），龙荫港暂未划定水功能区；不属于饮用水水源保护区，满足要求</w:t>
            </w:r>
          </w:p>
        </w:tc>
        <w:tc>
          <w:tcPr>
            <w:tcW w:w="727" w:type="dxa"/>
            <w:tcBorders>
              <w:tl2br w:val="nil"/>
              <w:tr2bl w:val="nil"/>
            </w:tcBorders>
            <w:noWrap w:val="0"/>
            <w:vAlign w:val="center"/>
          </w:tcPr>
          <w:p w14:paraId="07E6A4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5BFFF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3" w:type="dxa"/>
            <w:tcBorders>
              <w:tl2br w:val="nil"/>
              <w:tr2bl w:val="nil"/>
            </w:tcBorders>
            <w:noWrap w:val="0"/>
            <w:vAlign w:val="center"/>
          </w:tcPr>
          <w:p w14:paraId="48D195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w:t>
            </w:r>
          </w:p>
        </w:tc>
        <w:tc>
          <w:tcPr>
            <w:tcW w:w="3481" w:type="dxa"/>
            <w:tcBorders>
              <w:tl2br w:val="nil"/>
              <w:tr2bl w:val="nil"/>
            </w:tcBorders>
            <w:noWrap w:val="0"/>
            <w:vAlign w:val="center"/>
          </w:tcPr>
          <w:p w14:paraId="1B081D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自然保护区核心区、缓冲区内</w:t>
            </w:r>
          </w:p>
        </w:tc>
        <w:tc>
          <w:tcPr>
            <w:tcW w:w="3567" w:type="dxa"/>
            <w:tcBorders>
              <w:tl2br w:val="nil"/>
              <w:tr2bl w:val="nil"/>
            </w:tcBorders>
            <w:noWrap w:val="0"/>
            <w:vAlign w:val="center"/>
          </w:tcPr>
          <w:p w14:paraId="29BAAE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不在自然保护区</w:t>
            </w:r>
            <w:r>
              <w:rPr>
                <w:rFonts w:hint="default" w:ascii="Times New Roman" w:hAnsi="Times New Roman" w:eastAsia="宋体" w:cs="Times New Roman"/>
                <w:color w:val="000000"/>
                <w:kern w:val="0"/>
                <w:sz w:val="21"/>
                <w:szCs w:val="21"/>
                <w:highlight w:val="none"/>
                <w:lang w:val="en-US" w:eastAsia="zh-CN" w:bidi="ar"/>
              </w:rPr>
              <w:t>核心区、缓冲区内</w:t>
            </w:r>
          </w:p>
        </w:tc>
        <w:tc>
          <w:tcPr>
            <w:tcW w:w="727" w:type="dxa"/>
            <w:tcBorders>
              <w:tl2br w:val="nil"/>
              <w:tr2bl w:val="nil"/>
            </w:tcBorders>
            <w:noWrap w:val="0"/>
            <w:vAlign w:val="center"/>
          </w:tcPr>
          <w:p w14:paraId="1DF957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7E995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743" w:type="dxa"/>
            <w:tcBorders>
              <w:tl2br w:val="nil"/>
              <w:tr2bl w:val="nil"/>
            </w:tcBorders>
            <w:noWrap w:val="0"/>
            <w:vAlign w:val="center"/>
          </w:tcPr>
          <w:p w14:paraId="54652E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w:t>
            </w:r>
          </w:p>
        </w:tc>
        <w:tc>
          <w:tcPr>
            <w:tcW w:w="3481" w:type="dxa"/>
            <w:tcBorders>
              <w:tl2br w:val="nil"/>
              <w:tr2bl w:val="nil"/>
            </w:tcBorders>
            <w:noWrap w:val="0"/>
            <w:vAlign w:val="center"/>
          </w:tcPr>
          <w:p w14:paraId="5A9A05A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水产种质资源保护区内</w:t>
            </w:r>
          </w:p>
        </w:tc>
        <w:tc>
          <w:tcPr>
            <w:tcW w:w="3567" w:type="dxa"/>
            <w:tcBorders>
              <w:tl2br w:val="nil"/>
              <w:tr2bl w:val="nil"/>
            </w:tcBorders>
            <w:noWrap w:val="0"/>
            <w:vAlign w:val="center"/>
          </w:tcPr>
          <w:p w14:paraId="48E5B5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入河排污口</w:t>
            </w:r>
            <w:r>
              <w:rPr>
                <w:rFonts w:hint="eastAsia" w:ascii="宋体" w:hAnsi="宋体" w:cs="宋体"/>
                <w:color w:val="000000"/>
                <w:kern w:val="0"/>
                <w:sz w:val="21"/>
                <w:szCs w:val="21"/>
                <w:highlight w:val="none"/>
                <w:lang w:val="en-US" w:eastAsia="zh-CN" w:bidi="ar"/>
              </w:rPr>
              <w:t>位</w:t>
            </w:r>
            <w:r>
              <w:rPr>
                <w:rFonts w:hint="eastAsia" w:ascii="宋体" w:hAnsi="宋体" w:eastAsia="宋体" w:cs="宋体"/>
                <w:color w:val="000000"/>
                <w:kern w:val="0"/>
                <w:sz w:val="21"/>
                <w:szCs w:val="21"/>
                <w:highlight w:val="none"/>
                <w:lang w:val="en-US" w:eastAsia="zh-CN" w:bidi="ar"/>
              </w:rPr>
              <w:t>于南岳区南岳镇红星村老屋组（南岳区龙荫港左岸），龙荫港暂未划定水功能区；不属于衡阳市</w:t>
            </w:r>
            <w:r>
              <w:rPr>
                <w:rFonts w:hint="default" w:ascii="Times New Roman" w:hAnsi="Times New Roman" w:eastAsia="宋体" w:cs="Times New Roman"/>
                <w:color w:val="000000"/>
                <w:kern w:val="0"/>
                <w:sz w:val="21"/>
                <w:szCs w:val="21"/>
                <w:highlight w:val="none"/>
                <w:lang w:val="en-US" w:eastAsia="zh-CN" w:bidi="ar"/>
              </w:rPr>
              <w:t>水产种质资源保护区内</w:t>
            </w:r>
          </w:p>
        </w:tc>
        <w:tc>
          <w:tcPr>
            <w:tcW w:w="727" w:type="dxa"/>
            <w:tcBorders>
              <w:tl2br w:val="nil"/>
              <w:tr2bl w:val="nil"/>
            </w:tcBorders>
            <w:noWrap w:val="0"/>
            <w:vAlign w:val="center"/>
          </w:tcPr>
          <w:p w14:paraId="52C433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67BE4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743" w:type="dxa"/>
            <w:tcBorders>
              <w:tl2br w:val="nil"/>
              <w:tr2bl w:val="nil"/>
            </w:tcBorders>
            <w:noWrap w:val="0"/>
            <w:vAlign w:val="center"/>
          </w:tcPr>
          <w:p w14:paraId="059ED0A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4</w:t>
            </w:r>
          </w:p>
        </w:tc>
        <w:tc>
          <w:tcPr>
            <w:tcW w:w="3481" w:type="dxa"/>
            <w:tcBorders>
              <w:tl2br w:val="nil"/>
              <w:tr2bl w:val="nil"/>
            </w:tcBorders>
            <w:noWrap w:val="0"/>
            <w:vAlign w:val="center"/>
          </w:tcPr>
          <w:p w14:paraId="56F2653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省级以上湿地公园保育区、恢复重建区内</w:t>
            </w:r>
          </w:p>
        </w:tc>
        <w:tc>
          <w:tcPr>
            <w:tcW w:w="3567" w:type="dxa"/>
            <w:tcBorders>
              <w:tl2br w:val="nil"/>
              <w:tr2bl w:val="nil"/>
            </w:tcBorders>
            <w:noWrap w:val="0"/>
            <w:vAlign w:val="center"/>
          </w:tcPr>
          <w:p w14:paraId="372355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不在</w:t>
            </w:r>
            <w:r>
              <w:rPr>
                <w:rFonts w:hint="default" w:ascii="Times New Roman" w:hAnsi="Times New Roman" w:eastAsia="宋体" w:cs="Times New Roman"/>
                <w:color w:val="000000"/>
                <w:kern w:val="0"/>
                <w:sz w:val="21"/>
                <w:szCs w:val="21"/>
                <w:highlight w:val="none"/>
                <w:lang w:val="en-US" w:eastAsia="zh-CN" w:bidi="ar"/>
              </w:rPr>
              <w:t>省级以上湿地公园保育区、恢复重建区内</w:t>
            </w:r>
          </w:p>
        </w:tc>
        <w:tc>
          <w:tcPr>
            <w:tcW w:w="727" w:type="dxa"/>
            <w:tcBorders>
              <w:tl2br w:val="nil"/>
              <w:tr2bl w:val="nil"/>
            </w:tcBorders>
            <w:noWrap w:val="0"/>
            <w:vAlign w:val="center"/>
          </w:tcPr>
          <w:p w14:paraId="58FB88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3DD9D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43" w:type="dxa"/>
            <w:tcBorders>
              <w:tl2br w:val="nil"/>
              <w:tr2bl w:val="nil"/>
            </w:tcBorders>
            <w:noWrap w:val="0"/>
            <w:vAlign w:val="center"/>
          </w:tcPr>
          <w:p w14:paraId="5B2BF6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5</w:t>
            </w:r>
          </w:p>
        </w:tc>
        <w:tc>
          <w:tcPr>
            <w:tcW w:w="3481" w:type="dxa"/>
            <w:tcBorders>
              <w:tl2br w:val="nil"/>
              <w:tr2bl w:val="nil"/>
            </w:tcBorders>
            <w:noWrap w:val="0"/>
            <w:vAlign w:val="center"/>
          </w:tcPr>
          <w:p w14:paraId="27F719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能够由污水系统接纳但拒不接入的</w:t>
            </w:r>
          </w:p>
        </w:tc>
        <w:tc>
          <w:tcPr>
            <w:tcW w:w="3567" w:type="dxa"/>
            <w:tcBorders>
              <w:tl2br w:val="nil"/>
              <w:tr2bl w:val="nil"/>
            </w:tcBorders>
            <w:noWrap w:val="0"/>
            <w:vAlign w:val="center"/>
          </w:tcPr>
          <w:p w14:paraId="192980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本入河排污口属于城镇污水处理厂排污口，无其它污水接纳系统</w:t>
            </w:r>
          </w:p>
        </w:tc>
        <w:tc>
          <w:tcPr>
            <w:tcW w:w="727" w:type="dxa"/>
            <w:tcBorders>
              <w:tl2br w:val="nil"/>
              <w:tr2bl w:val="nil"/>
            </w:tcBorders>
            <w:noWrap w:val="0"/>
            <w:vAlign w:val="center"/>
          </w:tcPr>
          <w:p w14:paraId="31C1A0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166AF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43" w:type="dxa"/>
            <w:tcBorders>
              <w:tl2br w:val="nil"/>
              <w:tr2bl w:val="nil"/>
            </w:tcBorders>
            <w:noWrap w:val="0"/>
            <w:vAlign w:val="center"/>
          </w:tcPr>
          <w:p w14:paraId="038D94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6</w:t>
            </w:r>
          </w:p>
        </w:tc>
        <w:tc>
          <w:tcPr>
            <w:tcW w:w="3481" w:type="dxa"/>
            <w:tcBorders>
              <w:tl2br w:val="nil"/>
              <w:tr2bl w:val="nil"/>
            </w:tcBorders>
            <w:noWrap w:val="0"/>
            <w:vAlign w:val="center"/>
          </w:tcPr>
          <w:p w14:paraId="6C1DC8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经论证不符合设置要求的</w:t>
            </w:r>
          </w:p>
        </w:tc>
        <w:tc>
          <w:tcPr>
            <w:tcW w:w="3567" w:type="dxa"/>
            <w:tcBorders>
              <w:tl2br w:val="nil"/>
              <w:tr2bl w:val="nil"/>
            </w:tcBorders>
            <w:noWrap w:val="0"/>
            <w:vAlign w:val="center"/>
          </w:tcPr>
          <w:p w14:paraId="60193A2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根据本论证报告，本入河排污口符合设置要求</w:t>
            </w:r>
          </w:p>
        </w:tc>
        <w:tc>
          <w:tcPr>
            <w:tcW w:w="727" w:type="dxa"/>
            <w:tcBorders>
              <w:tl2br w:val="nil"/>
              <w:tr2bl w:val="nil"/>
            </w:tcBorders>
            <w:noWrap w:val="0"/>
            <w:vAlign w:val="center"/>
          </w:tcPr>
          <w:p w14:paraId="1D64E0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07C4D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43" w:type="dxa"/>
            <w:tcBorders>
              <w:tl2br w:val="nil"/>
              <w:tr2bl w:val="nil"/>
            </w:tcBorders>
            <w:noWrap w:val="0"/>
            <w:vAlign w:val="center"/>
          </w:tcPr>
          <w:p w14:paraId="7790201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7</w:t>
            </w:r>
          </w:p>
        </w:tc>
        <w:tc>
          <w:tcPr>
            <w:tcW w:w="3481" w:type="dxa"/>
            <w:tcBorders>
              <w:tl2br w:val="nil"/>
              <w:tr2bl w:val="nil"/>
            </w:tcBorders>
            <w:noWrap w:val="0"/>
            <w:vAlign w:val="center"/>
          </w:tcPr>
          <w:p w14:paraId="3EEF0B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设置可能使水域水质达不到水功能区要求的</w:t>
            </w:r>
          </w:p>
        </w:tc>
        <w:tc>
          <w:tcPr>
            <w:tcW w:w="3567" w:type="dxa"/>
            <w:tcBorders>
              <w:tl2br w:val="nil"/>
              <w:tr2bl w:val="nil"/>
            </w:tcBorders>
            <w:noWrap w:val="0"/>
            <w:vAlign w:val="center"/>
          </w:tcPr>
          <w:p w14:paraId="6BF33D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宋体" w:hAnsi="宋体" w:eastAsia="宋体" w:cs="宋体"/>
                <w:color w:val="000000"/>
                <w:kern w:val="0"/>
                <w:sz w:val="21"/>
                <w:szCs w:val="21"/>
                <w:highlight w:val="none"/>
                <w:lang w:val="en-US" w:eastAsia="zh-CN" w:bidi="ar"/>
              </w:rPr>
              <w:t>根据预测结果分析，本入河排污口设置不会使水域水质达不到水功能区要求</w:t>
            </w:r>
          </w:p>
        </w:tc>
        <w:tc>
          <w:tcPr>
            <w:tcW w:w="727" w:type="dxa"/>
            <w:tcBorders>
              <w:tl2br w:val="nil"/>
              <w:tr2bl w:val="nil"/>
            </w:tcBorders>
            <w:noWrap w:val="0"/>
            <w:vAlign w:val="center"/>
          </w:tcPr>
          <w:p w14:paraId="6FF85B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r w14:paraId="067D3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743" w:type="dxa"/>
            <w:tcBorders>
              <w:tl2br w:val="nil"/>
              <w:tr2bl w:val="nil"/>
            </w:tcBorders>
            <w:noWrap w:val="0"/>
            <w:vAlign w:val="center"/>
          </w:tcPr>
          <w:p w14:paraId="5582C1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8</w:t>
            </w:r>
          </w:p>
        </w:tc>
        <w:tc>
          <w:tcPr>
            <w:tcW w:w="3481" w:type="dxa"/>
            <w:tcBorders>
              <w:tl2br w:val="nil"/>
              <w:tr2bl w:val="nil"/>
            </w:tcBorders>
            <w:noWrap w:val="0"/>
            <w:vAlign w:val="center"/>
          </w:tcPr>
          <w:p w14:paraId="25E84F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其他不符合法律、法规和国家产业政策规定的</w:t>
            </w:r>
          </w:p>
        </w:tc>
        <w:tc>
          <w:tcPr>
            <w:tcW w:w="3567" w:type="dxa"/>
            <w:tcBorders>
              <w:tl2br w:val="nil"/>
              <w:tr2bl w:val="nil"/>
            </w:tcBorders>
            <w:noWrap w:val="0"/>
            <w:vAlign w:val="center"/>
          </w:tcPr>
          <w:p w14:paraId="265DDE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本入河排污口设置符合法律、法规和国家产业政策规定</w:t>
            </w:r>
          </w:p>
        </w:tc>
        <w:tc>
          <w:tcPr>
            <w:tcW w:w="727" w:type="dxa"/>
            <w:tcBorders>
              <w:tl2br w:val="nil"/>
              <w:tr2bl w:val="nil"/>
            </w:tcBorders>
            <w:noWrap w:val="0"/>
            <w:vAlign w:val="center"/>
          </w:tcPr>
          <w:p w14:paraId="3018A9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无</w:t>
            </w:r>
          </w:p>
        </w:tc>
      </w:tr>
    </w:tbl>
    <w:p w14:paraId="5E95CE0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根据上表5.4-</w:t>
      </w:r>
      <w:r>
        <w:rPr>
          <w:rFonts w:hint="eastAsia" w:ascii="Times New Roman" w:hAnsi="Times New Roman" w:eastAsia="宋体" w:cs="Times New Roman"/>
          <w:color w:val="000000"/>
          <w:kern w:val="0"/>
          <w:sz w:val="24"/>
          <w:szCs w:val="24"/>
          <w:highlight w:val="none"/>
          <w:lang w:val="en-US" w:eastAsia="zh-CN" w:bidi="ar"/>
        </w:rPr>
        <w:t>2</w:t>
      </w:r>
      <w:r>
        <w:rPr>
          <w:rFonts w:hint="default" w:ascii="Times New Roman" w:hAnsi="Times New Roman" w:eastAsia="宋体" w:cs="Times New Roman"/>
          <w:color w:val="000000"/>
          <w:kern w:val="0"/>
          <w:sz w:val="24"/>
          <w:szCs w:val="24"/>
          <w:highlight w:val="none"/>
          <w:lang w:val="en-US" w:eastAsia="zh-CN" w:bidi="ar"/>
        </w:rPr>
        <w:t>可知，本入河排污口设置无《</w:t>
      </w:r>
      <w:r>
        <w:rPr>
          <w:rFonts w:hint="eastAsia" w:ascii="Times New Roman" w:hAnsi="Times New Roman" w:eastAsia="宋体" w:cs="Times New Roman"/>
          <w:color w:val="000000"/>
          <w:kern w:val="0"/>
          <w:sz w:val="24"/>
          <w:szCs w:val="24"/>
          <w:highlight w:val="none"/>
          <w:lang w:val="en-US" w:eastAsia="zh-CN" w:bidi="ar"/>
        </w:rPr>
        <w:t>湖南省</w:t>
      </w:r>
      <w:r>
        <w:rPr>
          <w:rFonts w:hint="default" w:ascii="Times New Roman" w:hAnsi="Times New Roman" w:eastAsia="宋体" w:cs="Times New Roman"/>
          <w:color w:val="000000"/>
          <w:kern w:val="0"/>
          <w:sz w:val="24"/>
          <w:szCs w:val="24"/>
          <w:highlight w:val="none"/>
          <w:lang w:val="en-US" w:eastAsia="zh-CN" w:bidi="ar"/>
        </w:rPr>
        <w:t>入河排污口监督管理办法》第十</w:t>
      </w:r>
      <w:r>
        <w:rPr>
          <w:rFonts w:hint="eastAsia" w:ascii="Times New Roman" w:hAnsi="Times New Roman" w:eastAsia="宋体" w:cs="Times New Roman"/>
          <w:color w:val="000000"/>
          <w:kern w:val="0"/>
          <w:sz w:val="24"/>
          <w:szCs w:val="24"/>
          <w:highlight w:val="none"/>
          <w:lang w:val="en-US" w:eastAsia="zh-CN" w:bidi="ar"/>
        </w:rPr>
        <w:t>五</w:t>
      </w:r>
      <w:r>
        <w:rPr>
          <w:rFonts w:hint="default" w:ascii="Times New Roman" w:hAnsi="Times New Roman" w:eastAsia="宋体" w:cs="Times New Roman"/>
          <w:color w:val="000000"/>
          <w:kern w:val="0"/>
          <w:sz w:val="24"/>
          <w:szCs w:val="24"/>
          <w:highlight w:val="none"/>
          <w:lang w:val="en-US" w:eastAsia="zh-CN" w:bidi="ar"/>
        </w:rPr>
        <w:t>条所列情形，符合《</w:t>
      </w:r>
      <w:r>
        <w:rPr>
          <w:rFonts w:hint="eastAsia" w:ascii="Times New Roman" w:hAnsi="Times New Roman" w:eastAsia="宋体" w:cs="Times New Roman"/>
          <w:color w:val="000000"/>
          <w:kern w:val="0"/>
          <w:sz w:val="24"/>
          <w:szCs w:val="24"/>
          <w:highlight w:val="none"/>
          <w:lang w:val="en-US" w:eastAsia="zh-CN" w:bidi="ar"/>
        </w:rPr>
        <w:t>湖南省</w:t>
      </w:r>
      <w:r>
        <w:rPr>
          <w:rFonts w:hint="default" w:ascii="Times New Roman" w:hAnsi="Times New Roman" w:eastAsia="宋体" w:cs="Times New Roman"/>
          <w:color w:val="000000"/>
          <w:kern w:val="0"/>
          <w:sz w:val="24"/>
          <w:szCs w:val="24"/>
          <w:highlight w:val="none"/>
          <w:lang w:val="en-US" w:eastAsia="zh-CN" w:bidi="ar"/>
        </w:rPr>
        <w:t>入河排污口监督管理办法》要求。</w:t>
      </w:r>
    </w:p>
    <w:p w14:paraId="669285F3">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 xml:space="preserve"> 与防洪要求符合性分析</w:t>
      </w:r>
    </w:p>
    <w:p w14:paraId="1A72DAA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宋体" w:hAnsi="宋体" w:eastAsia="宋体" w:cs="宋体"/>
          <w:color w:val="000000"/>
          <w:kern w:val="0"/>
          <w:sz w:val="24"/>
          <w:szCs w:val="24"/>
          <w:highlight w:val="none"/>
          <w:lang w:val="en-US" w:eastAsia="zh-CN" w:bidi="ar"/>
        </w:rPr>
        <w:t>，设计防洪标准采用</w:t>
      </w:r>
      <w:r>
        <w:rPr>
          <w:rFonts w:hint="eastAsia" w:ascii="Times New Roman" w:hAnsi="Times New Roman" w:eastAsia="宋体" w:cs="Times New Roman"/>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年一遇洪水标准设计，排污口岸边排放，排污管</w:t>
      </w:r>
      <w:r>
        <w:rPr>
          <w:rFonts w:hint="eastAsia" w:ascii="宋体" w:hAnsi="宋体" w:cs="宋体"/>
          <w:color w:val="000000"/>
          <w:kern w:val="0"/>
          <w:sz w:val="24"/>
          <w:szCs w:val="24"/>
          <w:highlight w:val="none"/>
          <w:lang w:val="en-US" w:eastAsia="zh-CN" w:bidi="ar"/>
        </w:rPr>
        <w:t>道</w:t>
      </w:r>
      <w:r>
        <w:rPr>
          <w:rFonts w:hint="eastAsia" w:ascii="宋体" w:hAnsi="宋体" w:eastAsia="宋体" w:cs="宋体"/>
          <w:color w:val="000000"/>
          <w:kern w:val="0"/>
          <w:sz w:val="24"/>
          <w:szCs w:val="24"/>
          <w:highlight w:val="none"/>
          <w:lang w:val="en-US" w:eastAsia="zh-CN" w:bidi="ar"/>
        </w:rPr>
        <w:t>设有一定坡度，排污口所在河段两岸稳定，河道通畅。</w:t>
      </w:r>
    </w:p>
    <w:p w14:paraId="578FAF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rPr>
      </w:pPr>
      <w:r>
        <w:rPr>
          <w:rFonts w:hint="eastAsia" w:ascii="宋体" w:hAnsi="宋体" w:eastAsia="宋体" w:cs="宋体"/>
          <w:color w:val="000000"/>
          <w:kern w:val="0"/>
          <w:sz w:val="24"/>
          <w:szCs w:val="24"/>
          <w:highlight w:val="none"/>
          <w:lang w:val="en-US" w:eastAsia="zh-CN" w:bidi="ar"/>
        </w:rPr>
        <w:t>本入河排污口规划流量为</w:t>
      </w:r>
      <w:r>
        <w:rPr>
          <w:rFonts w:hint="default"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35</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宋体" w:hAnsi="宋体" w:eastAsia="宋体" w:cs="宋体"/>
          <w:color w:val="000000"/>
          <w:kern w:val="0"/>
          <w:sz w:val="24"/>
          <w:szCs w:val="24"/>
          <w:highlight w:val="none"/>
          <w:lang w:val="en-US" w:eastAsia="zh-CN" w:bidi="ar"/>
        </w:rPr>
        <w:t>，不会对河床产生冲刷和淤积影响，基本不会对河流行洪及防洪产生影响，符合防洪要求。</w:t>
      </w:r>
    </w:p>
    <w:p w14:paraId="6463218C">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 xml:space="preserve">.5 </w:t>
      </w:r>
      <w:r>
        <w:rPr>
          <w:rFonts w:hint="eastAsia" w:ascii="Times New Roman" w:hAnsi="Times New Roman" w:eastAsia="宋体" w:cs="Times New Roman"/>
          <w:highlight w:val="none"/>
          <w:lang w:val="en-US" w:eastAsia="zh-CN"/>
        </w:rPr>
        <w:t>与《水产种质资源保护区管理暂行办法》符合性分析</w:t>
      </w:r>
    </w:p>
    <w:p w14:paraId="2A931E5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根据《水产种质资源保护区管理暂行办法》（农业部令</w:t>
      </w:r>
      <w:r>
        <w:rPr>
          <w:rFonts w:hint="default" w:ascii="Times New Roman" w:hAnsi="Times New Roman" w:eastAsia="宋体" w:cs="Times New Roman"/>
          <w:color w:val="000000"/>
          <w:kern w:val="0"/>
          <w:sz w:val="24"/>
          <w:szCs w:val="24"/>
          <w:highlight w:val="none"/>
          <w:lang w:val="en-US" w:eastAsia="zh-CN" w:bidi="ar"/>
        </w:rPr>
        <w:t>[2011]</w:t>
      </w:r>
      <w:r>
        <w:rPr>
          <w:rFonts w:hint="eastAsia" w:ascii="宋体" w:hAnsi="宋体" w:eastAsia="宋体" w:cs="宋体"/>
          <w:color w:val="000000"/>
          <w:kern w:val="0"/>
          <w:sz w:val="24"/>
          <w:szCs w:val="24"/>
          <w:highlight w:val="none"/>
          <w:lang w:val="en-US" w:eastAsia="zh-CN" w:bidi="ar"/>
        </w:rPr>
        <w:t>第</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号）第二十一条规定“禁止在水产种质资源保护区内新建排污口”。</w:t>
      </w:r>
    </w:p>
    <w:p w14:paraId="15D7CD1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lang w:val="en-US"/>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纳污水体</w:t>
      </w:r>
      <w:r>
        <w:rPr>
          <w:rFonts w:hint="eastAsia" w:ascii="宋体" w:hAnsi="宋体" w:eastAsia="宋体" w:cs="宋体"/>
          <w:color w:val="000000"/>
          <w:kern w:val="0"/>
          <w:sz w:val="24"/>
          <w:szCs w:val="24"/>
          <w:highlight w:val="none"/>
          <w:lang w:val="en-US" w:eastAsia="zh-CN" w:bidi="ar"/>
        </w:rPr>
        <w:t>龙荫港河段暂未划定水功能区</w:t>
      </w:r>
      <w:r>
        <w:rPr>
          <w:rFonts w:hint="eastAsia" w:ascii="宋体" w:hAnsi="宋体" w:cs="宋体"/>
          <w:color w:val="000000"/>
          <w:kern w:val="0"/>
          <w:sz w:val="24"/>
          <w:szCs w:val="24"/>
          <w:highlight w:val="none"/>
          <w:lang w:val="en-US" w:eastAsia="zh-CN" w:bidi="ar"/>
        </w:rPr>
        <w:t>类别</w:t>
      </w:r>
      <w:r>
        <w:rPr>
          <w:rFonts w:hint="eastAsia" w:ascii="宋体" w:hAnsi="宋体" w:eastAsia="宋体" w:cs="宋体"/>
          <w:color w:val="000000"/>
          <w:kern w:val="0"/>
          <w:sz w:val="24"/>
          <w:szCs w:val="24"/>
          <w:highlight w:val="none"/>
          <w:lang w:val="en-US" w:eastAsia="zh-CN" w:bidi="ar"/>
        </w:rPr>
        <w:t>，不在衡阳市水产种质资源保护区内</w:t>
      </w:r>
      <w:r>
        <w:rPr>
          <w:rFonts w:hint="eastAsia" w:ascii="宋体" w:hAnsi="宋体" w:cs="宋体"/>
          <w:color w:val="000000"/>
          <w:kern w:val="0"/>
          <w:sz w:val="24"/>
          <w:szCs w:val="24"/>
          <w:highlight w:val="none"/>
          <w:lang w:val="en-US" w:eastAsia="zh-CN" w:bidi="ar"/>
        </w:rPr>
        <w:t>，符合《水产种质资源保护区管理暂行办法》相关要求。</w:t>
      </w:r>
    </w:p>
    <w:p w14:paraId="6E59EA30">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eastAsia="zh-CN"/>
        </w:rPr>
        <w:t xml:space="preserve"> 与《饮用水源保护区污染防治管理规定》符合性分析</w:t>
      </w:r>
    </w:p>
    <w:p w14:paraId="1F80362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根据《饮用水源保护区污染防治管理规定》第十二条规定“一级保护区内禁止新建、扩建与供水设施和保护水源无关的建设项目；禁止向水域排放污水，已设置的排污口必须拆除。二级保护区内禁止新建、已建（补手续）、扩建排放污染物的建设项目；原有排污口依法拆除或者关闭。准保护区内禁止新建、扩建对水体污染严重的建设项目；已建（补手续）建设项目，不得增加排污量。”</w:t>
      </w:r>
    </w:p>
    <w:p w14:paraId="1900E7B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sz w:val="24"/>
          <w:szCs w:val="24"/>
          <w:highlight w:val="none"/>
          <w:lang w:val="en-US"/>
        </w:rPr>
      </w:pPr>
      <w:r>
        <w:rPr>
          <w:rFonts w:hint="eastAsia" w:ascii="宋体" w:hAnsi="宋体" w:eastAsia="宋体" w:cs="宋体"/>
          <w:color w:val="000000"/>
          <w:kern w:val="0"/>
          <w:sz w:val="24"/>
          <w:szCs w:val="24"/>
          <w:highlight w:val="none"/>
          <w:lang w:val="en-US" w:eastAsia="zh-CN" w:bidi="ar"/>
        </w:rPr>
        <w:t>本入河排污口位于南岳区南岳镇红星村老屋组（南岳区龙荫港左岸），</w:t>
      </w:r>
      <w:r>
        <w:rPr>
          <w:rFonts w:hint="eastAsia" w:ascii="宋体" w:hAnsi="宋体" w:cs="宋体"/>
          <w:color w:val="000000"/>
          <w:kern w:val="0"/>
          <w:sz w:val="24"/>
          <w:szCs w:val="24"/>
          <w:highlight w:val="none"/>
          <w:lang w:val="en-US" w:eastAsia="zh-CN" w:bidi="ar"/>
        </w:rPr>
        <w:t>纳污水体</w:t>
      </w:r>
      <w:r>
        <w:rPr>
          <w:rFonts w:hint="eastAsia" w:ascii="宋体" w:hAnsi="宋体" w:eastAsia="宋体" w:cs="宋体"/>
          <w:color w:val="000000"/>
          <w:kern w:val="0"/>
          <w:sz w:val="24"/>
          <w:szCs w:val="24"/>
          <w:highlight w:val="none"/>
          <w:lang w:val="en-US" w:eastAsia="zh-CN" w:bidi="ar"/>
        </w:rPr>
        <w:t>龙荫港河段暂未划定水功能区</w:t>
      </w:r>
      <w:r>
        <w:rPr>
          <w:rFonts w:hint="eastAsia" w:ascii="宋体" w:hAnsi="宋体" w:cs="宋体"/>
          <w:color w:val="000000"/>
          <w:kern w:val="0"/>
          <w:sz w:val="24"/>
          <w:szCs w:val="24"/>
          <w:highlight w:val="none"/>
          <w:lang w:val="en-US" w:eastAsia="zh-CN" w:bidi="ar"/>
        </w:rPr>
        <w:t>类别</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不属于饮用水源保护区</w:t>
      </w:r>
      <w:r>
        <w:rPr>
          <w:rFonts w:hint="eastAsia" w:ascii="宋体" w:hAnsi="宋体" w:eastAsia="宋体" w:cs="宋体"/>
          <w:color w:val="000000"/>
          <w:kern w:val="0"/>
          <w:sz w:val="24"/>
          <w:szCs w:val="24"/>
          <w:highlight w:val="none"/>
          <w:lang w:val="en-US" w:eastAsia="zh-CN" w:bidi="ar"/>
        </w:rPr>
        <w:t>内，符合</w:t>
      </w:r>
      <w:r>
        <w:rPr>
          <w:rFonts w:hint="default" w:ascii="Times New Roman" w:hAnsi="Times New Roman" w:eastAsia="宋体" w:cs="Times New Roman"/>
          <w:sz w:val="24"/>
          <w:szCs w:val="24"/>
          <w:highlight w:val="none"/>
          <w:lang w:val="en-US" w:eastAsia="zh-CN"/>
        </w:rPr>
        <w:t>《饮用水源保护区污染防治管理规定》</w:t>
      </w:r>
      <w:r>
        <w:rPr>
          <w:rFonts w:hint="eastAsia" w:ascii="Times New Roman" w:hAnsi="Times New Roman" w:eastAsia="宋体" w:cs="Times New Roman"/>
          <w:sz w:val="24"/>
          <w:szCs w:val="24"/>
          <w:highlight w:val="none"/>
          <w:lang w:val="en-US" w:eastAsia="zh-CN"/>
        </w:rPr>
        <w:t>的要求。</w:t>
      </w:r>
    </w:p>
    <w:p w14:paraId="29FEFA64">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5.</w:t>
      </w:r>
      <w:r>
        <w:rPr>
          <w:rFonts w:hint="eastAsia" w:cs="Times New Roman"/>
          <w:b/>
          <w:bCs/>
          <w:color w:val="000000"/>
          <w:kern w:val="0"/>
          <w:sz w:val="28"/>
          <w:szCs w:val="28"/>
          <w:highlight w:val="none"/>
          <w:lang w:val="en-US" w:eastAsia="zh-CN" w:bidi="ar"/>
        </w:rPr>
        <w:t>4</w:t>
      </w:r>
      <w:r>
        <w:rPr>
          <w:rFonts w:hint="default" w:ascii="Times New Roman" w:hAnsi="Times New Roman" w:eastAsia="宋体" w:cs="Times New Roman"/>
          <w:b/>
          <w:bCs/>
          <w:color w:val="000000"/>
          <w:kern w:val="0"/>
          <w:sz w:val="28"/>
          <w:szCs w:val="28"/>
          <w:highlight w:val="none"/>
          <w:lang w:val="en-US" w:eastAsia="zh-CN" w:bidi="ar"/>
        </w:rPr>
        <w:t xml:space="preserve">.7 </w:t>
      </w:r>
      <w:r>
        <w:rPr>
          <w:rFonts w:hint="eastAsia" w:ascii="宋体" w:hAnsi="宋体" w:eastAsia="宋体" w:cs="宋体"/>
          <w:b/>
          <w:bCs/>
          <w:color w:val="000000"/>
          <w:kern w:val="0"/>
          <w:sz w:val="28"/>
          <w:szCs w:val="28"/>
          <w:highlight w:val="none"/>
          <w:lang w:val="en-US" w:eastAsia="zh-CN" w:bidi="ar"/>
        </w:rPr>
        <w:t>与相关城市规划符合性分析</w:t>
      </w:r>
    </w:p>
    <w:p w14:paraId="28AB985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本入河排污口位于</w:t>
      </w:r>
      <w:r>
        <w:rPr>
          <w:rFonts w:hint="eastAsia" w:ascii="宋体" w:hAnsi="宋体" w:eastAsia="宋体" w:cs="宋体"/>
          <w:color w:val="000000"/>
          <w:kern w:val="0"/>
          <w:sz w:val="24"/>
          <w:szCs w:val="24"/>
          <w:highlight w:val="none"/>
          <w:lang w:val="en-US" w:eastAsia="zh-CN" w:bidi="ar"/>
        </w:rPr>
        <w:t>南岳区南岳镇红星村老屋组（南岳区龙荫港左岸）</w:t>
      </w:r>
      <w:r>
        <w:rPr>
          <w:rFonts w:hint="eastAsia" w:ascii="宋体" w:hAnsi="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所在地为南岳区污水处理厂规划建设用地，</w:t>
      </w:r>
      <w:r>
        <w:rPr>
          <w:rFonts w:hint="eastAsia" w:cs="Times New Roman"/>
          <w:color w:val="000000"/>
          <w:kern w:val="0"/>
          <w:sz w:val="24"/>
          <w:szCs w:val="24"/>
          <w:highlight w:val="none"/>
          <w:lang w:val="en-US" w:eastAsia="zh-CN" w:bidi="ar"/>
        </w:rPr>
        <w:t>本入河排污口</w:t>
      </w:r>
      <w:r>
        <w:rPr>
          <w:rFonts w:hint="default" w:ascii="Times New Roman" w:hAnsi="Times New Roman" w:eastAsia="宋体" w:cs="Times New Roman"/>
          <w:color w:val="000000"/>
          <w:kern w:val="0"/>
          <w:sz w:val="24"/>
          <w:szCs w:val="24"/>
          <w:highlight w:val="none"/>
          <w:lang w:val="en-US" w:eastAsia="zh-CN" w:bidi="ar"/>
        </w:rPr>
        <w:t>有利于完善南岳区污水处理厂基础设施建设，符合《南岳区城市总体规划》（2005~2020）的要求。</w:t>
      </w:r>
    </w:p>
    <w:p w14:paraId="55F2DAC2">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5.</w:t>
      </w:r>
      <w:r>
        <w:rPr>
          <w:rFonts w:hint="eastAsia" w:cs="Times New Roman"/>
          <w:b/>
          <w:bCs/>
          <w:color w:val="000000"/>
          <w:kern w:val="0"/>
          <w:sz w:val="28"/>
          <w:szCs w:val="28"/>
          <w:highlight w:val="none"/>
          <w:lang w:val="en-US" w:eastAsia="zh-CN" w:bidi="ar"/>
        </w:rPr>
        <w:t>4</w:t>
      </w:r>
      <w:r>
        <w:rPr>
          <w:rFonts w:hint="default" w:ascii="Times New Roman" w:hAnsi="Times New Roman" w:eastAsia="宋体" w:cs="Times New Roman"/>
          <w:b/>
          <w:bCs/>
          <w:color w:val="000000"/>
          <w:kern w:val="0"/>
          <w:sz w:val="28"/>
          <w:szCs w:val="28"/>
          <w:highlight w:val="none"/>
          <w:lang w:val="en-US" w:eastAsia="zh-CN" w:bidi="ar"/>
        </w:rPr>
        <w:t>.</w:t>
      </w:r>
      <w:r>
        <w:rPr>
          <w:rFonts w:hint="eastAsia" w:cs="Times New Roman"/>
          <w:b/>
          <w:bCs/>
          <w:color w:val="000000"/>
          <w:kern w:val="0"/>
          <w:sz w:val="28"/>
          <w:szCs w:val="28"/>
          <w:highlight w:val="none"/>
          <w:lang w:val="en-US" w:eastAsia="zh-CN" w:bidi="ar"/>
        </w:rPr>
        <w:t>8</w:t>
      </w:r>
      <w:r>
        <w:rPr>
          <w:rFonts w:hint="default" w:ascii="Times New Roman" w:hAnsi="Times New Roman" w:eastAsia="宋体" w:cs="Times New Roman"/>
          <w:b/>
          <w:bCs/>
          <w:color w:val="000000"/>
          <w:kern w:val="0"/>
          <w:sz w:val="28"/>
          <w:szCs w:val="28"/>
          <w:highlight w:val="none"/>
          <w:lang w:val="en-US" w:eastAsia="zh-CN" w:bidi="ar"/>
        </w:rPr>
        <w:t xml:space="preserve"> 与《关于规范入河排污口设置审批工作的函》符合性分析</w:t>
      </w:r>
    </w:p>
    <w:p w14:paraId="2BE2475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s="Times New Roman"/>
          <w:color w:val="000000"/>
          <w:kern w:val="0"/>
          <w:sz w:val="24"/>
          <w:szCs w:val="24"/>
          <w:highlight w:val="none"/>
          <w:lang w:val="en-US" w:eastAsia="zh-CN" w:bidi="ar"/>
        </w:rPr>
      </w:pPr>
      <w:r>
        <w:rPr>
          <w:rFonts w:hint="eastAsia" w:cs="Times New Roman"/>
          <w:color w:val="000000"/>
          <w:kern w:val="0"/>
          <w:sz w:val="24"/>
          <w:szCs w:val="24"/>
          <w:highlight w:val="none"/>
          <w:lang w:val="zh-CN" w:eastAsia="zh-CN" w:bidi="ar"/>
        </w:rPr>
        <w:t>根据</w:t>
      </w:r>
      <w:r>
        <w:rPr>
          <w:rFonts w:hint="eastAsia" w:cs="Times New Roman"/>
          <w:color w:val="000000"/>
          <w:kern w:val="0"/>
          <w:sz w:val="24"/>
          <w:szCs w:val="24"/>
          <w:highlight w:val="none"/>
          <w:lang w:val="en-US" w:eastAsia="zh-CN" w:bidi="ar"/>
        </w:rPr>
        <w:t>《关于规范入河排污口设置审批工作的函》（湘环函〔2021〕71号），“（三）禁止在水产种质资源保护区内新建排污口，但可选择性的对原集中或分散的老排污口进行科学、可控、达标的改（扩）建。”、“在《湖南省入河排污口监督管理办法》颁布实施之后，禁止在湿地公园保育区和恢复重建区内新建排污口，但可选择性的对原集中或分散的老排污口进行科学、可控、达标的改（扩）建。”。</w:t>
      </w:r>
    </w:p>
    <w:p w14:paraId="50B18FF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本入河排污口位于</w:t>
      </w:r>
      <w:r>
        <w:rPr>
          <w:rFonts w:hint="eastAsia" w:ascii="宋体" w:hAnsi="宋体" w:eastAsia="宋体" w:cs="宋体"/>
          <w:color w:val="000000"/>
          <w:kern w:val="0"/>
          <w:sz w:val="24"/>
          <w:szCs w:val="24"/>
          <w:highlight w:val="none"/>
          <w:lang w:val="en-US" w:eastAsia="zh-CN" w:bidi="ar"/>
        </w:rPr>
        <w:t>南岳区南岳镇红星村老屋组（南岳区龙荫港左岸）</w:t>
      </w:r>
      <w:r>
        <w:rPr>
          <w:rFonts w:hint="eastAsia" w:cs="Times New Roman"/>
          <w:color w:val="000000"/>
          <w:kern w:val="0"/>
          <w:sz w:val="24"/>
          <w:szCs w:val="24"/>
          <w:highlight w:val="none"/>
          <w:lang w:val="en-US" w:eastAsia="zh-CN" w:bidi="ar"/>
        </w:rPr>
        <w:t>，不在水产种质资源保护区内，亦不在湿地公园保护范围内，符合《关于规范入河排污口设置审批工作的函》相关要求。</w:t>
      </w:r>
    </w:p>
    <w:p w14:paraId="2B394AB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综上所述，本项目入河排污口设置是可行的。</w:t>
      </w:r>
      <w:bookmarkStart w:id="84" w:name="_bookmark136"/>
      <w:bookmarkEnd w:id="84"/>
    </w:p>
    <w:p w14:paraId="2D9CDEC6">
      <w:pPr>
        <w:pStyle w:val="5"/>
        <w:numPr>
          <w:ilvl w:val="0"/>
          <w:numId w:val="0"/>
        </w:numPr>
        <w:bidi w:val="0"/>
        <w:ind w:left="0" w:leftChars="0" w:firstLine="0" w:firstLineChars="0"/>
        <w:rPr>
          <w:rFonts w:hint="default"/>
          <w:highlight w:val="none"/>
          <w:lang w:val="en-US" w:eastAsia="zh-CN"/>
        </w:rPr>
      </w:pPr>
      <w:bookmarkStart w:id="85" w:name="_Toc3737"/>
      <w:r>
        <w:rPr>
          <w:rFonts w:hint="eastAsia"/>
          <w:highlight w:val="none"/>
          <w:lang w:val="en-US" w:eastAsia="zh-CN"/>
        </w:rPr>
        <w:t>5.5 入河排污口设置方案及规范化建设</w:t>
      </w:r>
      <w:bookmarkEnd w:id="85"/>
    </w:p>
    <w:p w14:paraId="41DC40E3">
      <w:pPr>
        <w:pStyle w:val="6"/>
        <w:bidi w:val="0"/>
        <w:rPr>
          <w:highlight w:val="none"/>
        </w:rPr>
      </w:pPr>
      <w:r>
        <w:rPr>
          <w:rFonts w:hint="default"/>
          <w:highlight w:val="none"/>
          <w:lang w:val="en-US" w:eastAsia="zh-CN"/>
        </w:rPr>
        <w:t>5.</w:t>
      </w:r>
      <w:r>
        <w:rPr>
          <w:rFonts w:hint="eastAsia"/>
          <w:highlight w:val="none"/>
          <w:lang w:val="en-US" w:eastAsia="zh-CN"/>
        </w:rPr>
        <w:t>5</w:t>
      </w:r>
      <w:r>
        <w:rPr>
          <w:rFonts w:hint="default"/>
          <w:highlight w:val="none"/>
          <w:lang w:val="en-US" w:eastAsia="zh-CN"/>
        </w:rPr>
        <w:t xml:space="preserve">.1 </w:t>
      </w:r>
      <w:r>
        <w:rPr>
          <w:rFonts w:hint="eastAsia"/>
          <w:highlight w:val="none"/>
          <w:lang w:val="en-US" w:eastAsia="zh-CN"/>
        </w:rPr>
        <w:t>入河排污口设置基本情况</w:t>
      </w:r>
    </w:p>
    <w:p w14:paraId="1557592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衡阳市南岳区污水处理厂入河排污口基本情况见下表5.5-1。</w:t>
      </w:r>
    </w:p>
    <w:p w14:paraId="31CAF71F">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sz w:val="21"/>
          <w:szCs w:val="21"/>
          <w:highlight w:val="none"/>
        </w:rPr>
      </w:pPr>
      <w:r>
        <w:rPr>
          <w:rFonts w:ascii="Times New Roman" w:hAnsi="Times New Roman" w:eastAsia="Times New Roman" w:cs="Times New Roman"/>
          <w:b/>
          <w:bCs/>
          <w:spacing w:val="-1"/>
          <w:sz w:val="21"/>
          <w:szCs w:val="21"/>
          <w:highlight w:val="none"/>
        </w:rPr>
        <w:t>表5.</w:t>
      </w:r>
      <w:r>
        <w:rPr>
          <w:rFonts w:hint="eastAsia" w:eastAsia="宋体" w:cs="Times New Roman"/>
          <w:b/>
          <w:bCs/>
          <w:spacing w:val="-1"/>
          <w:sz w:val="21"/>
          <w:szCs w:val="21"/>
          <w:highlight w:val="none"/>
          <w:lang w:val="en-US" w:eastAsia="zh-CN"/>
        </w:rPr>
        <w:t>5</w:t>
      </w:r>
      <w:r>
        <w:rPr>
          <w:rFonts w:ascii="Times New Roman" w:hAnsi="Times New Roman" w:eastAsia="Times New Roman" w:cs="Times New Roman"/>
          <w:b/>
          <w:bCs/>
          <w:spacing w:val="-1"/>
          <w:sz w:val="21"/>
          <w:szCs w:val="21"/>
          <w:highlight w:val="none"/>
        </w:rPr>
        <w:t>-1</w:t>
      </w:r>
      <w:r>
        <w:rPr>
          <w:rFonts w:hint="eastAsia" w:eastAsia="宋体" w:cs="Times New Roman"/>
          <w:b/>
          <w:bCs/>
          <w:spacing w:val="-1"/>
          <w:sz w:val="21"/>
          <w:szCs w:val="21"/>
          <w:highlight w:val="none"/>
          <w:lang w:val="en-US" w:eastAsia="zh-CN"/>
        </w:rPr>
        <w:t xml:space="preserve"> </w:t>
      </w:r>
      <w:r>
        <w:rPr>
          <w:rFonts w:hint="eastAsia" w:ascii="宋体" w:hAnsi="宋体" w:eastAsia="宋体" w:cs="宋体"/>
          <w:b/>
          <w:bCs/>
          <w:spacing w:val="-1"/>
          <w:sz w:val="21"/>
          <w:szCs w:val="21"/>
          <w:highlight w:val="none"/>
        </w:rPr>
        <w:t>入河排污口基本情况表</w:t>
      </w:r>
    </w:p>
    <w:tbl>
      <w:tblPr>
        <w:tblStyle w:val="81"/>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118"/>
        <w:gridCol w:w="2118"/>
        <w:gridCol w:w="2108"/>
        <w:gridCol w:w="2125"/>
      </w:tblGrid>
      <w:tr w14:paraId="4BA726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4" w:hRule="atLeast"/>
        </w:trPr>
        <w:tc>
          <w:tcPr>
            <w:tcW w:w="2118" w:type="dxa"/>
            <w:tcBorders>
              <w:tl2br w:val="nil"/>
              <w:tr2bl w:val="nil"/>
            </w:tcBorders>
            <w:noWrap w:val="0"/>
            <w:vAlign w:val="center"/>
          </w:tcPr>
          <w:p w14:paraId="6A4B6F9A">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1"/>
                <w:sz w:val="21"/>
                <w:szCs w:val="21"/>
                <w:highlight w:val="none"/>
              </w:rPr>
              <w:t>入河排污口名称</w:t>
            </w:r>
          </w:p>
        </w:tc>
        <w:tc>
          <w:tcPr>
            <w:tcW w:w="6351" w:type="dxa"/>
            <w:gridSpan w:val="3"/>
            <w:tcBorders>
              <w:tl2br w:val="nil"/>
              <w:tr2bl w:val="nil"/>
            </w:tcBorders>
            <w:noWrap w:val="0"/>
            <w:vAlign w:val="center"/>
          </w:tcPr>
          <w:p w14:paraId="721B1561">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z w:val="21"/>
                <w:szCs w:val="21"/>
                <w:highlight w:val="none"/>
              </w:rPr>
            </w:pPr>
            <w:r>
              <w:rPr>
                <w:rFonts w:hint="eastAsia" w:ascii="宋体" w:hAnsi="宋体" w:eastAsia="宋体" w:cs="宋体"/>
                <w:b w:val="0"/>
                <w:bCs w:val="0"/>
                <w:color w:val="000000"/>
                <w:kern w:val="0"/>
                <w:sz w:val="21"/>
                <w:szCs w:val="21"/>
                <w:highlight w:val="none"/>
                <w:lang w:val="en-US" w:eastAsia="zh-CN" w:bidi="ar"/>
              </w:rPr>
              <w:t>南岳区污水处理厂入河排污口</w:t>
            </w:r>
          </w:p>
        </w:tc>
      </w:tr>
      <w:tr w14:paraId="1D7DB3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2118" w:type="dxa"/>
            <w:tcBorders>
              <w:tl2br w:val="nil"/>
              <w:tr2bl w:val="nil"/>
            </w:tcBorders>
            <w:noWrap w:val="0"/>
            <w:vAlign w:val="center"/>
          </w:tcPr>
          <w:p w14:paraId="78A8D460">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color w:val="000000" w:themeColor="text1"/>
                <w:sz w:val="21"/>
                <w:szCs w:val="21"/>
                <w:highlight w:val="none"/>
                <w:u w:val="none"/>
                <w14:textFill>
                  <w14:solidFill>
                    <w14:schemeClr w14:val="tx1"/>
                  </w14:solidFill>
                </w14:textFill>
              </w:rPr>
            </w:pPr>
            <w:r>
              <w:rPr>
                <w:rFonts w:hint="eastAsia" w:ascii="宋体" w:hAnsi="宋体" w:eastAsia="宋体" w:cs="宋体"/>
                <w:b w:val="0"/>
                <w:bCs w:val="0"/>
                <w:color w:val="000000" w:themeColor="text1"/>
                <w:spacing w:val="-1"/>
                <w:sz w:val="21"/>
                <w:szCs w:val="21"/>
                <w:highlight w:val="none"/>
                <w:u w:val="none"/>
                <w14:textFill>
                  <w14:solidFill>
                    <w14:schemeClr w14:val="tx1"/>
                  </w14:solidFill>
                </w14:textFill>
              </w:rPr>
              <w:t>入河排污口分类</w:t>
            </w:r>
          </w:p>
        </w:tc>
        <w:tc>
          <w:tcPr>
            <w:tcW w:w="2118" w:type="dxa"/>
            <w:tcBorders>
              <w:tl2br w:val="nil"/>
              <w:tr2bl w:val="nil"/>
            </w:tcBorders>
            <w:noWrap w:val="0"/>
            <w:vAlign w:val="center"/>
          </w:tcPr>
          <w:p w14:paraId="5426BE4D">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z w:val="21"/>
                <w:szCs w:val="21"/>
                <w:highlight w:val="none"/>
                <w:u w:val="none"/>
                <w14:textFill>
                  <w14:solidFill>
                    <w14:schemeClr w14:val="tx1"/>
                  </w14:solidFill>
                </w14:textFill>
              </w:rPr>
              <w:t>城镇污水处理厂排污口</w:t>
            </w:r>
          </w:p>
        </w:tc>
        <w:tc>
          <w:tcPr>
            <w:tcW w:w="2108" w:type="dxa"/>
            <w:tcBorders>
              <w:tl2br w:val="nil"/>
              <w:tr2bl w:val="nil"/>
            </w:tcBorders>
            <w:noWrap w:val="0"/>
            <w:vAlign w:val="center"/>
          </w:tcPr>
          <w:p w14:paraId="1048C929">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color w:val="000000" w:themeColor="text1"/>
                <w:sz w:val="21"/>
                <w:szCs w:val="21"/>
                <w:highlight w:val="none"/>
                <w:u w:val="none"/>
                <w14:textFill>
                  <w14:solidFill>
                    <w14:schemeClr w14:val="tx1"/>
                  </w14:solidFill>
                </w14:textFill>
              </w:rPr>
            </w:pPr>
            <w:r>
              <w:rPr>
                <w:rFonts w:ascii="宋体" w:hAnsi="宋体" w:eastAsia="宋体" w:cs="宋体"/>
                <w:b w:val="0"/>
                <w:bCs w:val="0"/>
                <w:color w:val="000000" w:themeColor="text1"/>
                <w:spacing w:val="-1"/>
                <w:sz w:val="21"/>
                <w:szCs w:val="21"/>
                <w:highlight w:val="none"/>
                <w:u w:val="none"/>
                <w14:textFill>
                  <w14:solidFill>
                    <w14:schemeClr w14:val="tx1"/>
                  </w14:solidFill>
                </w14:textFill>
              </w:rPr>
              <w:t>入河排污口类型</w:t>
            </w:r>
          </w:p>
        </w:tc>
        <w:tc>
          <w:tcPr>
            <w:tcW w:w="2125" w:type="dxa"/>
            <w:tcBorders>
              <w:tl2br w:val="nil"/>
              <w:tr2bl w:val="nil"/>
            </w:tcBorders>
            <w:noWrap w:val="0"/>
            <w:vAlign w:val="center"/>
          </w:tcPr>
          <w:p w14:paraId="7F113044">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color w:val="000000" w:themeColor="text1"/>
                <w:sz w:val="21"/>
                <w:szCs w:val="21"/>
                <w:highlight w:val="none"/>
                <w:u w:val="none"/>
                <w:lang w:eastAsia="zh-CN"/>
                <w14:textFill>
                  <w14:solidFill>
                    <w14:schemeClr w14:val="tx1"/>
                  </w14:solidFill>
                </w14:textFill>
              </w:rPr>
            </w:pPr>
            <w:r>
              <w:rPr>
                <w:rFonts w:ascii="宋体" w:hAnsi="宋体" w:eastAsia="宋体" w:cs="宋体"/>
                <w:b w:val="0"/>
                <w:bCs w:val="0"/>
                <w:color w:val="000000" w:themeColor="text1"/>
                <w:spacing w:val="-2"/>
                <w:sz w:val="21"/>
                <w:szCs w:val="21"/>
                <w:highlight w:val="none"/>
                <w:u w:val="none"/>
                <w14:textFill>
                  <w14:solidFill>
                    <w14:schemeClr w14:val="tx1"/>
                  </w14:solidFill>
                </w14:textFill>
              </w:rPr>
              <w:t>新建</w:t>
            </w:r>
          </w:p>
        </w:tc>
      </w:tr>
      <w:tr w14:paraId="04B476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2118" w:type="dxa"/>
            <w:tcBorders>
              <w:tl2br w:val="nil"/>
              <w:tr2bl w:val="nil"/>
            </w:tcBorders>
            <w:noWrap w:val="0"/>
            <w:vAlign w:val="center"/>
          </w:tcPr>
          <w:p w14:paraId="104E9266">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pacing w:val="-1"/>
                <w:sz w:val="21"/>
                <w:szCs w:val="21"/>
                <w:highlight w:val="none"/>
              </w:rPr>
              <w:t>入河排污口位置</w:t>
            </w:r>
            <w:r>
              <w:rPr>
                <w:rFonts w:hint="eastAsia" w:ascii="宋体" w:hAnsi="宋体" w:cs="宋体"/>
                <w:b w:val="0"/>
                <w:bCs w:val="0"/>
                <w:spacing w:val="-1"/>
                <w:sz w:val="21"/>
                <w:szCs w:val="21"/>
                <w:highlight w:val="none"/>
                <w:lang w:val="en-US" w:eastAsia="zh-CN"/>
              </w:rPr>
              <w:t>及坐标</w:t>
            </w:r>
          </w:p>
        </w:tc>
        <w:tc>
          <w:tcPr>
            <w:tcW w:w="6351" w:type="dxa"/>
            <w:gridSpan w:val="3"/>
            <w:tcBorders>
              <w:tl2br w:val="nil"/>
              <w:tr2bl w:val="nil"/>
            </w:tcBorders>
            <w:noWrap w:val="0"/>
            <w:vAlign w:val="center"/>
          </w:tcPr>
          <w:p w14:paraId="7CF181AC">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pacing w:val="-2"/>
                <w:sz w:val="21"/>
                <w:szCs w:val="21"/>
                <w:highlight w:val="none"/>
                <w:lang w:val="en-US" w:eastAsia="zh-CN"/>
              </w:rPr>
            </w:pPr>
            <w:r>
              <w:rPr>
                <w:rFonts w:hint="default" w:ascii="宋体" w:hAnsi="宋体" w:eastAsia="宋体" w:cs="宋体"/>
                <w:b w:val="0"/>
                <w:bCs w:val="0"/>
                <w:spacing w:val="-2"/>
                <w:sz w:val="21"/>
                <w:szCs w:val="21"/>
                <w:highlight w:val="none"/>
                <w:lang w:val="en-US" w:eastAsia="zh-CN"/>
              </w:rPr>
              <w:t>南岳区</w:t>
            </w:r>
            <w:r>
              <w:rPr>
                <w:rFonts w:hint="eastAsia" w:ascii="宋体" w:hAnsi="宋体" w:eastAsia="宋体" w:cs="宋体"/>
                <w:b w:val="0"/>
                <w:bCs w:val="0"/>
                <w:spacing w:val="-2"/>
                <w:sz w:val="21"/>
                <w:szCs w:val="21"/>
                <w:highlight w:val="none"/>
                <w:lang w:val="en-US" w:eastAsia="zh-CN"/>
              </w:rPr>
              <w:t>南岳镇</w:t>
            </w:r>
            <w:r>
              <w:rPr>
                <w:rFonts w:hint="default" w:ascii="宋体" w:hAnsi="宋体" w:eastAsia="宋体" w:cs="宋体"/>
                <w:b w:val="0"/>
                <w:bCs w:val="0"/>
                <w:spacing w:val="-2"/>
                <w:sz w:val="21"/>
                <w:szCs w:val="21"/>
                <w:highlight w:val="none"/>
                <w:lang w:val="en-US" w:eastAsia="zh-CN"/>
              </w:rPr>
              <w:t>红星村老屋组</w:t>
            </w:r>
            <w:r>
              <w:rPr>
                <w:rFonts w:hint="eastAsia" w:ascii="宋体" w:hAnsi="宋体" w:eastAsia="宋体" w:cs="宋体"/>
                <w:b w:val="0"/>
                <w:bCs w:val="0"/>
                <w:spacing w:val="-2"/>
                <w:sz w:val="21"/>
                <w:szCs w:val="21"/>
                <w:highlight w:val="none"/>
                <w:lang w:val="en-US" w:eastAsia="zh-CN"/>
              </w:rPr>
              <w:t>（南岳区龙荫港左岸）</w:t>
            </w:r>
          </w:p>
          <w:p w14:paraId="72D34420">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z w:val="21"/>
                <w:szCs w:val="21"/>
                <w:highlight w:val="none"/>
              </w:rPr>
            </w:pPr>
            <w:r>
              <w:rPr>
                <w:rFonts w:hint="eastAsia" w:cs="Times New Roman"/>
                <w:b w:val="0"/>
                <w:bCs w:val="0"/>
                <w:color w:val="000000"/>
                <w:sz w:val="21"/>
                <w:szCs w:val="21"/>
                <w:highlight w:val="none"/>
                <w:lang w:val="en-US" w:eastAsia="zh-CN"/>
              </w:rPr>
              <w:t>坐标为：</w:t>
            </w:r>
            <w:r>
              <w:rPr>
                <w:rFonts w:hint="default" w:ascii="Times New Roman" w:hAnsi="Times New Roman" w:eastAsia="宋体" w:cs="Times New Roman"/>
                <w:b w:val="0"/>
                <w:bCs w:val="0"/>
                <w:color w:val="000000"/>
                <w:sz w:val="21"/>
                <w:szCs w:val="21"/>
                <w:highlight w:val="none"/>
                <w:lang w:val="en-US" w:eastAsia="zh-CN"/>
              </w:rPr>
              <w:t>112°45′8.53308″</w:t>
            </w:r>
            <w:r>
              <w:rPr>
                <w:rFonts w:hint="default" w:ascii="Times New Roman" w:hAnsi="Times New Roman" w:eastAsia="宋体" w:cs="Times New Roman"/>
                <w:b w:val="0"/>
                <w:bCs w:val="0"/>
                <w:spacing w:val="-2"/>
                <w:sz w:val="21"/>
                <w:szCs w:val="21"/>
                <w:highlight w:val="none"/>
              </w:rPr>
              <w:t>E，</w:t>
            </w:r>
            <w:r>
              <w:rPr>
                <w:rFonts w:hint="default" w:ascii="Times New Roman" w:hAnsi="Times New Roman" w:eastAsia="宋体" w:cs="Times New Roman"/>
                <w:b w:val="0"/>
                <w:bCs w:val="0"/>
                <w:color w:val="000000"/>
                <w:sz w:val="21"/>
                <w:szCs w:val="21"/>
                <w:highlight w:val="none"/>
                <w:lang w:val="en-US" w:eastAsia="zh-CN"/>
              </w:rPr>
              <w:t>27°13′12.36000″</w:t>
            </w:r>
            <w:r>
              <w:rPr>
                <w:rFonts w:hint="default" w:ascii="Times New Roman" w:hAnsi="Times New Roman" w:eastAsia="宋体" w:cs="Times New Roman"/>
                <w:b w:val="0"/>
                <w:bCs w:val="0"/>
                <w:spacing w:val="-2"/>
                <w:sz w:val="21"/>
                <w:szCs w:val="21"/>
                <w:highlight w:val="none"/>
              </w:rPr>
              <w:t>N</w:t>
            </w:r>
          </w:p>
        </w:tc>
      </w:tr>
      <w:tr w14:paraId="1052F5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2118" w:type="dxa"/>
            <w:tcBorders>
              <w:tl2br w:val="nil"/>
              <w:tr2bl w:val="nil"/>
            </w:tcBorders>
            <w:noWrap w:val="0"/>
            <w:vAlign w:val="center"/>
          </w:tcPr>
          <w:p w14:paraId="46C6A259">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2"/>
                <w:sz w:val="21"/>
                <w:szCs w:val="21"/>
                <w:highlight w:val="none"/>
              </w:rPr>
              <w:t>排放方式</w:t>
            </w:r>
          </w:p>
        </w:tc>
        <w:tc>
          <w:tcPr>
            <w:tcW w:w="2118" w:type="dxa"/>
            <w:tcBorders>
              <w:tl2br w:val="nil"/>
              <w:tr2bl w:val="nil"/>
            </w:tcBorders>
            <w:noWrap w:val="0"/>
            <w:vAlign w:val="center"/>
          </w:tcPr>
          <w:p w14:paraId="047899E7">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z w:val="21"/>
                <w:szCs w:val="21"/>
                <w:highlight w:val="none"/>
              </w:rPr>
            </w:pPr>
            <w:r>
              <w:rPr>
                <w:rFonts w:ascii="宋体" w:hAnsi="宋体" w:eastAsia="宋体" w:cs="宋体"/>
                <w:b w:val="0"/>
                <w:bCs w:val="0"/>
                <w:spacing w:val="-2"/>
                <w:sz w:val="21"/>
                <w:szCs w:val="21"/>
                <w:highlight w:val="none"/>
              </w:rPr>
              <w:t>连续</w:t>
            </w:r>
          </w:p>
        </w:tc>
        <w:tc>
          <w:tcPr>
            <w:tcW w:w="2108" w:type="dxa"/>
            <w:tcBorders>
              <w:tl2br w:val="nil"/>
              <w:tr2bl w:val="nil"/>
            </w:tcBorders>
            <w:noWrap w:val="0"/>
            <w:vAlign w:val="center"/>
          </w:tcPr>
          <w:p w14:paraId="5E833EE8">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z w:val="21"/>
                <w:szCs w:val="21"/>
                <w:highlight w:val="none"/>
              </w:rPr>
            </w:pPr>
            <w:r>
              <w:rPr>
                <w:rFonts w:ascii="宋体" w:hAnsi="宋体" w:eastAsia="宋体" w:cs="宋体"/>
                <w:b w:val="0"/>
                <w:bCs w:val="0"/>
                <w:spacing w:val="-1"/>
                <w:sz w:val="21"/>
                <w:szCs w:val="21"/>
                <w:highlight w:val="none"/>
              </w:rPr>
              <w:t>入河方式</w:t>
            </w:r>
          </w:p>
        </w:tc>
        <w:tc>
          <w:tcPr>
            <w:tcW w:w="2125" w:type="dxa"/>
            <w:tcBorders>
              <w:tl2br w:val="nil"/>
              <w:tr2bl w:val="nil"/>
            </w:tcBorders>
            <w:noWrap w:val="0"/>
            <w:vAlign w:val="center"/>
          </w:tcPr>
          <w:p w14:paraId="3B274FA2">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lang w:val="en-US" w:eastAsia="zh-CN"/>
              </w:rPr>
            </w:pPr>
            <w:r>
              <w:rPr>
                <w:rFonts w:hint="eastAsia" w:cs="宋体"/>
                <w:b w:val="0"/>
                <w:bCs w:val="0"/>
                <w:spacing w:val="-3"/>
                <w:sz w:val="21"/>
                <w:szCs w:val="21"/>
                <w:highlight w:val="none"/>
                <w:lang w:val="en-US" w:eastAsia="zh-CN"/>
              </w:rPr>
              <w:t>专用排污管道（暗管）</w:t>
            </w:r>
          </w:p>
        </w:tc>
      </w:tr>
      <w:tr w14:paraId="7A4A54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2118" w:type="dxa"/>
            <w:tcBorders>
              <w:tl2br w:val="nil"/>
              <w:tr2bl w:val="nil"/>
            </w:tcBorders>
            <w:noWrap w:val="0"/>
            <w:vAlign w:val="center"/>
          </w:tcPr>
          <w:p w14:paraId="320545F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val="0"/>
                <w:spacing w:val="-2"/>
                <w:sz w:val="21"/>
                <w:szCs w:val="21"/>
                <w:highlight w:val="none"/>
              </w:rPr>
            </w:pPr>
            <w:r>
              <w:rPr>
                <w:rFonts w:hint="eastAsia" w:ascii="宋体" w:hAnsi="宋体" w:eastAsia="宋体" w:cs="宋体"/>
                <w:b w:val="0"/>
                <w:bCs w:val="0"/>
                <w:sz w:val="21"/>
                <w:szCs w:val="21"/>
                <w:highlight w:val="none"/>
                <w:lang w:val="en-US" w:eastAsia="zh-CN"/>
              </w:rPr>
              <w:t>排放水功能区名称</w:t>
            </w:r>
          </w:p>
        </w:tc>
        <w:tc>
          <w:tcPr>
            <w:tcW w:w="6351" w:type="dxa"/>
            <w:gridSpan w:val="3"/>
            <w:tcBorders>
              <w:tl2br w:val="nil"/>
              <w:tr2bl w:val="nil"/>
            </w:tcBorders>
            <w:noWrap w:val="0"/>
            <w:vAlign w:val="center"/>
          </w:tcPr>
          <w:p w14:paraId="4622CC4F">
            <w:pPr>
              <w:keepNext w:val="0"/>
              <w:keepLines w:val="0"/>
              <w:pageBreakBefore w:val="0"/>
              <w:widowControl w:val="0"/>
              <w:kinsoku/>
              <w:wordWrap/>
              <w:overflowPunct/>
              <w:topLinePunct w:val="0"/>
              <w:autoSpaceDE w:val="0"/>
              <w:autoSpaceDN w:val="0"/>
              <w:bidi w:val="0"/>
              <w:spacing w:line="240" w:lineRule="auto"/>
              <w:ind w:left="0" w:leftChars="0" w:right="0" w:rightChars="0" w:firstLine="0" w:firstLineChars="0"/>
              <w:jc w:val="center"/>
              <w:textAlignment w:val="auto"/>
              <w:rPr>
                <w:rFonts w:hint="eastAsia" w:ascii="Times New Roman" w:hAnsi="Times New Roman" w:cs="Times New Roman"/>
                <w:b w:val="0"/>
                <w:bCs w:val="0"/>
                <w:spacing w:val="-2"/>
                <w:sz w:val="21"/>
                <w:szCs w:val="21"/>
                <w:highlight w:val="none"/>
                <w:lang w:val="en-US" w:eastAsia="zh-CN"/>
              </w:rPr>
            </w:pPr>
            <w:r>
              <w:rPr>
                <w:rFonts w:hint="eastAsia" w:ascii="宋体" w:hAnsi="宋体" w:eastAsia="宋体" w:cs="宋体"/>
                <w:b w:val="0"/>
                <w:bCs w:val="0"/>
                <w:sz w:val="21"/>
                <w:szCs w:val="21"/>
                <w:highlight w:val="none"/>
                <w:lang w:val="en-US" w:eastAsia="zh-CN"/>
              </w:rPr>
              <w:t>龙荫港暂未划定水功能区</w:t>
            </w:r>
          </w:p>
        </w:tc>
      </w:tr>
      <w:tr w14:paraId="4238B4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08" w:hRule="atLeast"/>
        </w:trPr>
        <w:tc>
          <w:tcPr>
            <w:tcW w:w="2118" w:type="dxa"/>
            <w:tcBorders>
              <w:tl2br w:val="nil"/>
              <w:tr2bl w:val="nil"/>
            </w:tcBorders>
            <w:noWrap w:val="0"/>
            <w:vAlign w:val="center"/>
          </w:tcPr>
          <w:p w14:paraId="5AB0F9A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排入水体基本情况</w:t>
            </w:r>
          </w:p>
        </w:tc>
        <w:tc>
          <w:tcPr>
            <w:tcW w:w="6351" w:type="dxa"/>
            <w:gridSpan w:val="3"/>
            <w:tcBorders>
              <w:tl2br w:val="nil"/>
              <w:tr2bl w:val="nil"/>
            </w:tcBorders>
            <w:noWrap w:val="0"/>
            <w:vAlign w:val="center"/>
          </w:tcPr>
          <w:p w14:paraId="5A24AA86">
            <w:pPr>
              <w:keepNext w:val="0"/>
              <w:keepLines w:val="0"/>
              <w:pageBreakBefore w:val="0"/>
              <w:widowControl w:val="0"/>
              <w:kinsoku/>
              <w:wordWrap/>
              <w:overflowPunct/>
              <w:topLinePunct w:val="0"/>
              <w:autoSpaceDE w:val="0"/>
              <w:autoSpaceDN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龙荫港</w:t>
            </w:r>
            <w:r>
              <w:rPr>
                <w:rFonts w:hint="default" w:ascii="Times New Roman" w:hAnsi="Times New Roman" w:eastAsia="宋体" w:cs="Times New Roman"/>
                <w:color w:val="000000"/>
                <w:kern w:val="0"/>
                <w:sz w:val="21"/>
                <w:szCs w:val="21"/>
                <w:highlight w:val="none"/>
                <w:lang w:val="en-US" w:eastAsia="zh-CN" w:bidi="ar"/>
              </w:rPr>
              <w:t>全长28.5km，上游属山溪型，V型谷发育，下游水流平缓，两岸平原分布，上游河面平均宽度为14m，下游河面宽度为20～30m。</w:t>
            </w:r>
            <w:r>
              <w:rPr>
                <w:rFonts w:hint="eastAsia" w:ascii="Times New Roman" w:hAnsi="Times New Roman" w:eastAsia="宋体" w:cs="Times New Roman"/>
                <w:b w:val="0"/>
                <w:bCs w:val="0"/>
                <w:color w:val="000000"/>
                <w:sz w:val="21"/>
                <w:szCs w:val="21"/>
                <w:highlight w:val="none"/>
                <w:lang w:val="en-US" w:eastAsia="zh-CN" w:bidi="ar-SA"/>
              </w:rPr>
              <w:t>枯水期平均流速u为0.14m/s、平均水深h为0.2m、平均河宽14m、平均流量为1.03m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/s；丰水期平均流速u为0.54m/s、平均水深h为1.5m、平均流量为10.1m</w:t>
            </w:r>
            <w:r>
              <w:rPr>
                <w:rFonts w:hint="eastAsia" w:ascii="Times New Roman" w:hAnsi="Times New Roman" w:eastAsia="宋体" w:cs="Times New Roman"/>
                <w:b w:val="0"/>
                <w:bCs w:val="0"/>
                <w:color w:val="000000"/>
                <w:sz w:val="21"/>
                <w:szCs w:val="21"/>
                <w:highlight w:val="none"/>
                <w:vertAlign w:val="superscript"/>
                <w:lang w:val="en-US" w:eastAsia="zh-CN" w:bidi="ar-SA"/>
              </w:rPr>
              <w:t>3</w:t>
            </w:r>
            <w:r>
              <w:rPr>
                <w:rFonts w:hint="eastAsia" w:ascii="Times New Roman" w:hAnsi="Times New Roman" w:eastAsia="宋体" w:cs="Times New Roman"/>
                <w:b w:val="0"/>
                <w:bCs w:val="0"/>
                <w:color w:val="000000"/>
                <w:sz w:val="21"/>
                <w:szCs w:val="21"/>
                <w:highlight w:val="none"/>
                <w:lang w:val="en-US" w:eastAsia="zh-CN" w:bidi="ar-SA"/>
              </w:rPr>
              <w:t>/s。</w:t>
            </w:r>
          </w:p>
        </w:tc>
      </w:tr>
      <w:tr w14:paraId="23F6BF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2118" w:type="dxa"/>
            <w:tcBorders>
              <w:tl2br w:val="nil"/>
              <w:tr2bl w:val="nil"/>
            </w:tcBorders>
            <w:noWrap w:val="0"/>
            <w:vAlign w:val="center"/>
          </w:tcPr>
          <w:p w14:paraId="57AB57C8">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2"/>
                <w:sz w:val="21"/>
                <w:szCs w:val="21"/>
                <w:highlight w:val="none"/>
              </w:rPr>
              <w:t>水质保护目标</w:t>
            </w:r>
          </w:p>
        </w:tc>
        <w:tc>
          <w:tcPr>
            <w:tcW w:w="6351" w:type="dxa"/>
            <w:gridSpan w:val="3"/>
            <w:tcBorders>
              <w:tl2br w:val="nil"/>
              <w:tr2bl w:val="nil"/>
            </w:tcBorders>
            <w:noWrap w:val="0"/>
            <w:vAlign w:val="center"/>
          </w:tcPr>
          <w:p w14:paraId="0BFE808D">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default" w:ascii="宋体" w:hAnsi="宋体" w:eastAsia="宋体" w:cs="宋体"/>
                <w:b w:val="0"/>
                <w:bCs w:val="0"/>
                <w:sz w:val="21"/>
                <w:szCs w:val="21"/>
                <w:highlight w:val="none"/>
                <w:lang w:val="en-US" w:eastAsia="zh-CN"/>
              </w:rPr>
            </w:pPr>
            <w:r>
              <w:rPr>
                <w:rFonts w:hint="eastAsia" w:cs="Times New Roman"/>
                <w:b w:val="0"/>
                <w:bCs w:val="0"/>
                <w:spacing w:val="-2"/>
                <w:sz w:val="21"/>
                <w:szCs w:val="21"/>
                <w:highlight w:val="none"/>
                <w:lang w:val="en-US" w:eastAsia="zh-CN"/>
              </w:rPr>
              <w:t>参照执行《地表水环境质量标准》（GB3838-2002）</w:t>
            </w:r>
            <w:r>
              <w:rPr>
                <w:rFonts w:hint="eastAsia" w:ascii="Times New Roman" w:hAnsi="Times New Roman" w:cs="Times New Roman"/>
                <w:b w:val="0"/>
                <w:bCs w:val="0"/>
                <w:spacing w:val="-2"/>
                <w:sz w:val="21"/>
                <w:szCs w:val="21"/>
                <w:highlight w:val="none"/>
                <w:lang w:val="en-US" w:eastAsia="zh-CN"/>
              </w:rPr>
              <w:t>III</w:t>
            </w:r>
            <w:r>
              <w:rPr>
                <w:rFonts w:ascii="宋体" w:hAnsi="宋体" w:eastAsia="宋体" w:cs="宋体"/>
                <w:b w:val="0"/>
                <w:bCs w:val="0"/>
                <w:spacing w:val="-2"/>
                <w:sz w:val="21"/>
                <w:szCs w:val="21"/>
                <w:highlight w:val="none"/>
              </w:rPr>
              <w:t>类</w:t>
            </w:r>
            <w:r>
              <w:rPr>
                <w:rFonts w:hint="eastAsia" w:ascii="宋体" w:hAnsi="宋体" w:eastAsia="宋体" w:cs="宋体"/>
                <w:b w:val="0"/>
                <w:bCs w:val="0"/>
                <w:spacing w:val="-2"/>
                <w:sz w:val="21"/>
                <w:szCs w:val="21"/>
                <w:highlight w:val="none"/>
                <w:lang w:val="en-US" w:eastAsia="zh-CN"/>
              </w:rPr>
              <w:t>水质标准</w:t>
            </w:r>
          </w:p>
        </w:tc>
      </w:tr>
      <w:tr w14:paraId="020715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2118" w:type="dxa"/>
            <w:tcBorders>
              <w:tl2br w:val="nil"/>
              <w:tr2bl w:val="nil"/>
            </w:tcBorders>
            <w:noWrap w:val="0"/>
            <w:vAlign w:val="center"/>
          </w:tcPr>
          <w:p w14:paraId="4B899A53">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pacing w:val="-2"/>
                <w:sz w:val="21"/>
                <w:szCs w:val="21"/>
                <w:highlight w:val="none"/>
              </w:rPr>
              <w:t>设计排污能力</w:t>
            </w:r>
          </w:p>
        </w:tc>
        <w:tc>
          <w:tcPr>
            <w:tcW w:w="2118" w:type="dxa"/>
            <w:tcBorders>
              <w:tl2br w:val="nil"/>
              <w:tr2bl w:val="nil"/>
            </w:tcBorders>
            <w:noWrap w:val="0"/>
            <w:vAlign w:val="center"/>
          </w:tcPr>
          <w:p w14:paraId="23DF61AE">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default" w:ascii="Times New Roman" w:hAnsi="Times New Roman" w:eastAsia="Times New Roman" w:cs="Times New Roman"/>
                <w:b w:val="0"/>
                <w:bCs w:val="0"/>
                <w:sz w:val="21"/>
                <w:szCs w:val="21"/>
                <w:highlight w:val="none"/>
              </w:rPr>
            </w:pPr>
            <w:r>
              <w:rPr>
                <w:rFonts w:hint="default" w:ascii="Times New Roman" w:hAnsi="Times New Roman" w:eastAsia="宋体" w:cs="Times New Roman"/>
                <w:b w:val="0"/>
                <w:bCs w:val="0"/>
                <w:spacing w:val="-3"/>
                <w:sz w:val="21"/>
                <w:szCs w:val="21"/>
                <w:highlight w:val="none"/>
                <w:lang w:val="en-US" w:eastAsia="zh-CN"/>
              </w:rPr>
              <w:t>30000</w:t>
            </w:r>
            <w:r>
              <w:rPr>
                <w:rFonts w:hint="default" w:ascii="Times New Roman" w:hAnsi="Times New Roman" w:eastAsia="Times New Roman" w:cs="Times New Roman"/>
                <w:b w:val="0"/>
                <w:bCs w:val="0"/>
                <w:spacing w:val="-3"/>
                <w:sz w:val="21"/>
                <w:szCs w:val="21"/>
                <w:highlight w:val="none"/>
              </w:rPr>
              <w:t>m</w:t>
            </w:r>
            <w:r>
              <w:rPr>
                <w:rFonts w:hint="default" w:ascii="Times New Roman" w:hAnsi="Times New Roman" w:eastAsia="宋体" w:cs="Times New Roman"/>
                <w:b w:val="0"/>
                <w:bCs w:val="0"/>
                <w:spacing w:val="-3"/>
                <w:sz w:val="21"/>
                <w:szCs w:val="21"/>
                <w:highlight w:val="none"/>
                <w:vertAlign w:val="superscript"/>
                <w:lang w:val="en-US" w:eastAsia="zh-CN"/>
              </w:rPr>
              <w:t>3</w:t>
            </w:r>
            <w:r>
              <w:rPr>
                <w:rFonts w:hint="default" w:ascii="Times New Roman" w:hAnsi="Times New Roman" w:eastAsia="Times New Roman" w:cs="Times New Roman"/>
                <w:b w:val="0"/>
                <w:bCs w:val="0"/>
                <w:spacing w:val="-3"/>
                <w:sz w:val="21"/>
                <w:szCs w:val="21"/>
                <w:highlight w:val="none"/>
              </w:rPr>
              <w:t>/d</w:t>
            </w:r>
          </w:p>
        </w:tc>
        <w:tc>
          <w:tcPr>
            <w:tcW w:w="2108" w:type="dxa"/>
            <w:tcBorders>
              <w:tl2br w:val="nil"/>
              <w:tr2bl w:val="nil"/>
            </w:tcBorders>
            <w:noWrap w:val="0"/>
            <w:vAlign w:val="center"/>
          </w:tcPr>
          <w:p w14:paraId="03B6C1A5">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pacing w:val="-1"/>
                <w:sz w:val="21"/>
                <w:szCs w:val="21"/>
                <w:highlight w:val="none"/>
              </w:rPr>
              <w:t>年排放废污水总量</w:t>
            </w:r>
          </w:p>
        </w:tc>
        <w:tc>
          <w:tcPr>
            <w:tcW w:w="2125" w:type="dxa"/>
            <w:tcBorders>
              <w:tl2br w:val="nil"/>
              <w:tr2bl w:val="nil"/>
            </w:tcBorders>
            <w:noWrap w:val="0"/>
            <w:vAlign w:val="center"/>
          </w:tcPr>
          <w:p w14:paraId="1B560ABC">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pacing w:val="-1"/>
                <w:sz w:val="21"/>
                <w:szCs w:val="21"/>
                <w:highlight w:val="none"/>
                <w:lang w:val="en-US" w:eastAsia="zh-CN"/>
              </w:rPr>
              <w:t>1095</w:t>
            </w:r>
            <w:r>
              <w:rPr>
                <w:rFonts w:hint="default" w:ascii="Times New Roman" w:hAnsi="Times New Roman" w:eastAsia="宋体" w:cs="Times New Roman"/>
                <w:b w:val="0"/>
                <w:bCs w:val="0"/>
                <w:spacing w:val="-1"/>
                <w:sz w:val="21"/>
                <w:szCs w:val="21"/>
                <w:highlight w:val="none"/>
              </w:rPr>
              <w:t>万</w:t>
            </w:r>
            <w:r>
              <w:rPr>
                <w:rFonts w:hint="default" w:ascii="Times New Roman" w:hAnsi="Times New Roman" w:eastAsia="Times New Roman" w:cs="Times New Roman"/>
                <w:b w:val="0"/>
                <w:bCs w:val="0"/>
                <w:spacing w:val="-1"/>
                <w:sz w:val="21"/>
                <w:szCs w:val="21"/>
                <w:highlight w:val="none"/>
              </w:rPr>
              <w:t>m</w:t>
            </w:r>
            <w:r>
              <w:rPr>
                <w:rFonts w:hint="eastAsia" w:ascii="Times New Roman" w:hAnsi="Times New Roman" w:eastAsia="宋体" w:cs="Times New Roman"/>
                <w:b w:val="0"/>
                <w:bCs w:val="0"/>
                <w:spacing w:val="-1"/>
                <w:sz w:val="21"/>
                <w:szCs w:val="21"/>
                <w:highlight w:val="none"/>
                <w:vertAlign w:val="superscript"/>
                <w:lang w:val="en-US" w:eastAsia="zh-CN"/>
              </w:rPr>
              <w:t>3</w:t>
            </w:r>
          </w:p>
        </w:tc>
      </w:tr>
      <w:tr w14:paraId="7FB1AD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17" w:hRule="atLeast"/>
        </w:trPr>
        <w:tc>
          <w:tcPr>
            <w:tcW w:w="2118" w:type="dxa"/>
            <w:tcBorders>
              <w:tl2br w:val="nil"/>
              <w:tr2bl w:val="nil"/>
            </w:tcBorders>
            <w:noWrap w:val="0"/>
            <w:vAlign w:val="center"/>
          </w:tcPr>
          <w:p w14:paraId="3E512095">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rPr>
            </w:pPr>
            <w:r>
              <w:rPr>
                <w:rFonts w:hint="eastAsia" w:ascii="宋体" w:hAnsi="宋体" w:cs="宋体"/>
                <w:b w:val="0"/>
                <w:bCs w:val="0"/>
                <w:spacing w:val="-2"/>
                <w:sz w:val="21"/>
                <w:szCs w:val="21"/>
                <w:highlight w:val="none"/>
                <w:lang w:val="en-US" w:eastAsia="zh-CN"/>
              </w:rPr>
              <w:t>尾水排放</w:t>
            </w:r>
            <w:r>
              <w:rPr>
                <w:rFonts w:hint="eastAsia" w:ascii="宋体" w:hAnsi="宋体" w:eastAsia="宋体" w:cs="宋体"/>
                <w:b w:val="0"/>
                <w:bCs w:val="0"/>
                <w:spacing w:val="-2"/>
                <w:sz w:val="21"/>
                <w:szCs w:val="21"/>
                <w:highlight w:val="none"/>
              </w:rPr>
              <w:t>标准</w:t>
            </w:r>
          </w:p>
        </w:tc>
        <w:tc>
          <w:tcPr>
            <w:tcW w:w="6351" w:type="dxa"/>
            <w:gridSpan w:val="3"/>
            <w:tcBorders>
              <w:tl2br w:val="nil"/>
              <w:tr2bl w:val="nil"/>
            </w:tcBorders>
            <w:noWrap w:val="0"/>
            <w:vAlign w:val="center"/>
          </w:tcPr>
          <w:p w14:paraId="23852D5F">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执行《湖南省城镇污水处理厂主要污染物排放标准》</w:t>
            </w:r>
          </w:p>
          <w:p w14:paraId="4667FF33">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z w:val="21"/>
                <w:szCs w:val="21"/>
                <w:highlight w:val="none"/>
              </w:rPr>
            </w:pPr>
            <w:r>
              <w:rPr>
                <w:rFonts w:hint="default" w:ascii="Times New Roman" w:hAnsi="Times New Roman" w:cs="Times New Roman"/>
                <w:sz w:val="21"/>
                <w:szCs w:val="21"/>
                <w:highlight w:val="none"/>
              </w:rPr>
              <w:t>（DB43/T 1546-2018）一级标准。</w:t>
            </w:r>
          </w:p>
        </w:tc>
      </w:tr>
      <w:tr w14:paraId="0FD69A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2118" w:type="dxa"/>
            <w:tcBorders>
              <w:tl2br w:val="nil"/>
              <w:tr2bl w:val="nil"/>
            </w:tcBorders>
            <w:noWrap w:val="0"/>
            <w:vAlign w:val="center"/>
          </w:tcPr>
          <w:p w14:paraId="6D6BA979">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pacing w:val="-1"/>
                <w:sz w:val="21"/>
                <w:szCs w:val="21"/>
                <w:highlight w:val="none"/>
                <w:lang w:val="en-US" w:eastAsia="zh-CN"/>
              </w:rPr>
              <w:t>设计出水水质</w:t>
            </w:r>
          </w:p>
        </w:tc>
        <w:tc>
          <w:tcPr>
            <w:tcW w:w="6351" w:type="dxa"/>
            <w:gridSpan w:val="3"/>
            <w:tcBorders>
              <w:tl2br w:val="nil"/>
              <w:tr2bl w:val="nil"/>
            </w:tcBorders>
            <w:noWrap w:val="0"/>
            <w:vAlign w:val="center"/>
          </w:tcPr>
          <w:p w14:paraId="560704C9">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ascii="宋体" w:hAnsi="宋体" w:eastAsia="宋体" w:cs="宋体"/>
                <w:b w:val="0"/>
                <w:bCs w:val="0"/>
                <w:spacing w:val="-1"/>
                <w:sz w:val="21"/>
                <w:szCs w:val="21"/>
                <w:highlight w:val="none"/>
              </w:rPr>
            </w:pPr>
            <w:r>
              <w:rPr>
                <w:rFonts w:hint="default" w:ascii="Times New Roman" w:hAnsi="Times New Roman" w:cs="Times New Roman"/>
                <w:b w:val="0"/>
                <w:bCs w:val="0"/>
                <w:sz w:val="21"/>
                <w:szCs w:val="21"/>
                <w:highlight w:val="none"/>
                <w:lang w:val="en-US" w:eastAsia="zh-CN"/>
              </w:rPr>
              <w:t>CODcr</w:t>
            </w:r>
            <w:r>
              <w:rPr>
                <w:spacing w:val="0"/>
                <w:sz w:val="21"/>
                <w:szCs w:val="21"/>
                <w:highlight w:val="none"/>
              </w:rPr>
              <w:t>≤30</w:t>
            </w:r>
            <w:r>
              <w:rPr>
                <w:rFonts w:ascii="Times New Roman" w:hAnsi="Times New Roman" w:eastAsia="Times New Roman" w:cs="Times New Roman"/>
                <w:b w:val="0"/>
                <w:bCs w:val="0"/>
                <w:spacing w:val="-1"/>
                <w:sz w:val="21"/>
                <w:szCs w:val="21"/>
                <w:highlight w:val="none"/>
              </w:rPr>
              <w:t>mg/L</w:t>
            </w:r>
            <w:r>
              <w:rPr>
                <w:rFonts w:hint="eastAsia" w:eastAsia="宋体" w:cs="Times New Roman"/>
                <w:b w:val="0"/>
                <w:bCs w:val="0"/>
                <w:spacing w:val="-1"/>
                <w:sz w:val="21"/>
                <w:szCs w:val="21"/>
                <w:highlight w:val="none"/>
                <w:lang w:eastAsia="zh-CN"/>
              </w:rPr>
              <w:t>；</w:t>
            </w:r>
            <w:r>
              <w:rPr>
                <w:rFonts w:ascii="Times New Roman" w:hAnsi="Times New Roman" w:eastAsia="Times New Roman" w:cs="Times New Roman"/>
                <w:b w:val="0"/>
                <w:bCs w:val="0"/>
                <w:spacing w:val="-1"/>
                <w:sz w:val="21"/>
                <w:szCs w:val="21"/>
                <w:highlight w:val="none"/>
              </w:rPr>
              <w:t>BOD</w:t>
            </w:r>
            <w:r>
              <w:rPr>
                <w:rFonts w:ascii="Times New Roman" w:hAnsi="Times New Roman" w:eastAsia="Times New Roman" w:cs="Times New Roman"/>
                <w:b w:val="0"/>
                <w:bCs w:val="0"/>
                <w:spacing w:val="-1"/>
                <w:position w:val="-3"/>
                <w:sz w:val="21"/>
                <w:szCs w:val="21"/>
                <w:highlight w:val="none"/>
              </w:rPr>
              <w:t>5</w:t>
            </w:r>
            <w:r>
              <w:rPr>
                <w:spacing w:val="0"/>
                <w:sz w:val="21"/>
                <w:szCs w:val="21"/>
                <w:highlight w:val="none"/>
              </w:rPr>
              <w:t>≤10</w:t>
            </w:r>
            <w:r>
              <w:rPr>
                <w:rFonts w:ascii="Times New Roman" w:hAnsi="Times New Roman" w:eastAsia="Times New Roman" w:cs="Times New Roman"/>
                <w:b w:val="0"/>
                <w:bCs w:val="0"/>
                <w:spacing w:val="-1"/>
                <w:sz w:val="21"/>
                <w:szCs w:val="21"/>
                <w:highlight w:val="none"/>
              </w:rPr>
              <w:t>mg/L</w:t>
            </w:r>
            <w:r>
              <w:rPr>
                <w:rFonts w:ascii="宋体" w:hAnsi="宋体" w:eastAsia="宋体" w:cs="宋体"/>
                <w:b w:val="0"/>
                <w:bCs w:val="0"/>
                <w:spacing w:val="-1"/>
                <w:sz w:val="21"/>
                <w:szCs w:val="21"/>
                <w:highlight w:val="none"/>
              </w:rPr>
              <w:t>，</w:t>
            </w:r>
            <w:r>
              <w:rPr>
                <w:rFonts w:ascii="Times New Roman" w:hAnsi="Times New Roman" w:eastAsia="Times New Roman" w:cs="Times New Roman"/>
                <w:b w:val="0"/>
                <w:bCs w:val="0"/>
                <w:spacing w:val="-1"/>
                <w:sz w:val="21"/>
                <w:szCs w:val="21"/>
                <w:highlight w:val="none"/>
              </w:rPr>
              <w:t>SS</w:t>
            </w:r>
            <w:r>
              <w:rPr>
                <w:spacing w:val="0"/>
                <w:sz w:val="21"/>
                <w:szCs w:val="21"/>
                <w:highlight w:val="none"/>
              </w:rPr>
              <w:t>≤</w:t>
            </w:r>
            <w:r>
              <w:rPr>
                <w:rFonts w:hint="default"/>
                <w:spacing w:val="0"/>
                <w:sz w:val="21"/>
                <w:szCs w:val="21"/>
                <w:highlight w:val="none"/>
              </w:rPr>
              <w:t>10</w:t>
            </w:r>
            <w:r>
              <w:rPr>
                <w:rFonts w:ascii="Times New Roman" w:hAnsi="Times New Roman" w:eastAsia="Times New Roman" w:cs="Times New Roman"/>
                <w:b w:val="0"/>
                <w:bCs w:val="0"/>
                <w:spacing w:val="-1"/>
                <w:sz w:val="21"/>
                <w:szCs w:val="21"/>
                <w:highlight w:val="none"/>
              </w:rPr>
              <w:t>mg/L</w:t>
            </w:r>
            <w:r>
              <w:rPr>
                <w:rFonts w:ascii="宋体" w:hAnsi="宋体" w:eastAsia="宋体" w:cs="宋体"/>
                <w:b w:val="0"/>
                <w:bCs w:val="0"/>
                <w:spacing w:val="-1"/>
                <w:sz w:val="21"/>
                <w:szCs w:val="21"/>
                <w:highlight w:val="none"/>
              </w:rPr>
              <w:t>，</w:t>
            </w:r>
            <w:r>
              <w:rPr>
                <w:rFonts w:ascii="Times New Roman" w:hAnsi="Times New Roman" w:eastAsia="Times New Roman" w:cs="Times New Roman"/>
                <w:b w:val="0"/>
                <w:bCs w:val="0"/>
                <w:spacing w:val="-1"/>
                <w:sz w:val="21"/>
                <w:szCs w:val="21"/>
                <w:highlight w:val="none"/>
              </w:rPr>
              <w:t>TN</w:t>
            </w:r>
            <w:r>
              <w:rPr>
                <w:spacing w:val="0"/>
                <w:sz w:val="21"/>
                <w:szCs w:val="21"/>
                <w:highlight w:val="none"/>
              </w:rPr>
              <w:t>≤10</w:t>
            </w:r>
            <w:r>
              <w:rPr>
                <w:rFonts w:ascii="Times New Roman" w:hAnsi="Times New Roman" w:eastAsia="Times New Roman" w:cs="Times New Roman"/>
                <w:b w:val="0"/>
                <w:bCs w:val="0"/>
                <w:spacing w:val="-1"/>
                <w:sz w:val="21"/>
                <w:szCs w:val="21"/>
                <w:highlight w:val="none"/>
              </w:rPr>
              <w:t>mg/L</w:t>
            </w:r>
            <w:r>
              <w:rPr>
                <w:rFonts w:ascii="宋体" w:hAnsi="宋体" w:eastAsia="宋体" w:cs="宋体"/>
                <w:b w:val="0"/>
                <w:bCs w:val="0"/>
                <w:spacing w:val="-1"/>
                <w:sz w:val="21"/>
                <w:szCs w:val="21"/>
                <w:highlight w:val="none"/>
              </w:rPr>
              <w:t>，</w:t>
            </w:r>
          </w:p>
          <w:p w14:paraId="169765D9">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eastAsia="宋体" w:cs="Times New Roman"/>
                <w:b w:val="0"/>
                <w:bCs w:val="0"/>
                <w:spacing w:val="-1"/>
                <w:sz w:val="21"/>
                <w:szCs w:val="21"/>
                <w:highlight w:val="none"/>
                <w:lang w:eastAsia="zh-CN"/>
              </w:rPr>
            </w:pPr>
            <w:r>
              <w:rPr>
                <w:rFonts w:ascii="Times New Roman" w:hAnsi="Times New Roman" w:eastAsia="Times New Roman" w:cs="Times New Roman"/>
                <w:b w:val="0"/>
                <w:bCs w:val="0"/>
                <w:spacing w:val="-1"/>
                <w:sz w:val="21"/>
                <w:szCs w:val="21"/>
                <w:highlight w:val="none"/>
              </w:rPr>
              <w:t>NH</w:t>
            </w:r>
            <w:r>
              <w:rPr>
                <w:rFonts w:ascii="Times New Roman" w:hAnsi="Times New Roman" w:eastAsia="Times New Roman" w:cs="Times New Roman"/>
                <w:b w:val="0"/>
                <w:bCs w:val="0"/>
                <w:spacing w:val="-1"/>
                <w:position w:val="-3"/>
                <w:sz w:val="21"/>
                <w:szCs w:val="21"/>
                <w:highlight w:val="none"/>
                <w:vertAlign w:val="subscript"/>
              </w:rPr>
              <w:t>3</w:t>
            </w:r>
            <w:r>
              <w:rPr>
                <w:rFonts w:ascii="Times New Roman" w:hAnsi="Times New Roman" w:eastAsia="Times New Roman" w:cs="Times New Roman"/>
                <w:b w:val="0"/>
                <w:bCs w:val="0"/>
                <w:spacing w:val="-1"/>
                <w:sz w:val="21"/>
                <w:szCs w:val="21"/>
                <w:highlight w:val="none"/>
              </w:rPr>
              <w:t>-N</w:t>
            </w:r>
            <w:r>
              <w:rPr>
                <w:spacing w:val="0"/>
                <w:sz w:val="21"/>
                <w:szCs w:val="21"/>
                <w:highlight w:val="none"/>
              </w:rPr>
              <w:t>≤1.5（3）</w:t>
            </w:r>
            <w:r>
              <w:rPr>
                <w:rFonts w:ascii="Times New Roman" w:hAnsi="Times New Roman" w:eastAsia="Times New Roman" w:cs="Times New Roman"/>
                <w:b w:val="0"/>
                <w:bCs w:val="0"/>
                <w:spacing w:val="-1"/>
                <w:sz w:val="21"/>
                <w:szCs w:val="21"/>
                <w:highlight w:val="none"/>
              </w:rPr>
              <w:t>mg/L</w:t>
            </w:r>
            <w:r>
              <w:rPr>
                <w:rFonts w:ascii="宋体" w:hAnsi="宋体" w:eastAsia="宋体" w:cs="宋体"/>
                <w:b w:val="0"/>
                <w:bCs w:val="0"/>
                <w:spacing w:val="-1"/>
                <w:sz w:val="21"/>
                <w:szCs w:val="21"/>
                <w:highlight w:val="none"/>
              </w:rPr>
              <w:t>；</w:t>
            </w:r>
            <w:r>
              <w:rPr>
                <w:rFonts w:ascii="Times New Roman" w:hAnsi="Times New Roman" w:eastAsia="Times New Roman" w:cs="Times New Roman"/>
                <w:b w:val="0"/>
                <w:bCs w:val="0"/>
                <w:spacing w:val="-1"/>
                <w:sz w:val="21"/>
                <w:szCs w:val="21"/>
                <w:highlight w:val="none"/>
              </w:rPr>
              <w:t>TP</w:t>
            </w:r>
            <w:r>
              <w:rPr>
                <w:spacing w:val="0"/>
                <w:sz w:val="21"/>
                <w:szCs w:val="21"/>
                <w:highlight w:val="none"/>
              </w:rPr>
              <w:t>≤0.3</w:t>
            </w:r>
            <w:r>
              <w:rPr>
                <w:rFonts w:ascii="Times New Roman" w:hAnsi="Times New Roman" w:eastAsia="Times New Roman" w:cs="Times New Roman"/>
                <w:b w:val="0"/>
                <w:bCs w:val="0"/>
                <w:spacing w:val="-1"/>
                <w:sz w:val="21"/>
                <w:szCs w:val="21"/>
                <w:highlight w:val="none"/>
              </w:rPr>
              <w:t>mg/L</w:t>
            </w:r>
            <w:r>
              <w:rPr>
                <w:rFonts w:hint="eastAsia" w:eastAsia="宋体" w:cs="Times New Roman"/>
                <w:b w:val="0"/>
                <w:bCs w:val="0"/>
                <w:spacing w:val="-1"/>
                <w:sz w:val="21"/>
                <w:szCs w:val="21"/>
                <w:highlight w:val="none"/>
                <w:lang w:eastAsia="zh-CN"/>
              </w:rPr>
              <w:t>。</w:t>
            </w:r>
          </w:p>
          <w:p w14:paraId="4B18C150">
            <w:pPr>
              <w:keepNext w:val="0"/>
              <w:keepLines w:val="0"/>
              <w:pageBreakBefore w:val="0"/>
              <w:widowControl w:val="0"/>
              <w:kinsoku/>
              <w:wordWrap/>
              <w:overflowPunct/>
              <w:topLinePunct w:val="0"/>
              <w:autoSpaceDE w:val="0"/>
              <w:autoSpaceDN w:val="0"/>
              <w:bidi w:val="0"/>
              <w:spacing w:line="240" w:lineRule="auto"/>
              <w:ind w:left="0" w:right="0" w:firstLine="0"/>
              <w:jc w:val="both"/>
              <w:textAlignment w:val="auto"/>
              <w:rPr>
                <w:rFonts w:hint="eastAsia" w:ascii="Times New Roman" w:hAnsi="Times New Roman" w:eastAsia="宋体" w:cs="Times New Roman"/>
                <w:b w:val="0"/>
                <w:bCs w:val="0"/>
                <w:sz w:val="21"/>
                <w:szCs w:val="21"/>
                <w:highlight w:val="none"/>
                <w:lang w:eastAsia="zh-CN"/>
              </w:rPr>
            </w:pPr>
            <w:r>
              <w:rPr>
                <w:rFonts w:hint="eastAsia" w:ascii="宋体" w:hAnsi="宋体" w:eastAsia="宋体" w:cs="宋体"/>
                <w:color w:val="000000"/>
                <w:kern w:val="0"/>
                <w:sz w:val="21"/>
                <w:szCs w:val="21"/>
                <w:highlight w:val="none"/>
                <w:lang w:val="en-US" w:eastAsia="zh-CN" w:bidi="ar"/>
              </w:rPr>
              <w:t>注：括号外数据为水温＞</w:t>
            </w:r>
            <w:r>
              <w:rPr>
                <w:rFonts w:hint="default" w:ascii="Times New Roman" w:hAnsi="Times New Roman" w:eastAsia="宋体" w:cs="Times New Roman"/>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val="en-US" w:eastAsia="zh-CN" w:bidi="ar"/>
              </w:rPr>
              <w:t>℃时的控制指标，括号内数据为水温</w:t>
            </w:r>
            <w:r>
              <w:rPr>
                <w:rFonts w:hint="default" w:ascii="Times New Roman" w:hAnsi="Times New Roman" w:eastAsia="宋体" w:cs="Times New Roman"/>
                <w:color w:val="000000"/>
                <w:kern w:val="0"/>
                <w:sz w:val="21"/>
                <w:szCs w:val="21"/>
                <w:highlight w:val="none"/>
                <w:lang w:val="en-US" w:eastAsia="zh-CN" w:bidi="ar"/>
              </w:rPr>
              <w:t>≤12</w:t>
            </w:r>
            <w:r>
              <w:rPr>
                <w:rFonts w:hint="eastAsia" w:ascii="宋体" w:hAnsi="宋体" w:eastAsia="宋体" w:cs="宋体"/>
                <w:color w:val="000000"/>
                <w:kern w:val="0"/>
                <w:sz w:val="21"/>
                <w:szCs w:val="21"/>
                <w:highlight w:val="none"/>
                <w:lang w:val="en-US" w:eastAsia="zh-CN" w:bidi="ar"/>
              </w:rPr>
              <w:t>℃时的控制指标。</w:t>
            </w:r>
          </w:p>
        </w:tc>
      </w:tr>
      <w:tr w14:paraId="079A6F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21" w:hRule="atLeast"/>
        </w:trPr>
        <w:tc>
          <w:tcPr>
            <w:tcW w:w="2118" w:type="dxa"/>
            <w:tcBorders>
              <w:tl2br w:val="nil"/>
              <w:tr2bl w:val="nil"/>
            </w:tcBorders>
            <w:noWrap w:val="0"/>
            <w:vAlign w:val="center"/>
          </w:tcPr>
          <w:p w14:paraId="59A67CE0">
            <w:pPr>
              <w:keepNext w:val="0"/>
              <w:keepLines w:val="0"/>
              <w:pageBreakBefore w:val="0"/>
              <w:widowControl w:val="0"/>
              <w:kinsoku/>
              <w:wordWrap/>
              <w:overflowPunct/>
              <w:topLinePunct w:val="0"/>
              <w:autoSpaceDE w:val="0"/>
              <w:autoSpaceDN w:val="0"/>
              <w:bidi w:val="0"/>
              <w:spacing w:line="240" w:lineRule="auto"/>
              <w:ind w:left="0" w:right="0" w:firstLine="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1"/>
                <w:sz w:val="21"/>
                <w:szCs w:val="21"/>
                <w:highlight w:val="none"/>
              </w:rPr>
              <w:t>污染物年排放量</w:t>
            </w:r>
          </w:p>
        </w:tc>
        <w:tc>
          <w:tcPr>
            <w:tcW w:w="6351" w:type="dxa"/>
            <w:gridSpan w:val="3"/>
            <w:tcBorders>
              <w:tl2br w:val="nil"/>
              <w:tr2bl w:val="nil"/>
            </w:tcBorders>
            <w:noWrap w:val="0"/>
            <w:vAlign w:val="center"/>
          </w:tcPr>
          <w:p w14:paraId="149DC9F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spacing w:val="-1"/>
                <w:sz w:val="21"/>
                <w:szCs w:val="21"/>
                <w:highlight w:val="none"/>
                <w:lang w:eastAsia="zh-CN"/>
              </w:rPr>
            </w:pPr>
            <w:r>
              <w:rPr>
                <w:rFonts w:hint="default" w:ascii="Times New Roman" w:hAnsi="Times New Roman" w:cs="Times New Roman"/>
                <w:b w:val="0"/>
                <w:bCs w:val="0"/>
                <w:sz w:val="21"/>
                <w:szCs w:val="21"/>
                <w:highlight w:val="none"/>
                <w:lang w:val="en-US" w:eastAsia="zh-CN"/>
              </w:rPr>
              <w:t>CODcr：</w:t>
            </w:r>
            <w:r>
              <w:rPr>
                <w:rFonts w:hint="default" w:ascii="Times New Roman" w:hAnsi="Times New Roman" w:eastAsia="宋体" w:cs="Times New Roman"/>
                <w:b w:val="0"/>
                <w:bCs w:val="0"/>
                <w:color w:val="auto"/>
                <w:spacing w:val="-2"/>
                <w:sz w:val="21"/>
                <w:szCs w:val="21"/>
                <w:highlight w:val="none"/>
                <w:lang w:val="en-US" w:eastAsia="zh-CN"/>
              </w:rPr>
              <w:t>328.5</w:t>
            </w:r>
            <w:r>
              <w:rPr>
                <w:rFonts w:hint="default" w:ascii="Times New Roman" w:hAnsi="Times New Roman" w:eastAsia="Times New Roman" w:cs="Times New Roman"/>
                <w:b w:val="0"/>
                <w:bCs w:val="0"/>
                <w:color w:val="auto"/>
                <w:spacing w:val="-2"/>
                <w:sz w:val="21"/>
                <w:szCs w:val="21"/>
                <w:highlight w:val="none"/>
              </w:rPr>
              <w:t>t/a</w:t>
            </w:r>
            <w:r>
              <w:rPr>
                <w:rFonts w:hint="default" w:ascii="Times New Roman" w:hAnsi="Times New Roman" w:eastAsia="宋体" w:cs="Times New Roman"/>
                <w:b w:val="0"/>
                <w:bCs w:val="0"/>
                <w:spacing w:val="-1"/>
                <w:sz w:val="21"/>
                <w:szCs w:val="21"/>
                <w:highlight w:val="none"/>
                <w:lang w:eastAsia="zh-CN"/>
              </w:rPr>
              <w:t>；</w:t>
            </w:r>
            <w:r>
              <w:rPr>
                <w:rFonts w:hint="default" w:ascii="Times New Roman" w:hAnsi="Times New Roman" w:eastAsia="Times New Roman" w:cs="Times New Roman"/>
                <w:b w:val="0"/>
                <w:bCs w:val="0"/>
                <w:spacing w:val="-1"/>
                <w:sz w:val="21"/>
                <w:szCs w:val="21"/>
                <w:highlight w:val="none"/>
              </w:rPr>
              <w:t>BOD</w:t>
            </w:r>
            <w:r>
              <w:rPr>
                <w:rFonts w:hint="default" w:ascii="Times New Roman" w:hAnsi="Times New Roman" w:eastAsia="Times New Roman" w:cs="Times New Roman"/>
                <w:b w:val="0"/>
                <w:bCs w:val="0"/>
                <w:spacing w:val="-1"/>
                <w:position w:val="-3"/>
                <w:sz w:val="21"/>
                <w:szCs w:val="21"/>
                <w:highlight w:val="none"/>
              </w:rPr>
              <w:t>5</w:t>
            </w:r>
            <w:r>
              <w:rPr>
                <w:rFonts w:hint="default" w:ascii="Times New Roman" w:hAnsi="Times New Roman" w:eastAsia="宋体" w:cs="Times New Roman"/>
                <w:b w:val="0"/>
                <w:bCs w:val="0"/>
                <w:color w:val="auto"/>
                <w:spacing w:val="-2"/>
                <w:sz w:val="21"/>
                <w:szCs w:val="21"/>
                <w:highlight w:val="none"/>
                <w:lang w:eastAsia="zh-CN"/>
              </w:rPr>
              <w:t>：</w:t>
            </w:r>
            <w:r>
              <w:rPr>
                <w:rFonts w:hint="default" w:ascii="Times New Roman" w:hAnsi="Times New Roman" w:eastAsia="宋体" w:cs="Times New Roman"/>
                <w:b w:val="0"/>
                <w:bCs w:val="0"/>
                <w:spacing w:val="-1"/>
                <w:sz w:val="21"/>
                <w:szCs w:val="21"/>
                <w:highlight w:val="none"/>
                <w:lang w:val="en-US" w:eastAsia="zh-CN"/>
              </w:rPr>
              <w:t>109.5t/a</w:t>
            </w:r>
            <w:r>
              <w:rPr>
                <w:rFonts w:hint="default" w:ascii="Times New Roman" w:hAnsi="Times New Roman" w:eastAsia="宋体" w:cs="Times New Roman"/>
                <w:b w:val="0"/>
                <w:bCs w:val="0"/>
                <w:spacing w:val="-1"/>
                <w:sz w:val="21"/>
                <w:szCs w:val="21"/>
                <w:highlight w:val="none"/>
                <w:lang w:eastAsia="zh-CN"/>
              </w:rPr>
              <w:t>；</w:t>
            </w:r>
            <w:r>
              <w:rPr>
                <w:rFonts w:hint="default" w:ascii="Times New Roman" w:hAnsi="Times New Roman" w:eastAsia="Times New Roman" w:cs="Times New Roman"/>
                <w:b w:val="0"/>
                <w:bCs w:val="0"/>
                <w:spacing w:val="-1"/>
                <w:sz w:val="21"/>
                <w:szCs w:val="21"/>
                <w:highlight w:val="none"/>
              </w:rPr>
              <w:t>SS</w:t>
            </w:r>
            <w:r>
              <w:rPr>
                <w:rFonts w:hint="default" w:ascii="Times New Roman" w:hAnsi="Times New Roman" w:eastAsia="宋体" w:cs="Times New Roman"/>
                <w:b w:val="0"/>
                <w:bCs w:val="0"/>
                <w:spacing w:val="-1"/>
                <w:sz w:val="21"/>
                <w:szCs w:val="21"/>
                <w:highlight w:val="none"/>
                <w:lang w:eastAsia="zh-CN"/>
              </w:rPr>
              <w:t>：</w:t>
            </w:r>
            <w:r>
              <w:rPr>
                <w:rFonts w:hint="default" w:ascii="Times New Roman" w:hAnsi="Times New Roman" w:eastAsia="宋体" w:cs="Times New Roman"/>
                <w:b w:val="0"/>
                <w:bCs w:val="0"/>
                <w:spacing w:val="-1"/>
                <w:sz w:val="21"/>
                <w:szCs w:val="21"/>
                <w:highlight w:val="none"/>
                <w:lang w:val="en-US" w:eastAsia="zh-CN"/>
              </w:rPr>
              <w:t>109.5t/a</w:t>
            </w:r>
            <w:r>
              <w:rPr>
                <w:rFonts w:hint="default" w:ascii="Times New Roman" w:hAnsi="Times New Roman" w:eastAsia="宋体" w:cs="Times New Roman"/>
                <w:b w:val="0"/>
                <w:bCs w:val="0"/>
                <w:spacing w:val="-1"/>
                <w:sz w:val="21"/>
                <w:szCs w:val="21"/>
                <w:highlight w:val="none"/>
                <w:lang w:eastAsia="zh-CN"/>
              </w:rPr>
              <w:t>；</w:t>
            </w:r>
          </w:p>
          <w:p w14:paraId="6D68B4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pacing w:val="-1"/>
                <w:sz w:val="21"/>
                <w:szCs w:val="21"/>
                <w:highlight w:val="none"/>
                <w:lang w:val="en-US" w:eastAsia="zh-CN"/>
              </w:rPr>
              <w:t>TN：3.285t/a</w:t>
            </w:r>
            <w:r>
              <w:rPr>
                <w:rFonts w:hint="default" w:ascii="Times New Roman" w:hAnsi="Times New Roman" w:eastAsia="宋体" w:cs="Times New Roman"/>
                <w:b w:val="0"/>
                <w:bCs w:val="0"/>
                <w:spacing w:val="-1"/>
                <w:sz w:val="21"/>
                <w:szCs w:val="21"/>
                <w:highlight w:val="none"/>
                <w:lang w:eastAsia="zh-CN"/>
              </w:rPr>
              <w:t>；</w:t>
            </w:r>
            <w:r>
              <w:rPr>
                <w:rFonts w:hint="default" w:ascii="Times New Roman" w:hAnsi="Times New Roman" w:eastAsia="Times New Roman" w:cs="Times New Roman"/>
                <w:b w:val="0"/>
                <w:bCs w:val="0"/>
                <w:color w:val="auto"/>
                <w:spacing w:val="-2"/>
                <w:sz w:val="21"/>
                <w:szCs w:val="21"/>
                <w:highlight w:val="none"/>
              </w:rPr>
              <w:t>NH</w:t>
            </w:r>
            <w:r>
              <w:rPr>
                <w:rFonts w:hint="default" w:ascii="Times New Roman" w:hAnsi="Times New Roman" w:eastAsia="Times New Roman" w:cs="Times New Roman"/>
                <w:b w:val="0"/>
                <w:bCs w:val="0"/>
                <w:color w:val="auto"/>
                <w:spacing w:val="-2"/>
                <w:position w:val="-3"/>
                <w:sz w:val="21"/>
                <w:szCs w:val="21"/>
                <w:highlight w:val="none"/>
              </w:rPr>
              <w:t>3</w:t>
            </w:r>
            <w:r>
              <w:rPr>
                <w:rFonts w:hint="default" w:ascii="Times New Roman" w:hAnsi="Times New Roman" w:eastAsia="Times New Roman" w:cs="Times New Roman"/>
                <w:b w:val="0"/>
                <w:bCs w:val="0"/>
                <w:color w:val="auto"/>
                <w:spacing w:val="-2"/>
                <w:sz w:val="21"/>
                <w:szCs w:val="21"/>
                <w:highlight w:val="none"/>
              </w:rPr>
              <w:t>-N</w:t>
            </w:r>
            <w:r>
              <w:rPr>
                <w:rFonts w:hint="default" w:ascii="Times New Roman" w:hAnsi="Times New Roman" w:eastAsia="宋体" w:cs="Times New Roman"/>
                <w:b w:val="0"/>
                <w:bCs w:val="0"/>
                <w:color w:val="auto"/>
                <w:spacing w:val="-2"/>
                <w:sz w:val="21"/>
                <w:szCs w:val="21"/>
                <w:highlight w:val="none"/>
                <w:lang w:eastAsia="zh-CN"/>
              </w:rPr>
              <w:t>：</w:t>
            </w:r>
            <w:r>
              <w:rPr>
                <w:rFonts w:hint="default" w:ascii="Times New Roman" w:hAnsi="Times New Roman" w:eastAsia="宋体" w:cs="Times New Roman"/>
                <w:b w:val="0"/>
                <w:bCs w:val="0"/>
                <w:color w:val="auto"/>
                <w:spacing w:val="-2"/>
                <w:sz w:val="21"/>
                <w:szCs w:val="21"/>
                <w:highlight w:val="none"/>
                <w:lang w:val="en-US" w:eastAsia="zh-CN"/>
              </w:rPr>
              <w:t>16.425</w:t>
            </w:r>
            <w:r>
              <w:rPr>
                <w:rFonts w:hint="default" w:ascii="Times New Roman" w:hAnsi="Times New Roman" w:eastAsia="Times New Roman" w:cs="Times New Roman"/>
                <w:b w:val="0"/>
                <w:bCs w:val="0"/>
                <w:color w:val="auto"/>
                <w:spacing w:val="-1"/>
                <w:sz w:val="21"/>
                <w:szCs w:val="21"/>
                <w:highlight w:val="none"/>
              </w:rPr>
              <w:t>t/a</w:t>
            </w:r>
            <w:r>
              <w:rPr>
                <w:rFonts w:hint="default" w:ascii="Times New Roman" w:hAnsi="Times New Roman" w:eastAsia="宋体" w:cs="Times New Roman"/>
                <w:b w:val="0"/>
                <w:bCs w:val="0"/>
                <w:color w:val="auto"/>
                <w:spacing w:val="-1"/>
                <w:sz w:val="21"/>
                <w:szCs w:val="21"/>
                <w:highlight w:val="none"/>
              </w:rPr>
              <w:t>；</w:t>
            </w:r>
            <w:r>
              <w:rPr>
                <w:rFonts w:hint="default" w:ascii="Times New Roman" w:hAnsi="Times New Roman" w:eastAsia="宋体" w:cs="Times New Roman"/>
                <w:b w:val="0"/>
                <w:bCs w:val="0"/>
                <w:color w:val="auto"/>
                <w:spacing w:val="-1"/>
                <w:sz w:val="21"/>
                <w:szCs w:val="21"/>
                <w:highlight w:val="none"/>
                <w:lang w:val="en-US" w:eastAsia="zh-CN"/>
              </w:rPr>
              <w:t>TP：</w:t>
            </w:r>
            <w:r>
              <w:rPr>
                <w:rFonts w:hint="default" w:ascii="Times New Roman" w:hAnsi="Times New Roman" w:eastAsia="宋体" w:cs="Times New Roman"/>
                <w:b w:val="0"/>
                <w:bCs w:val="0"/>
                <w:spacing w:val="-1"/>
                <w:sz w:val="21"/>
                <w:szCs w:val="21"/>
                <w:highlight w:val="none"/>
                <w:lang w:val="en-US" w:eastAsia="zh-CN"/>
              </w:rPr>
              <w:t>109.5t/a。</w:t>
            </w:r>
          </w:p>
        </w:tc>
      </w:tr>
    </w:tbl>
    <w:p w14:paraId="13455339">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入河排污口规范化建设</w:t>
      </w:r>
    </w:p>
    <w:p w14:paraId="3486CE2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根据《入</w:t>
      </w:r>
      <w:r>
        <w:rPr>
          <w:rFonts w:hint="default" w:ascii="Times New Roman" w:hAnsi="Times New Roman" w:eastAsia="宋体" w:cs="Times New Roman"/>
          <w:bCs/>
          <w:color w:val="000000" w:themeColor="text1"/>
          <w:sz w:val="24"/>
          <w:szCs w:val="24"/>
          <w:highlight w:val="none"/>
          <w:u w:val="none"/>
          <w:lang w:eastAsia="zh-CN"/>
          <w14:textFill>
            <w14:solidFill>
              <w14:schemeClr w14:val="tx1"/>
            </w14:solidFill>
          </w14:textFill>
        </w:rPr>
        <w:t>河入海排污口监督管理技术指南</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 xml:space="preserve"> 入河排污口规划化建设</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HJ1309-2023</w:t>
      </w:r>
      <w:r>
        <w:rPr>
          <w:rFonts w:hint="default"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u w:val="none"/>
          <w14:textFill>
            <w14:solidFill>
              <w14:schemeClr w14:val="tx1"/>
            </w14:solidFill>
          </w14:textFill>
        </w:rPr>
        <w:t>，本入河排污口的规范化建设要求如下：</w:t>
      </w:r>
    </w:p>
    <w:p w14:paraId="64299F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（1）总体要求</w:t>
      </w:r>
    </w:p>
    <w:p w14:paraId="734BA4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①便于采集样品、计量监控、设施安装及维护、日常现场监督检查、公众参与监督管理</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50910D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②充分考虑安全生产要求，统筹防洪、供水、堤防安全、航运、渔业生产等方面需要，避免破坏周围环境或造成二次污染。</w:t>
      </w:r>
    </w:p>
    <w:p w14:paraId="325157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分类施策，规范建设。各类排污口建立档案；工业排污口、城镇污水处理厂排污口、农业排口以及其他排口中的港口码头排口、大中型灌区排口设置标识牌、监测采样点；采用管道形式排污且检修维护难的排污口，在口门附近设置检查井。</w:t>
      </w:r>
    </w:p>
    <w:p w14:paraId="17C9010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（2）监测采样点设置</w:t>
      </w:r>
    </w:p>
    <w:p w14:paraId="0172A67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①监测采样点设置在厂区（园区）外、污水入河前</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62BE01E4">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根据排污口入河方式和污水量大小，选择适宜的监测采样点设置形式。监测采样点设置应考虑实际采样的可行性和便利性。污水排放管道或渠道监测断面应为矩形、圆形、梯形等规则形状。测流段水流应平直、稳定、有一定水位高度。</w:t>
      </w:r>
    </w:p>
    <w:p w14:paraId="1100BBC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（3）检查井设置</w:t>
      </w:r>
    </w:p>
    <w:p w14:paraId="20AD5F8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检查井设置位置与污水入河处的最大间距根据疏通方法等情况确定，具体要求参照</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GB50014</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规定；</w:t>
      </w:r>
    </w:p>
    <w:p w14:paraId="2C400CA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②检查井满足排污口检修维护工作需求，各部分尺寸要求参照GB 50014规定</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4DC8D50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③检查井设置的安全防护要求参照GB50014规定。</w:t>
      </w:r>
    </w:p>
    <w:p w14:paraId="7E637D14">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（4）标识牌设置</w:t>
      </w:r>
    </w:p>
    <w:p w14:paraId="4EC4098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①标识牌设置在污水入河处或监测采样点等位置，便于公众监督</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6CF13D2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②标识牌公示信息包含但不限于排污口名称、编码、类型、管理单位、责任主体、监督电话等，可根据实际需求采用文字或二维码等形式展示。标识牌可选用立柱式、平面式等</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40D8166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③标识牌应具有耐候、耐腐蚀等理化性能，保证一定的使用寿命</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714916D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④标识牌公示信息发生变化的，责任主体应及时更新或更换标识牌。</w:t>
      </w:r>
    </w:p>
    <w:p w14:paraId="2310980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（5）视频监控系统及水质流量在线监测系统设置</w:t>
      </w:r>
    </w:p>
    <w:p w14:paraId="5B4DE6A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①设置视频监控系统对监测采样点和污水出流状况进行监控和摄录的，设置应满足以下要求：</w:t>
      </w:r>
    </w:p>
    <w:p w14:paraId="764CCF3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a基座宜采用混凝土材质，基座的浇筑应满足后期线缆敷设需要，基座埋设在基坑内，基坑的开挖深度满足立杆抗风、抗震等稳定性要求；</w:t>
      </w:r>
    </w:p>
    <w:p w14:paraId="487390C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b立杆高度满足前端视频监控器使用及检修需要，立杆表层应进行防腐防锈处理，底部与基座稳固连接，设置防雷及接地系统；</w:t>
      </w:r>
    </w:p>
    <w:p w14:paraId="53D7876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c高清数字摄像头水平分辨率不低于1080P，网络视频录像机硬盘满足当前站点90天的视频存储容量要求；</w:t>
      </w:r>
    </w:p>
    <w:p w14:paraId="0BC1AE6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d设备箱空间尺寸满足所有箱体内设备的安装布线要求，箱体宜采用不锈钢材质，设置百叶窗散热，并满足防水、防虫、防盗等要求；</w:t>
      </w:r>
    </w:p>
    <w:p w14:paraId="0C0862F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e路由器应支持多种数据采集和视频监控设备，满足4G及以上通信要求，支持全网通信制式；</w:t>
      </w:r>
    </w:p>
    <w:p w14:paraId="6F5BCEB4">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f优先采用双路供电，可选供电方式包括太阳能供电、风力供电、有线供电等，保证设备稳定持续运行，同时预留远程控制和设备重启功能接口，提高设备的可维护性。</w:t>
      </w:r>
    </w:p>
    <w:p w14:paraId="4F6CFF9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②按照国家有关规定开展摄影、摄像等活动，做好安全保密工作。</w:t>
      </w:r>
    </w:p>
    <w:p w14:paraId="0E52C3A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③水质和流量在线监测系统安装在监测采样点处，安装、验收、运行、数据有效性判别等要求参照HJ353、HJ354、HJ355、HJ356规定。</w:t>
      </w:r>
    </w:p>
    <w:p w14:paraId="6D72CF0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④鼓励利用现有公安、交通等视频监控系统开展排污口监控，统筹安装排污口视频监控系统与公安、交通等视频监控系统。</w:t>
      </w:r>
    </w:p>
    <w:p w14:paraId="7BE4A85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⑤鼓励规模以上工矿企业、工业及其他各类园区污水处理厂、城镇污水处理厂排污口设置视频监控系统及水质流量在线监测系统。</w:t>
      </w:r>
    </w:p>
    <w:p w14:paraId="7F4765DE">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(6)档案建设</w:t>
      </w:r>
    </w:p>
    <w:p w14:paraId="02A3CB4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①排污口档案应当真实、完整和规范。</w:t>
      </w:r>
    </w:p>
    <w:p w14:paraId="1D92636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②排污口文件材料、影像资料等的形成与积累、整理、归档及档案的管理与利用等其他要求参照HJ/T8.4规定。</w:t>
      </w:r>
    </w:p>
    <w:p w14:paraId="782C3E0F">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③下列文件、记录和数据属于归档范围：</w:t>
      </w:r>
    </w:p>
    <w:p w14:paraId="2C8F642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a）排污口基本信息资料；</w:t>
      </w:r>
    </w:p>
    <w:p w14:paraId="13A6488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b）排污口设置审批相关文件（包括申请文件或登记表、同意或不予同意设置决定书、管理部门盖章的证明文件、排污口设置论证报告等）；</w:t>
      </w:r>
    </w:p>
    <w:p w14:paraId="4CBD9F8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c）排污口监督检查资料；</w:t>
      </w:r>
    </w:p>
    <w:p w14:paraId="1DEA706A">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d）排污口监测资料；</w:t>
      </w:r>
    </w:p>
    <w:p w14:paraId="74663B66">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e）其他有关文件和资料。</w:t>
      </w:r>
    </w:p>
    <w:p w14:paraId="3C9D369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7</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其他要求</w:t>
      </w:r>
    </w:p>
    <w:p w14:paraId="344F269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①本标准发布前已经建设入河排污口污水排放监测采样点、检查井、标识牌、视频监控系统及水质流量在线监测系统，且符合本标准相关要求的，不重复建设。</w:t>
      </w:r>
    </w:p>
    <w:p w14:paraId="206F869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②入河排污口与单个已核发排污许可证的排污单位厂界排污口位置相同的，入河排污口的监管、监测、二维码等要求应符合其排污许可证相关要求。</w:t>
      </w:r>
    </w:p>
    <w:p w14:paraId="75408A50">
      <w:pPr>
        <w:pStyle w:val="6"/>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5.4.</w:t>
      </w:r>
      <w:r>
        <w:rPr>
          <w:rFonts w:hint="eastAsia" w:cs="Times New Roman"/>
          <w:highlight w:val="none"/>
          <w:lang w:val="en-US" w:eastAsia="zh-CN"/>
        </w:rPr>
        <w:t>3</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入河排污口监测</w:t>
      </w:r>
    </w:p>
    <w:p w14:paraId="04DB6742">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eastAsia="宋体" w:cs="Times New Roman"/>
          <w:b/>
          <w:bCs/>
          <w:color w:val="000000"/>
          <w:kern w:val="0"/>
          <w:sz w:val="24"/>
          <w:szCs w:val="24"/>
          <w:highlight w:val="none"/>
          <w:lang w:val="en-US" w:eastAsia="zh-CN" w:bidi="ar"/>
        </w:rPr>
        <w:t>1、概述</w:t>
      </w:r>
    </w:p>
    <w:p w14:paraId="5945F27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入河排污口监测按照《排污单位自行检测技术指南 总则》（HJ819-2017）、《排污许可证申请与核发规范 水处理（试行）》（HJ978-2018）、《入河入海排污口监督管理技术指南 监测（征求意见稿）》相关要求执行。入河排污口管理单位可根据工作需要对入河排污口进行监测，监测主要分为人工监测和自动监测，入河排污总量以及入河污染总量按日计算。</w:t>
      </w:r>
    </w:p>
    <w:p w14:paraId="6324060A">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eastAsia="宋体" w:cs="Times New Roman"/>
          <w:b/>
          <w:bCs/>
          <w:color w:val="000000"/>
          <w:kern w:val="0"/>
          <w:sz w:val="24"/>
          <w:szCs w:val="24"/>
          <w:highlight w:val="none"/>
          <w:lang w:val="en-US" w:eastAsia="zh-CN" w:bidi="ar"/>
        </w:rPr>
        <w:t>2、人工监测要求</w:t>
      </w:r>
    </w:p>
    <w:p w14:paraId="27A2C5C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（1）入河排污口人工监测应符合下列基本要求：</w:t>
      </w:r>
    </w:p>
    <w:p w14:paraId="4D30D2F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w:t>
      </w:r>
      <w:r>
        <w:rPr>
          <w:rFonts w:hint="eastAsia" w:ascii="Times New Roman" w:hAnsi="Times New Roman" w:eastAsia="宋体" w:cs="Times New Roman"/>
          <w:color w:val="000000"/>
          <w:kern w:val="0"/>
          <w:sz w:val="24"/>
          <w:szCs w:val="24"/>
          <w:highlight w:val="none"/>
          <w:lang w:val="en-US" w:eastAsia="zh-CN" w:bidi="ar"/>
        </w:rPr>
        <w:t>应对入河排污口废污水排放量和主要污染物质的排放浓度实施同步监测；</w:t>
      </w:r>
    </w:p>
    <w:p w14:paraId="477C923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w:t>
      </w:r>
      <w:r>
        <w:rPr>
          <w:rFonts w:hint="eastAsia" w:ascii="Times New Roman" w:hAnsi="Times New Roman" w:eastAsia="宋体" w:cs="Times New Roman"/>
          <w:color w:val="000000"/>
          <w:kern w:val="0"/>
          <w:sz w:val="24"/>
          <w:szCs w:val="24"/>
          <w:highlight w:val="none"/>
          <w:lang w:val="en-US" w:eastAsia="zh-CN" w:bidi="ar"/>
        </w:rPr>
        <w:t>在入河排污口进行样品测量、采样及运输时，应采取有效防护措施，防止有毒有害物质、放射性物质和热污染危及人身安全。</w:t>
      </w:r>
    </w:p>
    <w:p w14:paraId="3FDC7BF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（2）监测项目与采样方法应符合下列要求：</w:t>
      </w:r>
    </w:p>
    <w:p w14:paraId="7FDE8DF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w:t>
      </w:r>
      <w:r>
        <w:rPr>
          <w:rFonts w:hint="eastAsia" w:ascii="Times New Roman" w:hAnsi="Times New Roman" w:eastAsia="宋体" w:cs="Times New Roman"/>
          <w:color w:val="000000"/>
          <w:kern w:val="0"/>
          <w:sz w:val="24"/>
          <w:szCs w:val="24"/>
          <w:highlight w:val="none"/>
          <w:lang w:val="en-US" w:eastAsia="zh-CN" w:bidi="ar"/>
        </w:rPr>
        <w:t>常规监测项目为流量、水温、</w:t>
      </w:r>
      <w:r>
        <w:rPr>
          <w:rFonts w:hint="default" w:ascii="Times New Roman" w:hAnsi="Times New Roman" w:eastAsia="宋体" w:cs="Times New Roman"/>
          <w:color w:val="000000"/>
          <w:kern w:val="0"/>
          <w:sz w:val="24"/>
          <w:szCs w:val="24"/>
          <w:highlight w:val="none"/>
          <w:lang w:val="en-US" w:eastAsia="zh-CN" w:bidi="ar"/>
        </w:rPr>
        <w:t>pH</w:t>
      </w:r>
      <w:r>
        <w:rPr>
          <w:rFonts w:hint="eastAsia" w:ascii="Times New Roman" w:hAnsi="Times New Roman" w:eastAsia="宋体" w:cs="Times New Roman"/>
          <w:color w:val="000000"/>
          <w:kern w:val="0"/>
          <w:sz w:val="24"/>
          <w:szCs w:val="24"/>
          <w:highlight w:val="none"/>
          <w:lang w:val="en-US" w:eastAsia="zh-CN" w:bidi="ar"/>
        </w:rPr>
        <w:t>值、化学需氧量、氨氮、总磷、总氮共7项。对于特殊排污单位应根据废污水性质，增加相应的特征污染物监测项目；</w:t>
      </w:r>
    </w:p>
    <w:p w14:paraId="69C1AF0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4"/>
          <w:szCs w:val="24"/>
          <w:highlight w:val="none"/>
          <w:lang w:val="en-US" w:eastAsia="zh-CN" w:bidi="ar"/>
        </w:rPr>
        <w:t>②</w:t>
      </w:r>
      <w:r>
        <w:rPr>
          <w:rFonts w:hint="eastAsia" w:ascii="Times New Roman" w:hAnsi="Times New Roman" w:eastAsia="宋体" w:cs="Times New Roman"/>
          <w:color w:val="000000"/>
          <w:kern w:val="0"/>
          <w:sz w:val="24"/>
          <w:szCs w:val="24"/>
          <w:highlight w:val="none"/>
          <w:lang w:val="en-US" w:eastAsia="zh-CN" w:bidi="ar"/>
        </w:rPr>
        <w:t>监测方法应按照国家现行的检验、检测方法执行，所采用的分析方法应符</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合国家和行业有关标准的规定；</w:t>
      </w:r>
    </w:p>
    <w:p w14:paraId="0378AA7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监测点位为</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入河排污口</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监测采样点</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p>
    <w:p w14:paraId="4055E8FB">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eastAsia="宋体" w:cs="Times New Roman"/>
          <w:b/>
          <w:bCs/>
          <w:color w:val="000000"/>
          <w:kern w:val="0"/>
          <w:sz w:val="24"/>
          <w:szCs w:val="24"/>
          <w:highlight w:val="none"/>
          <w:lang w:val="en-US" w:eastAsia="zh-CN" w:bidi="ar"/>
        </w:rPr>
        <w:t>3、自动监测要求</w:t>
      </w:r>
    </w:p>
    <w:p w14:paraId="770F534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（1）入河排污口自动监测设置应符合下列基本要求：</w:t>
      </w:r>
    </w:p>
    <w:p w14:paraId="0F8C0AB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①对排污量较大的入河排污口以及排入重要水域的水功能区的入河排污口应实施自动监测；</w:t>
      </w:r>
    </w:p>
    <w:p w14:paraId="7DDE02C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②对入河排污口废污水的排放量和主要污染物质排放浓度应实施自动监测。</w:t>
      </w:r>
    </w:p>
    <w:p w14:paraId="458873D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（2）自动监测项目为国家或地方考核项目的，实施水质水量同步自动监测。</w:t>
      </w:r>
    </w:p>
    <w:p w14:paraId="1EDC3C8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（3）污染物总量监测与计算方法应符合下列要求：</w:t>
      </w:r>
    </w:p>
    <w:p w14:paraId="53E7EC7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①对入河排污口流量、污染物浓度与时间排放曲线波动较小的，用瞬时流量、污染物浓度代表日平均流量和污染物平均浓度，计算每日入河排污总量；</w:t>
      </w:r>
    </w:p>
    <w:p w14:paraId="626E2CB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②对入河排污口流量、污染物浓度与时间排放曲线虽有明显波动，但其波动有固定的规律的，可用一天中几个等时间的瞬时流量、污染物浓度来计算平均流量和污染物平均浓度，计算每日入河排污总量；</w:t>
      </w:r>
    </w:p>
    <w:p w14:paraId="5A73F0F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③对排污口流量、污染物浓度与时间排放曲线，即有明显波动又无规律可循的，必须连续定流量、污染物浓度，通过加权平均每日入河排污总量。</w:t>
      </w:r>
    </w:p>
    <w:p w14:paraId="20B83B50">
      <w:pPr>
        <w:keepNext w:val="0"/>
        <w:keepLines w:val="0"/>
        <w:pageBreakBefore w:val="0"/>
        <w:widowControl/>
        <w:suppressLineNumbers w:val="0"/>
        <w:kinsoku/>
        <w:wordWrap/>
        <w:overflowPunct/>
        <w:topLinePunct w:val="0"/>
        <w:autoSpaceDE/>
        <w:autoSpaceDN/>
        <w:bidi w:val="0"/>
        <w:adjustRightInd w:val="0"/>
        <w:snapToGrid w:val="0"/>
        <w:ind w:firstLine="482" w:firstLineChars="20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eastAsia="宋体" w:cs="Times New Roman"/>
          <w:b/>
          <w:bCs/>
          <w:color w:val="000000"/>
          <w:kern w:val="0"/>
          <w:sz w:val="24"/>
          <w:szCs w:val="24"/>
          <w:highlight w:val="none"/>
          <w:lang w:val="en-US" w:eastAsia="zh-CN" w:bidi="ar"/>
        </w:rPr>
        <w:t>4、本</w:t>
      </w:r>
      <w:r>
        <w:rPr>
          <w:rFonts w:hint="eastAsia" w:cs="Times New Roman"/>
          <w:b/>
          <w:bCs/>
          <w:color w:val="000000"/>
          <w:kern w:val="0"/>
          <w:sz w:val="24"/>
          <w:szCs w:val="24"/>
          <w:highlight w:val="none"/>
          <w:lang w:val="en-US" w:eastAsia="zh-CN" w:bidi="ar"/>
        </w:rPr>
        <w:t>入河排污口</w:t>
      </w:r>
      <w:r>
        <w:rPr>
          <w:rFonts w:hint="eastAsia" w:ascii="Times New Roman" w:hAnsi="Times New Roman" w:eastAsia="宋体" w:cs="Times New Roman"/>
          <w:b/>
          <w:bCs/>
          <w:color w:val="000000"/>
          <w:kern w:val="0"/>
          <w:sz w:val="24"/>
          <w:szCs w:val="24"/>
          <w:highlight w:val="none"/>
          <w:lang w:val="en-US" w:eastAsia="zh-CN" w:bidi="ar"/>
        </w:rPr>
        <w:t>监测方案</w:t>
      </w:r>
    </w:p>
    <w:p w14:paraId="4EE8EEE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根据上述分析，本入河排污口采用人工监测与自动监测相结合的方式对入河排污口尾水监测，为</w:t>
      </w:r>
      <w:r>
        <w:rPr>
          <w:rFonts w:hint="eastAsia" w:ascii="宋体" w:hAnsi="宋体" w:cs="宋体"/>
          <w:color w:val="000000"/>
          <w:kern w:val="0"/>
          <w:sz w:val="24"/>
          <w:szCs w:val="24"/>
          <w:highlight w:val="none"/>
          <w:lang w:val="en-US" w:eastAsia="zh-CN" w:bidi="ar"/>
        </w:rPr>
        <w:t>相关</w:t>
      </w:r>
      <w:r>
        <w:rPr>
          <w:rFonts w:hint="eastAsia" w:ascii="宋体" w:hAnsi="宋体" w:eastAsia="宋体" w:cs="宋体"/>
          <w:color w:val="000000"/>
          <w:kern w:val="0"/>
          <w:sz w:val="24"/>
          <w:szCs w:val="24"/>
          <w:highlight w:val="none"/>
          <w:lang w:val="en-US" w:eastAsia="zh-CN" w:bidi="ar"/>
        </w:rPr>
        <w:t>行政主管部门管理提供数据。</w:t>
      </w:r>
    </w:p>
    <w:p w14:paraId="5FDADB1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）自动监测</w:t>
      </w:r>
    </w:p>
    <w:p w14:paraId="765B381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监测项目：根据《排污许可证申请与核发技术规范 水处理（试行）》（</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HJ978-2018</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《入河入海排污口监督管理技术指南 监测（征求意见稿）》</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中自行监测要求，常规监测项目为流量、水温、</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pH</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值、化学需氧量、氨氮、总磷、总氮。</w:t>
      </w:r>
    </w:p>
    <w:p w14:paraId="12FA166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监测点位：</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入河排污口</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监测采样点</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p>
    <w:p w14:paraId="591CF9F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监测方法：按照国家现行的检验、检测方法执行，所采用的分析方法应符合国家和行业有关标准的规定。</w:t>
      </w:r>
    </w:p>
    <w:p w14:paraId="590C5F8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）在线监测</w:t>
      </w:r>
    </w:p>
    <w:p w14:paraId="6A1EF60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按照相关要求对污水处理厂进水配置流量计、</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cr</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、氨氮在线监控设备以及出水设置</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cr</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、氨氮等在线监测设备。</w:t>
      </w:r>
    </w:p>
    <w:p w14:paraId="1B62605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）人工监测</w:t>
      </w:r>
    </w:p>
    <w:p w14:paraId="262AF66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①</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监测项目：悬浮物、五日生化需氧量。</w:t>
      </w:r>
    </w:p>
    <w:p w14:paraId="715E74E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②</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监测点位：</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入河排污口</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监测采样点</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p>
    <w:p w14:paraId="2146CC5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highlight w:val="none"/>
          <w:lang w:val="en-US" w:eastAsia="zh-CN"/>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③</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监测方法：按照国家现行的检验、检测方法执行，所采用的分析方法应符合国家和行业有关标准的规定。</w:t>
      </w:r>
    </w:p>
    <w:p w14:paraId="41887377">
      <w:pPr>
        <w:rPr>
          <w:rFonts w:hint="default"/>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60B65EA7">
      <w:pPr>
        <w:pStyle w:val="5"/>
        <w:numPr>
          <w:ilvl w:val="0"/>
          <w:numId w:val="0"/>
        </w:numPr>
        <w:bidi w:val="0"/>
        <w:ind w:leftChars="0"/>
        <w:jc w:val="center"/>
        <w:outlineLvl w:val="0"/>
        <w:rPr>
          <w:rStyle w:val="35"/>
          <w:rFonts w:hint="eastAsia" w:ascii="Times New Roman" w:hAnsi="Times New Roman" w:eastAsia="宋体" w:cs="Times New Roman"/>
          <w:b/>
          <w:highlight w:val="none"/>
          <w:lang w:val="en-US" w:eastAsia="zh-CN"/>
        </w:rPr>
      </w:pPr>
      <w:bookmarkStart w:id="86" w:name="_Toc31273"/>
      <w:bookmarkStart w:id="87" w:name="_Toc27385"/>
      <w:r>
        <w:rPr>
          <w:rStyle w:val="35"/>
          <w:rFonts w:hint="eastAsia" w:ascii="Times New Roman" w:hAnsi="Times New Roman" w:eastAsia="宋体" w:cs="Times New Roman"/>
          <w:b/>
          <w:highlight w:val="none"/>
          <w:lang w:val="en-US" w:eastAsia="zh-CN"/>
        </w:rPr>
        <w:t>第六章 入河排污口设置对水功能区水质和水生态影响分析</w:t>
      </w:r>
      <w:bookmarkEnd w:id="86"/>
      <w:bookmarkEnd w:id="87"/>
      <w:bookmarkStart w:id="88" w:name="_Toc5667"/>
    </w:p>
    <w:p w14:paraId="550D2799">
      <w:pPr>
        <w:pStyle w:val="5"/>
        <w:numPr>
          <w:ilvl w:val="0"/>
          <w:numId w:val="0"/>
        </w:numPr>
        <w:bidi w:val="0"/>
        <w:ind w:left="0" w:leftChars="0" w:firstLine="0" w:firstLineChars="0"/>
        <w:rPr>
          <w:rFonts w:hint="eastAsia"/>
          <w:highlight w:val="none"/>
          <w:lang w:val="en-US" w:eastAsia="zh-CN"/>
        </w:rPr>
      </w:pPr>
      <w:bookmarkStart w:id="89" w:name="_Toc23069"/>
      <w:r>
        <w:rPr>
          <w:rFonts w:hint="eastAsia"/>
          <w:highlight w:val="none"/>
          <w:lang w:val="en-US" w:eastAsia="zh-CN"/>
        </w:rPr>
        <w:t>6.1 影响范围</w:t>
      </w:r>
      <w:bookmarkEnd w:id="88"/>
      <w:bookmarkEnd w:id="89"/>
    </w:p>
    <w:p w14:paraId="2B1E0523">
      <w:pPr>
        <w:pStyle w:val="6"/>
        <w:bidi w:val="0"/>
        <w:rPr>
          <w:rFonts w:hint="default"/>
          <w:highlight w:val="none"/>
          <w:lang w:val="en-US" w:eastAsia="zh-CN"/>
        </w:rPr>
      </w:pPr>
      <w:bookmarkStart w:id="90" w:name="_Toc15880"/>
      <w:bookmarkStart w:id="91" w:name="_Toc95296585"/>
      <w:r>
        <w:rPr>
          <w:rFonts w:hint="eastAsia"/>
          <w:highlight w:val="none"/>
          <w:lang w:val="en-US" w:eastAsia="zh-CN"/>
        </w:rPr>
        <w:t>6.1.1 预测因子、预测时段及预测范围</w:t>
      </w:r>
    </w:p>
    <w:p w14:paraId="2B95225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（1）预测因子</w:t>
      </w:r>
    </w:p>
    <w:p w14:paraId="715F728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default" w:ascii="Times New Roman" w:hAnsi="Times New Roman" w:eastAsia="宋体" w:cs="Times New Roman"/>
          <w:sz w:val="24"/>
          <w:szCs w:val="24"/>
          <w:highlight w:val="none"/>
          <w:lang w:val="en-US" w:eastAsia="zh-CN"/>
        </w:rPr>
        <w:t>根据水功能区水质管理目标和生态保护要求，</w:t>
      </w:r>
      <w:r>
        <w:rPr>
          <w:rFonts w:hint="eastAsia" w:cs="Times New Roman"/>
          <w:sz w:val="24"/>
          <w:szCs w:val="24"/>
          <w:highlight w:val="none"/>
          <w:lang w:val="en-US" w:eastAsia="zh-CN"/>
        </w:rPr>
        <w:t>并</w:t>
      </w:r>
      <w:r>
        <w:rPr>
          <w:rFonts w:hint="default" w:ascii="Times New Roman" w:hAnsi="Times New Roman" w:eastAsia="宋体" w:cs="Times New Roman"/>
          <w:sz w:val="24"/>
          <w:szCs w:val="24"/>
          <w:highlight w:val="none"/>
          <w:lang w:val="en-US" w:eastAsia="zh-CN"/>
        </w:rPr>
        <w:t>结合</w:t>
      </w:r>
      <w:r>
        <w:rPr>
          <w:rFonts w:hint="eastAsia" w:cs="Times New Roman"/>
          <w:sz w:val="24"/>
          <w:szCs w:val="24"/>
          <w:highlight w:val="none"/>
          <w:lang w:val="en-US" w:eastAsia="zh-CN"/>
        </w:rPr>
        <w:t>本入河排污口尾水</w:t>
      </w:r>
      <w:r>
        <w:rPr>
          <w:rFonts w:hint="default" w:ascii="Times New Roman" w:hAnsi="Times New Roman" w:eastAsia="宋体" w:cs="Times New Roman"/>
          <w:sz w:val="24"/>
          <w:szCs w:val="24"/>
          <w:highlight w:val="none"/>
          <w:lang w:val="en-US" w:eastAsia="zh-CN"/>
        </w:rPr>
        <w:t>排放</w:t>
      </w:r>
      <w:r>
        <w:rPr>
          <w:rFonts w:hint="eastAsia" w:ascii="Times New Roman" w:hAnsi="Times New Roman" w:eastAsia="宋体" w:cs="Times New Roman"/>
          <w:sz w:val="24"/>
          <w:szCs w:val="24"/>
          <w:highlight w:val="none"/>
          <w:lang w:val="en-US" w:eastAsia="zh-CN"/>
        </w:rPr>
        <w:t>情况</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本次论证报告</w:t>
      </w:r>
      <w:r>
        <w:rPr>
          <w:rFonts w:hint="default" w:ascii="Times New Roman" w:hAnsi="Times New Roman" w:eastAsia="宋体" w:cs="Times New Roman"/>
          <w:sz w:val="24"/>
          <w:szCs w:val="24"/>
          <w:highlight w:val="none"/>
          <w:lang w:val="en-US" w:eastAsia="zh-CN"/>
        </w:rPr>
        <w:t>选取COD</w:t>
      </w:r>
      <w:r>
        <w:rPr>
          <w:rFonts w:hint="eastAsia" w:ascii="Times New Roman" w:hAnsi="Times New Roman" w:eastAsia="宋体" w:cs="Times New Roman"/>
          <w:sz w:val="24"/>
          <w:szCs w:val="24"/>
          <w:highlight w:val="none"/>
          <w:lang w:val="en-US" w:eastAsia="zh-CN"/>
        </w:rPr>
        <w:t>cr</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-N、TP</w:t>
      </w:r>
      <w:r>
        <w:rPr>
          <w:rFonts w:hint="default" w:ascii="Times New Roman" w:hAnsi="Times New Roman" w:eastAsia="宋体" w:cs="Times New Roman"/>
          <w:sz w:val="24"/>
          <w:szCs w:val="24"/>
          <w:highlight w:val="none"/>
          <w:lang w:val="en-US" w:eastAsia="zh-CN"/>
        </w:rPr>
        <w:t>作为</w:t>
      </w:r>
      <w:r>
        <w:rPr>
          <w:rFonts w:hint="eastAsia" w:cs="Times New Roman"/>
          <w:sz w:val="24"/>
          <w:szCs w:val="24"/>
          <w:highlight w:val="none"/>
          <w:lang w:val="en-US" w:eastAsia="zh-CN"/>
        </w:rPr>
        <w:t>预测</w:t>
      </w:r>
      <w:r>
        <w:rPr>
          <w:rFonts w:hint="default" w:ascii="Times New Roman" w:hAnsi="Times New Roman" w:eastAsia="宋体" w:cs="Times New Roman"/>
          <w:sz w:val="24"/>
          <w:szCs w:val="24"/>
          <w:highlight w:val="none"/>
          <w:lang w:val="en-US" w:eastAsia="zh-CN"/>
        </w:rPr>
        <w:t>评价</w:t>
      </w:r>
      <w:r>
        <w:rPr>
          <w:rFonts w:hint="eastAsia"/>
          <w:sz w:val="24"/>
          <w:szCs w:val="24"/>
          <w:highlight w:val="none"/>
          <w:lang w:val="en-US" w:eastAsia="zh-CN"/>
        </w:rPr>
        <w:t>因子</w:t>
      </w:r>
      <w:r>
        <w:rPr>
          <w:rFonts w:hint="default" w:ascii="Times New Roman" w:hAnsi="Times New Roman" w:eastAsia="宋体" w:cs="Times New Roman"/>
          <w:sz w:val="24"/>
          <w:szCs w:val="24"/>
          <w:highlight w:val="none"/>
          <w:lang w:val="en-US" w:eastAsia="zh-CN"/>
        </w:rPr>
        <w:t>。</w:t>
      </w:r>
    </w:p>
    <w:p w14:paraId="40916BF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（2）预测时段</w:t>
      </w:r>
    </w:p>
    <w:p w14:paraId="5F540D4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本次入河排污口论证，选取龙荫港多年最枯月平均流量保证率为90%为不利水文条件，作为预测时段。</w:t>
      </w:r>
    </w:p>
    <w:p w14:paraId="5B55792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（3）预测范围</w:t>
      </w:r>
    </w:p>
    <w:p w14:paraId="6790E9E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本次入河排污口论证范围为：本入河排污口入龙荫港上游500m至下游5000m，共计5.5km。</w:t>
      </w:r>
    </w:p>
    <w:p w14:paraId="557574B7">
      <w:pPr>
        <w:pStyle w:val="6"/>
        <w:bidi w:val="0"/>
        <w:rPr>
          <w:rFonts w:hint="default"/>
          <w:highlight w:val="none"/>
          <w:lang w:val="en-US" w:eastAsia="zh-CN"/>
        </w:rPr>
      </w:pPr>
      <w:r>
        <w:rPr>
          <w:rFonts w:hint="eastAsia"/>
          <w:highlight w:val="none"/>
          <w:lang w:val="en-US" w:eastAsia="zh-CN"/>
        </w:rPr>
        <w:t>6.1.2 预测内容、污染源强及纳污水体水文参数</w:t>
      </w:r>
    </w:p>
    <w:p w14:paraId="3A1294A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（1）预测内容</w:t>
      </w:r>
    </w:p>
    <w:p w14:paraId="1CFF61B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Times New Roman" w:hAnsi="Times New Roman" w:eastAsia="宋体" w:cs="Times New Roman"/>
          <w:sz w:val="24"/>
          <w:szCs w:val="24"/>
          <w:highlight w:val="none"/>
          <w:lang w:val="en-US" w:eastAsia="zh-CN"/>
        </w:rPr>
        <w:t>；地理坐标为</w:t>
      </w:r>
      <w:r>
        <w:rPr>
          <w:rFonts w:hint="default" w:ascii="Times New Roman" w:hAnsi="Times New Roman" w:eastAsia="宋体" w:cs="Times New Roman"/>
          <w:sz w:val="24"/>
          <w:szCs w:val="24"/>
          <w:highlight w:val="none"/>
          <w:lang w:val="en-US" w:eastAsia="zh-CN"/>
        </w:rPr>
        <w:t>东经112°45′8.53308″，北纬27°13′12.36000″</w:t>
      </w:r>
      <w:r>
        <w:rPr>
          <w:rFonts w:hint="eastAsia" w:ascii="Times New Roman" w:hAnsi="Times New Roman" w:eastAsia="宋体" w:cs="Times New Roman"/>
          <w:sz w:val="24"/>
          <w:szCs w:val="24"/>
          <w:highlight w:val="none"/>
          <w:lang w:val="en-US" w:eastAsia="zh-CN"/>
        </w:rPr>
        <w:t>。本次重点预测</w:t>
      </w:r>
      <w:r>
        <w:rPr>
          <w:rFonts w:hint="eastAsia" w:cs="Times New Roman"/>
          <w:sz w:val="24"/>
          <w:szCs w:val="24"/>
          <w:highlight w:val="none"/>
          <w:lang w:val="en-US" w:eastAsia="zh-CN"/>
        </w:rPr>
        <w:t>入河排污口尾水正常工况及事故工况下</w:t>
      </w:r>
      <w:r>
        <w:rPr>
          <w:rFonts w:hint="eastAsia" w:ascii="Times New Roman" w:hAnsi="Times New Roman" w:eastAsia="宋体" w:cs="Times New Roman"/>
          <w:sz w:val="24"/>
          <w:szCs w:val="24"/>
          <w:highlight w:val="none"/>
          <w:lang w:val="en-US" w:eastAsia="zh-CN"/>
        </w:rPr>
        <w:t>对纳污水体</w:t>
      </w:r>
      <w:r>
        <w:rPr>
          <w:rFonts w:hint="eastAsia" w:cs="Times New Roman"/>
          <w:sz w:val="24"/>
          <w:szCs w:val="24"/>
          <w:highlight w:val="none"/>
          <w:lang w:val="en-US" w:eastAsia="zh-CN"/>
        </w:rPr>
        <w:t>龙荫港</w:t>
      </w:r>
      <w:r>
        <w:rPr>
          <w:rFonts w:hint="eastAsia" w:ascii="Times New Roman" w:hAnsi="Times New Roman" w:eastAsia="宋体" w:cs="Times New Roman"/>
          <w:sz w:val="24"/>
          <w:szCs w:val="24"/>
          <w:highlight w:val="none"/>
          <w:lang w:val="en-US" w:eastAsia="zh-CN"/>
        </w:rPr>
        <w:t>的影响。</w:t>
      </w:r>
    </w:p>
    <w:p w14:paraId="2AA1795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（2）污染源强</w:t>
      </w:r>
    </w:p>
    <w:p w14:paraId="5FFA9871">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本入河排污口</w:t>
      </w:r>
      <w:r>
        <w:rPr>
          <w:rFonts w:hint="eastAsia" w:ascii="Times New Roman" w:hAnsi="Times New Roman" w:eastAsia="宋体" w:cs="Times New Roman"/>
          <w:sz w:val="24"/>
          <w:szCs w:val="24"/>
          <w:highlight w:val="none"/>
          <w:lang w:val="en-US" w:eastAsia="zh-CN"/>
        </w:rPr>
        <w:t>尾水中各主要污染物排放浓度执行《湖南省城镇污水处理厂主要水污染物排放标准》（</w:t>
      </w:r>
      <w:r>
        <w:rPr>
          <w:rFonts w:hint="default" w:ascii="Times New Roman" w:hAnsi="Times New Roman" w:eastAsia="宋体" w:cs="Times New Roman"/>
          <w:sz w:val="24"/>
          <w:szCs w:val="24"/>
          <w:highlight w:val="none"/>
          <w:lang w:val="en-US" w:eastAsia="zh-CN"/>
        </w:rPr>
        <w:t>DB43/T1546-2018</w:t>
      </w:r>
      <w:r>
        <w:rPr>
          <w:rFonts w:hint="eastAsia" w:ascii="Times New Roman" w:hAnsi="Times New Roman" w:eastAsia="宋体" w:cs="Times New Roman"/>
          <w:sz w:val="24"/>
          <w:szCs w:val="24"/>
          <w:highlight w:val="none"/>
          <w:lang w:val="en-US" w:eastAsia="zh-CN"/>
        </w:rPr>
        <w:t>）一级标准，即</w:t>
      </w:r>
      <w:r>
        <w:rPr>
          <w:rFonts w:hint="eastAsia" w:cs="Times New Roman"/>
          <w:sz w:val="24"/>
          <w:szCs w:val="24"/>
          <w:highlight w:val="none"/>
          <w:lang w:val="en-US" w:eastAsia="zh-CN"/>
        </w:rPr>
        <w:t>正常工况下</w:t>
      </w:r>
      <w:r>
        <w:rPr>
          <w:rFonts w:hint="eastAsia" w:ascii="Times New Roman" w:hAnsi="Times New Roman" w:eastAsia="宋体" w:cs="Times New Roman"/>
          <w:sz w:val="24"/>
          <w:szCs w:val="24"/>
          <w:highlight w:val="none"/>
          <w:lang w:val="en-US" w:eastAsia="zh-CN"/>
        </w:rPr>
        <w:t>CODcr</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30mg/L、NH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1.5mg/L、TP</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0.3mg/L。</w:t>
      </w:r>
      <w:r>
        <w:rPr>
          <w:rFonts w:hint="eastAsia" w:ascii="宋体" w:hAnsi="宋体" w:eastAsia="宋体" w:cs="宋体"/>
          <w:color w:val="000000"/>
          <w:kern w:val="0"/>
          <w:sz w:val="24"/>
          <w:szCs w:val="24"/>
          <w:highlight w:val="none"/>
          <w:lang w:val="en-US" w:eastAsia="zh-CN" w:bidi="ar"/>
        </w:rPr>
        <w:t>本入河排污口</w:t>
      </w:r>
      <w:r>
        <w:rPr>
          <w:rFonts w:hint="eastAsia" w:ascii="Times New Roman" w:hAnsi="Times New Roman" w:eastAsia="宋体" w:cs="Times New Roman"/>
          <w:sz w:val="24"/>
          <w:szCs w:val="24"/>
          <w:highlight w:val="none"/>
          <w:lang w:val="en-US" w:eastAsia="zh-CN"/>
        </w:rPr>
        <w:t>尾水事故排放时，按污水处理厂处理效率为0进行计算，</w:t>
      </w:r>
      <w:r>
        <w:rPr>
          <w:rFonts w:hint="eastAsia" w:cs="Times New Roman"/>
          <w:sz w:val="24"/>
          <w:szCs w:val="24"/>
          <w:highlight w:val="none"/>
          <w:lang w:val="en-US" w:eastAsia="zh-CN"/>
        </w:rPr>
        <w:t>即</w:t>
      </w:r>
      <w:r>
        <w:rPr>
          <w:rFonts w:hint="eastAsia" w:ascii="Times New Roman" w:hAnsi="Times New Roman" w:eastAsia="宋体" w:cs="Times New Roman"/>
          <w:sz w:val="24"/>
          <w:szCs w:val="24"/>
          <w:highlight w:val="none"/>
          <w:lang w:val="en-US" w:eastAsia="zh-CN"/>
        </w:rPr>
        <w:t>事故排放</w:t>
      </w:r>
      <w:r>
        <w:rPr>
          <w:rFonts w:hint="eastAsia" w:cs="Times New Roman"/>
          <w:sz w:val="24"/>
          <w:szCs w:val="24"/>
          <w:highlight w:val="none"/>
          <w:lang w:val="en-US" w:eastAsia="zh-CN"/>
        </w:rPr>
        <w:t>浓度</w:t>
      </w:r>
      <w:r>
        <w:rPr>
          <w:rFonts w:hint="eastAsia" w:ascii="Times New Roman" w:hAnsi="Times New Roman" w:eastAsia="宋体" w:cs="Times New Roman"/>
          <w:sz w:val="24"/>
          <w:szCs w:val="24"/>
          <w:highlight w:val="none"/>
          <w:lang w:val="en-US" w:eastAsia="zh-CN"/>
        </w:rPr>
        <w:t>与进水浓度一致</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CODcr</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260</w:t>
      </w:r>
      <w:r>
        <w:rPr>
          <w:rFonts w:hint="eastAsia" w:ascii="Times New Roman" w:hAnsi="Times New Roman" w:eastAsia="宋体" w:cs="Times New Roman"/>
          <w:sz w:val="24"/>
          <w:szCs w:val="24"/>
          <w:highlight w:val="none"/>
          <w:lang w:val="en-US" w:eastAsia="zh-CN"/>
        </w:rPr>
        <w:t>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25</w:t>
      </w:r>
      <w:r>
        <w:rPr>
          <w:rFonts w:hint="eastAsia" w:ascii="Times New Roman" w:hAnsi="Times New Roman" w:eastAsia="宋体" w:cs="Times New Roman"/>
          <w:sz w:val="24"/>
          <w:szCs w:val="24"/>
          <w:highlight w:val="none"/>
          <w:lang w:val="en-US" w:eastAsia="zh-CN"/>
        </w:rPr>
        <w:t>mg/L、TP</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3.0</w:t>
      </w:r>
      <w:r>
        <w:rPr>
          <w:rFonts w:hint="eastAsia" w:ascii="Times New Roman" w:hAnsi="Times New Roman" w:eastAsia="宋体" w:cs="Times New Roman"/>
          <w:sz w:val="24"/>
          <w:szCs w:val="24"/>
          <w:highlight w:val="none"/>
          <w:lang w:val="en-US" w:eastAsia="zh-CN"/>
        </w:rPr>
        <w:t>mg/L。本次论证污染源强见下表6.1-1。</w:t>
      </w:r>
    </w:p>
    <w:p w14:paraId="47E381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表6.1-1 污水处理厂废水中污染物预测源强</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4"/>
        <w:gridCol w:w="2134"/>
        <w:gridCol w:w="2135"/>
        <w:gridCol w:w="2135"/>
      </w:tblGrid>
      <w:tr w14:paraId="59CEE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2134" w:type="dxa"/>
            <w:tcBorders>
              <w:tl2br w:val="nil"/>
              <w:tr2bl w:val="nil"/>
            </w:tcBorders>
            <w:noWrap w:val="0"/>
            <w:vAlign w:val="center"/>
          </w:tcPr>
          <w:p w14:paraId="315638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情景</w:t>
            </w:r>
          </w:p>
        </w:tc>
        <w:tc>
          <w:tcPr>
            <w:tcW w:w="2134" w:type="dxa"/>
            <w:tcBorders>
              <w:tl2br w:val="nil"/>
              <w:tr2bl w:val="nil"/>
            </w:tcBorders>
            <w:noWrap w:val="0"/>
            <w:vAlign w:val="center"/>
          </w:tcPr>
          <w:p w14:paraId="3EFE97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排水量</w:t>
            </w:r>
          </w:p>
        </w:tc>
        <w:tc>
          <w:tcPr>
            <w:tcW w:w="2135" w:type="dxa"/>
            <w:tcBorders>
              <w:tl2br w:val="nil"/>
              <w:tr2bl w:val="nil"/>
            </w:tcBorders>
            <w:noWrap w:val="0"/>
            <w:vAlign w:val="center"/>
          </w:tcPr>
          <w:p w14:paraId="675F61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污染因子</w:t>
            </w:r>
          </w:p>
        </w:tc>
        <w:tc>
          <w:tcPr>
            <w:tcW w:w="2135" w:type="dxa"/>
            <w:tcBorders>
              <w:tl2br w:val="nil"/>
              <w:tr2bl w:val="nil"/>
            </w:tcBorders>
            <w:noWrap w:val="0"/>
            <w:vAlign w:val="center"/>
          </w:tcPr>
          <w:p w14:paraId="520D9A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排放浓度</w:t>
            </w:r>
          </w:p>
        </w:tc>
      </w:tr>
      <w:tr w14:paraId="25D6F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2134" w:type="dxa"/>
            <w:vMerge w:val="restart"/>
            <w:tcBorders>
              <w:tl2br w:val="nil"/>
              <w:tr2bl w:val="nil"/>
            </w:tcBorders>
            <w:noWrap w:val="0"/>
            <w:vAlign w:val="center"/>
          </w:tcPr>
          <w:p w14:paraId="256CCB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正常工况</w:t>
            </w:r>
          </w:p>
        </w:tc>
        <w:tc>
          <w:tcPr>
            <w:tcW w:w="2134" w:type="dxa"/>
            <w:vMerge w:val="restart"/>
            <w:tcBorders>
              <w:tl2br w:val="nil"/>
              <w:tr2bl w:val="nil"/>
            </w:tcBorders>
            <w:noWrap w:val="0"/>
            <w:vAlign w:val="center"/>
          </w:tcPr>
          <w:p w14:paraId="6B83D7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r>
              <w:rPr>
                <w:rFonts w:hint="eastAsia"/>
                <w:sz w:val="21"/>
                <w:szCs w:val="21"/>
                <w:highlight w:val="none"/>
                <w:lang w:val="en-US" w:eastAsia="zh-CN"/>
              </w:rPr>
              <w:t>30000m</w:t>
            </w:r>
            <w:r>
              <w:rPr>
                <w:rFonts w:hint="eastAsia"/>
                <w:sz w:val="21"/>
                <w:szCs w:val="21"/>
                <w:highlight w:val="none"/>
                <w:vertAlign w:val="superscript"/>
                <w:lang w:val="en-US" w:eastAsia="zh-CN"/>
              </w:rPr>
              <w:t>3</w:t>
            </w:r>
            <w:r>
              <w:rPr>
                <w:rFonts w:hint="eastAsia"/>
                <w:sz w:val="21"/>
                <w:szCs w:val="21"/>
                <w:highlight w:val="none"/>
                <w:lang w:val="en-US" w:eastAsia="zh-CN"/>
              </w:rPr>
              <w:t>/d</w:t>
            </w:r>
          </w:p>
          <w:p w14:paraId="534ECA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（0.35m</w:t>
            </w:r>
            <w:r>
              <w:rPr>
                <w:rFonts w:hint="eastAsia"/>
                <w:sz w:val="21"/>
                <w:szCs w:val="21"/>
                <w:highlight w:val="none"/>
                <w:vertAlign w:val="superscript"/>
                <w:lang w:val="en-US" w:eastAsia="zh-CN"/>
              </w:rPr>
              <w:t>3</w:t>
            </w:r>
            <w:r>
              <w:rPr>
                <w:rFonts w:hint="eastAsia"/>
                <w:sz w:val="21"/>
                <w:szCs w:val="21"/>
                <w:highlight w:val="none"/>
                <w:lang w:val="en-US" w:eastAsia="zh-CN"/>
              </w:rPr>
              <w:t>/s）</w:t>
            </w:r>
          </w:p>
        </w:tc>
        <w:tc>
          <w:tcPr>
            <w:tcW w:w="2135" w:type="dxa"/>
            <w:tcBorders>
              <w:tl2br w:val="nil"/>
              <w:tr2bl w:val="nil"/>
            </w:tcBorders>
            <w:noWrap w:val="0"/>
            <w:vAlign w:val="center"/>
          </w:tcPr>
          <w:p w14:paraId="0AD16FD4">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default"/>
                <w:color w:val="auto"/>
                <w:sz w:val="21"/>
                <w:szCs w:val="21"/>
                <w:highlight w:val="none"/>
                <w:u w:val="none"/>
                <w:lang w:val="en-US" w:eastAsia="zh-CN"/>
              </w:rPr>
              <w:t>CODcr</w:t>
            </w:r>
          </w:p>
        </w:tc>
        <w:tc>
          <w:tcPr>
            <w:tcW w:w="2135" w:type="dxa"/>
            <w:tcBorders>
              <w:tl2br w:val="nil"/>
              <w:tr2bl w:val="nil"/>
            </w:tcBorders>
            <w:noWrap w:val="0"/>
            <w:vAlign w:val="center"/>
          </w:tcPr>
          <w:p w14:paraId="6D82B250">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eastAsia="宋体"/>
                <w:color w:val="auto"/>
                <w:sz w:val="21"/>
                <w:szCs w:val="21"/>
                <w:highlight w:val="none"/>
                <w:u w:val="none"/>
                <w:lang w:val="en-US" w:eastAsia="zh-CN"/>
              </w:rPr>
              <w:t>30</w:t>
            </w:r>
            <w:r>
              <w:rPr>
                <w:rFonts w:hint="eastAsia" w:ascii="Times New Roman" w:hAnsi="Times New Roman" w:eastAsia="宋体" w:cs="Times New Roman"/>
                <w:sz w:val="21"/>
                <w:szCs w:val="21"/>
                <w:highlight w:val="none"/>
                <w:lang w:val="en-US" w:eastAsia="zh-CN"/>
              </w:rPr>
              <w:t>mg/L</w:t>
            </w:r>
          </w:p>
        </w:tc>
      </w:tr>
      <w:tr w14:paraId="68F6C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2134" w:type="dxa"/>
            <w:vMerge w:val="continue"/>
            <w:tcBorders>
              <w:tl2br w:val="nil"/>
              <w:tr2bl w:val="nil"/>
            </w:tcBorders>
            <w:noWrap w:val="0"/>
            <w:vAlign w:val="center"/>
          </w:tcPr>
          <w:p w14:paraId="1A1BD4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4" w:type="dxa"/>
            <w:vMerge w:val="continue"/>
            <w:tcBorders>
              <w:tl2br w:val="nil"/>
              <w:tr2bl w:val="nil"/>
            </w:tcBorders>
            <w:noWrap w:val="0"/>
            <w:vAlign w:val="center"/>
          </w:tcPr>
          <w:p w14:paraId="784DE6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5" w:type="dxa"/>
            <w:tcBorders>
              <w:tl2br w:val="nil"/>
              <w:tr2bl w:val="nil"/>
            </w:tcBorders>
            <w:noWrap w:val="0"/>
            <w:vAlign w:val="center"/>
          </w:tcPr>
          <w:p w14:paraId="1EDAB74B">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w:t>
            </w:r>
          </w:p>
        </w:tc>
        <w:tc>
          <w:tcPr>
            <w:tcW w:w="2135" w:type="dxa"/>
            <w:tcBorders>
              <w:tl2br w:val="nil"/>
              <w:tr2bl w:val="nil"/>
            </w:tcBorders>
            <w:noWrap w:val="0"/>
            <w:vAlign w:val="center"/>
          </w:tcPr>
          <w:p w14:paraId="05C2CA6A">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1.5mg/L</w:t>
            </w:r>
          </w:p>
        </w:tc>
      </w:tr>
      <w:tr w14:paraId="0F0DF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2134" w:type="dxa"/>
            <w:vMerge w:val="continue"/>
            <w:tcBorders>
              <w:tl2br w:val="nil"/>
              <w:tr2bl w:val="nil"/>
            </w:tcBorders>
            <w:noWrap w:val="0"/>
            <w:vAlign w:val="center"/>
          </w:tcPr>
          <w:p w14:paraId="756911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4" w:type="dxa"/>
            <w:vMerge w:val="continue"/>
            <w:tcBorders>
              <w:tl2br w:val="nil"/>
              <w:tr2bl w:val="nil"/>
            </w:tcBorders>
            <w:noWrap w:val="0"/>
            <w:vAlign w:val="center"/>
          </w:tcPr>
          <w:p w14:paraId="2782B1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5" w:type="dxa"/>
            <w:tcBorders>
              <w:tl2br w:val="nil"/>
              <w:tr2bl w:val="nil"/>
            </w:tcBorders>
            <w:noWrap w:val="0"/>
            <w:vAlign w:val="center"/>
          </w:tcPr>
          <w:p w14:paraId="5C5F3902">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TP</w:t>
            </w:r>
          </w:p>
        </w:tc>
        <w:tc>
          <w:tcPr>
            <w:tcW w:w="2135" w:type="dxa"/>
            <w:tcBorders>
              <w:tl2br w:val="nil"/>
              <w:tr2bl w:val="nil"/>
            </w:tcBorders>
            <w:noWrap w:val="0"/>
            <w:vAlign w:val="center"/>
          </w:tcPr>
          <w:p w14:paraId="3CB98487">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0.3mg/L</w:t>
            </w:r>
          </w:p>
        </w:tc>
      </w:tr>
      <w:tr w14:paraId="781D9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134" w:type="dxa"/>
            <w:vMerge w:val="restart"/>
            <w:tcBorders>
              <w:tl2br w:val="nil"/>
              <w:tr2bl w:val="nil"/>
            </w:tcBorders>
            <w:noWrap w:val="0"/>
            <w:vAlign w:val="center"/>
          </w:tcPr>
          <w:p w14:paraId="0FAD95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sz w:val="21"/>
                <w:szCs w:val="21"/>
                <w:highlight w:val="none"/>
                <w:lang w:val="en-US" w:eastAsia="zh-CN"/>
              </w:rPr>
            </w:pPr>
            <w:r>
              <w:rPr>
                <w:rFonts w:hint="eastAsia"/>
                <w:sz w:val="21"/>
                <w:szCs w:val="21"/>
                <w:highlight w:val="none"/>
                <w:lang w:val="en-US" w:eastAsia="zh-CN"/>
              </w:rPr>
              <w:t>事故工况（按处理效率为0考虑）</w:t>
            </w:r>
          </w:p>
        </w:tc>
        <w:tc>
          <w:tcPr>
            <w:tcW w:w="2134" w:type="dxa"/>
            <w:vMerge w:val="restart"/>
            <w:tcBorders>
              <w:tl2br w:val="nil"/>
              <w:tr2bl w:val="nil"/>
            </w:tcBorders>
            <w:noWrap w:val="0"/>
            <w:vAlign w:val="center"/>
          </w:tcPr>
          <w:p w14:paraId="0B39E3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r>
              <w:rPr>
                <w:rFonts w:hint="eastAsia"/>
                <w:sz w:val="21"/>
                <w:szCs w:val="21"/>
                <w:highlight w:val="none"/>
                <w:lang w:val="en-US" w:eastAsia="zh-CN"/>
              </w:rPr>
              <w:t>30000m</w:t>
            </w:r>
            <w:r>
              <w:rPr>
                <w:rFonts w:hint="eastAsia"/>
                <w:sz w:val="21"/>
                <w:szCs w:val="21"/>
                <w:highlight w:val="none"/>
                <w:vertAlign w:val="superscript"/>
                <w:lang w:val="en-US" w:eastAsia="zh-CN"/>
              </w:rPr>
              <w:t>3</w:t>
            </w:r>
            <w:r>
              <w:rPr>
                <w:rFonts w:hint="eastAsia"/>
                <w:sz w:val="21"/>
                <w:szCs w:val="21"/>
                <w:highlight w:val="none"/>
                <w:lang w:val="en-US" w:eastAsia="zh-CN"/>
              </w:rPr>
              <w:t>/d</w:t>
            </w:r>
          </w:p>
          <w:p w14:paraId="0026A8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r>
              <w:rPr>
                <w:rFonts w:hint="eastAsia"/>
                <w:sz w:val="21"/>
                <w:szCs w:val="21"/>
                <w:highlight w:val="none"/>
                <w:lang w:val="en-US" w:eastAsia="zh-CN"/>
              </w:rPr>
              <w:t>（0.35m</w:t>
            </w:r>
            <w:r>
              <w:rPr>
                <w:rFonts w:hint="eastAsia"/>
                <w:sz w:val="21"/>
                <w:szCs w:val="21"/>
                <w:highlight w:val="none"/>
                <w:vertAlign w:val="superscript"/>
                <w:lang w:val="en-US" w:eastAsia="zh-CN"/>
              </w:rPr>
              <w:t>3</w:t>
            </w:r>
            <w:r>
              <w:rPr>
                <w:rFonts w:hint="eastAsia"/>
                <w:sz w:val="21"/>
                <w:szCs w:val="21"/>
                <w:highlight w:val="none"/>
                <w:lang w:val="en-US" w:eastAsia="zh-CN"/>
              </w:rPr>
              <w:t>/s）</w:t>
            </w:r>
          </w:p>
        </w:tc>
        <w:tc>
          <w:tcPr>
            <w:tcW w:w="2135" w:type="dxa"/>
            <w:tcBorders>
              <w:tl2br w:val="nil"/>
              <w:tr2bl w:val="nil"/>
            </w:tcBorders>
            <w:noWrap w:val="0"/>
            <w:vAlign w:val="center"/>
          </w:tcPr>
          <w:p w14:paraId="34C5D88C">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default"/>
                <w:color w:val="auto"/>
                <w:sz w:val="21"/>
                <w:szCs w:val="21"/>
                <w:highlight w:val="none"/>
                <w:u w:val="none"/>
                <w:lang w:val="en-US" w:eastAsia="zh-CN"/>
              </w:rPr>
              <w:t>CODcr</w:t>
            </w:r>
          </w:p>
        </w:tc>
        <w:tc>
          <w:tcPr>
            <w:tcW w:w="2135" w:type="dxa"/>
            <w:tcBorders>
              <w:tl2br w:val="nil"/>
              <w:tr2bl w:val="nil"/>
            </w:tcBorders>
            <w:noWrap w:val="0"/>
            <w:vAlign w:val="center"/>
          </w:tcPr>
          <w:p w14:paraId="06FA30CF">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color w:val="auto"/>
                <w:sz w:val="21"/>
                <w:szCs w:val="21"/>
                <w:highlight w:val="none"/>
                <w:u w:val="none"/>
                <w:lang w:val="en-US" w:eastAsia="zh-CN"/>
              </w:rPr>
              <w:t>260</w:t>
            </w:r>
            <w:r>
              <w:rPr>
                <w:rFonts w:hint="eastAsia" w:ascii="Times New Roman" w:hAnsi="Times New Roman" w:eastAsia="宋体" w:cs="Times New Roman"/>
                <w:sz w:val="21"/>
                <w:szCs w:val="21"/>
                <w:highlight w:val="none"/>
                <w:lang w:val="en-US" w:eastAsia="zh-CN"/>
              </w:rPr>
              <w:t>mg/L</w:t>
            </w:r>
          </w:p>
        </w:tc>
      </w:tr>
      <w:tr w14:paraId="440CC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9" w:hRule="atLeast"/>
        </w:trPr>
        <w:tc>
          <w:tcPr>
            <w:tcW w:w="2134" w:type="dxa"/>
            <w:vMerge w:val="continue"/>
            <w:tcBorders>
              <w:tl2br w:val="nil"/>
              <w:tr2bl w:val="nil"/>
            </w:tcBorders>
            <w:noWrap w:val="0"/>
            <w:vAlign w:val="center"/>
          </w:tcPr>
          <w:p w14:paraId="7D24B2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4" w:type="dxa"/>
            <w:vMerge w:val="continue"/>
            <w:tcBorders>
              <w:tl2br w:val="nil"/>
              <w:tr2bl w:val="nil"/>
            </w:tcBorders>
            <w:noWrap w:val="0"/>
            <w:vAlign w:val="center"/>
          </w:tcPr>
          <w:p w14:paraId="0C43E1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5" w:type="dxa"/>
            <w:tcBorders>
              <w:tl2br w:val="nil"/>
              <w:tr2bl w:val="nil"/>
            </w:tcBorders>
            <w:noWrap w:val="0"/>
            <w:vAlign w:val="center"/>
          </w:tcPr>
          <w:p w14:paraId="34BACC64">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NH</w:t>
            </w:r>
            <w:r>
              <w:rPr>
                <w:rFonts w:hint="eastAsia" w:ascii="Times New Roman" w:hAnsi="Times New Roman" w:eastAsia="宋体" w:cs="Times New Roman"/>
                <w:sz w:val="21"/>
                <w:szCs w:val="21"/>
                <w:highlight w:val="none"/>
                <w:vertAlign w:val="subscript"/>
                <w:lang w:val="en-US" w:eastAsia="zh-CN"/>
              </w:rPr>
              <w:t>3</w:t>
            </w:r>
            <w:r>
              <w:rPr>
                <w:rFonts w:hint="eastAsia" w:ascii="Times New Roman" w:hAnsi="Times New Roman" w:eastAsia="宋体" w:cs="Times New Roman"/>
                <w:sz w:val="21"/>
                <w:szCs w:val="21"/>
                <w:highlight w:val="none"/>
                <w:lang w:val="en-US" w:eastAsia="zh-CN"/>
              </w:rPr>
              <w:t>-N</w:t>
            </w:r>
          </w:p>
        </w:tc>
        <w:tc>
          <w:tcPr>
            <w:tcW w:w="2135" w:type="dxa"/>
            <w:tcBorders>
              <w:tl2br w:val="nil"/>
              <w:tr2bl w:val="nil"/>
            </w:tcBorders>
            <w:noWrap w:val="0"/>
            <w:vAlign w:val="center"/>
          </w:tcPr>
          <w:p w14:paraId="6E59874B">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color w:val="auto"/>
                <w:sz w:val="21"/>
                <w:szCs w:val="21"/>
                <w:highlight w:val="none"/>
                <w:u w:val="none"/>
                <w:lang w:val="en-US" w:eastAsia="zh-CN"/>
              </w:rPr>
              <w:t>25</w:t>
            </w:r>
            <w:r>
              <w:rPr>
                <w:rFonts w:hint="eastAsia" w:ascii="Times New Roman" w:hAnsi="Times New Roman" w:eastAsia="宋体" w:cs="Times New Roman"/>
                <w:sz w:val="21"/>
                <w:szCs w:val="21"/>
                <w:highlight w:val="none"/>
                <w:lang w:val="en-US" w:eastAsia="zh-CN"/>
              </w:rPr>
              <w:t>mg/L</w:t>
            </w:r>
          </w:p>
        </w:tc>
      </w:tr>
      <w:tr w14:paraId="22B0F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2134" w:type="dxa"/>
            <w:vMerge w:val="continue"/>
            <w:tcBorders>
              <w:tl2br w:val="nil"/>
              <w:tr2bl w:val="nil"/>
            </w:tcBorders>
            <w:noWrap w:val="0"/>
            <w:vAlign w:val="center"/>
          </w:tcPr>
          <w:p w14:paraId="2A6DD2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4" w:type="dxa"/>
            <w:vMerge w:val="continue"/>
            <w:tcBorders>
              <w:tl2br w:val="nil"/>
              <w:tr2bl w:val="nil"/>
            </w:tcBorders>
            <w:noWrap w:val="0"/>
            <w:vAlign w:val="center"/>
          </w:tcPr>
          <w:p w14:paraId="72B4B9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highlight w:val="none"/>
                <w:lang w:val="en-US" w:eastAsia="zh-CN"/>
              </w:rPr>
            </w:pPr>
          </w:p>
        </w:tc>
        <w:tc>
          <w:tcPr>
            <w:tcW w:w="2135" w:type="dxa"/>
            <w:tcBorders>
              <w:tl2br w:val="nil"/>
              <w:tr2bl w:val="nil"/>
            </w:tcBorders>
            <w:noWrap w:val="0"/>
            <w:vAlign w:val="center"/>
          </w:tcPr>
          <w:p w14:paraId="11520DF8">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TP</w:t>
            </w:r>
          </w:p>
        </w:tc>
        <w:tc>
          <w:tcPr>
            <w:tcW w:w="2135" w:type="dxa"/>
            <w:tcBorders>
              <w:tl2br w:val="nil"/>
              <w:tr2bl w:val="nil"/>
            </w:tcBorders>
            <w:noWrap w:val="0"/>
            <w:vAlign w:val="center"/>
          </w:tcPr>
          <w:p w14:paraId="0FFC25B1">
            <w:pPr>
              <w:pStyle w:val="72"/>
              <w:keepNext w:val="0"/>
              <w:keepLines w:val="0"/>
              <w:pageBreakBefore w:val="0"/>
              <w:widowControl w:val="0"/>
              <w:kinsoku/>
              <w:wordWrap/>
              <w:overflowPunct/>
              <w:topLinePunct w:val="0"/>
              <w:autoSpaceDE/>
              <w:autoSpaceDN/>
              <w:bidi w:val="0"/>
              <w:adjustRightInd/>
              <w:snapToGrid/>
              <w:spacing w:after="0"/>
              <w:ind w:right="113" w:rightChars="0" w:firstLine="0" w:firstLineChars="0"/>
              <w:textAlignment w:val="auto"/>
              <w:rPr>
                <w:rFonts w:hint="eastAsia"/>
                <w:sz w:val="21"/>
                <w:szCs w:val="21"/>
                <w:highlight w:val="none"/>
                <w:lang w:val="en-US" w:eastAsia="zh-CN"/>
              </w:rPr>
            </w:pPr>
            <w:r>
              <w:rPr>
                <w:rFonts w:hint="eastAsia"/>
                <w:color w:val="auto"/>
                <w:sz w:val="21"/>
                <w:szCs w:val="21"/>
                <w:highlight w:val="none"/>
                <w:u w:val="none"/>
                <w:lang w:val="en-US" w:eastAsia="zh-CN"/>
              </w:rPr>
              <w:t>3.0</w:t>
            </w:r>
            <w:r>
              <w:rPr>
                <w:rFonts w:hint="eastAsia" w:ascii="Times New Roman" w:hAnsi="Times New Roman" w:eastAsia="宋体" w:cs="Times New Roman"/>
                <w:sz w:val="21"/>
                <w:szCs w:val="21"/>
                <w:highlight w:val="none"/>
                <w:lang w:val="en-US" w:eastAsia="zh-CN"/>
              </w:rPr>
              <w:t>mg/L</w:t>
            </w:r>
          </w:p>
        </w:tc>
      </w:tr>
    </w:tbl>
    <w:p w14:paraId="2521F575">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（3）纳污水体水文参数</w:t>
      </w:r>
    </w:p>
    <w:p w14:paraId="7AD87939">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根据《南岳区城镇污水收集处理及配套设施建设项目（厂区部分）环境影响报告表》中的地表水环境影响专项评价内容以及</w:t>
      </w:r>
      <w:r>
        <w:rPr>
          <w:rFonts w:hint="default" w:ascii="Times New Roman" w:hAnsi="Times New Roman" w:eastAsia="宋体" w:cs="Times New Roman"/>
          <w:sz w:val="24"/>
          <w:szCs w:val="24"/>
          <w:highlight w:val="none"/>
          <w:lang w:val="en-US" w:eastAsia="zh-CN"/>
        </w:rPr>
        <w:t>《湖南省衡阳市水资源综合规划报告》（2020~2035）</w:t>
      </w:r>
      <w:r>
        <w:rPr>
          <w:rFonts w:hint="eastAsia" w:ascii="Times New Roman" w:hAnsi="Times New Roman" w:eastAsia="宋体" w:cs="Times New Roman"/>
          <w:sz w:val="24"/>
          <w:szCs w:val="24"/>
          <w:highlight w:val="none"/>
          <w:lang w:val="en-US" w:eastAsia="zh-CN"/>
        </w:rPr>
        <w:t>对龙荫港的水文参数描述。本次论证报告纳污水体水文参数详见下表6.1-2。</w:t>
      </w:r>
    </w:p>
    <w:p w14:paraId="28AD5E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表6.1-2 龙荫港水文资料一览表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12"/>
        <w:gridCol w:w="1254"/>
        <w:gridCol w:w="1421"/>
        <w:gridCol w:w="1532"/>
        <w:gridCol w:w="1332"/>
        <w:gridCol w:w="1155"/>
        <w:gridCol w:w="845"/>
      </w:tblGrid>
      <w:tr w14:paraId="28457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15" w:hRule="atLeast"/>
          <w:jc w:val="center"/>
        </w:trPr>
        <w:tc>
          <w:tcPr>
            <w:tcW w:w="1112" w:type="dxa"/>
            <w:tcBorders>
              <w:tl2br w:val="nil"/>
              <w:tr2bl w:val="nil"/>
            </w:tcBorders>
            <w:noWrap w:val="0"/>
            <w:vAlign w:val="center"/>
          </w:tcPr>
          <w:p w14:paraId="41AA87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水系</w:t>
            </w:r>
          </w:p>
        </w:tc>
        <w:tc>
          <w:tcPr>
            <w:tcW w:w="1254" w:type="dxa"/>
            <w:tcBorders>
              <w:tl2br w:val="nil"/>
              <w:tr2bl w:val="nil"/>
            </w:tcBorders>
            <w:noWrap w:val="0"/>
            <w:vAlign w:val="center"/>
          </w:tcPr>
          <w:p w14:paraId="37B3C1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90%保证率时段</w:t>
            </w:r>
          </w:p>
        </w:tc>
        <w:tc>
          <w:tcPr>
            <w:tcW w:w="1421" w:type="dxa"/>
            <w:tcBorders>
              <w:tl2br w:val="nil"/>
              <w:tr2bl w:val="nil"/>
            </w:tcBorders>
            <w:noWrap w:val="0"/>
            <w:vAlign w:val="center"/>
          </w:tcPr>
          <w:p w14:paraId="4D45A3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u流速（m/s）</w:t>
            </w:r>
          </w:p>
        </w:tc>
        <w:tc>
          <w:tcPr>
            <w:tcW w:w="1532" w:type="dxa"/>
            <w:tcBorders>
              <w:tl2br w:val="nil"/>
              <w:tr2bl w:val="nil"/>
            </w:tcBorders>
            <w:noWrap w:val="0"/>
            <w:vAlign w:val="center"/>
          </w:tcPr>
          <w:p w14:paraId="25DC3E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Q平均流量（m</w:t>
            </w:r>
            <w:r>
              <w:rPr>
                <w:rFonts w:hint="eastAsia" w:ascii="Times New Roman" w:hAnsi="Times New Roman" w:eastAsia="宋体" w:cs="Times New Roman"/>
                <w:b w:val="0"/>
                <w:bCs w:val="0"/>
                <w:sz w:val="21"/>
                <w:szCs w:val="21"/>
                <w:highlight w:val="none"/>
                <w:u w:val="none"/>
                <w:vertAlign w:val="superscript"/>
                <w:lang w:val="en-US" w:eastAsia="zh-CN"/>
              </w:rPr>
              <w:t>3</w:t>
            </w:r>
            <w:r>
              <w:rPr>
                <w:rFonts w:hint="eastAsia" w:ascii="Times New Roman" w:hAnsi="Times New Roman" w:eastAsia="宋体" w:cs="Times New Roman"/>
                <w:b w:val="0"/>
                <w:bCs w:val="0"/>
                <w:sz w:val="21"/>
                <w:szCs w:val="21"/>
                <w:highlight w:val="none"/>
                <w:u w:val="none"/>
                <w:vertAlign w:val="baseline"/>
                <w:lang w:val="en-US" w:eastAsia="zh-CN"/>
              </w:rPr>
              <w:t>/s）</w:t>
            </w:r>
          </w:p>
        </w:tc>
        <w:tc>
          <w:tcPr>
            <w:tcW w:w="1332" w:type="dxa"/>
            <w:tcBorders>
              <w:tl2br w:val="nil"/>
              <w:tr2bl w:val="nil"/>
            </w:tcBorders>
            <w:noWrap w:val="0"/>
            <w:vAlign w:val="center"/>
          </w:tcPr>
          <w:p w14:paraId="3B3D0C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B平均河宽（m）</w:t>
            </w:r>
          </w:p>
        </w:tc>
        <w:tc>
          <w:tcPr>
            <w:tcW w:w="1155" w:type="dxa"/>
            <w:tcBorders>
              <w:tl2br w:val="nil"/>
              <w:tr2bl w:val="nil"/>
            </w:tcBorders>
            <w:noWrap w:val="0"/>
            <w:vAlign w:val="center"/>
          </w:tcPr>
          <w:p w14:paraId="0ACFF1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h平均水深（m）</w:t>
            </w:r>
          </w:p>
        </w:tc>
        <w:tc>
          <w:tcPr>
            <w:tcW w:w="845" w:type="dxa"/>
            <w:tcBorders>
              <w:tl2br w:val="nil"/>
              <w:tr2bl w:val="nil"/>
            </w:tcBorders>
            <w:noWrap w:val="0"/>
            <w:vAlign w:val="center"/>
          </w:tcPr>
          <w:p w14:paraId="54F767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zh-CN" w:eastAsia="zh-CN"/>
              </w:rPr>
              <w:t>I</w:t>
            </w:r>
            <w:r>
              <w:rPr>
                <w:rFonts w:hint="eastAsia" w:ascii="Times New Roman" w:hAnsi="Times New Roman" w:eastAsia="宋体" w:cs="Times New Roman"/>
                <w:b w:val="0"/>
                <w:bCs w:val="0"/>
                <w:sz w:val="21"/>
                <w:szCs w:val="21"/>
                <w:highlight w:val="none"/>
                <w:u w:val="none"/>
                <w:vertAlign w:val="baseline"/>
                <w:lang w:val="en-US" w:eastAsia="zh-CN"/>
              </w:rPr>
              <w:t>水力坡降（</w:t>
            </w: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ascii="Times New Roman" w:hAnsi="Times New Roman" w:eastAsia="宋体" w:cs="Times New Roman"/>
                <w:b w:val="0"/>
                <w:bCs w:val="0"/>
                <w:sz w:val="21"/>
                <w:szCs w:val="21"/>
                <w:highlight w:val="none"/>
                <w:u w:val="none"/>
                <w:vertAlign w:val="baseline"/>
                <w:lang w:val="en-US" w:eastAsia="zh-CN"/>
              </w:rPr>
              <w:t>）</w:t>
            </w:r>
          </w:p>
        </w:tc>
      </w:tr>
      <w:tr w14:paraId="5A5EE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17" w:hRule="atLeast"/>
          <w:jc w:val="center"/>
        </w:trPr>
        <w:tc>
          <w:tcPr>
            <w:tcW w:w="1112" w:type="dxa"/>
            <w:tcBorders>
              <w:tl2br w:val="nil"/>
              <w:tr2bl w:val="nil"/>
            </w:tcBorders>
            <w:noWrap w:val="0"/>
            <w:vAlign w:val="center"/>
          </w:tcPr>
          <w:p w14:paraId="227D04D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湘江龙荫港</w:t>
            </w:r>
          </w:p>
        </w:tc>
        <w:tc>
          <w:tcPr>
            <w:tcW w:w="1254" w:type="dxa"/>
            <w:tcBorders>
              <w:tl2br w:val="nil"/>
              <w:tr2bl w:val="nil"/>
            </w:tcBorders>
            <w:noWrap w:val="0"/>
            <w:vAlign w:val="center"/>
          </w:tcPr>
          <w:p w14:paraId="192F54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枯水期</w:t>
            </w:r>
          </w:p>
        </w:tc>
        <w:tc>
          <w:tcPr>
            <w:tcW w:w="1421" w:type="dxa"/>
            <w:tcBorders>
              <w:tl2br w:val="nil"/>
              <w:tr2bl w:val="nil"/>
            </w:tcBorders>
            <w:noWrap w:val="0"/>
            <w:vAlign w:val="center"/>
          </w:tcPr>
          <w:p w14:paraId="09CF84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0.14</w:t>
            </w:r>
          </w:p>
        </w:tc>
        <w:tc>
          <w:tcPr>
            <w:tcW w:w="1532" w:type="dxa"/>
            <w:tcBorders>
              <w:tl2br w:val="nil"/>
              <w:tr2bl w:val="nil"/>
            </w:tcBorders>
            <w:noWrap w:val="0"/>
            <w:vAlign w:val="center"/>
          </w:tcPr>
          <w:p w14:paraId="568F53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1.03</w:t>
            </w:r>
          </w:p>
        </w:tc>
        <w:tc>
          <w:tcPr>
            <w:tcW w:w="1332" w:type="dxa"/>
            <w:tcBorders>
              <w:tl2br w:val="nil"/>
              <w:tr2bl w:val="nil"/>
            </w:tcBorders>
            <w:noWrap w:val="0"/>
            <w:vAlign w:val="center"/>
          </w:tcPr>
          <w:p w14:paraId="4B5CC6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14</w:t>
            </w:r>
          </w:p>
        </w:tc>
        <w:tc>
          <w:tcPr>
            <w:tcW w:w="1155" w:type="dxa"/>
            <w:tcBorders>
              <w:tl2br w:val="nil"/>
              <w:tr2bl w:val="nil"/>
            </w:tcBorders>
            <w:noWrap w:val="0"/>
            <w:vAlign w:val="center"/>
          </w:tcPr>
          <w:p w14:paraId="2EE4C2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0.2</w:t>
            </w:r>
          </w:p>
        </w:tc>
        <w:tc>
          <w:tcPr>
            <w:tcW w:w="845" w:type="dxa"/>
            <w:tcBorders>
              <w:tl2br w:val="nil"/>
              <w:tr2bl w:val="nil"/>
            </w:tcBorders>
            <w:noWrap w:val="0"/>
            <w:vAlign w:val="center"/>
          </w:tcPr>
          <w:p w14:paraId="2A0ABC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69</w:t>
            </w:r>
          </w:p>
        </w:tc>
      </w:tr>
      <w:tr w14:paraId="48F5E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8651" w:type="dxa"/>
            <w:gridSpan w:val="7"/>
            <w:tcBorders>
              <w:tl2br w:val="nil"/>
              <w:tr2bl w:val="nil"/>
            </w:tcBorders>
            <w:noWrap w:val="0"/>
            <w:vAlign w:val="center"/>
          </w:tcPr>
          <w:p w14:paraId="252910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eastAsia" w:ascii="Times New Roman" w:hAnsi="Times New Roman" w:eastAsia="宋体" w:cs="Times New Roman"/>
                <w:b w:val="0"/>
                <w:bCs w:val="0"/>
                <w:sz w:val="21"/>
                <w:szCs w:val="21"/>
                <w:highlight w:val="none"/>
                <w:u w:val="none"/>
                <w:vertAlign w:val="baseline"/>
                <w:lang w:val="en-US" w:eastAsia="zh-CN"/>
              </w:rPr>
              <w:t>注：龙荫港枯水期水文资料来源于《南岳区城镇污水收集处理及配套设施建设项目（厂区部分）环境影响报告表》中的地表水环境影响专项评价内容；水力坡降来源于《湖南省衡阳市水资源综合规划报告》（2020~2035）。</w:t>
            </w:r>
          </w:p>
        </w:tc>
      </w:tr>
      <w:bookmarkEnd w:id="90"/>
      <w:bookmarkEnd w:id="91"/>
    </w:tbl>
    <w:p w14:paraId="2D11A7D6">
      <w:pPr>
        <w:pStyle w:val="6"/>
        <w:bidi w:val="0"/>
        <w:rPr>
          <w:rFonts w:hint="default"/>
          <w:highlight w:val="none"/>
          <w:lang w:val="en-US" w:eastAsia="zh-CN"/>
        </w:rPr>
      </w:pPr>
      <w:r>
        <w:rPr>
          <w:rFonts w:hint="eastAsia"/>
          <w:highlight w:val="none"/>
          <w:lang w:val="en-US" w:eastAsia="zh-CN"/>
        </w:rPr>
        <w:t>6.1.3 混合过程段长度</w:t>
      </w:r>
    </w:p>
    <w:p w14:paraId="6C5E48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本次混合过程段长度计算采用《环境影响评价技术导则 地表水环境》（HJ2.3-2018）中E.1混合过程段长度估算公式：</w:t>
      </w:r>
    </w:p>
    <w:p w14:paraId="4889D8A9">
      <w:pPr>
        <w:rPr>
          <w:rFonts w:hint="default"/>
          <w:highlight w:val="none"/>
          <w:lang w:val="en-US" w:eastAsia="zh-CN"/>
        </w:rPr>
      </w:pPr>
      <w:r>
        <w:rPr>
          <w:color w:val="000000"/>
          <w:position w:val="-42"/>
          <w:highlight w:val="none"/>
          <w:u w:val="none" w:color="auto"/>
        </w:rPr>
        <w:object>
          <v:shape id="_x0000_i1028" o:spt="75" type="#_x0000_t75" style="height:50.3pt;width:277.15pt;" o:ole="t" filled="f" o:preferrelative="t" stroked="f" coordsize="21600,21600">
            <v:path/>
            <v:fill on="f" focussize="0,0"/>
            <v:stroke on="f"/>
            <v:imagedata r:id="rId38" o:title=""/>
            <o:lock v:ext="edit" aspectratio="t"/>
            <w10:wrap type="none"/>
            <w10:anchorlock/>
          </v:shape>
          <o:OLEObject Type="Embed" ProgID="Equation.KSEE3" ShapeID="_x0000_i1028" DrawAspect="Content" ObjectID="_1468075728" r:id="rId37">
            <o:LockedField>false</o:LockedField>
          </o:OLEObject>
        </w:object>
      </w:r>
    </w:p>
    <w:p w14:paraId="47ADAA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式中：</w:t>
      </w:r>
      <w:r>
        <w:rPr>
          <w:rFonts w:hint="default" w:ascii="Times New Roman" w:hAnsi="Times New Roman" w:eastAsia="宋体" w:cs="Times New Roman"/>
          <w:color w:val="000000"/>
          <w:sz w:val="24"/>
          <w:szCs w:val="24"/>
          <w:highlight w:val="none"/>
          <w:lang w:val="en-US" w:eastAsia="zh-CN"/>
        </w:rPr>
        <w:t>Lm——混合段长度，m；</w:t>
      </w:r>
    </w:p>
    <w:p w14:paraId="7EBB30D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B——水面宽度，</w:t>
      </w:r>
      <w:r>
        <w:rPr>
          <w:rFonts w:hint="eastAsia" w:ascii="Times New Roman" w:hAnsi="Times New Roman" w:eastAsia="宋体" w:cs="Times New Roman"/>
          <w:color w:val="000000"/>
          <w:sz w:val="24"/>
          <w:szCs w:val="24"/>
          <w:highlight w:val="none"/>
          <w:lang w:val="en-US" w:eastAsia="zh-CN"/>
        </w:rPr>
        <w:t>14</w:t>
      </w:r>
      <w:r>
        <w:rPr>
          <w:rFonts w:hint="default" w:ascii="Times New Roman" w:hAnsi="Times New Roman" w:eastAsia="宋体" w:cs="Times New Roman"/>
          <w:color w:val="000000"/>
          <w:sz w:val="24"/>
          <w:szCs w:val="24"/>
          <w:highlight w:val="none"/>
          <w:lang w:val="en-US" w:eastAsia="zh-CN"/>
        </w:rPr>
        <w:t>m；</w:t>
      </w:r>
    </w:p>
    <w:p w14:paraId="6734EFCE">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a——排放口到岸边的距离，m；本项目为岸边排放，取0m；</w:t>
      </w:r>
    </w:p>
    <w:p w14:paraId="235E3B1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u——断面流速，</w:t>
      </w:r>
      <w:r>
        <w:rPr>
          <w:rFonts w:hint="eastAsia" w:ascii="Times New Roman" w:hAnsi="Times New Roman" w:eastAsia="宋体" w:cs="Times New Roman"/>
          <w:color w:val="000000"/>
          <w:sz w:val="24"/>
          <w:szCs w:val="24"/>
          <w:highlight w:val="none"/>
          <w:lang w:val="en-US" w:eastAsia="zh-CN"/>
        </w:rPr>
        <w:t>0.14</w:t>
      </w:r>
      <w:r>
        <w:rPr>
          <w:rFonts w:hint="default" w:ascii="Times New Roman" w:hAnsi="Times New Roman" w:eastAsia="宋体" w:cs="Times New Roman"/>
          <w:color w:val="000000"/>
          <w:sz w:val="24"/>
          <w:szCs w:val="24"/>
          <w:highlight w:val="none"/>
          <w:lang w:val="en-US" w:eastAsia="zh-CN"/>
        </w:rPr>
        <w:t>m/s；</w:t>
      </w:r>
    </w:p>
    <w:p w14:paraId="7BF9E6F0">
      <w:pPr>
        <w:ind w:firstLine="1200" w:firstLineChars="500"/>
        <w:jc w:val="both"/>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000000"/>
          <w:sz w:val="24"/>
          <w:szCs w:val="24"/>
          <w:highlight w:val="none"/>
          <w:lang w:val="en-US" w:eastAsia="zh-CN"/>
        </w:rPr>
        <w:t>Ey——污染物横向扩散系数，</w:t>
      </w:r>
      <w:r>
        <w:rPr>
          <w:rFonts w:hint="eastAsia" w:ascii="Times New Roman" w:hAnsi="Times New Roman" w:eastAsia="宋体" w:cs="Times New Roman"/>
          <w:color w:val="000000"/>
          <w:sz w:val="24"/>
          <w:szCs w:val="24"/>
          <w:highlight w:val="none"/>
          <w:lang w:val="en-US" w:eastAsia="zh-CN"/>
        </w:rPr>
        <w:t>0.038</w:t>
      </w:r>
      <w:r>
        <w:rPr>
          <w:rFonts w:hint="default" w:ascii="Times New Roman" w:hAnsi="Times New Roman" w:eastAsia="宋体" w:cs="Times New Roman"/>
          <w:color w:val="000000"/>
          <w:sz w:val="24"/>
          <w:szCs w:val="24"/>
          <w:highlight w:val="none"/>
          <w:lang w:val="en-US" w:eastAsia="zh-CN"/>
        </w:rPr>
        <w:t>m</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color w:val="000000"/>
          <w:sz w:val="24"/>
          <w:szCs w:val="24"/>
          <w:highlight w:val="none"/>
          <w:lang w:val="en-US" w:eastAsia="zh-CN"/>
        </w:rPr>
        <w:t>/s。</w:t>
      </w:r>
      <w:r>
        <w:rPr>
          <w:rFonts w:hint="default" w:ascii="Times New Roman" w:hAnsi="Times New Roman" w:eastAsia="宋体" w:cs="Times New Roman"/>
          <w:color w:val="auto"/>
          <w:sz w:val="24"/>
          <w:szCs w:val="24"/>
          <w:highlight w:val="none"/>
          <w:u w:val="none"/>
        </w:rPr>
        <w:t>E</w:t>
      </w:r>
      <w:r>
        <w:rPr>
          <w:rFonts w:hint="default" w:ascii="Times New Roman" w:hAnsi="Times New Roman" w:eastAsia="宋体" w:cs="Times New Roman"/>
          <w:color w:val="auto"/>
          <w:sz w:val="24"/>
          <w:szCs w:val="24"/>
          <w:highlight w:val="none"/>
          <w:u w:val="none"/>
          <w:lang w:val="en-US" w:eastAsia="zh-CN"/>
        </w:rPr>
        <w:t>y</w:t>
      </w:r>
      <w:r>
        <w:rPr>
          <w:rFonts w:hint="default" w:ascii="Times New Roman" w:hAnsi="Times New Roman" w:eastAsia="宋体" w:cs="Times New Roman"/>
          <w:color w:val="auto"/>
          <w:sz w:val="24"/>
          <w:szCs w:val="24"/>
          <w:highlight w:val="none"/>
          <w:u w:val="none"/>
          <w:lang w:eastAsia="zh-CN"/>
        </w:rPr>
        <w:t>采用</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水域纳污能力计算规程</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GB/T25173-2010</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中经验公式估算中的</w:t>
      </w:r>
      <w:r>
        <w:rPr>
          <w:rFonts w:hint="default" w:ascii="Times New Roman" w:hAnsi="Times New Roman" w:eastAsia="宋体" w:cs="Times New Roman"/>
          <w:color w:val="auto"/>
          <w:sz w:val="24"/>
          <w:szCs w:val="24"/>
          <w:highlight w:val="none"/>
          <w:u w:val="none"/>
          <w:lang w:eastAsia="zh-CN"/>
        </w:rPr>
        <w:t>泰勒（</w:t>
      </w:r>
      <w:r>
        <w:rPr>
          <w:rFonts w:hint="default" w:ascii="Times New Roman" w:hAnsi="Times New Roman" w:eastAsia="宋体" w:cs="Times New Roman"/>
          <w:color w:val="auto"/>
          <w:sz w:val="24"/>
          <w:szCs w:val="24"/>
          <w:highlight w:val="none"/>
          <w:u w:val="none"/>
          <w:lang w:val="en-US" w:eastAsia="zh-CN"/>
        </w:rPr>
        <w:t>Taylor</w:t>
      </w:r>
      <w:r>
        <w:rPr>
          <w:rFonts w:hint="default" w:ascii="Times New Roman" w:hAnsi="Times New Roman" w:eastAsia="宋体" w:cs="Times New Roman"/>
          <w:color w:val="auto"/>
          <w:sz w:val="24"/>
          <w:szCs w:val="24"/>
          <w:highlight w:val="none"/>
          <w:u w:val="none"/>
          <w:lang w:eastAsia="zh-CN"/>
        </w:rPr>
        <w:t>）法求得：</w:t>
      </w:r>
    </w:p>
    <w:p w14:paraId="19EE3C17">
      <w:pPr>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480" w:firstLineChars="200"/>
        <w:jc w:val="center"/>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position w:val="-14"/>
          <w:sz w:val="24"/>
          <w:szCs w:val="24"/>
          <w:highlight w:val="none"/>
          <w:u w:val="none"/>
          <w:lang w:eastAsia="zh-CN"/>
        </w:rPr>
        <w:object>
          <v:shape id="_x0000_i1029" o:spt="75" type="#_x0000_t75" style="height:23pt;width:189.7pt;" o:ole="t" filled="f" o:preferrelative="t" stroked="f" coordsize="21600,21600">
            <v:path/>
            <v:fill on="f" focussize="0,0"/>
            <v:stroke on="f"/>
            <v:imagedata r:id="rId40" o:title=""/>
            <o:lock v:ext="edit" aspectratio="t"/>
            <w10:wrap type="none"/>
            <w10:anchorlock/>
          </v:shape>
          <o:OLEObject Type="Embed" ProgID="Equation.KSEE3" ShapeID="_x0000_i1029" DrawAspect="Content" ObjectID="_1468075729" r:id="rId39">
            <o:LockedField>false</o:LockedField>
          </o:OLEObject>
        </w:object>
      </w:r>
    </w:p>
    <w:p w14:paraId="7635F19E">
      <w:pPr>
        <w:pStyle w:val="2"/>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u w:val="none"/>
          <w:lang w:val="zh-CN" w:eastAsia="zh-CN" w:bidi="zh-CN"/>
        </w:rPr>
      </w:pPr>
      <w:r>
        <w:rPr>
          <w:rFonts w:hint="default" w:ascii="Times New Roman" w:hAnsi="Times New Roman" w:eastAsia="宋体" w:cs="Times New Roman"/>
          <w:color w:val="auto"/>
          <w:sz w:val="24"/>
          <w:szCs w:val="24"/>
          <w:highlight w:val="none"/>
          <w:u w:val="none"/>
          <w:lang w:val="zh-CN" w:eastAsia="zh-CN" w:bidi="zh-CN"/>
        </w:rPr>
        <w:t>式中：g</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u w:val="none"/>
          <w:lang w:val="zh-CN" w:eastAsia="zh-CN" w:bidi="zh-CN"/>
        </w:rPr>
        <w:t>重力加速度，9.8m/s</w:t>
      </w:r>
      <w:r>
        <w:rPr>
          <w:rFonts w:hint="default" w:ascii="Times New Roman" w:hAnsi="Times New Roman" w:eastAsia="宋体" w:cs="Times New Roman"/>
          <w:color w:val="auto"/>
          <w:sz w:val="24"/>
          <w:szCs w:val="24"/>
          <w:highlight w:val="none"/>
          <w:u w:val="none"/>
          <w:vertAlign w:val="superscript"/>
          <w:lang w:val="zh-CN" w:eastAsia="zh-CN" w:bidi="zh-CN"/>
        </w:rPr>
        <w:t>2</w:t>
      </w:r>
      <w:r>
        <w:rPr>
          <w:rFonts w:hint="default" w:ascii="Times New Roman" w:hAnsi="Times New Roman" w:eastAsia="宋体" w:cs="Times New Roman"/>
          <w:color w:val="auto"/>
          <w:sz w:val="24"/>
          <w:szCs w:val="24"/>
          <w:highlight w:val="none"/>
          <w:u w:val="none"/>
          <w:lang w:val="zh-CN" w:eastAsia="zh-CN" w:bidi="zh-CN"/>
        </w:rPr>
        <w:t>；</w:t>
      </w:r>
    </w:p>
    <w:p w14:paraId="2B0A52E6">
      <w:pPr>
        <w:pStyle w:val="2"/>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left="0" w:leftChars="0" w:right="0" w:firstLine="1200" w:firstLineChars="500"/>
        <w:jc w:val="left"/>
        <w:textAlignment w:val="auto"/>
        <w:rPr>
          <w:rFonts w:hint="default" w:ascii="Times New Roman" w:hAnsi="Times New Roman" w:eastAsia="宋体" w:cs="Times New Roman"/>
          <w:color w:val="auto"/>
          <w:sz w:val="24"/>
          <w:szCs w:val="24"/>
          <w:highlight w:val="none"/>
          <w:u w:val="none"/>
          <w:lang w:val="zh-CN" w:eastAsia="zh-CN" w:bidi="zh-CN"/>
        </w:rPr>
      </w:pPr>
      <w:r>
        <w:rPr>
          <w:rFonts w:hint="default" w:ascii="Times New Roman" w:hAnsi="Times New Roman" w:eastAsia="宋体" w:cs="Times New Roman"/>
          <w:color w:val="auto"/>
          <w:sz w:val="24"/>
          <w:szCs w:val="24"/>
          <w:highlight w:val="none"/>
          <w:u w:val="none"/>
          <w:lang w:val="zh-CN" w:eastAsia="zh-CN" w:bidi="zh-CN"/>
        </w:rPr>
        <w:t>I</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u w:val="none"/>
          <w:lang w:val="zh-CN" w:eastAsia="zh-CN" w:bidi="zh-CN"/>
        </w:rPr>
        <w:t>河流底坡或地面坡度，</w:t>
      </w:r>
      <w:r>
        <w:rPr>
          <w:rFonts w:hint="eastAsia" w:ascii="Times New Roman" w:hAnsi="Times New Roman" w:eastAsia="宋体" w:cs="Times New Roman"/>
          <w:color w:val="auto"/>
          <w:sz w:val="24"/>
          <w:szCs w:val="24"/>
          <w:highlight w:val="none"/>
          <w:u w:val="none"/>
          <w:lang w:val="en-US" w:eastAsia="zh-CN" w:bidi="zh-CN"/>
        </w:rPr>
        <w:t>69</w:t>
      </w:r>
      <w:r>
        <w:rPr>
          <w:rFonts w:hint="default" w:ascii="Times New Roman" w:hAnsi="Times New Roman" w:cs="Times New Roman"/>
          <w:b w:val="0"/>
          <w:bCs w:val="0"/>
          <w:sz w:val="21"/>
          <w:szCs w:val="21"/>
          <w:highlight w:val="none"/>
        </w:rPr>
        <w:t>‰</w:t>
      </w:r>
      <w:r>
        <w:rPr>
          <w:rFonts w:hint="default" w:ascii="Times New Roman" w:hAnsi="Times New Roman" w:eastAsia="宋体" w:cs="Times New Roman"/>
          <w:color w:val="auto"/>
          <w:sz w:val="24"/>
          <w:szCs w:val="24"/>
          <w:highlight w:val="none"/>
          <w:u w:val="none"/>
          <w:lang w:val="zh-CN" w:eastAsia="zh-CN" w:bidi="zh-CN"/>
        </w:rPr>
        <w:t>无量纲；</w:t>
      </w:r>
    </w:p>
    <w:p w14:paraId="28950A86">
      <w:pPr>
        <w:keepNext w:val="0"/>
        <w:keepLines w:val="0"/>
        <w:pageBreakBefore w:val="0"/>
        <w:widowControl w:val="0"/>
        <w:kinsoku/>
        <w:wordWrap/>
        <w:overflowPunct/>
        <w:topLinePunct w:val="0"/>
        <w:autoSpaceDE w:val="0"/>
        <w:autoSpaceDN w:val="0"/>
        <w:bidi w:val="0"/>
        <w:adjustRightInd/>
        <w:snapToGrid w:val="0"/>
        <w:spacing w:line="360" w:lineRule="auto"/>
        <w:ind w:left="0" w:leftChars="0" w:right="0" w:firstLine="1200" w:firstLineChars="500"/>
        <w:jc w:val="left"/>
        <w:textAlignment w:val="auto"/>
        <w:rPr>
          <w:rFonts w:hint="default" w:ascii="Times New Roman" w:hAnsi="Times New Roman" w:eastAsia="宋体" w:cs="Times New Roman"/>
          <w:color w:val="auto"/>
          <w:sz w:val="24"/>
          <w:szCs w:val="24"/>
          <w:highlight w:val="none"/>
          <w:u w:val="none"/>
          <w:lang w:val="en-US" w:eastAsia="zh-CN" w:bidi="zh-CN"/>
        </w:rPr>
      </w:pPr>
      <w:r>
        <w:rPr>
          <w:rFonts w:hint="default" w:ascii="Times New Roman" w:hAnsi="Times New Roman" w:eastAsia="宋体" w:cs="Times New Roman"/>
          <w:color w:val="auto"/>
          <w:sz w:val="24"/>
          <w:szCs w:val="24"/>
          <w:highlight w:val="none"/>
          <w:u w:val="none"/>
          <w:lang w:val="en-US" w:eastAsia="zh-CN" w:bidi="zh-CN"/>
        </w:rPr>
        <w:t>H</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u w:val="none"/>
          <w:lang w:val="en-US" w:eastAsia="zh-CN" w:bidi="zh-CN"/>
        </w:rPr>
        <w:t>平均水深，</w:t>
      </w:r>
      <w:r>
        <w:rPr>
          <w:rFonts w:hint="eastAsia" w:ascii="Times New Roman" w:hAnsi="Times New Roman" w:eastAsia="宋体" w:cs="Times New Roman"/>
          <w:color w:val="auto"/>
          <w:sz w:val="24"/>
          <w:szCs w:val="24"/>
          <w:highlight w:val="none"/>
          <w:u w:val="none"/>
          <w:lang w:val="en-US" w:eastAsia="zh-CN" w:bidi="zh-CN"/>
        </w:rPr>
        <w:t>0.2</w:t>
      </w:r>
      <w:r>
        <w:rPr>
          <w:rFonts w:hint="default" w:ascii="Times New Roman" w:hAnsi="Times New Roman" w:eastAsia="宋体" w:cs="Times New Roman"/>
          <w:color w:val="auto"/>
          <w:sz w:val="24"/>
          <w:szCs w:val="24"/>
          <w:highlight w:val="none"/>
          <w:u w:val="none"/>
          <w:lang w:val="en-US" w:eastAsia="zh-CN" w:bidi="zh-CN"/>
        </w:rPr>
        <w:t>m；</w:t>
      </w:r>
    </w:p>
    <w:p w14:paraId="184510F7">
      <w:pPr>
        <w:keepNext w:val="0"/>
        <w:keepLines w:val="0"/>
        <w:pageBreakBefore w:val="0"/>
        <w:widowControl w:val="0"/>
        <w:kinsoku/>
        <w:wordWrap/>
        <w:overflowPunct/>
        <w:topLinePunct w:val="0"/>
        <w:autoSpaceDE/>
        <w:autoSpaceDN/>
        <w:bidi w:val="0"/>
        <w:adjustRightInd w:val="0"/>
        <w:snapToGrid w:val="0"/>
        <w:ind w:right="0"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bidi="zh-CN"/>
        </w:rPr>
        <w:t>B</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u w:val="none"/>
          <w:lang w:val="en-US" w:eastAsia="zh-CN" w:bidi="zh-CN"/>
        </w:rPr>
        <w:t>河流宽度，</w:t>
      </w:r>
      <w:r>
        <w:rPr>
          <w:rFonts w:hint="eastAsia" w:ascii="Times New Roman" w:hAnsi="Times New Roman" w:eastAsia="宋体" w:cs="Times New Roman"/>
          <w:color w:val="auto"/>
          <w:sz w:val="24"/>
          <w:szCs w:val="24"/>
          <w:highlight w:val="none"/>
          <w:u w:val="none"/>
          <w:lang w:val="en-US" w:eastAsia="zh-CN" w:bidi="zh-CN"/>
        </w:rPr>
        <w:t>14</w:t>
      </w:r>
      <w:r>
        <w:rPr>
          <w:rFonts w:hint="default" w:ascii="Times New Roman" w:hAnsi="Times New Roman" w:eastAsia="宋体" w:cs="Times New Roman"/>
          <w:color w:val="auto"/>
          <w:sz w:val="24"/>
          <w:szCs w:val="24"/>
          <w:highlight w:val="none"/>
          <w:u w:val="none"/>
          <w:lang w:val="en-US" w:eastAsia="zh-CN" w:bidi="zh-CN"/>
        </w:rPr>
        <w:t>m。</w:t>
      </w:r>
    </w:p>
    <w:p w14:paraId="7D285FC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经计算混合长度为</w:t>
      </w:r>
      <w:r>
        <w:rPr>
          <w:rFonts w:hint="eastAsia" w:ascii="Times New Roman" w:hAnsi="Times New Roman" w:eastAsia="宋体" w:cs="Times New Roman"/>
          <w:color w:val="000000"/>
          <w:sz w:val="24"/>
          <w:szCs w:val="24"/>
          <w:highlight w:val="none"/>
          <w:lang w:val="en-US" w:eastAsia="zh-CN"/>
        </w:rPr>
        <w:t>319.2</w:t>
      </w:r>
      <w:r>
        <w:rPr>
          <w:rFonts w:hint="default" w:ascii="Times New Roman" w:hAnsi="Times New Roman" w:eastAsia="宋体" w:cs="Times New Roman"/>
          <w:color w:val="000000"/>
          <w:sz w:val="24"/>
          <w:szCs w:val="24"/>
          <w:highlight w:val="none"/>
          <w:lang w:val="en-US" w:eastAsia="zh-CN"/>
        </w:rPr>
        <w:t>m，即</w:t>
      </w:r>
      <w:r>
        <w:rPr>
          <w:rFonts w:hint="eastAsia" w:cs="Times New Roman"/>
          <w:color w:val="000000"/>
          <w:sz w:val="24"/>
          <w:szCs w:val="24"/>
          <w:highlight w:val="none"/>
          <w:lang w:val="en-US" w:eastAsia="zh-CN"/>
        </w:rPr>
        <w:t>本入河排污口</w:t>
      </w:r>
      <w:r>
        <w:rPr>
          <w:rFonts w:hint="eastAsia" w:ascii="Times New Roman" w:hAnsi="Times New Roman" w:eastAsia="宋体" w:cs="Times New Roman"/>
          <w:color w:val="000000"/>
          <w:sz w:val="24"/>
          <w:szCs w:val="24"/>
          <w:highlight w:val="none"/>
          <w:lang w:val="en-US" w:eastAsia="zh-CN"/>
        </w:rPr>
        <w:t>尾水</w:t>
      </w:r>
      <w:r>
        <w:rPr>
          <w:rFonts w:hint="default" w:ascii="Times New Roman" w:hAnsi="Times New Roman" w:eastAsia="宋体" w:cs="Times New Roman"/>
          <w:color w:val="000000"/>
          <w:sz w:val="24"/>
          <w:szCs w:val="24"/>
          <w:highlight w:val="none"/>
          <w:lang w:val="en-US" w:eastAsia="zh-CN"/>
        </w:rPr>
        <w:t>排入</w:t>
      </w:r>
      <w:r>
        <w:rPr>
          <w:rFonts w:hint="eastAsia" w:ascii="Times New Roman" w:hAnsi="Times New Roman" w:eastAsia="宋体" w:cs="Times New Roman"/>
          <w:color w:val="000000"/>
          <w:sz w:val="24"/>
          <w:szCs w:val="24"/>
          <w:highlight w:val="none"/>
          <w:lang w:val="en-US" w:eastAsia="zh-CN"/>
        </w:rPr>
        <w:t>龙荫港</w:t>
      </w:r>
      <w:r>
        <w:rPr>
          <w:rFonts w:hint="default" w:ascii="Times New Roman" w:hAnsi="Times New Roman" w:eastAsia="宋体" w:cs="Times New Roman"/>
          <w:color w:val="000000"/>
          <w:sz w:val="24"/>
          <w:szCs w:val="24"/>
          <w:highlight w:val="none"/>
          <w:lang w:val="en-US" w:eastAsia="zh-CN"/>
        </w:rPr>
        <w:t>后，</w:t>
      </w:r>
      <w:r>
        <w:rPr>
          <w:rFonts w:hint="eastAsia" w:ascii="Times New Roman" w:hAnsi="Times New Roman" w:eastAsia="宋体" w:cs="Times New Roman"/>
          <w:color w:val="000000"/>
          <w:sz w:val="24"/>
          <w:szCs w:val="24"/>
          <w:highlight w:val="none"/>
          <w:lang w:val="en-US" w:eastAsia="zh-CN"/>
        </w:rPr>
        <w:t>距排污口</w:t>
      </w:r>
      <w:r>
        <w:rPr>
          <w:rFonts w:hint="default" w:ascii="Times New Roman" w:hAnsi="Times New Roman" w:eastAsia="宋体" w:cs="Times New Roman"/>
          <w:color w:val="000000"/>
          <w:sz w:val="24"/>
          <w:szCs w:val="24"/>
          <w:highlight w:val="none"/>
          <w:lang w:val="en-US" w:eastAsia="zh-CN"/>
        </w:rPr>
        <w:t>下游</w:t>
      </w:r>
      <w:r>
        <w:rPr>
          <w:rFonts w:hint="eastAsia" w:ascii="Times New Roman" w:hAnsi="Times New Roman" w:eastAsia="宋体" w:cs="Times New Roman"/>
          <w:color w:val="000000"/>
          <w:sz w:val="24"/>
          <w:szCs w:val="24"/>
          <w:highlight w:val="none"/>
          <w:lang w:val="en-US" w:eastAsia="zh-CN"/>
        </w:rPr>
        <w:t>319.2</w:t>
      </w:r>
      <w:r>
        <w:rPr>
          <w:rFonts w:hint="default" w:ascii="Times New Roman" w:hAnsi="Times New Roman" w:eastAsia="宋体" w:cs="Times New Roman"/>
          <w:color w:val="000000"/>
          <w:sz w:val="24"/>
          <w:szCs w:val="24"/>
          <w:highlight w:val="none"/>
          <w:lang w:val="en-US" w:eastAsia="zh-CN"/>
        </w:rPr>
        <w:t>m</w:t>
      </w:r>
      <w:r>
        <w:rPr>
          <w:rFonts w:hint="eastAsia" w:cs="Times New Roman"/>
          <w:color w:val="000000"/>
          <w:sz w:val="24"/>
          <w:szCs w:val="24"/>
          <w:highlight w:val="none"/>
          <w:lang w:val="en-US" w:eastAsia="zh-CN"/>
        </w:rPr>
        <w:t>污染物</w:t>
      </w:r>
      <w:r>
        <w:rPr>
          <w:rFonts w:hint="default" w:ascii="Times New Roman" w:hAnsi="Times New Roman" w:eastAsia="宋体" w:cs="Times New Roman"/>
          <w:color w:val="000000"/>
          <w:sz w:val="24"/>
          <w:szCs w:val="24"/>
          <w:highlight w:val="none"/>
          <w:lang w:val="en-US" w:eastAsia="zh-CN"/>
        </w:rPr>
        <w:t>能够达到完全混合。</w:t>
      </w:r>
    </w:p>
    <w:p w14:paraId="3EC888B5">
      <w:pPr>
        <w:pStyle w:val="6"/>
        <w:bidi w:val="0"/>
        <w:rPr>
          <w:rFonts w:hint="default"/>
          <w:highlight w:val="none"/>
          <w:lang w:val="en-US" w:eastAsia="zh-CN"/>
        </w:rPr>
      </w:pPr>
      <w:r>
        <w:rPr>
          <w:rFonts w:hint="eastAsia"/>
          <w:highlight w:val="none"/>
          <w:lang w:val="en-US" w:eastAsia="zh-CN"/>
        </w:rPr>
        <w:t>6.1.4 预测模型及预测结果</w:t>
      </w:r>
    </w:p>
    <w:p w14:paraId="1F007A5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（1）预测模型的选取</w:t>
      </w:r>
    </w:p>
    <w:p w14:paraId="2EB58E9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龙荫港论证河段多年平均流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量</w:t>
      </w:r>
      <w:r>
        <w:rPr>
          <w:rFonts w:hint="eastAsia" w:cs="Times New Roman"/>
          <w:color w:val="000000" w:themeColor="text1"/>
          <w:sz w:val="24"/>
          <w:szCs w:val="24"/>
          <w:highlight w:val="none"/>
          <w:u w:val="none"/>
          <w:lang w:val="en-US" w:eastAsia="zh-CN"/>
          <w14:textFill>
            <w14:solidFill>
              <w14:schemeClr w14:val="tx1"/>
            </w14:solidFill>
          </w14:textFill>
        </w:rPr>
        <w:t>小于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150m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/s</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，属小型河段。本次论证报告预测</w:t>
      </w:r>
      <w:r>
        <w:rPr>
          <w:rFonts w:hint="eastAsia" w:cs="Times New Roman"/>
          <w:color w:val="000000" w:themeColor="text1"/>
          <w:sz w:val="24"/>
          <w:szCs w:val="24"/>
          <w:highlight w:val="none"/>
          <w:u w:val="none"/>
          <w:lang w:val="en-US" w:eastAsia="zh-CN"/>
          <w14:textFill>
            <w14:solidFill>
              <w14:schemeClr w14:val="tx1"/>
            </w14:solidFill>
          </w14:textFill>
        </w:rPr>
        <w:t>评价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因子CODcr、NH</w:t>
      </w:r>
      <w:r>
        <w:rPr>
          <w:rFonts w:hint="eastAsia" w:ascii="Times New Roman" w:hAnsi="Times New Roman" w:eastAsia="宋体" w:cs="Times New Roman"/>
          <w:color w:val="000000" w:themeColor="text1"/>
          <w:sz w:val="24"/>
          <w:szCs w:val="24"/>
          <w:highlight w:val="none"/>
          <w:u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-N、TP为非持久污染物。采用</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《环境影响评价技术导则 地表水环境》（HJ2.3-2018）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附录E3.2.1公式，</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纵向一维数学模型（对流降解模型）</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707AE56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zh-CN" w:eastAsia="zh-CN"/>
        </w:rPr>
        <w:t>根据河流纵向一维水质模型方程的简化，</w:t>
      </w:r>
      <w:r>
        <w:rPr>
          <w:rFonts w:hint="eastAsia" w:ascii="Times New Roman" w:hAnsi="Times New Roman" w:eastAsia="宋体" w:cs="Times New Roman"/>
          <w:color w:val="000000"/>
          <w:sz w:val="24"/>
          <w:szCs w:val="24"/>
          <w:highlight w:val="none"/>
          <w:lang w:val="en-US" w:eastAsia="zh-CN"/>
        </w:rPr>
        <w:t>分类判别条件（即</w:t>
      </w:r>
      <w:r>
        <w:rPr>
          <w:rFonts w:hint="default" w:ascii="Times New Roman" w:hAnsi="Times New Roman" w:eastAsia="宋体" w:cs="Times New Roman"/>
          <w:color w:val="000000"/>
          <w:sz w:val="24"/>
          <w:szCs w:val="24"/>
          <w:highlight w:val="none"/>
          <w:lang w:val="en-US" w:eastAsia="zh-CN"/>
        </w:rPr>
        <w:t>O’Connor数</w:t>
      </w:r>
      <w:r>
        <w:rPr>
          <w:rFonts w:hint="default" w:ascii="Arial" w:hAnsi="Arial" w:eastAsia="宋体" w:cs="Arial"/>
          <w:color w:val="000000"/>
          <w:sz w:val="24"/>
          <w:szCs w:val="24"/>
          <w:highlight w:val="none"/>
          <w:lang w:val="en-US" w:eastAsia="zh-CN"/>
        </w:rPr>
        <w:t>α</w:t>
      </w:r>
      <w:r>
        <w:rPr>
          <w:rFonts w:hint="eastAsia" w:ascii="Times New Roman" w:hAnsi="Times New Roman" w:eastAsia="宋体" w:cs="Times New Roman"/>
          <w:color w:val="000000"/>
          <w:sz w:val="24"/>
          <w:szCs w:val="24"/>
          <w:highlight w:val="none"/>
          <w:lang w:val="en-US" w:eastAsia="zh-CN"/>
        </w:rPr>
        <w:t>和</w:t>
      </w:r>
      <w:r>
        <w:rPr>
          <w:rFonts w:hint="default" w:ascii="Times New Roman" w:hAnsi="Times New Roman" w:eastAsia="宋体" w:cs="Times New Roman"/>
          <w:color w:val="000000"/>
          <w:sz w:val="24"/>
          <w:szCs w:val="24"/>
          <w:highlight w:val="none"/>
          <w:lang w:val="en-US" w:eastAsia="zh-CN"/>
        </w:rPr>
        <w:t>贝克来数Pe</w:t>
      </w:r>
      <w:r>
        <w:rPr>
          <w:rFonts w:hint="eastAsia" w:ascii="Times New Roman" w:hAnsi="Times New Roman" w:eastAsia="宋体" w:cs="Times New Roman"/>
          <w:color w:val="000000"/>
          <w:sz w:val="24"/>
          <w:szCs w:val="24"/>
          <w:highlight w:val="none"/>
          <w:lang w:val="en-US" w:eastAsia="zh-CN"/>
        </w:rPr>
        <w:t>的临界值），选择相应的解析解公式。</w:t>
      </w:r>
    </w:p>
    <w:p w14:paraId="0CCBB1EF">
      <w:pPr>
        <w:keepNext w:val="0"/>
        <w:keepLines w:val="0"/>
        <w:pageBreakBefore w:val="0"/>
        <w:widowControl w:val="0"/>
        <w:kinsoku/>
        <w:wordWrap/>
        <w:overflowPunct/>
        <w:topLinePunct w:val="0"/>
        <w:autoSpaceDE/>
        <w:autoSpaceDN/>
        <w:bidi w:val="0"/>
        <w:adjustRightInd w:val="0"/>
        <w:snapToGrid w:val="0"/>
        <w:ind w:firstLine="480" w:firstLineChars="20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position w:val="-24"/>
          <w:sz w:val="24"/>
          <w:szCs w:val="24"/>
          <w:highlight w:val="none"/>
          <w:lang w:val="en-US" w:eastAsia="zh-CN"/>
        </w:rPr>
        <w:object>
          <v:shape id="_x0000_i1030" o:spt="75" type="#_x0000_t75" style="height:39.75pt;width:54.95pt;" o:ole="t" filled="f" o:preferrelative="t" stroked="f" coordsize="21600,21600">
            <v:path/>
            <v:fill on="f" focussize="0,0"/>
            <v:stroke on="f"/>
            <v:imagedata r:id="rId42" o:title=""/>
            <o:lock v:ext="edit" aspectratio="t"/>
            <w10:wrap type="none"/>
            <w10:anchorlock/>
          </v:shape>
          <o:OLEObject Type="Embed" ProgID="Equation.KSEE3" ShapeID="_x0000_i1030" DrawAspect="Content" ObjectID="_1468075730" r:id="rId41">
            <o:LockedField>false</o:LockedField>
          </o:OLEObject>
        </w:object>
      </w:r>
      <w:r>
        <w:rPr>
          <w:rFonts w:hint="eastAsia"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position w:val="-24"/>
          <w:sz w:val="24"/>
          <w:szCs w:val="24"/>
          <w:highlight w:val="none"/>
          <w:lang w:val="en-US" w:eastAsia="zh-CN"/>
        </w:rPr>
        <w:object>
          <v:shape id="_x0000_i1031" o:spt="75" type="#_x0000_t75" style="height:42.85pt;width:56.65pt;" o:ole="t" filled="f" o:preferrelative="t" stroked="f" coordsize="21600,21600">
            <v:path/>
            <v:fill on="f" focussize="0,0"/>
            <v:stroke on="f"/>
            <v:imagedata r:id="rId44" o:title=""/>
            <o:lock v:ext="edit" aspectratio="t"/>
            <w10:wrap type="none"/>
            <w10:anchorlock/>
          </v:shape>
          <o:OLEObject Type="Embed" ProgID="Equation.KSEE3" ShapeID="_x0000_i1031" DrawAspect="Content" ObjectID="_1468075731" r:id="rId43">
            <o:LockedField>false</o:LockedField>
          </o:OLEObject>
        </w:object>
      </w:r>
    </w:p>
    <w:p w14:paraId="6FD4975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式中：</w:t>
      </w:r>
      <w:r>
        <w:rPr>
          <w:rFonts w:hint="default" w:ascii="Arial" w:hAnsi="Arial" w:eastAsia="宋体" w:cs="Arial"/>
          <w:color w:val="000000"/>
          <w:sz w:val="24"/>
          <w:szCs w:val="24"/>
          <w:highlight w:val="none"/>
          <w:lang w:val="en-US" w:eastAsia="zh-CN"/>
        </w:rPr>
        <w:t>α</w:t>
      </w:r>
      <w:r>
        <w:rPr>
          <w:rFonts w:hint="default" w:ascii="Times New Roman" w:hAnsi="Times New Roman" w:eastAsia="宋体" w:cs="Times New Roman"/>
          <w:color w:val="000000"/>
          <w:sz w:val="24"/>
          <w:szCs w:val="24"/>
          <w:highlight w:val="none"/>
          <w:lang w:val="en-US" w:eastAsia="zh-CN"/>
        </w:rPr>
        <w:t>——O’Connor数，量纲一，表征物质离散降解通量与移流通量比值；</w:t>
      </w:r>
    </w:p>
    <w:p w14:paraId="2EBC39BF">
      <w:pPr>
        <w:keepNext w:val="0"/>
        <w:keepLines w:val="0"/>
        <w:pageBreakBefore w:val="0"/>
        <w:widowControl w:val="0"/>
        <w:kinsoku/>
        <w:wordWrap/>
        <w:overflowPunct/>
        <w:topLinePunct w:val="0"/>
        <w:autoSpaceDE/>
        <w:autoSpaceDN/>
        <w:bidi w:val="0"/>
        <w:adjustRightInd w:val="0"/>
        <w:snapToGrid w:val="0"/>
        <w:ind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Pe——贝克来数，量纲一，表征物质移流通量与离散通量比值；</w:t>
      </w:r>
    </w:p>
    <w:p w14:paraId="60C97481">
      <w:pPr>
        <w:keepNext w:val="0"/>
        <w:keepLines w:val="0"/>
        <w:pageBreakBefore w:val="0"/>
        <w:widowControl w:val="0"/>
        <w:kinsoku/>
        <w:wordWrap/>
        <w:overflowPunct/>
        <w:topLinePunct w:val="0"/>
        <w:autoSpaceDE/>
        <w:autoSpaceDN/>
        <w:bidi w:val="0"/>
        <w:adjustRightInd w:val="0"/>
        <w:snapToGrid w:val="0"/>
        <w:ind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K</w:t>
      </w:r>
      <w:r>
        <w:rPr>
          <w:rFonts w:hint="default" w:ascii="Times New Roman" w:hAnsi="Times New Roman" w:eastAsia="宋体" w:cs="Times New Roman"/>
          <w:color w:val="000000"/>
          <w:sz w:val="24"/>
          <w:szCs w:val="24"/>
          <w:highlight w:val="none"/>
          <w:lang w:val="en-US" w:eastAsia="zh-CN"/>
        </w:rPr>
        <w:t>——污染物综合衰减系数，l/s；</w:t>
      </w:r>
    </w:p>
    <w:p w14:paraId="144EA53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本次论证报告污染物综合衰减系数K采用资料借鉴法；</w:t>
      </w:r>
      <w:r>
        <w:rPr>
          <w:rFonts w:hint="eastAsia" w:ascii="Times New Roman" w:hAnsi="Times New Roman" w:eastAsia="宋体" w:cs="Times New Roman"/>
          <w:color w:val="000000" w:themeColor="text1"/>
          <w:sz w:val="24"/>
          <w:szCs w:val="24"/>
          <w:highlight w:val="none"/>
          <w:u w:val="none"/>
          <w:lang w:val="en-US" w:eastAsia="zh-CN" w:bidi="zh-CN"/>
          <w14:textFill>
            <w14:solidFill>
              <w14:schemeClr w14:val="tx1"/>
            </w14:solidFill>
          </w14:textFill>
        </w:rPr>
        <w:t>根据中国环境规划院发布的《全国地表水水环境容量核定技术复核要点》，一般河道水质降解系数参考值见下表</w:t>
      </w:r>
      <w:r>
        <w:rPr>
          <w:rFonts w:hint="eastAsia" w:ascii="Times New Roman" w:hAnsi="Times New Roman" w:cs="Times New Roman"/>
          <w:color w:val="000000" w:themeColor="text1"/>
          <w:sz w:val="24"/>
          <w:szCs w:val="24"/>
          <w:highlight w:val="none"/>
          <w:u w:val="none"/>
          <w:lang w:val="en-US" w:eastAsia="zh-CN" w:bidi="zh-CN"/>
          <w14:textFill>
            <w14:solidFill>
              <w14:schemeClr w14:val="tx1"/>
            </w14:solidFill>
          </w14:textFill>
        </w:rPr>
        <w:t>：</w:t>
      </w:r>
    </w:p>
    <w:p w14:paraId="041DC6F7">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t>表</w:t>
      </w:r>
      <w:r>
        <w:rPr>
          <w:rFonts w:hint="eastAsia" w:cs="Times New Roman"/>
          <w:b/>
          <w:color w:val="000000" w:themeColor="text1"/>
          <w:sz w:val="21"/>
          <w:szCs w:val="21"/>
          <w:highlight w:val="none"/>
          <w:u w:val="none"/>
          <w:lang w:val="en-US" w:eastAsia="zh-CN"/>
          <w14:textFill>
            <w14:solidFill>
              <w14:schemeClr w14:val="tx1"/>
            </w14:solidFill>
          </w14:textFill>
        </w:rPr>
        <w:t>6.1</w:t>
      </w:r>
      <w:r>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t>-</w:t>
      </w:r>
      <w:r>
        <w:rPr>
          <w:rFonts w:hint="eastAsia" w:cs="Times New Roman"/>
          <w:b/>
          <w:color w:val="000000" w:themeColor="text1"/>
          <w:sz w:val="21"/>
          <w:szCs w:val="21"/>
          <w:highlight w:val="none"/>
          <w:u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1"/>
          <w:szCs w:val="21"/>
          <w:highlight w:val="none"/>
          <w:u w:val="none"/>
          <w:lang w:val="en-US" w:eastAsia="zh-CN"/>
          <w14:textFill>
            <w14:solidFill>
              <w14:schemeClr w14:val="tx1"/>
            </w14:solidFill>
          </w14:textFill>
        </w:rPr>
        <w:t xml:space="preserve"> 大江大河水质降解系数参考值表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36"/>
        <w:gridCol w:w="2548"/>
        <w:gridCol w:w="2472"/>
      </w:tblGrid>
      <w:tr w14:paraId="64CCD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6" w:hRule="atLeast"/>
          <w:jc w:val="center"/>
        </w:trPr>
        <w:tc>
          <w:tcPr>
            <w:tcW w:w="3336" w:type="dxa"/>
            <w:vMerge w:val="restart"/>
            <w:tcBorders>
              <w:tl2br w:val="nil"/>
              <w:tr2bl w:val="nil"/>
            </w:tcBorders>
            <w:noWrap w:val="0"/>
            <w:vAlign w:val="center"/>
          </w:tcPr>
          <w:p w14:paraId="06E0159F">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水质及水生态环境状况</w:t>
            </w:r>
          </w:p>
        </w:tc>
        <w:tc>
          <w:tcPr>
            <w:tcW w:w="5020" w:type="dxa"/>
            <w:gridSpan w:val="2"/>
            <w:tcBorders>
              <w:tl2br w:val="nil"/>
              <w:tr2bl w:val="nil"/>
            </w:tcBorders>
            <w:noWrap w:val="0"/>
            <w:vAlign w:val="center"/>
          </w:tcPr>
          <w:p w14:paraId="1895172E">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水质降解系数参考值（1/d）</w:t>
            </w:r>
          </w:p>
        </w:tc>
      </w:tr>
      <w:tr w14:paraId="54CBAC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01" w:hRule="atLeast"/>
          <w:jc w:val="center"/>
        </w:trPr>
        <w:tc>
          <w:tcPr>
            <w:tcW w:w="3336" w:type="dxa"/>
            <w:vMerge w:val="continue"/>
            <w:tcBorders>
              <w:tl2br w:val="nil"/>
              <w:tr2bl w:val="nil"/>
            </w:tcBorders>
            <w:noWrap w:val="0"/>
            <w:vAlign w:val="center"/>
          </w:tcPr>
          <w:p w14:paraId="69A6E2EA">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p>
        </w:tc>
        <w:tc>
          <w:tcPr>
            <w:tcW w:w="2548" w:type="dxa"/>
            <w:tcBorders>
              <w:tl2br w:val="nil"/>
              <w:tr2bl w:val="nil"/>
            </w:tcBorders>
            <w:noWrap w:val="0"/>
            <w:vAlign w:val="center"/>
          </w:tcPr>
          <w:p w14:paraId="0B2D75F2">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COD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cr</w:t>
            </w:r>
          </w:p>
        </w:tc>
        <w:tc>
          <w:tcPr>
            <w:tcW w:w="2472" w:type="dxa"/>
            <w:tcBorders>
              <w:tl2br w:val="nil"/>
              <w:tr2bl w:val="nil"/>
            </w:tcBorders>
            <w:noWrap w:val="0"/>
            <w:vAlign w:val="center"/>
          </w:tcPr>
          <w:p w14:paraId="5FB3D370">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氨氮</w:t>
            </w:r>
          </w:p>
        </w:tc>
      </w:tr>
      <w:tr w14:paraId="4BDB3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52265603">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优（相应水质为Ⅱ～Ⅲ类）</w:t>
            </w:r>
          </w:p>
        </w:tc>
        <w:tc>
          <w:tcPr>
            <w:tcW w:w="2548" w:type="dxa"/>
            <w:tcBorders>
              <w:tl2br w:val="nil"/>
              <w:tr2bl w:val="nil"/>
            </w:tcBorders>
            <w:noWrap w:val="0"/>
            <w:vAlign w:val="center"/>
          </w:tcPr>
          <w:p w14:paraId="63110E8D">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0.20～0.30</w:t>
            </w:r>
          </w:p>
        </w:tc>
        <w:tc>
          <w:tcPr>
            <w:tcW w:w="2472" w:type="dxa"/>
            <w:tcBorders>
              <w:tl2br w:val="nil"/>
              <w:tr2bl w:val="nil"/>
            </w:tcBorders>
            <w:noWrap w:val="0"/>
            <w:vAlign w:val="center"/>
          </w:tcPr>
          <w:p w14:paraId="3FD2C365">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0.20～0.25</w:t>
            </w:r>
          </w:p>
        </w:tc>
      </w:tr>
      <w:tr w14:paraId="26882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71F1DA4E">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中（相应水质为Ⅲ～Ⅳ类）</w:t>
            </w:r>
          </w:p>
        </w:tc>
        <w:tc>
          <w:tcPr>
            <w:tcW w:w="2548" w:type="dxa"/>
            <w:tcBorders>
              <w:tl2br w:val="nil"/>
              <w:tr2bl w:val="nil"/>
            </w:tcBorders>
            <w:noWrap w:val="0"/>
            <w:vAlign w:val="center"/>
          </w:tcPr>
          <w:p w14:paraId="1B7248C6">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0.10～0.20</w:t>
            </w:r>
          </w:p>
        </w:tc>
        <w:tc>
          <w:tcPr>
            <w:tcW w:w="2472" w:type="dxa"/>
            <w:tcBorders>
              <w:tl2br w:val="nil"/>
              <w:tr2bl w:val="nil"/>
            </w:tcBorders>
            <w:noWrap w:val="0"/>
            <w:vAlign w:val="center"/>
          </w:tcPr>
          <w:p w14:paraId="379C1FB5">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0.10～0.20</w:t>
            </w:r>
          </w:p>
        </w:tc>
      </w:tr>
      <w:tr w14:paraId="3CEFD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3336" w:type="dxa"/>
            <w:tcBorders>
              <w:tl2br w:val="nil"/>
              <w:tr2bl w:val="nil"/>
            </w:tcBorders>
            <w:noWrap w:val="0"/>
            <w:vAlign w:val="center"/>
          </w:tcPr>
          <w:p w14:paraId="3FC282D6">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劣（相应水质为Ⅴ类或劣Ⅴ类）</w:t>
            </w:r>
          </w:p>
        </w:tc>
        <w:tc>
          <w:tcPr>
            <w:tcW w:w="2548" w:type="dxa"/>
            <w:tcBorders>
              <w:tl2br w:val="nil"/>
              <w:tr2bl w:val="nil"/>
            </w:tcBorders>
            <w:noWrap w:val="0"/>
            <w:vAlign w:val="center"/>
          </w:tcPr>
          <w:p w14:paraId="121BFA3E">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0.05～0.10</w:t>
            </w:r>
          </w:p>
        </w:tc>
        <w:tc>
          <w:tcPr>
            <w:tcW w:w="2472" w:type="dxa"/>
            <w:tcBorders>
              <w:tl2br w:val="nil"/>
              <w:tr2bl w:val="nil"/>
            </w:tcBorders>
            <w:noWrap w:val="0"/>
            <w:vAlign w:val="center"/>
          </w:tcPr>
          <w:p w14:paraId="4AF557A3">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0.05～0.10</w:t>
            </w:r>
          </w:p>
        </w:tc>
      </w:tr>
    </w:tbl>
    <w:p w14:paraId="49EB869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cs="Times New Roman"/>
          <w:color w:val="000000" w:themeColor="text1"/>
          <w:kern w:val="0"/>
          <w:sz w:val="24"/>
          <w:szCs w:val="24"/>
          <w:highlight w:val="none"/>
          <w:u w:val="none"/>
          <w:lang w:val="en-US" w:eastAsia="zh-CN" w:bidi="ar"/>
          <w14:textFill>
            <w14:solidFill>
              <w14:schemeClr w14:val="tx1"/>
            </w14:solidFill>
          </w14:textFill>
        </w:rPr>
        <w:t>本入河排污口纳污水体为</w:t>
      </w:r>
      <w:r>
        <w:rPr>
          <w:rFonts w:hint="eastAsia" w:ascii="Times New Roman" w:hAnsi="Times New Roman"/>
          <w:color w:val="000000" w:themeColor="text1"/>
          <w:sz w:val="24"/>
          <w:szCs w:val="24"/>
          <w:highlight w:val="none"/>
          <w:u w:val="none"/>
          <w14:textFill>
            <w14:solidFill>
              <w14:schemeClr w14:val="tx1"/>
            </w14:solidFill>
          </w14:textFill>
        </w:rPr>
        <w:t>龙荫港</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，现状水质为III类。因此，</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w:t>
      </w:r>
      <w:r>
        <w:rPr>
          <w:rFonts w:hint="eastAsia" w:ascii="Times New Roman" w:hAnsi="Times New Roman" w:eastAsia="宋体" w:cs="Times New Roman"/>
          <w:color w:val="000000" w:themeColor="text1"/>
          <w:kern w:val="0"/>
          <w:sz w:val="24"/>
          <w:szCs w:val="24"/>
          <w:highlight w:val="none"/>
          <w:u w:val="none"/>
          <w:vertAlign w:val="baseline"/>
          <w:lang w:val="en-US" w:eastAsia="zh-CN" w:bidi="ar"/>
          <w14:textFill>
            <w14:solidFill>
              <w14:schemeClr w14:val="tx1"/>
            </w14:solidFill>
          </w14:textFill>
        </w:rPr>
        <w:t>cr</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NH</w:t>
      </w:r>
      <w:r>
        <w:rPr>
          <w:rFonts w:hint="default" w:ascii="Times New Roman" w:hAnsi="Times New Roman" w:eastAsia="宋体" w:cs="Times New Roman"/>
          <w:color w:val="000000" w:themeColor="text1"/>
          <w:kern w:val="0"/>
          <w:sz w:val="24"/>
          <w:szCs w:val="24"/>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综合衰减系数k参考取值为0.20</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、0.15</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。TP综合衰减系数k参照</w:t>
      </w:r>
      <w:r>
        <w:rPr>
          <w:rFonts w:hint="default" w:ascii="Times New Roman" w:hAnsi="Times New Roman" w:eastAsia="宋体" w:cs="Times New Roman"/>
          <w:color w:val="000000" w:themeColor="text1"/>
          <w:sz w:val="24"/>
          <w:szCs w:val="24"/>
          <w:highlight w:val="none"/>
          <w:u w:val="none"/>
          <w:lang w:val="en-US" w:eastAsia="zh-CN" w:bidi="zh-CN"/>
          <w14:textFill>
            <w14:solidFill>
              <w14:schemeClr w14:val="tx1"/>
            </w14:solidFill>
          </w14:textFill>
        </w:rPr>
        <w:t>《湖南省水资源综合规范》</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《湖南省衡阳市水资源综合规划报告》（2020~2035）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取值为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0.1</w:t>
      </w:r>
      <w:r>
        <w:rPr>
          <w:rFonts w:hint="default" w:ascii="Times New Roman" w:hAnsi="Times New Roman" w:eastAsia="宋体" w:cs="Times New Roman"/>
          <w:b w:val="0"/>
          <w:bCs w:val="0"/>
          <w:color w:val="000000" w:themeColor="text1"/>
          <w:kern w:val="2"/>
          <w:sz w:val="24"/>
          <w:szCs w:val="24"/>
          <w:highlight w:val="none"/>
          <w:u w:val="none"/>
          <w:lang w:val="en-US" w:eastAsia="zh-CN" w:bidi="ar-SA"/>
          <w14:textFill>
            <w14:solidFill>
              <w14:schemeClr w14:val="tx1"/>
            </w14:solidFill>
          </w14:textFill>
        </w:rPr>
        <w:t>（1/d）</w:t>
      </w:r>
      <w:r>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p>
    <w:p w14:paraId="40E32934">
      <w:pPr>
        <w:keepNext w:val="0"/>
        <w:keepLines w:val="0"/>
        <w:pageBreakBefore w:val="0"/>
        <w:widowControl w:val="0"/>
        <w:kinsoku/>
        <w:wordWrap/>
        <w:overflowPunct/>
        <w:topLinePunct w:val="0"/>
        <w:autoSpaceDE/>
        <w:autoSpaceDN/>
        <w:bidi w:val="0"/>
        <w:adjustRightInd w:val="0"/>
        <w:snapToGrid w:val="0"/>
        <w:ind w:right="0" w:firstLine="1200" w:firstLineChars="5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bidi="zh-CN"/>
        </w:rPr>
        <w:t>B</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auto"/>
          <w:sz w:val="24"/>
          <w:szCs w:val="24"/>
          <w:highlight w:val="none"/>
          <w:u w:val="none"/>
          <w:lang w:val="en-US" w:eastAsia="zh-CN" w:bidi="zh-CN"/>
        </w:rPr>
        <w:t>河流宽度，</w:t>
      </w:r>
      <w:r>
        <w:rPr>
          <w:rFonts w:hint="eastAsia" w:ascii="Times New Roman" w:hAnsi="Times New Roman" w:eastAsia="宋体" w:cs="Times New Roman"/>
          <w:color w:val="auto"/>
          <w:sz w:val="24"/>
          <w:szCs w:val="24"/>
          <w:highlight w:val="none"/>
          <w:u w:val="none"/>
          <w:lang w:val="en-US" w:eastAsia="zh-CN" w:bidi="zh-CN"/>
        </w:rPr>
        <w:t>14</w:t>
      </w:r>
      <w:r>
        <w:rPr>
          <w:rFonts w:hint="default" w:ascii="Times New Roman" w:hAnsi="Times New Roman" w:eastAsia="宋体" w:cs="Times New Roman"/>
          <w:color w:val="auto"/>
          <w:sz w:val="24"/>
          <w:szCs w:val="24"/>
          <w:highlight w:val="none"/>
          <w:u w:val="none"/>
          <w:lang w:val="en-US" w:eastAsia="zh-CN" w:bidi="zh-CN"/>
        </w:rPr>
        <w:t>m</w:t>
      </w:r>
      <w:r>
        <w:rPr>
          <w:rFonts w:hint="eastAsia" w:ascii="Times New Roman" w:hAnsi="Times New Roman" w:eastAsia="宋体" w:cs="Times New Roman"/>
          <w:color w:val="auto"/>
          <w:sz w:val="24"/>
          <w:szCs w:val="24"/>
          <w:highlight w:val="none"/>
          <w:u w:val="none"/>
          <w:lang w:val="en-US" w:eastAsia="zh-CN" w:bidi="zh-CN"/>
        </w:rPr>
        <w:t>；</w:t>
      </w:r>
    </w:p>
    <w:p w14:paraId="31CCCCF2">
      <w:pPr>
        <w:keepNext w:val="0"/>
        <w:keepLines w:val="0"/>
        <w:pageBreakBefore w:val="0"/>
        <w:widowControl w:val="0"/>
        <w:kinsoku/>
        <w:wordWrap/>
        <w:overflowPunct/>
        <w:topLinePunct w:val="0"/>
        <w:autoSpaceDE/>
        <w:autoSpaceDN/>
        <w:bidi w:val="0"/>
        <w:adjustRightInd w:val="0"/>
        <w:snapToGrid w:val="0"/>
        <w:ind w:firstLine="1200" w:firstLineChars="5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sz w:val="24"/>
          <w:szCs w:val="24"/>
          <w:highlight w:val="none"/>
          <w:lang w:val="en-US" w:eastAsia="zh-CN"/>
        </w:rPr>
        <w:t>u——断面流速，</w:t>
      </w:r>
      <w:r>
        <w:rPr>
          <w:rFonts w:hint="eastAsia" w:ascii="Times New Roman" w:hAnsi="Times New Roman" w:eastAsia="宋体" w:cs="Times New Roman"/>
          <w:color w:val="000000"/>
          <w:sz w:val="24"/>
          <w:szCs w:val="24"/>
          <w:highlight w:val="none"/>
          <w:lang w:val="en-US" w:eastAsia="zh-CN"/>
        </w:rPr>
        <w:t>0.14</w:t>
      </w:r>
      <w:r>
        <w:rPr>
          <w:rFonts w:hint="default" w:ascii="Times New Roman" w:hAnsi="Times New Roman" w:eastAsia="宋体" w:cs="Times New Roman"/>
          <w:color w:val="000000"/>
          <w:sz w:val="24"/>
          <w:szCs w:val="24"/>
          <w:highlight w:val="none"/>
          <w:lang w:val="en-US" w:eastAsia="zh-CN"/>
        </w:rPr>
        <w:t>m/s；</w:t>
      </w:r>
    </w:p>
    <w:p w14:paraId="1305A604">
      <w:pPr>
        <w:keepNext w:val="0"/>
        <w:keepLines w:val="0"/>
        <w:pageBreakBefore w:val="0"/>
        <w:widowControl w:val="0"/>
        <w:kinsoku/>
        <w:wordWrap/>
        <w:overflowPunct/>
        <w:topLinePunct w:val="0"/>
        <w:autoSpaceDE/>
        <w:autoSpaceDN/>
        <w:bidi w:val="0"/>
        <w:adjustRightInd w:val="0"/>
        <w:snapToGrid w:val="0"/>
        <w:ind w:firstLine="1200" w:firstLineChars="5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color w:val="000000"/>
          <w:kern w:val="0"/>
          <w:sz w:val="24"/>
          <w:szCs w:val="24"/>
          <w:highlight w:val="none"/>
          <w:lang w:val="en-US" w:eastAsia="zh-CN" w:bidi="ar"/>
        </w:rPr>
        <w:t>Ex</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污染物纵向扩散系数，m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/s</w:t>
      </w:r>
      <w:r>
        <w:rPr>
          <w:rFonts w:hint="eastAsia" w:ascii="Times New Roman" w:hAnsi="Times New Roman" w:eastAsia="宋体" w:cs="Times New Roman"/>
          <w:b w:val="0"/>
          <w:bCs w:val="0"/>
          <w:color w:val="auto"/>
          <w:kern w:val="2"/>
          <w:sz w:val="24"/>
          <w:szCs w:val="24"/>
          <w:highlight w:val="none"/>
          <w:u w:val="none"/>
          <w:lang w:val="en-US" w:eastAsia="zh-CN" w:bidi="ar-SA"/>
        </w:rPr>
        <w:t>。纵向扩散系数</w:t>
      </w:r>
      <w:r>
        <w:rPr>
          <w:rFonts w:hint="eastAsia" w:ascii="Times New Roman" w:hAnsi="Times New Roman" w:eastAsia="宋体" w:cs="Times New Roman"/>
          <w:color w:val="000000"/>
          <w:kern w:val="0"/>
          <w:sz w:val="24"/>
          <w:szCs w:val="24"/>
          <w:highlight w:val="none"/>
          <w:lang w:val="en-US" w:eastAsia="zh-CN" w:bidi="ar"/>
        </w:rPr>
        <w:t>Ex采用《水域纳污能力计算规程》（GB/T25173-2010）中经验估算法中的费休公式（适用于河流）计算：</w:t>
      </w:r>
    </w:p>
    <w:p w14:paraId="735BA8ED">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color w:val="000000" w:themeColor="text1"/>
          <w:highlight w:val="none"/>
          <w:u w:val="none"/>
          <w14:textFill>
            <w14:solidFill>
              <w14:schemeClr w14:val="tx1"/>
            </w14:solidFill>
          </w14:textFill>
        </w:rPr>
        <w:drawing>
          <wp:inline distT="0" distB="0" distL="114300" distR="114300">
            <wp:extent cx="4914900" cy="1386205"/>
            <wp:effectExtent l="0" t="0" r="0" b="4445"/>
            <wp:docPr id="3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9"/>
                    <pic:cNvPicPr>
                      <a:picLocks noChangeAspect="1"/>
                    </pic:cNvPicPr>
                  </pic:nvPicPr>
                  <pic:blipFill>
                    <a:blip r:embed="rId45"/>
                    <a:stretch>
                      <a:fillRect/>
                    </a:stretch>
                  </pic:blipFill>
                  <pic:spPr>
                    <a:xfrm>
                      <a:off x="0" y="0"/>
                      <a:ext cx="4914900" cy="1386205"/>
                    </a:xfrm>
                    <a:prstGeom prst="rect">
                      <a:avLst/>
                    </a:prstGeom>
                    <a:noFill/>
                    <a:ln>
                      <a:noFill/>
                    </a:ln>
                  </pic:spPr>
                </pic:pic>
              </a:graphicData>
            </a:graphic>
          </wp:inline>
        </w:drawing>
      </w:r>
    </w:p>
    <w:p w14:paraId="7270259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将前述水文参数代入计算，本次</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α</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、Pe值如下：</w:t>
      </w:r>
    </w:p>
    <w:p w14:paraId="489EF4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表6.1-</w:t>
      </w:r>
      <w:r>
        <w:rPr>
          <w:rFonts w:hint="eastAsia" w:cs="Times New Roman"/>
          <w:b/>
          <w:bCs/>
          <w:color w:val="000000" w:themeColor="text1"/>
          <w:sz w:val="21"/>
          <w:szCs w:val="21"/>
          <w:highlight w:val="none"/>
          <w:u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 xml:space="preserve"> 污水处理厂预测α、Pe值</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6"/>
        <w:gridCol w:w="1216"/>
        <w:gridCol w:w="1216"/>
        <w:gridCol w:w="1216"/>
        <w:gridCol w:w="1217"/>
        <w:gridCol w:w="1219"/>
        <w:gridCol w:w="1217"/>
      </w:tblGrid>
      <w:tr w14:paraId="0F010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216" w:type="dxa"/>
            <w:vMerge w:val="restart"/>
            <w:tcBorders>
              <w:tl2br w:val="nil"/>
              <w:tr2bl w:val="nil"/>
            </w:tcBorders>
            <w:noWrap w:val="0"/>
            <w:vAlign w:val="center"/>
          </w:tcPr>
          <w:p w14:paraId="475F9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名称</w:t>
            </w:r>
          </w:p>
        </w:tc>
        <w:tc>
          <w:tcPr>
            <w:tcW w:w="1216" w:type="dxa"/>
            <w:vMerge w:val="restart"/>
            <w:tcBorders>
              <w:tl2br w:val="nil"/>
              <w:tr2bl w:val="nil"/>
            </w:tcBorders>
            <w:noWrap w:val="0"/>
            <w:vAlign w:val="center"/>
          </w:tcPr>
          <w:p w14:paraId="01508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纳污水体</w:t>
            </w:r>
          </w:p>
        </w:tc>
        <w:tc>
          <w:tcPr>
            <w:tcW w:w="1216" w:type="dxa"/>
            <w:vMerge w:val="restart"/>
            <w:tcBorders>
              <w:tl2br w:val="nil"/>
              <w:tr2bl w:val="nil"/>
            </w:tcBorders>
            <w:noWrap w:val="0"/>
            <w:vAlign w:val="center"/>
          </w:tcPr>
          <w:p w14:paraId="50D465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Ex</w:t>
            </w:r>
          </w:p>
        </w:tc>
        <w:tc>
          <w:tcPr>
            <w:tcW w:w="3652" w:type="dxa"/>
            <w:gridSpan w:val="3"/>
            <w:tcBorders>
              <w:tl2br w:val="nil"/>
              <w:tr2bl w:val="nil"/>
            </w:tcBorders>
            <w:noWrap w:val="0"/>
            <w:vAlign w:val="center"/>
          </w:tcPr>
          <w:p w14:paraId="5949D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α值</w:t>
            </w:r>
          </w:p>
        </w:tc>
        <w:tc>
          <w:tcPr>
            <w:tcW w:w="1217" w:type="dxa"/>
            <w:vMerge w:val="restart"/>
            <w:tcBorders>
              <w:tl2br w:val="nil"/>
              <w:tr2bl w:val="nil"/>
            </w:tcBorders>
            <w:noWrap w:val="0"/>
            <w:vAlign w:val="center"/>
          </w:tcPr>
          <w:p w14:paraId="6C0A4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Pe值</w:t>
            </w:r>
          </w:p>
        </w:tc>
      </w:tr>
      <w:tr w14:paraId="29AB1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216" w:type="dxa"/>
            <w:vMerge w:val="continue"/>
            <w:tcBorders>
              <w:tl2br w:val="nil"/>
              <w:tr2bl w:val="nil"/>
            </w:tcBorders>
            <w:noWrap w:val="0"/>
            <w:vAlign w:val="center"/>
          </w:tcPr>
          <w:p w14:paraId="5D168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p>
        </w:tc>
        <w:tc>
          <w:tcPr>
            <w:tcW w:w="1216" w:type="dxa"/>
            <w:vMerge w:val="continue"/>
            <w:tcBorders>
              <w:tl2br w:val="nil"/>
              <w:tr2bl w:val="nil"/>
            </w:tcBorders>
            <w:noWrap w:val="0"/>
            <w:vAlign w:val="center"/>
          </w:tcPr>
          <w:p w14:paraId="1F316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p>
        </w:tc>
        <w:tc>
          <w:tcPr>
            <w:tcW w:w="1216" w:type="dxa"/>
            <w:vMerge w:val="continue"/>
            <w:tcBorders>
              <w:tl2br w:val="nil"/>
              <w:tr2bl w:val="nil"/>
            </w:tcBorders>
            <w:noWrap w:val="0"/>
            <w:vAlign w:val="center"/>
          </w:tcPr>
          <w:p w14:paraId="4D6A9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p>
        </w:tc>
        <w:tc>
          <w:tcPr>
            <w:tcW w:w="1216" w:type="dxa"/>
            <w:tcBorders>
              <w:tl2br w:val="nil"/>
              <w:tr2bl w:val="nil"/>
            </w:tcBorders>
            <w:noWrap w:val="0"/>
            <w:vAlign w:val="center"/>
          </w:tcPr>
          <w:p w14:paraId="4DC409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bidi="zh-CN"/>
                <w14:textFill>
                  <w14:solidFill>
                    <w14:schemeClr w14:val="tx1"/>
                  </w14:solidFill>
                </w14:textFill>
              </w:rPr>
              <w:t>CODcr</w:t>
            </w:r>
          </w:p>
        </w:tc>
        <w:tc>
          <w:tcPr>
            <w:tcW w:w="1217" w:type="dxa"/>
            <w:tcBorders>
              <w:tl2br w:val="nil"/>
              <w:tr2bl w:val="nil"/>
            </w:tcBorders>
            <w:noWrap w:val="0"/>
            <w:vAlign w:val="center"/>
          </w:tcPr>
          <w:p w14:paraId="42A1A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219" w:type="dxa"/>
            <w:tcBorders>
              <w:tl2br w:val="nil"/>
              <w:tr2bl w:val="nil"/>
            </w:tcBorders>
            <w:noWrap w:val="0"/>
            <w:vAlign w:val="center"/>
          </w:tcPr>
          <w:p w14:paraId="6B8EE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TP</w:t>
            </w:r>
          </w:p>
        </w:tc>
        <w:tc>
          <w:tcPr>
            <w:tcW w:w="1217" w:type="dxa"/>
            <w:vMerge w:val="continue"/>
            <w:tcBorders>
              <w:tl2br w:val="nil"/>
              <w:tr2bl w:val="nil"/>
            </w:tcBorders>
            <w:noWrap w:val="0"/>
            <w:vAlign w:val="center"/>
          </w:tcPr>
          <w:p w14:paraId="08F39D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p>
        </w:tc>
      </w:tr>
      <w:tr w14:paraId="550C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1216" w:type="dxa"/>
            <w:tcBorders>
              <w:tl2br w:val="nil"/>
              <w:tr2bl w:val="nil"/>
            </w:tcBorders>
            <w:noWrap w:val="0"/>
            <w:vAlign w:val="center"/>
          </w:tcPr>
          <w:p w14:paraId="6E735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南岳区污水处理厂</w:t>
            </w:r>
          </w:p>
        </w:tc>
        <w:tc>
          <w:tcPr>
            <w:tcW w:w="1216" w:type="dxa"/>
            <w:tcBorders>
              <w:tl2br w:val="nil"/>
              <w:tr2bl w:val="nil"/>
            </w:tcBorders>
            <w:noWrap w:val="0"/>
            <w:vAlign w:val="center"/>
          </w:tcPr>
          <w:p w14:paraId="28980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龙荫港</w:t>
            </w:r>
          </w:p>
        </w:tc>
        <w:tc>
          <w:tcPr>
            <w:tcW w:w="1216" w:type="dxa"/>
            <w:tcBorders>
              <w:tl2br w:val="nil"/>
              <w:tr2bl w:val="nil"/>
            </w:tcBorders>
            <w:noWrap w:val="0"/>
            <w:vAlign w:val="center"/>
          </w:tcPr>
          <w:p w14:paraId="52EA5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0.575</w:t>
            </w:r>
          </w:p>
        </w:tc>
        <w:tc>
          <w:tcPr>
            <w:tcW w:w="1216" w:type="dxa"/>
            <w:tcBorders>
              <w:tl2br w:val="nil"/>
              <w:tr2bl w:val="nil"/>
            </w:tcBorders>
            <w:noWrap w:val="0"/>
            <w:vAlign w:val="center"/>
          </w:tcPr>
          <w:p w14:paraId="28EBEB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5.867</w:t>
            </w:r>
          </w:p>
        </w:tc>
        <w:tc>
          <w:tcPr>
            <w:tcW w:w="1217" w:type="dxa"/>
            <w:tcBorders>
              <w:tl2br w:val="nil"/>
              <w:tr2bl w:val="nil"/>
            </w:tcBorders>
            <w:noWrap w:val="0"/>
            <w:vAlign w:val="center"/>
          </w:tcPr>
          <w:p w14:paraId="4397F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4.400</w:t>
            </w:r>
          </w:p>
        </w:tc>
        <w:tc>
          <w:tcPr>
            <w:tcW w:w="1219" w:type="dxa"/>
            <w:tcBorders>
              <w:tl2br w:val="nil"/>
              <w:tr2bl w:val="nil"/>
            </w:tcBorders>
            <w:noWrap w:val="0"/>
            <w:vAlign w:val="center"/>
          </w:tcPr>
          <w:p w14:paraId="144F30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2.934</w:t>
            </w:r>
          </w:p>
        </w:tc>
        <w:tc>
          <w:tcPr>
            <w:tcW w:w="1217" w:type="dxa"/>
            <w:tcBorders>
              <w:tl2br w:val="nil"/>
              <w:tr2bl w:val="nil"/>
            </w:tcBorders>
            <w:noWrap w:val="0"/>
            <w:vAlign w:val="center"/>
          </w:tcPr>
          <w:p w14:paraId="44876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bidi="ar"/>
                <w14:textFill>
                  <w14:solidFill>
                    <w14:schemeClr w14:val="tx1"/>
                  </w14:solidFill>
                </w14:textFill>
              </w:rPr>
              <w:t>3.409</w:t>
            </w:r>
          </w:p>
        </w:tc>
      </w:tr>
    </w:tbl>
    <w:p w14:paraId="5E6E2FD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（2）预测模型解析方法</w:t>
      </w:r>
    </w:p>
    <w:p w14:paraId="66EF1F1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本入河排污口连续稳定排放，根据《环境影响评价技术导则 地表水环境》（HJ2.2-2018）附录E，岸边点源稳定排放。其解析式如下：</w:t>
      </w:r>
    </w:p>
    <w:p w14:paraId="686DB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highlight w:val="none"/>
        </w:rPr>
      </w:pPr>
      <w:r>
        <w:rPr>
          <w:highlight w:val="none"/>
        </w:rPr>
        <w:drawing>
          <wp:inline distT="0" distB="0" distL="114300" distR="114300">
            <wp:extent cx="5266690" cy="1637030"/>
            <wp:effectExtent l="0" t="0" r="10160" b="1270"/>
            <wp:docPr id="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pic:cNvPicPr>
                      <a:picLocks noChangeAspect="1"/>
                    </pic:cNvPicPr>
                  </pic:nvPicPr>
                  <pic:blipFill>
                    <a:blip r:embed="rId46"/>
                    <a:stretch>
                      <a:fillRect/>
                    </a:stretch>
                  </pic:blipFill>
                  <pic:spPr>
                    <a:xfrm>
                      <a:off x="0" y="0"/>
                      <a:ext cx="5266690" cy="1637030"/>
                    </a:xfrm>
                    <a:prstGeom prst="rect">
                      <a:avLst/>
                    </a:prstGeom>
                    <a:noFill/>
                    <a:ln>
                      <a:noFill/>
                    </a:ln>
                  </pic:spPr>
                </pic:pic>
              </a:graphicData>
            </a:graphic>
          </wp:inline>
        </w:drawing>
      </w:r>
    </w:p>
    <w:p w14:paraId="588F4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kern w:val="0"/>
          <w:sz w:val="24"/>
          <w:szCs w:val="24"/>
          <w:highlight w:val="none"/>
          <w:lang w:val="en-US" w:eastAsia="zh-CN" w:bidi="ar"/>
        </w:rPr>
      </w:pPr>
      <w:r>
        <w:rPr>
          <w:highlight w:val="none"/>
        </w:rPr>
        <w:drawing>
          <wp:inline distT="0" distB="0" distL="114300" distR="114300">
            <wp:extent cx="5267960" cy="1219200"/>
            <wp:effectExtent l="0" t="0" r="8890" b="0"/>
            <wp:docPr id="4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1"/>
                    <pic:cNvPicPr>
                      <a:picLocks noChangeAspect="1"/>
                    </pic:cNvPicPr>
                  </pic:nvPicPr>
                  <pic:blipFill>
                    <a:blip r:embed="rId47"/>
                    <a:stretch>
                      <a:fillRect/>
                    </a:stretch>
                  </pic:blipFill>
                  <pic:spPr>
                    <a:xfrm>
                      <a:off x="0" y="0"/>
                      <a:ext cx="5267960" cy="1219200"/>
                    </a:xfrm>
                    <a:prstGeom prst="rect">
                      <a:avLst/>
                    </a:prstGeom>
                    <a:noFill/>
                    <a:ln>
                      <a:noFill/>
                    </a:ln>
                  </pic:spPr>
                </pic:pic>
              </a:graphicData>
            </a:graphic>
          </wp:inline>
        </w:drawing>
      </w:r>
    </w:p>
    <w:p w14:paraId="5AD105C2">
      <w:pPr>
        <w:keepNext w:val="0"/>
        <w:keepLines w:val="0"/>
        <w:pageBreakBefore w:val="0"/>
        <w:widowControl w:val="0"/>
        <w:kinsoku/>
        <w:wordWrap/>
        <w:overflowPunct/>
        <w:topLinePunct w:val="0"/>
        <w:autoSpaceDE/>
        <w:autoSpaceDN/>
        <w:bidi w:val="0"/>
        <w:adjustRightInd w:val="0"/>
        <w:snapToGrid w:val="0"/>
        <w:ind w:firstLine="960" w:firstLineChars="400"/>
        <w:jc w:val="both"/>
        <w:textAlignment w:val="auto"/>
        <w:rPr>
          <w:rFonts w:hint="default"/>
          <w:sz w:val="24"/>
          <w:szCs w:val="24"/>
          <w:highlight w:val="none"/>
          <w:lang w:val="en-US" w:eastAsia="zh-CN"/>
        </w:rPr>
      </w:pPr>
      <w:r>
        <w:rPr>
          <w:rFonts w:hint="default"/>
          <w:sz w:val="24"/>
          <w:szCs w:val="24"/>
          <w:highlight w:val="none"/>
          <w:lang w:val="en-US" w:eastAsia="zh-CN"/>
        </w:rPr>
        <w:t>C——距离X处的污染物浓度，mg/L；</w:t>
      </w:r>
    </w:p>
    <w:p w14:paraId="446EFF8D">
      <w:pPr>
        <w:keepNext w:val="0"/>
        <w:keepLines w:val="0"/>
        <w:pageBreakBefore w:val="0"/>
        <w:widowControl w:val="0"/>
        <w:kinsoku/>
        <w:wordWrap/>
        <w:overflowPunct/>
        <w:topLinePunct w:val="0"/>
        <w:autoSpaceDE/>
        <w:autoSpaceDN/>
        <w:bidi w:val="0"/>
        <w:adjustRightInd w:val="0"/>
        <w:snapToGrid w:val="0"/>
        <w:ind w:firstLine="960" w:firstLineChars="400"/>
        <w:jc w:val="both"/>
        <w:textAlignment w:val="auto"/>
        <w:rPr>
          <w:rFonts w:hint="default"/>
          <w:sz w:val="24"/>
          <w:szCs w:val="24"/>
          <w:highlight w:val="none"/>
          <w:lang w:val="en-US" w:eastAsia="zh-CN"/>
        </w:rPr>
      </w:pPr>
      <w:r>
        <w:rPr>
          <w:rFonts w:hint="default"/>
          <w:sz w:val="24"/>
          <w:szCs w:val="24"/>
          <w:highlight w:val="none"/>
          <w:lang w:val="en-US" w:eastAsia="zh-CN"/>
        </w:rPr>
        <w:t>C</w:t>
      </w:r>
      <w:r>
        <w:rPr>
          <w:rFonts w:hint="default"/>
          <w:sz w:val="24"/>
          <w:szCs w:val="24"/>
          <w:highlight w:val="none"/>
          <w:vertAlign w:val="subscript"/>
          <w:lang w:val="en-US" w:eastAsia="zh-CN"/>
        </w:rPr>
        <w:t>0</w:t>
      </w:r>
      <w:r>
        <w:rPr>
          <w:rFonts w:hint="default"/>
          <w:sz w:val="24"/>
          <w:szCs w:val="24"/>
          <w:highlight w:val="none"/>
          <w:lang w:val="en-US" w:eastAsia="zh-CN"/>
        </w:rPr>
        <w:t>——</w:t>
      </w:r>
      <w:r>
        <w:rPr>
          <w:rFonts w:hint="eastAsia"/>
          <w:sz w:val="24"/>
          <w:szCs w:val="24"/>
          <w:highlight w:val="none"/>
          <w:lang w:val="en-US" w:eastAsia="zh-CN"/>
        </w:rPr>
        <w:t>排污口混合断面</w:t>
      </w:r>
      <w:r>
        <w:rPr>
          <w:rFonts w:hint="default"/>
          <w:sz w:val="24"/>
          <w:szCs w:val="24"/>
          <w:highlight w:val="none"/>
          <w:lang w:val="en-US" w:eastAsia="zh-CN"/>
        </w:rPr>
        <w:t>污染物浓度，mg/L；</w:t>
      </w:r>
    </w:p>
    <w:p w14:paraId="310B1270">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（3）预测结果</w:t>
      </w:r>
    </w:p>
    <w:p w14:paraId="73C786E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①正常工况下，</w:t>
      </w:r>
      <w:r>
        <w:rPr>
          <w:rFonts w:hint="eastAsia" w:cs="Times New Roman"/>
          <w:sz w:val="24"/>
          <w:szCs w:val="24"/>
          <w:highlight w:val="none"/>
          <w:lang w:val="en-US" w:eastAsia="zh-CN"/>
        </w:rPr>
        <w:t>龙荫港枯水期水质</w:t>
      </w:r>
      <w:r>
        <w:rPr>
          <w:rFonts w:hint="default" w:ascii="Times New Roman" w:hAnsi="Times New Roman" w:eastAsia="宋体" w:cs="Times New Roman"/>
          <w:color w:val="auto"/>
          <w:sz w:val="24"/>
          <w:szCs w:val="24"/>
          <w:highlight w:val="none"/>
          <w:u w:val="none"/>
          <w:lang w:val="en-US" w:eastAsia="zh-CN" w:bidi="zh-CN"/>
        </w:rPr>
        <w:t>CODcr、</w:t>
      </w:r>
      <w:r>
        <w:rPr>
          <w:rFonts w:hint="default" w:ascii="Times New Roman" w:hAnsi="Times New Roman" w:eastAsia="宋体" w:cs="Times New Roman"/>
          <w:color w:val="000000"/>
          <w:sz w:val="24"/>
          <w:szCs w:val="24"/>
          <w:highlight w:val="none"/>
          <w:lang w:val="en-US" w:eastAsia="zh-CN"/>
        </w:rPr>
        <w:t>NH</w:t>
      </w:r>
      <w:r>
        <w:rPr>
          <w:rFonts w:hint="default" w:ascii="Times New Roman" w:hAnsi="Times New Roman" w:eastAsia="宋体" w:cs="Times New Roman"/>
          <w:color w:val="000000"/>
          <w:sz w:val="24"/>
          <w:szCs w:val="24"/>
          <w:highlight w:val="none"/>
          <w:vertAlign w:val="subscript"/>
          <w:lang w:val="en-US" w:eastAsia="zh-CN"/>
        </w:rPr>
        <w:t>3</w:t>
      </w:r>
      <w:r>
        <w:rPr>
          <w:rFonts w:hint="default" w:ascii="Times New Roman" w:hAnsi="Times New Roman" w:eastAsia="宋体" w:cs="Times New Roman"/>
          <w:color w:val="000000"/>
          <w:sz w:val="24"/>
          <w:szCs w:val="24"/>
          <w:highlight w:val="none"/>
          <w:lang w:val="en-US" w:eastAsia="zh-CN"/>
        </w:rPr>
        <w:t>-N、TP的预测结果见下表</w:t>
      </w:r>
      <w:r>
        <w:rPr>
          <w:rFonts w:hint="default" w:ascii="Times New Roman" w:hAnsi="Times New Roman" w:eastAsia="宋体" w:cs="Times New Roman"/>
          <w:color w:val="000000"/>
          <w:kern w:val="0"/>
          <w:sz w:val="24"/>
          <w:szCs w:val="24"/>
          <w:highlight w:val="none"/>
          <w:lang w:val="en-US" w:eastAsia="zh-CN" w:bidi="ar"/>
        </w:rPr>
        <w:t>（按枯水期水文参数预测）。</w:t>
      </w:r>
    </w:p>
    <w:p w14:paraId="547B0D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p>
    <w:p w14:paraId="471D09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p>
    <w:p w14:paraId="03F520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lang w:val="en-US" w:eastAsia="zh-CN"/>
        </w:rPr>
      </w:pPr>
    </w:p>
    <w:p w14:paraId="0B9C6F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表6.1-</w:t>
      </w:r>
      <w:r>
        <w:rPr>
          <w:rFonts w:hint="eastAsia" w:cs="Times New Roman"/>
          <w:b/>
          <w:bCs/>
          <w:color w:val="auto"/>
          <w:sz w:val="21"/>
          <w:szCs w:val="21"/>
          <w:highlight w:val="none"/>
          <w:u w:val="none"/>
          <w:lang w:val="en-US" w:eastAsia="zh-CN"/>
        </w:rPr>
        <w:t>5</w:t>
      </w:r>
      <w:r>
        <w:rPr>
          <w:rFonts w:hint="eastAsia" w:ascii="Times New Roman" w:hAnsi="Times New Roman" w:eastAsia="宋体" w:cs="Times New Roman"/>
          <w:b/>
          <w:bCs/>
          <w:color w:val="auto"/>
          <w:sz w:val="21"/>
          <w:szCs w:val="21"/>
          <w:highlight w:val="none"/>
          <w:u w:val="none"/>
          <w:lang w:val="en-US" w:eastAsia="zh-CN"/>
        </w:rPr>
        <w:t xml:space="preserve"> 枯水期正常工况下</w:t>
      </w:r>
      <w:r>
        <w:rPr>
          <w:rFonts w:hint="default" w:ascii="Times New Roman" w:hAnsi="Times New Roman" w:eastAsia="宋体" w:cs="Times New Roman"/>
          <w:b/>
          <w:bCs/>
          <w:color w:val="auto"/>
          <w:sz w:val="21"/>
          <w:szCs w:val="21"/>
          <w:highlight w:val="none"/>
          <w:u w:val="none"/>
          <w:lang w:val="en-US" w:eastAsia="zh-CN"/>
        </w:rPr>
        <w:t>CODcr</w:t>
      </w:r>
      <w:r>
        <w:rPr>
          <w:rFonts w:hint="eastAsia" w:ascii="Times New Roman" w:hAnsi="Times New Roman" w:eastAsia="宋体" w:cs="Times New Roman"/>
          <w:b/>
          <w:bCs/>
          <w:color w:val="auto"/>
          <w:sz w:val="21"/>
          <w:szCs w:val="21"/>
          <w:highlight w:val="none"/>
          <w:u w:val="none"/>
          <w:lang w:val="en-US" w:eastAsia="zh-CN"/>
        </w:rPr>
        <w:t>、</w:t>
      </w:r>
      <w:r>
        <w:rPr>
          <w:rFonts w:hint="default" w:ascii="Times New Roman" w:hAnsi="Times New Roman" w:eastAsia="宋体" w:cs="Times New Roman"/>
          <w:b/>
          <w:bCs/>
          <w:color w:val="auto"/>
          <w:sz w:val="21"/>
          <w:szCs w:val="21"/>
          <w:highlight w:val="none"/>
          <w:u w:val="none"/>
          <w:lang w:val="en-US" w:eastAsia="zh-CN"/>
        </w:rPr>
        <w:t>NH</w:t>
      </w:r>
      <w:r>
        <w:rPr>
          <w:rFonts w:hint="default" w:ascii="Times New Roman" w:hAnsi="Times New Roman" w:eastAsia="宋体" w:cs="Times New Roman"/>
          <w:b/>
          <w:bCs/>
          <w:color w:val="auto"/>
          <w:sz w:val="21"/>
          <w:szCs w:val="21"/>
          <w:highlight w:val="none"/>
          <w:u w:val="none"/>
          <w:vertAlign w:val="subscript"/>
          <w:lang w:val="en-US" w:eastAsia="zh-CN"/>
        </w:rPr>
        <w:t>3</w:t>
      </w:r>
      <w:r>
        <w:rPr>
          <w:rFonts w:hint="default" w:ascii="Times New Roman" w:hAnsi="Times New Roman" w:eastAsia="宋体" w:cs="Times New Roman"/>
          <w:b/>
          <w:bCs/>
          <w:color w:val="auto"/>
          <w:sz w:val="21"/>
          <w:szCs w:val="21"/>
          <w:highlight w:val="none"/>
          <w:u w:val="none"/>
          <w:lang w:val="en-US" w:eastAsia="zh-CN"/>
        </w:rPr>
        <w:t>-N</w:t>
      </w:r>
      <w:r>
        <w:rPr>
          <w:rFonts w:hint="eastAsia" w:ascii="Times New Roman" w:hAnsi="Times New Roman" w:eastAsia="宋体" w:cs="Times New Roman"/>
          <w:b/>
          <w:bCs/>
          <w:color w:val="auto"/>
          <w:sz w:val="21"/>
          <w:szCs w:val="21"/>
          <w:highlight w:val="none"/>
          <w:u w:val="none"/>
          <w:lang w:val="en-US" w:eastAsia="zh-CN"/>
        </w:rPr>
        <w:t>、</w:t>
      </w:r>
      <w:r>
        <w:rPr>
          <w:rFonts w:hint="default" w:ascii="Times New Roman" w:hAnsi="Times New Roman" w:eastAsia="宋体" w:cs="Times New Roman"/>
          <w:b/>
          <w:bCs/>
          <w:color w:val="auto"/>
          <w:sz w:val="21"/>
          <w:szCs w:val="21"/>
          <w:highlight w:val="none"/>
          <w:u w:val="none"/>
          <w:lang w:val="en-US" w:eastAsia="zh-CN"/>
        </w:rPr>
        <w:t>TP</w:t>
      </w:r>
      <w:r>
        <w:rPr>
          <w:rFonts w:hint="eastAsia" w:ascii="Times New Roman" w:hAnsi="Times New Roman" w:eastAsia="宋体" w:cs="Times New Roman"/>
          <w:b/>
          <w:bCs/>
          <w:color w:val="auto"/>
          <w:sz w:val="21"/>
          <w:szCs w:val="21"/>
          <w:highlight w:val="none"/>
          <w:u w:val="none"/>
          <w:lang w:val="en-US" w:eastAsia="zh-CN"/>
        </w:rPr>
        <w:t>预测结果一览表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2390"/>
        <w:gridCol w:w="2288"/>
        <w:gridCol w:w="2288"/>
      </w:tblGrid>
      <w:tr w14:paraId="036A3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92" w:type="dxa"/>
            <w:shd w:val="clear" w:color="auto" w:fill="F1F1F1"/>
            <w:noWrap w:val="0"/>
            <w:vAlign w:val="center"/>
          </w:tcPr>
          <w:p w14:paraId="3722DCD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highlight w:val="none"/>
                <w:u w:val="none"/>
              </w:rPr>
            </w:pPr>
            <w:r>
              <w:rPr>
                <w:b/>
                <w:bCs/>
                <w:sz w:val="21"/>
                <w:szCs w:val="21"/>
                <w:highlight w:val="none"/>
                <w:u w:val="none"/>
              </w:rPr>
              <w:t>X/Y</w:t>
            </w:r>
          </w:p>
        </w:tc>
        <w:tc>
          <w:tcPr>
            <w:tcW w:w="2390" w:type="dxa"/>
            <w:shd w:val="clear" w:color="auto" w:fill="F1F1F1"/>
            <w:noWrap w:val="0"/>
            <w:vAlign w:val="center"/>
          </w:tcPr>
          <w:p w14:paraId="09FE4F2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sz w:val="21"/>
                <w:szCs w:val="21"/>
                <w:highlight w:val="none"/>
                <w:u w:val="none"/>
                <w:lang w:val="en-US" w:eastAsia="zh-CN"/>
              </w:rPr>
            </w:pPr>
            <w:r>
              <w:rPr>
                <w:rFonts w:hint="eastAsia"/>
                <w:b/>
                <w:bCs/>
                <w:sz w:val="21"/>
                <w:szCs w:val="21"/>
                <w:highlight w:val="none"/>
                <w:u w:val="none"/>
                <w:lang w:val="en-US" w:eastAsia="zh-CN"/>
              </w:rPr>
              <w:t>COD</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c>
          <w:tcPr>
            <w:tcW w:w="2288" w:type="dxa"/>
            <w:shd w:val="clear" w:color="auto" w:fill="F1F1F1"/>
            <w:noWrap w:val="0"/>
            <w:vAlign w:val="center"/>
          </w:tcPr>
          <w:p w14:paraId="4D8930E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highlight w:val="none"/>
                <w:u w:val="none"/>
                <w:lang w:val="en-US" w:eastAsia="zh-CN"/>
              </w:rPr>
            </w:pPr>
            <w:r>
              <w:rPr>
                <w:rFonts w:hint="eastAsia"/>
                <w:b/>
                <w:bCs/>
                <w:sz w:val="21"/>
                <w:szCs w:val="21"/>
                <w:highlight w:val="none"/>
                <w:u w:val="none"/>
                <w:lang w:val="en-US" w:eastAsia="zh-CN"/>
              </w:rPr>
              <w:t>氨氮</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c>
          <w:tcPr>
            <w:tcW w:w="2288" w:type="dxa"/>
            <w:shd w:val="clear" w:color="auto" w:fill="F1F1F1"/>
            <w:noWrap w:val="0"/>
            <w:vAlign w:val="center"/>
          </w:tcPr>
          <w:p w14:paraId="789A3FC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highlight w:val="none"/>
                <w:u w:val="none"/>
                <w:lang w:val="en-US" w:eastAsia="zh-CN"/>
              </w:rPr>
            </w:pPr>
            <w:r>
              <w:rPr>
                <w:rFonts w:hint="eastAsia"/>
                <w:b/>
                <w:bCs/>
                <w:sz w:val="21"/>
                <w:szCs w:val="21"/>
                <w:highlight w:val="none"/>
                <w:u w:val="none"/>
                <w:lang w:val="en-US" w:eastAsia="zh-CN"/>
              </w:rPr>
              <w:t>总磷</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r>
      <w:tr w14:paraId="1A2ED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51BCD3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rPr>
              <w:t>200</w:t>
            </w:r>
          </w:p>
        </w:tc>
        <w:tc>
          <w:tcPr>
            <w:tcW w:w="2390" w:type="dxa"/>
            <w:noWrap w:val="0"/>
            <w:vAlign w:val="center"/>
          </w:tcPr>
          <w:p w14:paraId="3485089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17.7454</w:t>
            </w:r>
          </w:p>
        </w:tc>
        <w:tc>
          <w:tcPr>
            <w:tcW w:w="2288" w:type="dxa"/>
            <w:noWrap w:val="0"/>
            <w:vAlign w:val="center"/>
          </w:tcPr>
          <w:p w14:paraId="07F95B6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0.8705</w:t>
            </w:r>
          </w:p>
        </w:tc>
        <w:tc>
          <w:tcPr>
            <w:tcW w:w="2288" w:type="dxa"/>
            <w:noWrap w:val="0"/>
            <w:vAlign w:val="center"/>
          </w:tcPr>
          <w:p w14:paraId="76B3EC9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0.1896</w:t>
            </w:r>
          </w:p>
        </w:tc>
      </w:tr>
      <w:tr w14:paraId="792F0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70B8DA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400</w:t>
            </w:r>
          </w:p>
        </w:tc>
        <w:tc>
          <w:tcPr>
            <w:tcW w:w="2390" w:type="dxa"/>
            <w:noWrap w:val="0"/>
            <w:vAlign w:val="center"/>
          </w:tcPr>
          <w:p w14:paraId="02BFB7F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17.6780</w:t>
            </w:r>
          </w:p>
        </w:tc>
        <w:tc>
          <w:tcPr>
            <w:tcW w:w="2288" w:type="dxa"/>
            <w:noWrap w:val="0"/>
            <w:vAlign w:val="center"/>
          </w:tcPr>
          <w:p w14:paraId="1883B0C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0.8684</w:t>
            </w:r>
          </w:p>
        </w:tc>
        <w:tc>
          <w:tcPr>
            <w:tcW w:w="2288" w:type="dxa"/>
            <w:noWrap w:val="0"/>
            <w:vAlign w:val="center"/>
          </w:tcPr>
          <w:p w14:paraId="5279EDC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0.1893</w:t>
            </w:r>
          </w:p>
        </w:tc>
      </w:tr>
      <w:tr w14:paraId="1DAD4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1337561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600</w:t>
            </w:r>
          </w:p>
        </w:tc>
        <w:tc>
          <w:tcPr>
            <w:tcW w:w="2390" w:type="dxa"/>
            <w:noWrap w:val="0"/>
            <w:vAlign w:val="center"/>
          </w:tcPr>
          <w:p w14:paraId="778E02F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17.6109</w:t>
            </w:r>
          </w:p>
        </w:tc>
        <w:tc>
          <w:tcPr>
            <w:tcW w:w="2288" w:type="dxa"/>
            <w:noWrap w:val="0"/>
            <w:vAlign w:val="center"/>
          </w:tcPr>
          <w:p w14:paraId="6BE6320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0.8663</w:t>
            </w:r>
          </w:p>
        </w:tc>
        <w:tc>
          <w:tcPr>
            <w:tcW w:w="2288" w:type="dxa"/>
            <w:noWrap w:val="0"/>
            <w:vAlign w:val="center"/>
          </w:tcPr>
          <w:p w14:paraId="5C74E34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0.1890</w:t>
            </w:r>
          </w:p>
        </w:tc>
      </w:tr>
      <w:tr w14:paraId="5260B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27FE3D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800</w:t>
            </w:r>
          </w:p>
        </w:tc>
        <w:tc>
          <w:tcPr>
            <w:tcW w:w="2390" w:type="dxa"/>
            <w:noWrap w:val="0"/>
            <w:vAlign w:val="center"/>
          </w:tcPr>
          <w:p w14:paraId="470BB1B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17.5441</w:t>
            </w:r>
          </w:p>
        </w:tc>
        <w:tc>
          <w:tcPr>
            <w:tcW w:w="2288" w:type="dxa"/>
            <w:noWrap w:val="0"/>
            <w:vAlign w:val="center"/>
          </w:tcPr>
          <w:p w14:paraId="1E0E238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0.8642</w:t>
            </w:r>
          </w:p>
        </w:tc>
        <w:tc>
          <w:tcPr>
            <w:tcW w:w="2288" w:type="dxa"/>
            <w:noWrap w:val="0"/>
            <w:vAlign w:val="center"/>
          </w:tcPr>
          <w:p w14:paraId="118C8D1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0.1887</w:t>
            </w:r>
          </w:p>
        </w:tc>
      </w:tr>
      <w:tr w14:paraId="430A1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27CE253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1000</w:t>
            </w:r>
          </w:p>
        </w:tc>
        <w:tc>
          <w:tcPr>
            <w:tcW w:w="2390" w:type="dxa"/>
            <w:noWrap w:val="0"/>
            <w:vAlign w:val="center"/>
          </w:tcPr>
          <w:p w14:paraId="219E51D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17.4775</w:t>
            </w:r>
          </w:p>
        </w:tc>
        <w:tc>
          <w:tcPr>
            <w:tcW w:w="2288" w:type="dxa"/>
            <w:noWrap w:val="0"/>
            <w:vAlign w:val="center"/>
          </w:tcPr>
          <w:p w14:paraId="5797D86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0.8621</w:t>
            </w:r>
          </w:p>
        </w:tc>
        <w:tc>
          <w:tcPr>
            <w:tcW w:w="2288" w:type="dxa"/>
            <w:noWrap w:val="0"/>
            <w:vAlign w:val="center"/>
          </w:tcPr>
          <w:p w14:paraId="0C828C4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0.1884</w:t>
            </w:r>
          </w:p>
        </w:tc>
      </w:tr>
      <w:tr w14:paraId="40A80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128BD6C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1200</w:t>
            </w:r>
          </w:p>
        </w:tc>
        <w:tc>
          <w:tcPr>
            <w:tcW w:w="2390" w:type="dxa"/>
            <w:noWrap w:val="0"/>
            <w:vAlign w:val="center"/>
          </w:tcPr>
          <w:p w14:paraId="1A0478C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17.4111</w:t>
            </w:r>
          </w:p>
        </w:tc>
        <w:tc>
          <w:tcPr>
            <w:tcW w:w="2288" w:type="dxa"/>
            <w:noWrap w:val="0"/>
            <w:vAlign w:val="center"/>
          </w:tcPr>
          <w:p w14:paraId="23D0A23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0.8600</w:t>
            </w:r>
          </w:p>
        </w:tc>
        <w:tc>
          <w:tcPr>
            <w:tcW w:w="2288" w:type="dxa"/>
            <w:noWrap w:val="0"/>
            <w:vAlign w:val="center"/>
          </w:tcPr>
          <w:p w14:paraId="3389BD1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0.1880</w:t>
            </w:r>
          </w:p>
        </w:tc>
      </w:tr>
      <w:tr w14:paraId="4C77F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5A6C85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1400</w:t>
            </w:r>
          </w:p>
        </w:tc>
        <w:tc>
          <w:tcPr>
            <w:tcW w:w="2390" w:type="dxa"/>
            <w:noWrap w:val="0"/>
            <w:vAlign w:val="center"/>
          </w:tcPr>
          <w:p w14:paraId="6AD3FA9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17.3451</w:t>
            </w:r>
          </w:p>
        </w:tc>
        <w:tc>
          <w:tcPr>
            <w:tcW w:w="2288" w:type="dxa"/>
            <w:noWrap w:val="0"/>
            <w:vAlign w:val="center"/>
          </w:tcPr>
          <w:p w14:paraId="21D8323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0.8579</w:t>
            </w:r>
          </w:p>
        </w:tc>
        <w:tc>
          <w:tcPr>
            <w:tcW w:w="2288" w:type="dxa"/>
            <w:noWrap w:val="0"/>
            <w:vAlign w:val="center"/>
          </w:tcPr>
          <w:p w14:paraId="7628137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0.1877</w:t>
            </w:r>
          </w:p>
        </w:tc>
      </w:tr>
      <w:tr w14:paraId="613B1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FCCD79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1600</w:t>
            </w:r>
          </w:p>
        </w:tc>
        <w:tc>
          <w:tcPr>
            <w:tcW w:w="2390" w:type="dxa"/>
            <w:noWrap w:val="0"/>
            <w:vAlign w:val="center"/>
          </w:tcPr>
          <w:p w14:paraId="189A6A0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17.2792</w:t>
            </w:r>
          </w:p>
        </w:tc>
        <w:tc>
          <w:tcPr>
            <w:tcW w:w="2288" w:type="dxa"/>
            <w:noWrap w:val="0"/>
            <w:vAlign w:val="center"/>
          </w:tcPr>
          <w:p w14:paraId="3FA1136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0.82559</w:t>
            </w:r>
          </w:p>
        </w:tc>
        <w:tc>
          <w:tcPr>
            <w:tcW w:w="2288" w:type="dxa"/>
            <w:noWrap w:val="0"/>
            <w:vAlign w:val="center"/>
          </w:tcPr>
          <w:p w14:paraId="47BD510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0.1874</w:t>
            </w:r>
          </w:p>
        </w:tc>
      </w:tr>
      <w:tr w14:paraId="41481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446EFD8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1800</w:t>
            </w:r>
          </w:p>
        </w:tc>
        <w:tc>
          <w:tcPr>
            <w:tcW w:w="2390" w:type="dxa"/>
            <w:noWrap w:val="0"/>
            <w:vAlign w:val="center"/>
          </w:tcPr>
          <w:p w14:paraId="5EFE0E1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17.2136</w:t>
            </w:r>
          </w:p>
        </w:tc>
        <w:tc>
          <w:tcPr>
            <w:tcW w:w="2288" w:type="dxa"/>
            <w:noWrap w:val="0"/>
            <w:vAlign w:val="center"/>
          </w:tcPr>
          <w:p w14:paraId="69F67E7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0.8538</w:t>
            </w:r>
          </w:p>
        </w:tc>
        <w:tc>
          <w:tcPr>
            <w:tcW w:w="2288" w:type="dxa"/>
            <w:noWrap w:val="0"/>
            <w:vAlign w:val="center"/>
          </w:tcPr>
          <w:p w14:paraId="6820CE9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0.1871</w:t>
            </w:r>
          </w:p>
        </w:tc>
      </w:tr>
      <w:tr w14:paraId="0F38A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0D896A3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2000</w:t>
            </w:r>
          </w:p>
        </w:tc>
        <w:tc>
          <w:tcPr>
            <w:tcW w:w="2390" w:type="dxa"/>
            <w:noWrap w:val="0"/>
            <w:vAlign w:val="center"/>
          </w:tcPr>
          <w:p w14:paraId="28B8F21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17.1483</w:t>
            </w:r>
          </w:p>
        </w:tc>
        <w:tc>
          <w:tcPr>
            <w:tcW w:w="2288" w:type="dxa"/>
            <w:noWrap w:val="0"/>
            <w:vAlign w:val="center"/>
          </w:tcPr>
          <w:p w14:paraId="3B9F306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0.8517</w:t>
            </w:r>
          </w:p>
        </w:tc>
        <w:tc>
          <w:tcPr>
            <w:tcW w:w="2288" w:type="dxa"/>
            <w:noWrap w:val="0"/>
            <w:vAlign w:val="center"/>
          </w:tcPr>
          <w:p w14:paraId="2307D6D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0.1868</w:t>
            </w:r>
          </w:p>
        </w:tc>
      </w:tr>
      <w:tr w14:paraId="30DC6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7610D89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2200</w:t>
            </w:r>
          </w:p>
        </w:tc>
        <w:tc>
          <w:tcPr>
            <w:tcW w:w="2390" w:type="dxa"/>
            <w:noWrap w:val="0"/>
            <w:vAlign w:val="center"/>
          </w:tcPr>
          <w:p w14:paraId="7A0F935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17.0832</w:t>
            </w:r>
          </w:p>
        </w:tc>
        <w:tc>
          <w:tcPr>
            <w:tcW w:w="2288" w:type="dxa"/>
            <w:noWrap w:val="0"/>
            <w:vAlign w:val="center"/>
          </w:tcPr>
          <w:p w14:paraId="4938372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0.8497</w:t>
            </w:r>
          </w:p>
        </w:tc>
        <w:tc>
          <w:tcPr>
            <w:tcW w:w="2288" w:type="dxa"/>
            <w:noWrap w:val="0"/>
            <w:vAlign w:val="center"/>
          </w:tcPr>
          <w:p w14:paraId="697898E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0.1865</w:t>
            </w:r>
          </w:p>
        </w:tc>
      </w:tr>
      <w:tr w14:paraId="2039B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03A12D6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2400</w:t>
            </w:r>
          </w:p>
        </w:tc>
        <w:tc>
          <w:tcPr>
            <w:tcW w:w="2390" w:type="dxa"/>
            <w:noWrap w:val="0"/>
            <w:vAlign w:val="center"/>
          </w:tcPr>
          <w:p w14:paraId="6815FA4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17.0184</w:t>
            </w:r>
          </w:p>
        </w:tc>
        <w:tc>
          <w:tcPr>
            <w:tcW w:w="2288" w:type="dxa"/>
            <w:noWrap w:val="0"/>
            <w:vAlign w:val="center"/>
          </w:tcPr>
          <w:p w14:paraId="0095CDB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0.8476</w:t>
            </w:r>
          </w:p>
        </w:tc>
        <w:tc>
          <w:tcPr>
            <w:tcW w:w="2288" w:type="dxa"/>
            <w:noWrap w:val="0"/>
            <w:vAlign w:val="center"/>
          </w:tcPr>
          <w:p w14:paraId="7A6F819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0.1862</w:t>
            </w:r>
          </w:p>
        </w:tc>
      </w:tr>
      <w:tr w14:paraId="672AA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272FEA3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2600</w:t>
            </w:r>
          </w:p>
        </w:tc>
        <w:tc>
          <w:tcPr>
            <w:tcW w:w="2390" w:type="dxa"/>
            <w:noWrap w:val="0"/>
            <w:vAlign w:val="center"/>
          </w:tcPr>
          <w:p w14:paraId="615EE69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16.9538</w:t>
            </w:r>
          </w:p>
        </w:tc>
        <w:tc>
          <w:tcPr>
            <w:tcW w:w="2288" w:type="dxa"/>
            <w:noWrap w:val="0"/>
            <w:vAlign w:val="center"/>
          </w:tcPr>
          <w:p w14:paraId="280903A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0.8455</w:t>
            </w:r>
          </w:p>
        </w:tc>
        <w:tc>
          <w:tcPr>
            <w:tcW w:w="2288" w:type="dxa"/>
            <w:noWrap w:val="0"/>
            <w:vAlign w:val="center"/>
          </w:tcPr>
          <w:p w14:paraId="7C0BB7A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0.1859</w:t>
            </w:r>
          </w:p>
        </w:tc>
      </w:tr>
      <w:tr w14:paraId="6BF7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1FF3F02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2800</w:t>
            </w:r>
          </w:p>
        </w:tc>
        <w:tc>
          <w:tcPr>
            <w:tcW w:w="2390" w:type="dxa"/>
            <w:noWrap w:val="0"/>
            <w:vAlign w:val="center"/>
          </w:tcPr>
          <w:p w14:paraId="5C30886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16.8894</w:t>
            </w:r>
          </w:p>
        </w:tc>
        <w:tc>
          <w:tcPr>
            <w:tcW w:w="2288" w:type="dxa"/>
            <w:noWrap w:val="0"/>
            <w:vAlign w:val="center"/>
          </w:tcPr>
          <w:p w14:paraId="35C883D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0.8435</w:t>
            </w:r>
          </w:p>
        </w:tc>
        <w:tc>
          <w:tcPr>
            <w:tcW w:w="2288" w:type="dxa"/>
            <w:noWrap w:val="0"/>
            <w:vAlign w:val="center"/>
          </w:tcPr>
          <w:p w14:paraId="7599D14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0.1856</w:t>
            </w:r>
          </w:p>
        </w:tc>
      </w:tr>
      <w:tr w14:paraId="01DF4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E622E6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3000</w:t>
            </w:r>
          </w:p>
        </w:tc>
        <w:tc>
          <w:tcPr>
            <w:tcW w:w="2390" w:type="dxa"/>
            <w:noWrap w:val="0"/>
            <w:vAlign w:val="center"/>
          </w:tcPr>
          <w:p w14:paraId="0698CF6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16.8253</w:t>
            </w:r>
          </w:p>
        </w:tc>
        <w:tc>
          <w:tcPr>
            <w:tcW w:w="2288" w:type="dxa"/>
            <w:noWrap w:val="0"/>
            <w:vAlign w:val="center"/>
          </w:tcPr>
          <w:p w14:paraId="7AAA0CF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0.8414</w:t>
            </w:r>
          </w:p>
        </w:tc>
        <w:tc>
          <w:tcPr>
            <w:tcW w:w="2288" w:type="dxa"/>
            <w:noWrap w:val="0"/>
            <w:vAlign w:val="center"/>
          </w:tcPr>
          <w:p w14:paraId="671554C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0.1853</w:t>
            </w:r>
          </w:p>
        </w:tc>
      </w:tr>
      <w:tr w14:paraId="5A194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B6A358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3200</w:t>
            </w:r>
          </w:p>
        </w:tc>
        <w:tc>
          <w:tcPr>
            <w:tcW w:w="2390" w:type="dxa"/>
            <w:noWrap w:val="0"/>
            <w:vAlign w:val="center"/>
          </w:tcPr>
          <w:p w14:paraId="678634E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16.7614</w:t>
            </w:r>
          </w:p>
        </w:tc>
        <w:tc>
          <w:tcPr>
            <w:tcW w:w="2288" w:type="dxa"/>
            <w:noWrap w:val="0"/>
            <w:vAlign w:val="center"/>
          </w:tcPr>
          <w:p w14:paraId="19FA6C0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0.8394</w:t>
            </w:r>
          </w:p>
        </w:tc>
        <w:tc>
          <w:tcPr>
            <w:tcW w:w="2288" w:type="dxa"/>
            <w:noWrap w:val="0"/>
            <w:vAlign w:val="center"/>
          </w:tcPr>
          <w:p w14:paraId="2A0C4BC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0.1850</w:t>
            </w:r>
          </w:p>
        </w:tc>
      </w:tr>
      <w:tr w14:paraId="57044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2D80B1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3400</w:t>
            </w:r>
          </w:p>
        </w:tc>
        <w:tc>
          <w:tcPr>
            <w:tcW w:w="2390" w:type="dxa"/>
            <w:noWrap w:val="0"/>
            <w:vAlign w:val="center"/>
          </w:tcPr>
          <w:p w14:paraId="44C3E11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16.6978</w:t>
            </w:r>
          </w:p>
        </w:tc>
        <w:tc>
          <w:tcPr>
            <w:tcW w:w="2288" w:type="dxa"/>
            <w:noWrap w:val="0"/>
            <w:vAlign w:val="center"/>
          </w:tcPr>
          <w:p w14:paraId="58704BB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0.8373</w:t>
            </w:r>
          </w:p>
        </w:tc>
        <w:tc>
          <w:tcPr>
            <w:tcW w:w="2288" w:type="dxa"/>
            <w:noWrap w:val="0"/>
            <w:vAlign w:val="center"/>
          </w:tcPr>
          <w:p w14:paraId="7AEAD23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0.1847</w:t>
            </w:r>
          </w:p>
        </w:tc>
      </w:tr>
      <w:tr w14:paraId="1619B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051EDF6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3600</w:t>
            </w:r>
          </w:p>
        </w:tc>
        <w:tc>
          <w:tcPr>
            <w:tcW w:w="2390" w:type="dxa"/>
            <w:noWrap w:val="0"/>
            <w:vAlign w:val="center"/>
          </w:tcPr>
          <w:p w14:paraId="1393F5D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16.6344</w:t>
            </w:r>
          </w:p>
        </w:tc>
        <w:tc>
          <w:tcPr>
            <w:tcW w:w="2288" w:type="dxa"/>
            <w:noWrap w:val="0"/>
            <w:vAlign w:val="center"/>
          </w:tcPr>
          <w:p w14:paraId="15ED208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0.8353</w:t>
            </w:r>
          </w:p>
        </w:tc>
        <w:tc>
          <w:tcPr>
            <w:tcW w:w="2288" w:type="dxa"/>
            <w:noWrap w:val="0"/>
            <w:vAlign w:val="center"/>
          </w:tcPr>
          <w:p w14:paraId="76514C5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0.1844</w:t>
            </w:r>
          </w:p>
        </w:tc>
      </w:tr>
      <w:tr w14:paraId="23A3A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13CCFB0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3800</w:t>
            </w:r>
          </w:p>
        </w:tc>
        <w:tc>
          <w:tcPr>
            <w:tcW w:w="2390" w:type="dxa"/>
            <w:noWrap w:val="0"/>
            <w:vAlign w:val="center"/>
          </w:tcPr>
          <w:p w14:paraId="38AEAD1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16.5713</w:t>
            </w:r>
          </w:p>
        </w:tc>
        <w:tc>
          <w:tcPr>
            <w:tcW w:w="2288" w:type="dxa"/>
            <w:noWrap w:val="0"/>
            <w:vAlign w:val="center"/>
          </w:tcPr>
          <w:p w14:paraId="481394A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0.8332</w:t>
            </w:r>
          </w:p>
        </w:tc>
        <w:tc>
          <w:tcPr>
            <w:tcW w:w="2288" w:type="dxa"/>
            <w:noWrap w:val="0"/>
            <w:vAlign w:val="center"/>
          </w:tcPr>
          <w:p w14:paraId="09A737C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0.1840</w:t>
            </w:r>
          </w:p>
        </w:tc>
      </w:tr>
      <w:tr w14:paraId="77E00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70E203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4000</w:t>
            </w:r>
          </w:p>
        </w:tc>
        <w:tc>
          <w:tcPr>
            <w:tcW w:w="2390" w:type="dxa"/>
            <w:noWrap w:val="0"/>
            <w:vAlign w:val="center"/>
          </w:tcPr>
          <w:p w14:paraId="215CDA7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16.5084</w:t>
            </w:r>
          </w:p>
        </w:tc>
        <w:tc>
          <w:tcPr>
            <w:tcW w:w="2288" w:type="dxa"/>
            <w:noWrap w:val="0"/>
            <w:vAlign w:val="center"/>
          </w:tcPr>
          <w:p w14:paraId="41E55F8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0.8312</w:t>
            </w:r>
          </w:p>
        </w:tc>
        <w:tc>
          <w:tcPr>
            <w:tcW w:w="2288" w:type="dxa"/>
            <w:noWrap w:val="0"/>
            <w:vAlign w:val="center"/>
          </w:tcPr>
          <w:p w14:paraId="201B734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0.1837</w:t>
            </w:r>
          </w:p>
        </w:tc>
      </w:tr>
      <w:tr w14:paraId="040EC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7E4075B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4200</w:t>
            </w:r>
          </w:p>
        </w:tc>
        <w:tc>
          <w:tcPr>
            <w:tcW w:w="2390" w:type="dxa"/>
            <w:noWrap w:val="0"/>
            <w:vAlign w:val="center"/>
          </w:tcPr>
          <w:p w14:paraId="798C069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16.4457</w:t>
            </w:r>
          </w:p>
        </w:tc>
        <w:tc>
          <w:tcPr>
            <w:tcW w:w="2288" w:type="dxa"/>
            <w:noWrap w:val="0"/>
            <w:vAlign w:val="center"/>
          </w:tcPr>
          <w:p w14:paraId="46C7C62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0.8292</w:t>
            </w:r>
          </w:p>
        </w:tc>
        <w:tc>
          <w:tcPr>
            <w:tcW w:w="2288" w:type="dxa"/>
            <w:noWrap w:val="0"/>
            <w:vAlign w:val="center"/>
          </w:tcPr>
          <w:p w14:paraId="5C6A0F3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0.1834</w:t>
            </w:r>
          </w:p>
        </w:tc>
      </w:tr>
      <w:tr w14:paraId="77F6D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251F405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4400</w:t>
            </w:r>
          </w:p>
        </w:tc>
        <w:tc>
          <w:tcPr>
            <w:tcW w:w="2390" w:type="dxa"/>
            <w:noWrap w:val="0"/>
            <w:vAlign w:val="center"/>
          </w:tcPr>
          <w:p w14:paraId="2130ABD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16.3833</w:t>
            </w:r>
          </w:p>
        </w:tc>
        <w:tc>
          <w:tcPr>
            <w:tcW w:w="2288" w:type="dxa"/>
            <w:noWrap w:val="0"/>
            <w:vAlign w:val="center"/>
          </w:tcPr>
          <w:p w14:paraId="6BFCD64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0.8271</w:t>
            </w:r>
          </w:p>
        </w:tc>
        <w:tc>
          <w:tcPr>
            <w:tcW w:w="2288" w:type="dxa"/>
            <w:noWrap w:val="0"/>
            <w:vAlign w:val="center"/>
          </w:tcPr>
          <w:p w14:paraId="201F8F6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0.1831</w:t>
            </w:r>
          </w:p>
        </w:tc>
      </w:tr>
      <w:tr w14:paraId="70770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C94B10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4500</w:t>
            </w:r>
          </w:p>
          <w:p w14:paraId="20AE0F8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w:t>
            </w:r>
            <w:r>
              <w:rPr>
                <w:rFonts w:hint="eastAsia" w:ascii="Times New Roman" w:hAnsi="Times New Roman" w:eastAsia="宋体" w:cs="Times New Roman"/>
                <w:color w:val="000000"/>
                <w:kern w:val="2"/>
                <w:sz w:val="21"/>
                <w:szCs w:val="21"/>
                <w:highlight w:val="none"/>
                <w:lang w:val="en-US" w:eastAsia="zh-CN" w:bidi="ar-SA"/>
              </w:rPr>
              <w:t>梅桥村</w:t>
            </w:r>
            <w:r>
              <w:rPr>
                <w:rFonts w:hint="eastAsia" w:cs="Times New Roman"/>
                <w:color w:val="000000"/>
                <w:kern w:val="2"/>
                <w:sz w:val="21"/>
                <w:szCs w:val="21"/>
                <w:highlight w:val="none"/>
                <w:lang w:val="en-US" w:eastAsia="zh-CN" w:bidi="ar-SA"/>
              </w:rPr>
              <w:t>断面</w:t>
            </w:r>
            <w:r>
              <w:rPr>
                <w:rFonts w:hint="eastAsia"/>
                <w:sz w:val="21"/>
                <w:szCs w:val="21"/>
                <w:highlight w:val="none"/>
                <w:u w:val="none"/>
                <w:lang w:val="en-US" w:eastAsia="zh-CN"/>
              </w:rPr>
              <w:t>）</w:t>
            </w:r>
          </w:p>
        </w:tc>
        <w:tc>
          <w:tcPr>
            <w:tcW w:w="2390" w:type="dxa"/>
            <w:noWrap w:val="0"/>
            <w:vAlign w:val="center"/>
          </w:tcPr>
          <w:p w14:paraId="542AB91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16.3522</w:t>
            </w:r>
          </w:p>
        </w:tc>
        <w:tc>
          <w:tcPr>
            <w:tcW w:w="2288" w:type="dxa"/>
            <w:noWrap w:val="0"/>
            <w:vAlign w:val="center"/>
          </w:tcPr>
          <w:p w14:paraId="3A7D396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0.8260</w:t>
            </w:r>
          </w:p>
        </w:tc>
        <w:tc>
          <w:tcPr>
            <w:tcW w:w="2288" w:type="dxa"/>
            <w:noWrap w:val="0"/>
            <w:vAlign w:val="center"/>
          </w:tcPr>
          <w:p w14:paraId="6D89ED2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0.1830</w:t>
            </w:r>
          </w:p>
        </w:tc>
      </w:tr>
      <w:tr w14:paraId="3A1C9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4763842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4600</w:t>
            </w:r>
          </w:p>
        </w:tc>
        <w:tc>
          <w:tcPr>
            <w:tcW w:w="2390" w:type="dxa"/>
            <w:noWrap w:val="0"/>
            <w:vAlign w:val="center"/>
          </w:tcPr>
          <w:p w14:paraId="624B88D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16.3211</w:t>
            </w:r>
          </w:p>
        </w:tc>
        <w:tc>
          <w:tcPr>
            <w:tcW w:w="2288" w:type="dxa"/>
            <w:noWrap w:val="0"/>
            <w:vAlign w:val="center"/>
          </w:tcPr>
          <w:p w14:paraId="06DE38C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0.8251</w:t>
            </w:r>
          </w:p>
        </w:tc>
        <w:tc>
          <w:tcPr>
            <w:tcW w:w="2288" w:type="dxa"/>
            <w:noWrap w:val="0"/>
            <w:vAlign w:val="center"/>
          </w:tcPr>
          <w:p w14:paraId="2219EE1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0.1828</w:t>
            </w:r>
          </w:p>
        </w:tc>
      </w:tr>
      <w:tr w14:paraId="12164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61E2B55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4800</w:t>
            </w:r>
          </w:p>
        </w:tc>
        <w:tc>
          <w:tcPr>
            <w:tcW w:w="2390" w:type="dxa"/>
            <w:noWrap w:val="0"/>
            <w:vAlign w:val="center"/>
          </w:tcPr>
          <w:p w14:paraId="5DC90B2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16.2592</w:t>
            </w:r>
          </w:p>
        </w:tc>
        <w:tc>
          <w:tcPr>
            <w:tcW w:w="2288" w:type="dxa"/>
            <w:noWrap w:val="0"/>
            <w:vAlign w:val="center"/>
          </w:tcPr>
          <w:p w14:paraId="57CB914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0.8231</w:t>
            </w:r>
          </w:p>
        </w:tc>
        <w:tc>
          <w:tcPr>
            <w:tcW w:w="2288" w:type="dxa"/>
            <w:noWrap w:val="0"/>
            <w:vAlign w:val="center"/>
          </w:tcPr>
          <w:p w14:paraId="628838C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0.1825</w:t>
            </w:r>
          </w:p>
        </w:tc>
      </w:tr>
      <w:tr w14:paraId="3A191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92" w:type="dxa"/>
            <w:noWrap w:val="0"/>
            <w:vAlign w:val="center"/>
          </w:tcPr>
          <w:p w14:paraId="323CB54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5000</w:t>
            </w:r>
          </w:p>
        </w:tc>
        <w:tc>
          <w:tcPr>
            <w:tcW w:w="2390" w:type="dxa"/>
            <w:noWrap w:val="0"/>
            <w:vAlign w:val="center"/>
          </w:tcPr>
          <w:p w14:paraId="221AFDD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16.1975</w:t>
            </w:r>
          </w:p>
        </w:tc>
        <w:tc>
          <w:tcPr>
            <w:tcW w:w="2288" w:type="dxa"/>
            <w:noWrap w:val="0"/>
            <w:vAlign w:val="center"/>
          </w:tcPr>
          <w:p w14:paraId="5DB9B03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0.8211</w:t>
            </w:r>
          </w:p>
        </w:tc>
        <w:tc>
          <w:tcPr>
            <w:tcW w:w="2288" w:type="dxa"/>
            <w:noWrap w:val="0"/>
            <w:vAlign w:val="center"/>
          </w:tcPr>
          <w:p w14:paraId="0972829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0.1822</w:t>
            </w:r>
          </w:p>
        </w:tc>
      </w:tr>
      <w:tr w14:paraId="18144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592" w:type="dxa"/>
            <w:noWrap w:val="0"/>
            <w:vAlign w:val="center"/>
          </w:tcPr>
          <w:p w14:paraId="3AFF0BAE">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u w:val="none"/>
                <w:lang w:val="en-US" w:eastAsia="zh-CN" w:bidi="ar-SA"/>
              </w:rPr>
            </w:pPr>
            <w:r>
              <w:rPr>
                <w:b/>
                <w:bCs/>
                <w:sz w:val="21"/>
                <w:szCs w:val="21"/>
                <w:highlight w:val="none"/>
                <w:u w:val="none"/>
              </w:rPr>
              <w:t>Ⅲ类水质标准</w:t>
            </w:r>
          </w:p>
        </w:tc>
        <w:tc>
          <w:tcPr>
            <w:tcW w:w="2390" w:type="dxa"/>
            <w:noWrap w:val="0"/>
            <w:vAlign w:val="center"/>
          </w:tcPr>
          <w:p w14:paraId="23324498">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20</w:t>
            </w:r>
          </w:p>
        </w:tc>
        <w:tc>
          <w:tcPr>
            <w:tcW w:w="2288" w:type="dxa"/>
            <w:noWrap w:val="0"/>
            <w:vAlign w:val="center"/>
          </w:tcPr>
          <w:p w14:paraId="026B20A2">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2288" w:type="dxa"/>
            <w:noWrap w:val="0"/>
            <w:vAlign w:val="center"/>
          </w:tcPr>
          <w:p w14:paraId="50EDDD31">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0.2</w:t>
            </w:r>
          </w:p>
        </w:tc>
      </w:tr>
    </w:tbl>
    <w:p w14:paraId="38FC8DA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根据上表6.1-</w:t>
      </w:r>
      <w:r>
        <w:rPr>
          <w:rFonts w:hint="eastAsia" w:cs="Times New Roman"/>
          <w:color w:val="000000"/>
          <w:kern w:val="0"/>
          <w:sz w:val="24"/>
          <w:szCs w:val="24"/>
          <w:highlight w:val="none"/>
          <w:lang w:val="en-US" w:eastAsia="zh-CN" w:bidi="ar"/>
        </w:rPr>
        <w:t>5</w:t>
      </w:r>
      <w:r>
        <w:rPr>
          <w:rFonts w:hint="eastAsia" w:ascii="Times New Roman" w:hAnsi="Times New Roman" w:eastAsia="宋体" w:cs="Times New Roman"/>
          <w:color w:val="000000"/>
          <w:kern w:val="0"/>
          <w:sz w:val="24"/>
          <w:szCs w:val="24"/>
          <w:highlight w:val="none"/>
          <w:lang w:val="en-US" w:eastAsia="zh-CN" w:bidi="ar"/>
        </w:rPr>
        <w:t>可知，本入河排污口正常工况下，尾水达标排入龙荫港后，龙荫港枯水期CODcr、NH</w:t>
      </w:r>
      <w:r>
        <w:rPr>
          <w:rFonts w:hint="eastAsia" w:ascii="Times New Roman" w:hAnsi="Times New Roman" w:eastAsia="宋体" w:cs="Times New Roman"/>
          <w:color w:val="000000"/>
          <w:kern w:val="0"/>
          <w:sz w:val="24"/>
          <w:szCs w:val="24"/>
          <w:highlight w:val="none"/>
          <w:vertAlign w:val="sub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-N、TP预测浓度</w:t>
      </w:r>
      <w:r>
        <w:rPr>
          <w:rFonts w:hint="default" w:ascii="Times New Roman" w:hAnsi="Times New Roman" w:eastAsia="宋体" w:cs="Times New Roman"/>
          <w:color w:val="000000"/>
          <w:kern w:val="0"/>
          <w:sz w:val="24"/>
          <w:szCs w:val="24"/>
          <w:highlight w:val="none"/>
          <w:lang w:val="en-US" w:eastAsia="zh-CN" w:bidi="ar"/>
        </w:rPr>
        <w:t>可达到《地表水环境质量标准》（GB3838-2002）III类水质标准</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对</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w:t>
      </w:r>
      <w:r>
        <w:rPr>
          <w:rFonts w:hint="eastAsia" w:cs="Times New Roman"/>
          <w:i w:val="0"/>
          <w:caps w:val="0"/>
          <w:color w:val="auto"/>
          <w:spacing w:val="0"/>
          <w:sz w:val="24"/>
          <w:szCs w:val="24"/>
          <w:highlight w:val="none"/>
          <w:u w:val="none"/>
          <w:shd w:val="clear" w:color="auto" w:fill="auto"/>
          <w:lang w:val="en-US" w:eastAsia="zh-CN"/>
        </w:rPr>
        <w:t>水质影响较小。</w:t>
      </w:r>
    </w:p>
    <w:p w14:paraId="726906D6">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w:t>
      </w:r>
      <w:r>
        <w:rPr>
          <w:rFonts w:hint="eastAsia" w:ascii="Times New Roman" w:hAnsi="Times New Roman" w:eastAsia="宋体" w:cs="Times New Roman"/>
          <w:color w:val="000000"/>
          <w:kern w:val="0"/>
          <w:sz w:val="24"/>
          <w:szCs w:val="24"/>
          <w:highlight w:val="none"/>
          <w:lang w:val="en-US" w:eastAsia="zh-CN" w:bidi="ar"/>
        </w:rPr>
        <w:t>事故排放下，</w:t>
      </w:r>
      <w:r>
        <w:rPr>
          <w:rFonts w:hint="default" w:ascii="Times New Roman" w:hAnsi="Times New Roman" w:eastAsia="宋体" w:cs="Times New Roman"/>
          <w:color w:val="000000"/>
          <w:kern w:val="0"/>
          <w:sz w:val="24"/>
          <w:szCs w:val="24"/>
          <w:highlight w:val="none"/>
          <w:lang w:val="en-US" w:eastAsia="zh-CN" w:bidi="ar"/>
        </w:rPr>
        <w:t>CODcr</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TP</w:t>
      </w:r>
      <w:r>
        <w:rPr>
          <w:rFonts w:hint="eastAsia" w:ascii="Times New Roman" w:hAnsi="Times New Roman" w:eastAsia="宋体" w:cs="Times New Roman"/>
          <w:color w:val="000000"/>
          <w:kern w:val="0"/>
          <w:sz w:val="24"/>
          <w:szCs w:val="24"/>
          <w:highlight w:val="none"/>
          <w:lang w:val="en-US" w:eastAsia="zh-CN" w:bidi="ar"/>
        </w:rPr>
        <w:t>的预测结果见下表（按枯水期水文参数预测）。</w:t>
      </w:r>
    </w:p>
    <w:p w14:paraId="6FD9B2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表6.1-</w:t>
      </w:r>
      <w:r>
        <w:rPr>
          <w:rFonts w:hint="eastAsia" w:cs="Times New Roman"/>
          <w:b/>
          <w:bCs/>
          <w:color w:val="auto"/>
          <w:sz w:val="21"/>
          <w:szCs w:val="21"/>
          <w:highlight w:val="none"/>
          <w:u w:val="none"/>
          <w:lang w:val="en-US" w:eastAsia="zh-CN"/>
        </w:rPr>
        <w:t>6</w:t>
      </w:r>
      <w:r>
        <w:rPr>
          <w:rFonts w:hint="eastAsia" w:ascii="Times New Roman" w:hAnsi="Times New Roman" w:eastAsia="宋体" w:cs="Times New Roman"/>
          <w:b/>
          <w:bCs/>
          <w:color w:val="auto"/>
          <w:sz w:val="21"/>
          <w:szCs w:val="21"/>
          <w:highlight w:val="none"/>
          <w:u w:val="none"/>
          <w:lang w:val="en-US" w:eastAsia="zh-CN"/>
        </w:rPr>
        <w:t xml:space="preserve"> 枯水期事故排放下</w:t>
      </w:r>
      <w:r>
        <w:rPr>
          <w:rFonts w:hint="default" w:ascii="Times New Roman" w:hAnsi="Times New Roman" w:eastAsia="宋体" w:cs="Times New Roman"/>
          <w:b/>
          <w:bCs/>
          <w:color w:val="auto"/>
          <w:sz w:val="21"/>
          <w:szCs w:val="21"/>
          <w:highlight w:val="none"/>
          <w:u w:val="none"/>
          <w:lang w:val="en-US" w:eastAsia="zh-CN"/>
        </w:rPr>
        <w:t>CODcr</w:t>
      </w:r>
      <w:r>
        <w:rPr>
          <w:rFonts w:hint="eastAsia" w:ascii="Times New Roman" w:hAnsi="Times New Roman" w:eastAsia="宋体" w:cs="Times New Roman"/>
          <w:b/>
          <w:bCs/>
          <w:color w:val="auto"/>
          <w:sz w:val="21"/>
          <w:szCs w:val="21"/>
          <w:highlight w:val="none"/>
          <w:u w:val="none"/>
          <w:lang w:val="en-US" w:eastAsia="zh-CN"/>
        </w:rPr>
        <w:t>、</w:t>
      </w:r>
      <w:r>
        <w:rPr>
          <w:rFonts w:hint="default" w:ascii="Times New Roman" w:hAnsi="Times New Roman" w:eastAsia="宋体" w:cs="Times New Roman"/>
          <w:b/>
          <w:bCs/>
          <w:color w:val="auto"/>
          <w:sz w:val="21"/>
          <w:szCs w:val="21"/>
          <w:highlight w:val="none"/>
          <w:u w:val="none"/>
          <w:lang w:val="en-US" w:eastAsia="zh-CN"/>
        </w:rPr>
        <w:t>NH</w:t>
      </w:r>
      <w:r>
        <w:rPr>
          <w:rFonts w:hint="default" w:ascii="Times New Roman" w:hAnsi="Times New Roman" w:eastAsia="宋体" w:cs="Times New Roman"/>
          <w:b/>
          <w:bCs/>
          <w:color w:val="auto"/>
          <w:sz w:val="21"/>
          <w:szCs w:val="21"/>
          <w:highlight w:val="none"/>
          <w:u w:val="none"/>
          <w:vertAlign w:val="subscript"/>
          <w:lang w:val="en-US" w:eastAsia="zh-CN"/>
        </w:rPr>
        <w:t>3</w:t>
      </w:r>
      <w:r>
        <w:rPr>
          <w:rFonts w:hint="default" w:ascii="Times New Roman" w:hAnsi="Times New Roman" w:eastAsia="宋体" w:cs="Times New Roman"/>
          <w:b/>
          <w:bCs/>
          <w:color w:val="auto"/>
          <w:sz w:val="21"/>
          <w:szCs w:val="21"/>
          <w:highlight w:val="none"/>
          <w:u w:val="none"/>
          <w:lang w:val="en-US" w:eastAsia="zh-CN"/>
        </w:rPr>
        <w:t>-N</w:t>
      </w:r>
      <w:r>
        <w:rPr>
          <w:rFonts w:hint="eastAsia" w:ascii="Times New Roman" w:hAnsi="Times New Roman" w:eastAsia="宋体" w:cs="Times New Roman"/>
          <w:b/>
          <w:bCs/>
          <w:color w:val="auto"/>
          <w:sz w:val="21"/>
          <w:szCs w:val="21"/>
          <w:highlight w:val="none"/>
          <w:u w:val="none"/>
          <w:lang w:val="en-US" w:eastAsia="zh-CN"/>
        </w:rPr>
        <w:t>、</w:t>
      </w:r>
      <w:r>
        <w:rPr>
          <w:rFonts w:hint="default" w:ascii="Times New Roman" w:hAnsi="Times New Roman" w:eastAsia="宋体" w:cs="Times New Roman"/>
          <w:b/>
          <w:bCs/>
          <w:color w:val="auto"/>
          <w:sz w:val="21"/>
          <w:szCs w:val="21"/>
          <w:highlight w:val="none"/>
          <w:u w:val="none"/>
          <w:lang w:val="en-US" w:eastAsia="zh-CN"/>
        </w:rPr>
        <w:t>TP</w:t>
      </w:r>
      <w:r>
        <w:rPr>
          <w:rFonts w:hint="eastAsia" w:ascii="Times New Roman" w:hAnsi="Times New Roman" w:eastAsia="宋体" w:cs="Times New Roman"/>
          <w:b/>
          <w:bCs/>
          <w:color w:val="auto"/>
          <w:sz w:val="21"/>
          <w:szCs w:val="21"/>
          <w:highlight w:val="none"/>
          <w:u w:val="none"/>
          <w:lang w:val="en-US" w:eastAsia="zh-CN"/>
        </w:rPr>
        <w:t>预测结果一览表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384"/>
        <w:gridCol w:w="2282"/>
        <w:gridCol w:w="2282"/>
      </w:tblGrid>
      <w:tr w14:paraId="53413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88" w:type="dxa"/>
            <w:shd w:val="clear" w:color="auto" w:fill="F1F1F1"/>
            <w:noWrap w:val="0"/>
            <w:vAlign w:val="center"/>
          </w:tcPr>
          <w:p w14:paraId="753292E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highlight w:val="none"/>
                <w:u w:val="none"/>
              </w:rPr>
            </w:pPr>
            <w:r>
              <w:rPr>
                <w:b/>
                <w:bCs/>
                <w:sz w:val="21"/>
                <w:szCs w:val="21"/>
                <w:highlight w:val="none"/>
                <w:u w:val="none"/>
              </w:rPr>
              <w:t>X/Y</w:t>
            </w:r>
          </w:p>
        </w:tc>
        <w:tc>
          <w:tcPr>
            <w:tcW w:w="2384" w:type="dxa"/>
            <w:shd w:val="clear" w:color="auto" w:fill="F1F1F1"/>
            <w:noWrap w:val="0"/>
            <w:vAlign w:val="center"/>
          </w:tcPr>
          <w:p w14:paraId="34BB77A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sz w:val="21"/>
                <w:szCs w:val="21"/>
                <w:highlight w:val="none"/>
                <w:u w:val="none"/>
                <w:lang w:val="en-US" w:eastAsia="zh-CN"/>
              </w:rPr>
            </w:pPr>
            <w:r>
              <w:rPr>
                <w:rFonts w:hint="eastAsia"/>
                <w:b/>
                <w:bCs/>
                <w:sz w:val="21"/>
                <w:szCs w:val="21"/>
                <w:highlight w:val="none"/>
                <w:u w:val="none"/>
                <w:lang w:val="en-US" w:eastAsia="zh-CN"/>
              </w:rPr>
              <w:t>COD</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c>
          <w:tcPr>
            <w:tcW w:w="2282" w:type="dxa"/>
            <w:shd w:val="clear" w:color="auto" w:fill="F1F1F1"/>
            <w:noWrap w:val="0"/>
            <w:vAlign w:val="center"/>
          </w:tcPr>
          <w:p w14:paraId="1C1D1DC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highlight w:val="none"/>
                <w:u w:val="none"/>
                <w:lang w:val="en-US" w:eastAsia="zh-CN"/>
              </w:rPr>
            </w:pPr>
            <w:r>
              <w:rPr>
                <w:rFonts w:hint="eastAsia"/>
                <w:b/>
                <w:bCs/>
                <w:sz w:val="21"/>
                <w:szCs w:val="21"/>
                <w:highlight w:val="none"/>
                <w:u w:val="none"/>
                <w:lang w:val="en-US" w:eastAsia="zh-CN"/>
              </w:rPr>
              <w:t>氨氮</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c>
          <w:tcPr>
            <w:tcW w:w="2282" w:type="dxa"/>
            <w:shd w:val="clear" w:color="auto" w:fill="F1F1F1"/>
            <w:noWrap w:val="0"/>
            <w:vAlign w:val="center"/>
          </w:tcPr>
          <w:p w14:paraId="5BFD710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highlight w:val="none"/>
                <w:u w:val="none"/>
                <w:lang w:val="en-US" w:eastAsia="zh-CN"/>
              </w:rPr>
            </w:pPr>
            <w:r>
              <w:rPr>
                <w:rFonts w:hint="eastAsia"/>
                <w:b/>
                <w:bCs/>
                <w:sz w:val="21"/>
                <w:szCs w:val="21"/>
                <w:highlight w:val="none"/>
                <w:u w:val="none"/>
                <w:lang w:val="en-US" w:eastAsia="zh-CN"/>
              </w:rPr>
              <w:t>总磷</w:t>
            </w:r>
            <w:r>
              <w:rPr>
                <w:rFonts w:hint="eastAsia"/>
                <w:b/>
                <w:bCs/>
                <w:sz w:val="21"/>
                <w:szCs w:val="21"/>
                <w:highlight w:val="none"/>
                <w:u w:val="none"/>
              </w:rPr>
              <w:t>下游浓度</w:t>
            </w:r>
            <w:r>
              <w:rPr>
                <w:rFonts w:hint="eastAsia"/>
                <w:b/>
                <w:bCs/>
                <w:sz w:val="21"/>
                <w:szCs w:val="21"/>
                <w:highlight w:val="none"/>
                <w:u w:val="none"/>
                <w:lang w:val="en-US" w:eastAsia="zh-CN"/>
              </w:rPr>
              <w:t xml:space="preserve">  mg/L</w:t>
            </w:r>
          </w:p>
        </w:tc>
      </w:tr>
      <w:tr w14:paraId="6C056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C2A00F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rPr>
            </w:pPr>
            <w:r>
              <w:rPr>
                <w:rFonts w:hint="eastAsia"/>
                <w:sz w:val="21"/>
                <w:szCs w:val="21"/>
                <w:highlight w:val="none"/>
                <w:u w:val="none"/>
              </w:rPr>
              <w:t>200</w:t>
            </w:r>
          </w:p>
        </w:tc>
        <w:tc>
          <w:tcPr>
            <w:tcW w:w="2384" w:type="dxa"/>
            <w:noWrap w:val="0"/>
            <w:vAlign w:val="center"/>
          </w:tcPr>
          <w:p w14:paraId="25D72C7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7</w:t>
            </w:r>
            <w:r>
              <w:rPr>
                <w:rFonts w:hint="eastAsia" w:eastAsia="宋体"/>
                <w:sz w:val="21"/>
                <w:szCs w:val="21"/>
                <w:highlight w:val="none"/>
                <w:u w:val="none"/>
                <w:lang w:val="en-US" w:eastAsia="zh-CN"/>
              </w:rPr>
              <w:t>.7191</w:t>
            </w:r>
          </w:p>
        </w:tc>
        <w:tc>
          <w:tcPr>
            <w:tcW w:w="2282" w:type="dxa"/>
            <w:noWrap w:val="0"/>
            <w:vAlign w:val="center"/>
          </w:tcPr>
          <w:p w14:paraId="7325D2C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8.0989</w:t>
            </w:r>
          </w:p>
        </w:tc>
        <w:tc>
          <w:tcPr>
            <w:tcW w:w="2282" w:type="dxa"/>
            <w:noWrap w:val="0"/>
            <w:vAlign w:val="center"/>
          </w:tcPr>
          <w:p w14:paraId="2F9918A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0.7658</w:t>
            </w:r>
          </w:p>
        </w:tc>
      </w:tr>
      <w:tr w14:paraId="4212E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594A62D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400</w:t>
            </w:r>
          </w:p>
        </w:tc>
        <w:tc>
          <w:tcPr>
            <w:tcW w:w="2384" w:type="dxa"/>
            <w:noWrap w:val="0"/>
            <w:vAlign w:val="center"/>
          </w:tcPr>
          <w:p w14:paraId="78647B7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7</w:t>
            </w:r>
            <w:r>
              <w:rPr>
                <w:rFonts w:hint="eastAsia" w:eastAsia="宋体"/>
                <w:sz w:val="21"/>
                <w:szCs w:val="21"/>
                <w:highlight w:val="none"/>
                <w:u w:val="none"/>
                <w:lang w:val="en-US" w:eastAsia="zh-CN"/>
              </w:rPr>
              <w:t>.4658</w:t>
            </w:r>
          </w:p>
        </w:tc>
        <w:tc>
          <w:tcPr>
            <w:tcW w:w="2282" w:type="dxa"/>
            <w:noWrap w:val="0"/>
            <w:vAlign w:val="center"/>
          </w:tcPr>
          <w:p w14:paraId="21ADE02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8.0855</w:t>
            </w:r>
          </w:p>
        </w:tc>
        <w:tc>
          <w:tcPr>
            <w:tcW w:w="2282" w:type="dxa"/>
            <w:noWrap w:val="0"/>
            <w:vAlign w:val="center"/>
          </w:tcPr>
          <w:p w14:paraId="0499D51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0.7645</w:t>
            </w:r>
          </w:p>
        </w:tc>
      </w:tr>
      <w:tr w14:paraId="17DCC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03D09A2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600</w:t>
            </w:r>
          </w:p>
        </w:tc>
        <w:tc>
          <w:tcPr>
            <w:tcW w:w="2384" w:type="dxa"/>
            <w:noWrap w:val="0"/>
            <w:vAlign w:val="center"/>
          </w:tcPr>
          <w:p w14:paraId="317AFD0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7</w:t>
            </w:r>
            <w:r>
              <w:rPr>
                <w:rFonts w:hint="eastAsia" w:eastAsia="宋体"/>
                <w:sz w:val="21"/>
                <w:szCs w:val="21"/>
                <w:highlight w:val="none"/>
                <w:u w:val="none"/>
                <w:lang w:val="en-US" w:eastAsia="zh-CN"/>
              </w:rPr>
              <w:t>.2136</w:t>
            </w:r>
          </w:p>
        </w:tc>
        <w:tc>
          <w:tcPr>
            <w:tcW w:w="2282" w:type="dxa"/>
            <w:noWrap w:val="0"/>
            <w:vAlign w:val="center"/>
          </w:tcPr>
          <w:p w14:paraId="6CA2569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8.0721</w:t>
            </w:r>
          </w:p>
        </w:tc>
        <w:tc>
          <w:tcPr>
            <w:tcW w:w="2282" w:type="dxa"/>
            <w:noWrap w:val="0"/>
            <w:vAlign w:val="center"/>
          </w:tcPr>
          <w:p w14:paraId="7493FFE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0.7632</w:t>
            </w:r>
          </w:p>
        </w:tc>
      </w:tr>
      <w:tr w14:paraId="74A60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BCFBE5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800</w:t>
            </w:r>
          </w:p>
        </w:tc>
        <w:tc>
          <w:tcPr>
            <w:tcW w:w="2384" w:type="dxa"/>
            <w:noWrap w:val="0"/>
            <w:vAlign w:val="center"/>
          </w:tcPr>
          <w:p w14:paraId="6805A6B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6</w:t>
            </w:r>
            <w:r>
              <w:rPr>
                <w:rFonts w:hint="eastAsia" w:eastAsia="宋体"/>
                <w:sz w:val="21"/>
                <w:szCs w:val="21"/>
                <w:highlight w:val="none"/>
                <w:u w:val="none"/>
                <w:lang w:val="en-US" w:eastAsia="zh-CN"/>
              </w:rPr>
              <w:t>.9622</w:t>
            </w:r>
          </w:p>
        </w:tc>
        <w:tc>
          <w:tcPr>
            <w:tcW w:w="2282" w:type="dxa"/>
            <w:noWrap w:val="0"/>
            <w:vAlign w:val="center"/>
          </w:tcPr>
          <w:p w14:paraId="0E06E35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8.0588</w:t>
            </w:r>
          </w:p>
        </w:tc>
        <w:tc>
          <w:tcPr>
            <w:tcW w:w="2282" w:type="dxa"/>
            <w:noWrap w:val="0"/>
            <w:vAlign w:val="center"/>
          </w:tcPr>
          <w:p w14:paraId="575A2E0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0.7620</w:t>
            </w:r>
          </w:p>
        </w:tc>
      </w:tr>
      <w:tr w14:paraId="341F1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474BEE0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1000</w:t>
            </w:r>
          </w:p>
        </w:tc>
        <w:tc>
          <w:tcPr>
            <w:tcW w:w="2384" w:type="dxa"/>
            <w:noWrap w:val="0"/>
            <w:vAlign w:val="center"/>
          </w:tcPr>
          <w:p w14:paraId="248A6EB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6</w:t>
            </w:r>
            <w:r>
              <w:rPr>
                <w:rFonts w:hint="eastAsia" w:eastAsia="宋体"/>
                <w:sz w:val="21"/>
                <w:szCs w:val="21"/>
                <w:highlight w:val="none"/>
                <w:u w:val="none"/>
                <w:lang w:val="en-US" w:eastAsia="zh-CN"/>
              </w:rPr>
              <w:t>.7119</w:t>
            </w:r>
          </w:p>
        </w:tc>
        <w:tc>
          <w:tcPr>
            <w:tcW w:w="2282" w:type="dxa"/>
            <w:noWrap w:val="0"/>
            <w:vAlign w:val="center"/>
          </w:tcPr>
          <w:p w14:paraId="425293C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8.0455</w:t>
            </w:r>
          </w:p>
        </w:tc>
        <w:tc>
          <w:tcPr>
            <w:tcW w:w="2282" w:type="dxa"/>
            <w:noWrap w:val="0"/>
            <w:vAlign w:val="center"/>
          </w:tcPr>
          <w:p w14:paraId="0FF1FB4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0.7607</w:t>
            </w:r>
          </w:p>
        </w:tc>
      </w:tr>
      <w:tr w14:paraId="2394A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5643FDE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1200</w:t>
            </w:r>
          </w:p>
        </w:tc>
        <w:tc>
          <w:tcPr>
            <w:tcW w:w="2384" w:type="dxa"/>
            <w:noWrap w:val="0"/>
            <w:vAlign w:val="center"/>
          </w:tcPr>
          <w:p w14:paraId="18F7F1B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6</w:t>
            </w:r>
            <w:r>
              <w:rPr>
                <w:rFonts w:hint="eastAsia" w:eastAsia="宋体"/>
                <w:sz w:val="21"/>
                <w:szCs w:val="21"/>
                <w:highlight w:val="none"/>
                <w:u w:val="none"/>
                <w:lang w:val="en-US" w:eastAsia="zh-CN"/>
              </w:rPr>
              <w:t>.4624</w:t>
            </w:r>
          </w:p>
        </w:tc>
        <w:tc>
          <w:tcPr>
            <w:tcW w:w="2282" w:type="dxa"/>
            <w:noWrap w:val="0"/>
            <w:vAlign w:val="center"/>
          </w:tcPr>
          <w:p w14:paraId="3794C78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8.0322</w:t>
            </w:r>
          </w:p>
        </w:tc>
        <w:tc>
          <w:tcPr>
            <w:tcW w:w="2282" w:type="dxa"/>
            <w:noWrap w:val="0"/>
            <w:vAlign w:val="center"/>
          </w:tcPr>
          <w:p w14:paraId="5944689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0.7595</w:t>
            </w:r>
          </w:p>
        </w:tc>
      </w:tr>
      <w:tr w14:paraId="33F0A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26DF7D6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1400</w:t>
            </w:r>
          </w:p>
        </w:tc>
        <w:tc>
          <w:tcPr>
            <w:tcW w:w="2384" w:type="dxa"/>
            <w:noWrap w:val="0"/>
            <w:vAlign w:val="center"/>
          </w:tcPr>
          <w:p w14:paraId="6555566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6</w:t>
            </w:r>
            <w:r>
              <w:rPr>
                <w:rFonts w:hint="eastAsia" w:eastAsia="宋体"/>
                <w:sz w:val="21"/>
                <w:szCs w:val="21"/>
                <w:highlight w:val="none"/>
                <w:u w:val="none"/>
                <w:lang w:val="en-US" w:eastAsia="zh-CN"/>
              </w:rPr>
              <w:t>.2140</w:t>
            </w:r>
          </w:p>
        </w:tc>
        <w:tc>
          <w:tcPr>
            <w:tcW w:w="2282" w:type="dxa"/>
            <w:noWrap w:val="0"/>
            <w:vAlign w:val="center"/>
          </w:tcPr>
          <w:p w14:paraId="0D2DEFE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8.0189</w:t>
            </w:r>
          </w:p>
        </w:tc>
        <w:tc>
          <w:tcPr>
            <w:tcW w:w="2282" w:type="dxa"/>
            <w:noWrap w:val="0"/>
            <w:vAlign w:val="center"/>
          </w:tcPr>
          <w:p w14:paraId="5C1CB99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0.7582</w:t>
            </w:r>
          </w:p>
        </w:tc>
      </w:tr>
      <w:tr w14:paraId="75841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5ABED0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1600</w:t>
            </w:r>
          </w:p>
        </w:tc>
        <w:tc>
          <w:tcPr>
            <w:tcW w:w="2384" w:type="dxa"/>
            <w:noWrap w:val="0"/>
            <w:vAlign w:val="center"/>
          </w:tcPr>
          <w:p w14:paraId="732BE95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6</w:t>
            </w:r>
            <w:r>
              <w:rPr>
                <w:rFonts w:hint="eastAsia" w:eastAsia="宋体"/>
                <w:sz w:val="21"/>
                <w:szCs w:val="21"/>
                <w:highlight w:val="none"/>
                <w:u w:val="none"/>
                <w:lang w:val="en-US" w:eastAsia="zh-CN"/>
              </w:rPr>
              <w:t>.9664</w:t>
            </w:r>
          </w:p>
        </w:tc>
        <w:tc>
          <w:tcPr>
            <w:tcW w:w="2282" w:type="dxa"/>
            <w:noWrap w:val="0"/>
            <w:vAlign w:val="center"/>
          </w:tcPr>
          <w:p w14:paraId="513B252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8.0057</w:t>
            </w:r>
          </w:p>
        </w:tc>
        <w:tc>
          <w:tcPr>
            <w:tcW w:w="2282" w:type="dxa"/>
            <w:noWrap w:val="0"/>
            <w:vAlign w:val="center"/>
          </w:tcPr>
          <w:p w14:paraId="01A1A07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0.7569</w:t>
            </w:r>
          </w:p>
        </w:tc>
      </w:tr>
      <w:tr w14:paraId="2E6F9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254D46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1800</w:t>
            </w:r>
          </w:p>
        </w:tc>
        <w:tc>
          <w:tcPr>
            <w:tcW w:w="2384" w:type="dxa"/>
            <w:noWrap w:val="0"/>
            <w:vAlign w:val="center"/>
          </w:tcPr>
          <w:p w14:paraId="588768B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5</w:t>
            </w:r>
            <w:r>
              <w:rPr>
                <w:rFonts w:hint="eastAsia" w:eastAsia="宋体"/>
                <w:sz w:val="21"/>
                <w:szCs w:val="21"/>
                <w:highlight w:val="none"/>
                <w:u w:val="none"/>
                <w:lang w:val="en-US" w:eastAsia="zh-CN"/>
              </w:rPr>
              <w:t>.7198</w:t>
            </w:r>
          </w:p>
        </w:tc>
        <w:tc>
          <w:tcPr>
            <w:tcW w:w="2282" w:type="dxa"/>
            <w:noWrap w:val="0"/>
            <w:vAlign w:val="center"/>
          </w:tcPr>
          <w:p w14:paraId="4ADE819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7.9925</w:t>
            </w:r>
          </w:p>
        </w:tc>
        <w:tc>
          <w:tcPr>
            <w:tcW w:w="2282" w:type="dxa"/>
            <w:noWrap w:val="0"/>
            <w:vAlign w:val="center"/>
          </w:tcPr>
          <w:p w14:paraId="2D185D7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0.7557</w:t>
            </w:r>
          </w:p>
        </w:tc>
      </w:tr>
      <w:tr w14:paraId="43D45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449173E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2000</w:t>
            </w:r>
          </w:p>
        </w:tc>
        <w:tc>
          <w:tcPr>
            <w:tcW w:w="2384" w:type="dxa"/>
            <w:noWrap w:val="0"/>
            <w:vAlign w:val="center"/>
          </w:tcPr>
          <w:p w14:paraId="01E9EF6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5</w:t>
            </w:r>
            <w:r>
              <w:rPr>
                <w:rFonts w:hint="eastAsia" w:eastAsia="宋体"/>
                <w:sz w:val="21"/>
                <w:szCs w:val="21"/>
                <w:highlight w:val="none"/>
                <w:u w:val="none"/>
                <w:lang w:val="en-US" w:eastAsia="zh-CN"/>
              </w:rPr>
              <w:t>.4742</w:t>
            </w:r>
          </w:p>
        </w:tc>
        <w:tc>
          <w:tcPr>
            <w:tcW w:w="2282" w:type="dxa"/>
            <w:noWrap w:val="0"/>
            <w:vAlign w:val="center"/>
          </w:tcPr>
          <w:p w14:paraId="5FF3172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7.9793</w:t>
            </w:r>
          </w:p>
        </w:tc>
        <w:tc>
          <w:tcPr>
            <w:tcW w:w="2282" w:type="dxa"/>
            <w:noWrap w:val="0"/>
            <w:vAlign w:val="center"/>
          </w:tcPr>
          <w:p w14:paraId="4472E1C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0.7544</w:t>
            </w:r>
          </w:p>
        </w:tc>
      </w:tr>
      <w:tr w14:paraId="72099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1BD8C7C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2200</w:t>
            </w:r>
          </w:p>
        </w:tc>
        <w:tc>
          <w:tcPr>
            <w:tcW w:w="2384" w:type="dxa"/>
            <w:noWrap w:val="0"/>
            <w:vAlign w:val="center"/>
          </w:tcPr>
          <w:p w14:paraId="27F2890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5</w:t>
            </w:r>
            <w:r>
              <w:rPr>
                <w:rFonts w:hint="eastAsia" w:eastAsia="宋体"/>
                <w:sz w:val="21"/>
                <w:szCs w:val="21"/>
                <w:highlight w:val="none"/>
                <w:u w:val="none"/>
                <w:lang w:val="en-US" w:eastAsia="zh-CN"/>
              </w:rPr>
              <w:t>.2295</w:t>
            </w:r>
          </w:p>
        </w:tc>
        <w:tc>
          <w:tcPr>
            <w:tcW w:w="2282" w:type="dxa"/>
            <w:noWrap w:val="0"/>
            <w:vAlign w:val="center"/>
          </w:tcPr>
          <w:p w14:paraId="29D9C41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7.9661</w:t>
            </w:r>
          </w:p>
        </w:tc>
        <w:tc>
          <w:tcPr>
            <w:tcW w:w="2282" w:type="dxa"/>
            <w:noWrap w:val="0"/>
            <w:vAlign w:val="center"/>
          </w:tcPr>
          <w:p w14:paraId="3E7D066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0.7532</w:t>
            </w:r>
          </w:p>
        </w:tc>
      </w:tr>
      <w:tr w14:paraId="637E4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78BD649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2400</w:t>
            </w:r>
          </w:p>
        </w:tc>
        <w:tc>
          <w:tcPr>
            <w:tcW w:w="2384" w:type="dxa"/>
            <w:noWrap w:val="0"/>
            <w:vAlign w:val="center"/>
          </w:tcPr>
          <w:p w14:paraId="67D5AB7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4</w:t>
            </w:r>
            <w:r>
              <w:rPr>
                <w:rFonts w:hint="eastAsia" w:eastAsia="宋体"/>
                <w:sz w:val="21"/>
                <w:szCs w:val="21"/>
                <w:highlight w:val="none"/>
                <w:u w:val="none"/>
                <w:lang w:val="en-US" w:eastAsia="zh-CN"/>
              </w:rPr>
              <w:t>.9857</w:t>
            </w:r>
          </w:p>
        </w:tc>
        <w:tc>
          <w:tcPr>
            <w:tcW w:w="2282" w:type="dxa"/>
            <w:noWrap w:val="0"/>
            <w:vAlign w:val="center"/>
          </w:tcPr>
          <w:p w14:paraId="7F91ACB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7.9529</w:t>
            </w:r>
          </w:p>
        </w:tc>
        <w:tc>
          <w:tcPr>
            <w:tcW w:w="2282" w:type="dxa"/>
            <w:noWrap w:val="0"/>
            <w:vAlign w:val="center"/>
          </w:tcPr>
          <w:p w14:paraId="7DD1829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0.7520</w:t>
            </w:r>
          </w:p>
        </w:tc>
      </w:tr>
      <w:tr w14:paraId="1C2E8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0FD4AEE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2600</w:t>
            </w:r>
          </w:p>
        </w:tc>
        <w:tc>
          <w:tcPr>
            <w:tcW w:w="2384" w:type="dxa"/>
            <w:noWrap w:val="0"/>
            <w:vAlign w:val="center"/>
          </w:tcPr>
          <w:p w14:paraId="6E02E28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4</w:t>
            </w:r>
            <w:r>
              <w:rPr>
                <w:rFonts w:hint="eastAsia" w:eastAsia="宋体"/>
                <w:sz w:val="21"/>
                <w:szCs w:val="21"/>
                <w:highlight w:val="none"/>
                <w:u w:val="none"/>
                <w:lang w:val="en-US" w:eastAsia="zh-CN"/>
              </w:rPr>
              <w:t>.7428</w:t>
            </w:r>
          </w:p>
        </w:tc>
        <w:tc>
          <w:tcPr>
            <w:tcW w:w="2282" w:type="dxa"/>
            <w:noWrap w:val="0"/>
            <w:vAlign w:val="center"/>
          </w:tcPr>
          <w:p w14:paraId="561E53B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7.9398</w:t>
            </w:r>
          </w:p>
        </w:tc>
        <w:tc>
          <w:tcPr>
            <w:tcW w:w="2282" w:type="dxa"/>
            <w:noWrap w:val="0"/>
            <w:vAlign w:val="center"/>
          </w:tcPr>
          <w:p w14:paraId="0025CEA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0.7507</w:t>
            </w:r>
          </w:p>
        </w:tc>
      </w:tr>
      <w:tr w14:paraId="14897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115A114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2800</w:t>
            </w:r>
          </w:p>
        </w:tc>
        <w:tc>
          <w:tcPr>
            <w:tcW w:w="2384" w:type="dxa"/>
            <w:noWrap w:val="0"/>
            <w:vAlign w:val="center"/>
          </w:tcPr>
          <w:p w14:paraId="52D51E3E">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4</w:t>
            </w:r>
            <w:r>
              <w:rPr>
                <w:rFonts w:hint="eastAsia" w:eastAsia="宋体"/>
                <w:sz w:val="21"/>
                <w:szCs w:val="21"/>
                <w:highlight w:val="none"/>
                <w:u w:val="none"/>
                <w:lang w:val="en-US" w:eastAsia="zh-CN"/>
              </w:rPr>
              <w:t>.5008</w:t>
            </w:r>
          </w:p>
        </w:tc>
        <w:tc>
          <w:tcPr>
            <w:tcW w:w="2282" w:type="dxa"/>
            <w:noWrap w:val="0"/>
            <w:vAlign w:val="center"/>
          </w:tcPr>
          <w:p w14:paraId="230BA0F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7.9267</w:t>
            </w:r>
          </w:p>
        </w:tc>
        <w:tc>
          <w:tcPr>
            <w:tcW w:w="2282" w:type="dxa"/>
            <w:noWrap w:val="0"/>
            <w:vAlign w:val="center"/>
          </w:tcPr>
          <w:p w14:paraId="537DFD8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0.7495</w:t>
            </w:r>
          </w:p>
        </w:tc>
      </w:tr>
      <w:tr w14:paraId="4F994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71280A2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3000</w:t>
            </w:r>
          </w:p>
        </w:tc>
        <w:tc>
          <w:tcPr>
            <w:tcW w:w="2384" w:type="dxa"/>
            <w:noWrap w:val="0"/>
            <w:vAlign w:val="center"/>
          </w:tcPr>
          <w:p w14:paraId="2DD2F43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4</w:t>
            </w:r>
            <w:r>
              <w:rPr>
                <w:rFonts w:hint="eastAsia" w:eastAsia="宋体"/>
                <w:sz w:val="21"/>
                <w:szCs w:val="21"/>
                <w:highlight w:val="none"/>
                <w:u w:val="none"/>
                <w:lang w:val="en-US" w:eastAsia="zh-CN"/>
              </w:rPr>
              <w:t>.2598</w:t>
            </w:r>
          </w:p>
        </w:tc>
        <w:tc>
          <w:tcPr>
            <w:tcW w:w="2282" w:type="dxa"/>
            <w:noWrap w:val="0"/>
            <w:vAlign w:val="center"/>
          </w:tcPr>
          <w:p w14:paraId="79E7187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7.9136</w:t>
            </w:r>
          </w:p>
        </w:tc>
        <w:tc>
          <w:tcPr>
            <w:tcW w:w="2282" w:type="dxa"/>
            <w:noWrap w:val="0"/>
            <w:vAlign w:val="center"/>
          </w:tcPr>
          <w:p w14:paraId="69C0699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0.7482</w:t>
            </w:r>
          </w:p>
        </w:tc>
      </w:tr>
      <w:tr w14:paraId="4D31E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0849316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3200</w:t>
            </w:r>
          </w:p>
        </w:tc>
        <w:tc>
          <w:tcPr>
            <w:tcW w:w="2384" w:type="dxa"/>
            <w:noWrap w:val="0"/>
            <w:vAlign w:val="center"/>
          </w:tcPr>
          <w:p w14:paraId="79CB77B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4</w:t>
            </w:r>
            <w:r>
              <w:rPr>
                <w:rFonts w:hint="eastAsia" w:eastAsia="宋体"/>
                <w:sz w:val="21"/>
                <w:szCs w:val="21"/>
                <w:highlight w:val="none"/>
                <w:u w:val="none"/>
                <w:lang w:val="en-US" w:eastAsia="zh-CN"/>
              </w:rPr>
              <w:t>.0197</w:t>
            </w:r>
          </w:p>
        </w:tc>
        <w:tc>
          <w:tcPr>
            <w:tcW w:w="2282" w:type="dxa"/>
            <w:noWrap w:val="0"/>
            <w:vAlign w:val="center"/>
          </w:tcPr>
          <w:p w14:paraId="5C8FB12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7.9005</w:t>
            </w:r>
          </w:p>
        </w:tc>
        <w:tc>
          <w:tcPr>
            <w:tcW w:w="2282" w:type="dxa"/>
            <w:noWrap w:val="0"/>
            <w:vAlign w:val="center"/>
          </w:tcPr>
          <w:p w14:paraId="1E76B78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0.7470</w:t>
            </w:r>
          </w:p>
        </w:tc>
      </w:tr>
      <w:tr w14:paraId="014A8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FDC071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3400</w:t>
            </w:r>
          </w:p>
        </w:tc>
        <w:tc>
          <w:tcPr>
            <w:tcW w:w="2384" w:type="dxa"/>
            <w:noWrap w:val="0"/>
            <w:vAlign w:val="center"/>
          </w:tcPr>
          <w:p w14:paraId="67D76FE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3</w:t>
            </w:r>
            <w:r>
              <w:rPr>
                <w:rFonts w:hint="eastAsia" w:eastAsia="宋体"/>
                <w:sz w:val="21"/>
                <w:szCs w:val="21"/>
                <w:highlight w:val="none"/>
                <w:u w:val="none"/>
                <w:lang w:val="en-US" w:eastAsia="zh-CN"/>
              </w:rPr>
              <w:t>.7805</w:t>
            </w:r>
          </w:p>
        </w:tc>
        <w:tc>
          <w:tcPr>
            <w:tcW w:w="2282" w:type="dxa"/>
            <w:noWrap w:val="0"/>
            <w:vAlign w:val="center"/>
          </w:tcPr>
          <w:p w14:paraId="6722B4C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7.8874</w:t>
            </w:r>
          </w:p>
        </w:tc>
        <w:tc>
          <w:tcPr>
            <w:tcW w:w="2282" w:type="dxa"/>
            <w:noWrap w:val="0"/>
            <w:vAlign w:val="center"/>
          </w:tcPr>
          <w:p w14:paraId="19D5DC7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0.7458</w:t>
            </w:r>
          </w:p>
        </w:tc>
      </w:tr>
      <w:tr w14:paraId="1A1C3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078B24A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3600</w:t>
            </w:r>
          </w:p>
        </w:tc>
        <w:tc>
          <w:tcPr>
            <w:tcW w:w="2384" w:type="dxa"/>
            <w:noWrap w:val="0"/>
            <w:vAlign w:val="center"/>
          </w:tcPr>
          <w:p w14:paraId="1D9AC936">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3</w:t>
            </w:r>
            <w:r>
              <w:rPr>
                <w:rFonts w:hint="eastAsia" w:eastAsia="宋体"/>
                <w:sz w:val="21"/>
                <w:szCs w:val="21"/>
                <w:highlight w:val="none"/>
                <w:u w:val="none"/>
                <w:lang w:val="en-US" w:eastAsia="zh-CN"/>
              </w:rPr>
              <w:t>.5422</w:t>
            </w:r>
          </w:p>
        </w:tc>
        <w:tc>
          <w:tcPr>
            <w:tcW w:w="2282" w:type="dxa"/>
            <w:noWrap w:val="0"/>
            <w:vAlign w:val="center"/>
          </w:tcPr>
          <w:p w14:paraId="2172D6A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7.8744</w:t>
            </w:r>
          </w:p>
        </w:tc>
        <w:tc>
          <w:tcPr>
            <w:tcW w:w="2282" w:type="dxa"/>
            <w:noWrap w:val="0"/>
            <w:vAlign w:val="center"/>
          </w:tcPr>
          <w:p w14:paraId="2A7FFF3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0.7445</w:t>
            </w:r>
          </w:p>
        </w:tc>
      </w:tr>
      <w:tr w14:paraId="30F6E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8AC992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3800</w:t>
            </w:r>
          </w:p>
        </w:tc>
        <w:tc>
          <w:tcPr>
            <w:tcW w:w="2384" w:type="dxa"/>
            <w:noWrap w:val="0"/>
            <w:vAlign w:val="center"/>
          </w:tcPr>
          <w:p w14:paraId="70D984D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63.3048</w:t>
            </w:r>
          </w:p>
        </w:tc>
        <w:tc>
          <w:tcPr>
            <w:tcW w:w="2282" w:type="dxa"/>
            <w:noWrap w:val="0"/>
            <w:vAlign w:val="center"/>
          </w:tcPr>
          <w:p w14:paraId="4E462E5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7.8614</w:t>
            </w:r>
          </w:p>
        </w:tc>
        <w:tc>
          <w:tcPr>
            <w:tcW w:w="2282" w:type="dxa"/>
            <w:noWrap w:val="0"/>
            <w:vAlign w:val="center"/>
          </w:tcPr>
          <w:p w14:paraId="403F118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0.7433</w:t>
            </w:r>
          </w:p>
        </w:tc>
      </w:tr>
      <w:tr w14:paraId="0049C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2940173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4000</w:t>
            </w:r>
          </w:p>
        </w:tc>
        <w:tc>
          <w:tcPr>
            <w:tcW w:w="2384" w:type="dxa"/>
            <w:noWrap w:val="0"/>
            <w:vAlign w:val="center"/>
          </w:tcPr>
          <w:p w14:paraId="43A940D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3</w:t>
            </w:r>
            <w:r>
              <w:rPr>
                <w:rFonts w:hint="eastAsia" w:eastAsia="宋体"/>
                <w:sz w:val="21"/>
                <w:szCs w:val="21"/>
                <w:highlight w:val="none"/>
                <w:u w:val="none"/>
                <w:lang w:val="en-US" w:eastAsia="zh-CN"/>
              </w:rPr>
              <w:t>.0683</w:t>
            </w:r>
          </w:p>
        </w:tc>
        <w:tc>
          <w:tcPr>
            <w:tcW w:w="2282" w:type="dxa"/>
            <w:noWrap w:val="0"/>
            <w:vAlign w:val="center"/>
          </w:tcPr>
          <w:p w14:paraId="15A60CB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7.8484</w:t>
            </w:r>
          </w:p>
        </w:tc>
        <w:tc>
          <w:tcPr>
            <w:tcW w:w="2282" w:type="dxa"/>
            <w:noWrap w:val="0"/>
            <w:vAlign w:val="center"/>
          </w:tcPr>
          <w:p w14:paraId="25653C89">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0.7421</w:t>
            </w:r>
          </w:p>
        </w:tc>
      </w:tr>
      <w:tr w14:paraId="0607B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597255C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4200</w:t>
            </w:r>
          </w:p>
        </w:tc>
        <w:tc>
          <w:tcPr>
            <w:tcW w:w="2384" w:type="dxa"/>
            <w:noWrap w:val="0"/>
            <w:vAlign w:val="center"/>
          </w:tcPr>
          <w:p w14:paraId="7F06D462">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2</w:t>
            </w:r>
            <w:r>
              <w:rPr>
                <w:rFonts w:hint="eastAsia" w:eastAsia="宋体"/>
                <w:sz w:val="21"/>
                <w:szCs w:val="21"/>
                <w:highlight w:val="none"/>
                <w:u w:val="none"/>
                <w:lang w:val="en-US" w:eastAsia="zh-CN"/>
              </w:rPr>
              <w:t>.8327</w:t>
            </w:r>
          </w:p>
        </w:tc>
        <w:tc>
          <w:tcPr>
            <w:tcW w:w="2282" w:type="dxa"/>
            <w:noWrap w:val="0"/>
            <w:vAlign w:val="center"/>
          </w:tcPr>
          <w:p w14:paraId="57FC5A7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7.8354</w:t>
            </w:r>
          </w:p>
        </w:tc>
        <w:tc>
          <w:tcPr>
            <w:tcW w:w="2282" w:type="dxa"/>
            <w:noWrap w:val="0"/>
            <w:vAlign w:val="center"/>
          </w:tcPr>
          <w:p w14:paraId="0D7FE180">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0.7408</w:t>
            </w:r>
          </w:p>
        </w:tc>
      </w:tr>
      <w:tr w14:paraId="6BC91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76AB0DD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4400</w:t>
            </w:r>
          </w:p>
        </w:tc>
        <w:tc>
          <w:tcPr>
            <w:tcW w:w="2384" w:type="dxa"/>
            <w:noWrap w:val="0"/>
            <w:vAlign w:val="center"/>
          </w:tcPr>
          <w:p w14:paraId="4FADE70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2</w:t>
            </w:r>
            <w:r>
              <w:rPr>
                <w:rFonts w:hint="eastAsia" w:eastAsia="宋体"/>
                <w:sz w:val="21"/>
                <w:szCs w:val="21"/>
                <w:highlight w:val="none"/>
                <w:u w:val="none"/>
                <w:lang w:val="en-US" w:eastAsia="zh-CN"/>
              </w:rPr>
              <w:t>.5980</w:t>
            </w:r>
          </w:p>
        </w:tc>
        <w:tc>
          <w:tcPr>
            <w:tcW w:w="2282" w:type="dxa"/>
            <w:noWrap w:val="0"/>
            <w:vAlign w:val="center"/>
          </w:tcPr>
          <w:p w14:paraId="4E680E8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7.8225</w:t>
            </w:r>
          </w:p>
        </w:tc>
        <w:tc>
          <w:tcPr>
            <w:tcW w:w="2282" w:type="dxa"/>
            <w:noWrap w:val="0"/>
            <w:vAlign w:val="center"/>
          </w:tcPr>
          <w:p w14:paraId="3C3B5517">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0.7396</w:t>
            </w:r>
          </w:p>
        </w:tc>
      </w:tr>
      <w:tr w14:paraId="23241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1424C91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4500</w:t>
            </w:r>
          </w:p>
          <w:p w14:paraId="77BA508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w:t>
            </w:r>
            <w:r>
              <w:rPr>
                <w:rFonts w:hint="eastAsia" w:ascii="Times New Roman" w:hAnsi="Times New Roman" w:eastAsia="宋体" w:cs="Times New Roman"/>
                <w:color w:val="000000"/>
                <w:kern w:val="2"/>
                <w:sz w:val="21"/>
                <w:szCs w:val="21"/>
                <w:highlight w:val="none"/>
                <w:lang w:val="en-US" w:eastAsia="zh-CN" w:bidi="ar-SA"/>
              </w:rPr>
              <w:t>梅桥村</w:t>
            </w:r>
            <w:r>
              <w:rPr>
                <w:rFonts w:hint="eastAsia" w:cs="Times New Roman"/>
                <w:color w:val="000000"/>
                <w:kern w:val="2"/>
                <w:sz w:val="21"/>
                <w:szCs w:val="21"/>
                <w:highlight w:val="none"/>
                <w:lang w:val="en-US" w:eastAsia="zh-CN" w:bidi="ar-SA"/>
              </w:rPr>
              <w:t>断面</w:t>
            </w:r>
            <w:r>
              <w:rPr>
                <w:rFonts w:hint="eastAsia"/>
                <w:sz w:val="21"/>
                <w:szCs w:val="21"/>
                <w:highlight w:val="none"/>
                <w:u w:val="none"/>
                <w:lang w:val="en-US" w:eastAsia="zh-CN"/>
              </w:rPr>
              <w:t>）</w:t>
            </w:r>
          </w:p>
        </w:tc>
        <w:tc>
          <w:tcPr>
            <w:tcW w:w="2384" w:type="dxa"/>
            <w:noWrap w:val="0"/>
            <w:vAlign w:val="center"/>
          </w:tcPr>
          <w:p w14:paraId="3C12F171">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sz w:val="21"/>
                <w:szCs w:val="21"/>
                <w:highlight w:val="none"/>
                <w:u w:val="none"/>
                <w:lang w:val="en-US" w:eastAsia="zh-CN"/>
              </w:rPr>
              <w:t>62.4811</w:t>
            </w:r>
          </w:p>
        </w:tc>
        <w:tc>
          <w:tcPr>
            <w:tcW w:w="2282" w:type="dxa"/>
            <w:noWrap w:val="0"/>
            <w:vAlign w:val="center"/>
          </w:tcPr>
          <w:p w14:paraId="44B98D1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7.8160</w:t>
            </w:r>
          </w:p>
        </w:tc>
        <w:tc>
          <w:tcPr>
            <w:tcW w:w="2282" w:type="dxa"/>
            <w:noWrap w:val="0"/>
            <w:vAlign w:val="center"/>
          </w:tcPr>
          <w:p w14:paraId="649EAC03">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0.7390</w:t>
            </w:r>
          </w:p>
        </w:tc>
      </w:tr>
      <w:tr w14:paraId="740A1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6917E68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4600</w:t>
            </w:r>
          </w:p>
        </w:tc>
        <w:tc>
          <w:tcPr>
            <w:tcW w:w="2384" w:type="dxa"/>
            <w:noWrap w:val="0"/>
            <w:vAlign w:val="center"/>
          </w:tcPr>
          <w:p w14:paraId="4A288B2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2</w:t>
            </w:r>
            <w:r>
              <w:rPr>
                <w:rFonts w:hint="eastAsia" w:eastAsia="宋体"/>
                <w:sz w:val="21"/>
                <w:szCs w:val="21"/>
                <w:highlight w:val="none"/>
                <w:u w:val="none"/>
                <w:lang w:val="en-US" w:eastAsia="zh-CN"/>
              </w:rPr>
              <w:t>.3642</w:t>
            </w:r>
          </w:p>
        </w:tc>
        <w:tc>
          <w:tcPr>
            <w:tcW w:w="2282" w:type="dxa"/>
            <w:noWrap w:val="0"/>
            <w:vAlign w:val="center"/>
          </w:tcPr>
          <w:p w14:paraId="4530958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7.8096</w:t>
            </w:r>
          </w:p>
        </w:tc>
        <w:tc>
          <w:tcPr>
            <w:tcW w:w="2282" w:type="dxa"/>
            <w:noWrap w:val="0"/>
            <w:vAlign w:val="center"/>
          </w:tcPr>
          <w:p w14:paraId="6EF4F9DD">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0.7384</w:t>
            </w:r>
          </w:p>
        </w:tc>
      </w:tr>
      <w:tr w14:paraId="50409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37A29AF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4800</w:t>
            </w:r>
          </w:p>
        </w:tc>
        <w:tc>
          <w:tcPr>
            <w:tcW w:w="2384" w:type="dxa"/>
            <w:noWrap w:val="0"/>
            <w:vAlign w:val="center"/>
          </w:tcPr>
          <w:p w14:paraId="520E8F1F">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2</w:t>
            </w:r>
            <w:r>
              <w:rPr>
                <w:rFonts w:hint="eastAsia" w:eastAsia="宋体"/>
                <w:sz w:val="21"/>
                <w:szCs w:val="21"/>
                <w:highlight w:val="none"/>
                <w:u w:val="none"/>
                <w:lang w:val="en-US" w:eastAsia="zh-CN"/>
              </w:rPr>
              <w:t>.1313</w:t>
            </w:r>
          </w:p>
        </w:tc>
        <w:tc>
          <w:tcPr>
            <w:tcW w:w="2282" w:type="dxa"/>
            <w:noWrap w:val="0"/>
            <w:vAlign w:val="center"/>
          </w:tcPr>
          <w:p w14:paraId="0EE9CA65">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7.7967</w:t>
            </w:r>
          </w:p>
        </w:tc>
        <w:tc>
          <w:tcPr>
            <w:tcW w:w="2282" w:type="dxa"/>
            <w:noWrap w:val="0"/>
            <w:vAlign w:val="center"/>
          </w:tcPr>
          <w:p w14:paraId="67F1D4D8">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0.7372</w:t>
            </w:r>
          </w:p>
        </w:tc>
      </w:tr>
      <w:tr w14:paraId="0B7F1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88" w:type="dxa"/>
            <w:noWrap w:val="0"/>
            <w:vAlign w:val="center"/>
          </w:tcPr>
          <w:p w14:paraId="4E87AA2C">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5000</w:t>
            </w:r>
          </w:p>
        </w:tc>
        <w:tc>
          <w:tcPr>
            <w:tcW w:w="2384" w:type="dxa"/>
            <w:noWrap w:val="0"/>
            <w:vAlign w:val="center"/>
          </w:tcPr>
          <w:p w14:paraId="18CD051A">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highlight w:val="none"/>
                <w:u w:val="none"/>
                <w:lang w:val="en-US" w:eastAsia="zh-CN"/>
              </w:rPr>
            </w:pPr>
            <w:r>
              <w:rPr>
                <w:rFonts w:hint="eastAsia" w:eastAsia="宋体"/>
                <w:sz w:val="21"/>
                <w:szCs w:val="21"/>
                <w:highlight w:val="none"/>
                <w:u w:val="none"/>
                <w:lang w:val="en-US" w:eastAsia="zh-CN"/>
              </w:rPr>
              <w:t>6</w:t>
            </w:r>
            <w:r>
              <w:rPr>
                <w:rFonts w:hint="eastAsia"/>
                <w:sz w:val="21"/>
                <w:szCs w:val="21"/>
                <w:highlight w:val="none"/>
                <w:u w:val="none"/>
                <w:lang w:val="en-US" w:eastAsia="zh-CN"/>
              </w:rPr>
              <w:t>1</w:t>
            </w:r>
            <w:r>
              <w:rPr>
                <w:rFonts w:hint="eastAsia" w:eastAsia="宋体"/>
                <w:sz w:val="21"/>
                <w:szCs w:val="21"/>
                <w:highlight w:val="none"/>
                <w:u w:val="none"/>
                <w:lang w:val="en-US" w:eastAsia="zh-CN"/>
              </w:rPr>
              <w:t>.8993</w:t>
            </w:r>
          </w:p>
        </w:tc>
        <w:tc>
          <w:tcPr>
            <w:tcW w:w="2282" w:type="dxa"/>
            <w:noWrap w:val="0"/>
            <w:vAlign w:val="center"/>
          </w:tcPr>
          <w:p w14:paraId="7B82E384">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7.7838</w:t>
            </w:r>
          </w:p>
        </w:tc>
        <w:tc>
          <w:tcPr>
            <w:tcW w:w="2282" w:type="dxa"/>
            <w:noWrap w:val="0"/>
            <w:vAlign w:val="center"/>
          </w:tcPr>
          <w:p w14:paraId="0E20462B">
            <w:pPr>
              <w:pStyle w:val="7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0.7360</w:t>
            </w:r>
          </w:p>
        </w:tc>
      </w:tr>
      <w:tr w14:paraId="6E76B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88" w:type="dxa"/>
            <w:noWrap w:val="0"/>
            <w:vAlign w:val="center"/>
          </w:tcPr>
          <w:p w14:paraId="27CA5C02">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b/>
                <w:bCs/>
                <w:sz w:val="21"/>
                <w:szCs w:val="21"/>
                <w:highlight w:val="none"/>
                <w:u w:val="none"/>
              </w:rPr>
              <w:t>Ⅲ类水质标准</w:t>
            </w:r>
          </w:p>
        </w:tc>
        <w:tc>
          <w:tcPr>
            <w:tcW w:w="2384" w:type="dxa"/>
            <w:noWrap w:val="0"/>
            <w:vAlign w:val="center"/>
          </w:tcPr>
          <w:p w14:paraId="4C4790E6">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20</w:t>
            </w:r>
          </w:p>
        </w:tc>
        <w:tc>
          <w:tcPr>
            <w:tcW w:w="2282" w:type="dxa"/>
            <w:noWrap w:val="0"/>
            <w:vAlign w:val="center"/>
          </w:tcPr>
          <w:p w14:paraId="728B5CEF">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1.0</w:t>
            </w:r>
          </w:p>
        </w:tc>
        <w:tc>
          <w:tcPr>
            <w:tcW w:w="2282" w:type="dxa"/>
            <w:noWrap w:val="0"/>
            <w:vAlign w:val="center"/>
          </w:tcPr>
          <w:p w14:paraId="7930C8D8">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kern w:val="2"/>
                <w:sz w:val="21"/>
                <w:szCs w:val="21"/>
                <w:highlight w:val="none"/>
                <w:u w:val="none"/>
                <w:lang w:val="en-US" w:eastAsia="zh-CN" w:bidi="ar-SA"/>
              </w:rPr>
            </w:pPr>
            <w:r>
              <w:rPr>
                <w:rFonts w:hint="eastAsia"/>
                <w:b/>
                <w:bCs/>
                <w:sz w:val="21"/>
                <w:szCs w:val="21"/>
                <w:highlight w:val="none"/>
                <w:u w:val="none"/>
              </w:rPr>
              <w:t>0.2</w:t>
            </w:r>
          </w:p>
        </w:tc>
      </w:tr>
    </w:tbl>
    <w:p w14:paraId="66EFBAE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根据上表6.1-</w:t>
      </w:r>
      <w:r>
        <w:rPr>
          <w:rFonts w:hint="eastAsia" w:cs="Times New Roman"/>
          <w:color w:val="000000"/>
          <w:kern w:val="0"/>
          <w:sz w:val="24"/>
          <w:szCs w:val="24"/>
          <w:highlight w:val="none"/>
          <w:lang w:val="en-US" w:eastAsia="zh-CN" w:bidi="ar"/>
        </w:rPr>
        <w:t>6</w:t>
      </w:r>
      <w:r>
        <w:rPr>
          <w:rFonts w:hint="eastAsia" w:ascii="Times New Roman" w:hAnsi="Times New Roman" w:eastAsia="宋体" w:cs="Times New Roman"/>
          <w:color w:val="000000"/>
          <w:kern w:val="0"/>
          <w:sz w:val="24"/>
          <w:szCs w:val="24"/>
          <w:highlight w:val="none"/>
          <w:lang w:val="en-US" w:eastAsia="zh-CN" w:bidi="ar"/>
        </w:rPr>
        <w:t>可知，本入河排污口尾水事故排放情况下，</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w:t>
      </w:r>
      <w:r>
        <w:rPr>
          <w:rFonts w:hint="eastAsia" w:cs="Times New Roman"/>
          <w:i w:val="0"/>
          <w:caps w:val="0"/>
          <w:color w:val="auto"/>
          <w:spacing w:val="0"/>
          <w:sz w:val="24"/>
          <w:szCs w:val="24"/>
          <w:highlight w:val="none"/>
          <w:u w:val="none"/>
          <w:shd w:val="clear" w:color="auto" w:fill="auto"/>
          <w:lang w:val="en-US" w:eastAsia="zh-CN"/>
        </w:rPr>
        <w:t>枯水期水质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-N、TP预测结果均超标于《地表水环境质量标准》（GB3838-2002）III类标准限值。对龙荫港水质影响较大</w:t>
      </w:r>
      <w:r>
        <w:rPr>
          <w:rFonts w:hint="eastAsia" w:cs="Times New Roman"/>
          <w:i w:val="0"/>
          <w:caps w:val="0"/>
          <w:color w:val="auto"/>
          <w:spacing w:val="0"/>
          <w:sz w:val="24"/>
          <w:szCs w:val="24"/>
          <w:highlight w:val="none"/>
          <w:u w:val="none"/>
          <w:shd w:val="clear" w:color="auto" w:fill="auto"/>
          <w:lang w:val="en-US" w:eastAsia="zh-CN"/>
        </w:rPr>
        <w:t>。</w:t>
      </w:r>
    </w:p>
    <w:p w14:paraId="212EEF7C">
      <w:pPr>
        <w:pStyle w:val="5"/>
        <w:numPr>
          <w:ilvl w:val="0"/>
          <w:numId w:val="0"/>
        </w:numPr>
        <w:bidi w:val="0"/>
        <w:ind w:left="0" w:leftChars="0" w:firstLine="0" w:firstLineChars="0"/>
        <w:rPr>
          <w:rFonts w:hint="eastAsia"/>
          <w:highlight w:val="none"/>
          <w:lang w:val="en-US" w:eastAsia="zh-CN"/>
        </w:rPr>
      </w:pPr>
      <w:bookmarkStart w:id="92" w:name="_Toc3781"/>
      <w:r>
        <w:rPr>
          <w:rFonts w:hint="eastAsia"/>
          <w:highlight w:val="none"/>
          <w:lang w:val="en-US" w:eastAsia="zh-CN"/>
        </w:rPr>
        <w:t>6.2 对水功能区水质影响分析</w:t>
      </w:r>
      <w:bookmarkEnd w:id="92"/>
    </w:p>
    <w:p w14:paraId="392E894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i w:val="0"/>
          <w:caps w:val="0"/>
          <w:color w:val="auto"/>
          <w:spacing w:val="0"/>
          <w:sz w:val="24"/>
          <w:szCs w:val="24"/>
          <w:highlight w:val="none"/>
          <w:u w:val="none"/>
          <w:shd w:val="clear" w:color="auto" w:fill="auto"/>
          <w:lang w:eastAsia="zh-CN"/>
        </w:rPr>
      </w:pPr>
      <w:r>
        <w:rPr>
          <w:rFonts w:hint="default" w:ascii="Times New Roman" w:hAnsi="Times New Roman" w:eastAsia="宋体" w:cs="Times New Roman"/>
          <w:color w:val="000000"/>
          <w:kern w:val="0"/>
          <w:sz w:val="24"/>
          <w:szCs w:val="24"/>
          <w:highlight w:val="none"/>
          <w:lang w:val="en-US" w:eastAsia="zh-CN" w:bidi="ar"/>
        </w:rPr>
        <w:t>本入河排污口位于</w:t>
      </w:r>
      <w:r>
        <w:rPr>
          <w:rFonts w:hint="default" w:ascii="Times New Roman" w:hAnsi="Times New Roman" w:eastAsia="宋体" w:cs="Times New Roman"/>
          <w:color w:val="000000"/>
          <w:sz w:val="24"/>
          <w:szCs w:val="24"/>
          <w:highlight w:val="none"/>
          <w:lang w:val="en-US" w:eastAsia="zh-CN"/>
        </w:rPr>
        <w:t>南岳区南岳镇红星村老屋组（南岳区龙荫港左岸）</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纳污水体</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龙荫港暂</w:t>
      </w:r>
      <w:r>
        <w:rPr>
          <w:rFonts w:hint="default" w:ascii="Times New Roman" w:hAnsi="Times New Roman" w:cs="Times New Roman"/>
          <w:i w:val="0"/>
          <w:caps w:val="0"/>
          <w:color w:val="auto"/>
          <w:spacing w:val="0"/>
          <w:sz w:val="24"/>
          <w:szCs w:val="24"/>
          <w:highlight w:val="none"/>
          <w:u w:val="none"/>
          <w:shd w:val="clear" w:color="auto" w:fill="auto"/>
          <w:lang w:eastAsia="zh-CN"/>
        </w:rPr>
        <w:t>未划分水环境功能区类别，水体功能主要为农业用水，水质目标</w:t>
      </w:r>
      <w:r>
        <w:rPr>
          <w:rFonts w:hint="default" w:ascii="Times New Roman" w:hAnsi="Times New Roman" w:cs="Times New Roman"/>
          <w:i w:val="0"/>
          <w:caps w:val="0"/>
          <w:color w:val="auto"/>
          <w:spacing w:val="0"/>
          <w:sz w:val="24"/>
          <w:szCs w:val="24"/>
          <w:highlight w:val="none"/>
          <w:u w:val="none"/>
          <w:shd w:val="clear" w:color="auto" w:fill="auto"/>
          <w:lang w:val="en-US" w:eastAsia="zh-CN"/>
        </w:rPr>
        <w:t>参照</w:t>
      </w:r>
      <w:r>
        <w:rPr>
          <w:rFonts w:hint="default" w:ascii="Times New Roman" w:hAnsi="Times New Roman" w:cs="Times New Roman"/>
          <w:i w:val="0"/>
          <w:caps w:val="0"/>
          <w:color w:val="auto"/>
          <w:spacing w:val="0"/>
          <w:sz w:val="24"/>
          <w:szCs w:val="24"/>
          <w:highlight w:val="none"/>
          <w:u w:val="none"/>
          <w:shd w:val="clear" w:color="auto" w:fill="auto"/>
          <w:lang w:eastAsia="zh-CN"/>
        </w:rPr>
        <w:t>执行《</w:t>
      </w:r>
      <w:r>
        <w:rPr>
          <w:rFonts w:hint="default" w:ascii="Times New Roman" w:hAnsi="Times New Roman" w:cs="Times New Roman"/>
          <w:i w:val="0"/>
          <w:caps w:val="0"/>
          <w:color w:val="auto"/>
          <w:spacing w:val="0"/>
          <w:sz w:val="24"/>
          <w:szCs w:val="24"/>
          <w:highlight w:val="none"/>
          <w:u w:val="none"/>
          <w:shd w:val="clear" w:color="auto" w:fill="auto"/>
          <w:lang w:val="en-US" w:eastAsia="zh-CN"/>
        </w:rPr>
        <w:t>地表水环境质量标准</w:t>
      </w:r>
      <w:r>
        <w:rPr>
          <w:rFonts w:hint="default" w:ascii="Times New Roman" w:hAnsi="Times New Roman" w:cs="Times New Roman"/>
          <w:i w:val="0"/>
          <w:caps w:val="0"/>
          <w:color w:val="auto"/>
          <w:spacing w:val="0"/>
          <w:sz w:val="24"/>
          <w:szCs w:val="24"/>
          <w:highlight w:val="none"/>
          <w:u w:val="none"/>
          <w:shd w:val="clear" w:color="auto" w:fill="auto"/>
          <w:lang w:eastAsia="zh-CN"/>
        </w:rPr>
        <w:t>》（</w:t>
      </w:r>
      <w:r>
        <w:rPr>
          <w:rFonts w:hint="default" w:ascii="Times New Roman" w:hAnsi="Times New Roman" w:cs="Times New Roman"/>
          <w:i w:val="0"/>
          <w:caps w:val="0"/>
          <w:color w:val="auto"/>
          <w:spacing w:val="0"/>
          <w:sz w:val="24"/>
          <w:szCs w:val="24"/>
          <w:highlight w:val="none"/>
          <w:u w:val="none"/>
          <w:shd w:val="clear" w:color="auto" w:fill="auto"/>
          <w:lang w:val="en-US" w:eastAsia="zh-CN"/>
        </w:rPr>
        <w:t>GB3838-2002</w:t>
      </w:r>
      <w:r>
        <w:rPr>
          <w:rFonts w:hint="default" w:ascii="Times New Roman" w:hAnsi="Times New Roman" w:cs="Times New Roman"/>
          <w:i w:val="0"/>
          <w:caps w:val="0"/>
          <w:color w:val="auto"/>
          <w:spacing w:val="0"/>
          <w:sz w:val="24"/>
          <w:szCs w:val="24"/>
          <w:highlight w:val="none"/>
          <w:u w:val="none"/>
          <w:shd w:val="clear" w:color="auto" w:fill="auto"/>
          <w:lang w:eastAsia="zh-CN"/>
        </w:rPr>
        <w:t>）</w:t>
      </w:r>
      <w:r>
        <w:rPr>
          <w:rFonts w:hint="default" w:ascii="Times New Roman" w:hAnsi="Times New Roman" w:cs="Times New Roman"/>
          <w:i w:val="0"/>
          <w:caps w:val="0"/>
          <w:color w:val="auto"/>
          <w:spacing w:val="0"/>
          <w:sz w:val="24"/>
          <w:szCs w:val="24"/>
          <w:highlight w:val="none"/>
          <w:u w:val="none"/>
          <w:shd w:val="clear" w:color="auto" w:fill="auto"/>
          <w:lang w:val="en-US" w:eastAsia="zh-CN"/>
        </w:rPr>
        <w:t>中III</w:t>
      </w:r>
      <w:r>
        <w:rPr>
          <w:rFonts w:hint="default" w:ascii="Times New Roman" w:hAnsi="Times New Roman" w:cs="Times New Roman"/>
          <w:i w:val="0"/>
          <w:caps w:val="0"/>
          <w:color w:val="auto"/>
          <w:spacing w:val="0"/>
          <w:sz w:val="24"/>
          <w:szCs w:val="24"/>
          <w:highlight w:val="none"/>
          <w:u w:val="none"/>
          <w:shd w:val="clear" w:color="auto" w:fill="auto"/>
          <w:lang w:eastAsia="zh-CN"/>
        </w:rPr>
        <w:t>类</w:t>
      </w:r>
      <w:r>
        <w:rPr>
          <w:rFonts w:hint="default" w:ascii="Times New Roman" w:hAnsi="Times New Roman" w:cs="Times New Roman"/>
          <w:i w:val="0"/>
          <w:caps w:val="0"/>
          <w:color w:val="auto"/>
          <w:spacing w:val="0"/>
          <w:sz w:val="24"/>
          <w:szCs w:val="24"/>
          <w:highlight w:val="none"/>
          <w:u w:val="none"/>
          <w:shd w:val="clear" w:color="auto" w:fill="auto"/>
          <w:lang w:val="en-US" w:eastAsia="zh-CN"/>
        </w:rPr>
        <w:t>标准</w:t>
      </w:r>
      <w:r>
        <w:rPr>
          <w:rFonts w:hint="default" w:ascii="Times New Roman" w:hAnsi="Times New Roman" w:cs="Times New Roman"/>
          <w:i w:val="0"/>
          <w:caps w:val="0"/>
          <w:color w:val="auto"/>
          <w:spacing w:val="0"/>
          <w:sz w:val="24"/>
          <w:szCs w:val="24"/>
          <w:highlight w:val="none"/>
          <w:u w:val="none"/>
          <w:shd w:val="clear" w:color="auto" w:fill="auto"/>
          <w:lang w:eastAsia="zh-CN"/>
        </w:rPr>
        <w:t>。</w:t>
      </w:r>
    </w:p>
    <w:p w14:paraId="1F2A9B8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正常</w:t>
      </w:r>
      <w:r>
        <w:rPr>
          <w:rFonts w:hint="eastAsia" w:cs="Times New Roman"/>
          <w:color w:val="000000"/>
          <w:kern w:val="0"/>
          <w:sz w:val="24"/>
          <w:szCs w:val="24"/>
          <w:highlight w:val="none"/>
          <w:lang w:val="en-US" w:eastAsia="zh-CN" w:bidi="ar"/>
        </w:rPr>
        <w:t>工况</w:t>
      </w:r>
      <w:r>
        <w:rPr>
          <w:rFonts w:hint="default" w:ascii="Times New Roman" w:hAnsi="Times New Roman" w:eastAsia="宋体" w:cs="Times New Roman"/>
          <w:color w:val="000000"/>
          <w:kern w:val="0"/>
          <w:sz w:val="24"/>
          <w:szCs w:val="24"/>
          <w:highlight w:val="none"/>
          <w:lang w:val="en-US" w:eastAsia="zh-CN" w:bidi="ar"/>
        </w:rPr>
        <w:t>下，</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w:t>
      </w:r>
      <w:r>
        <w:rPr>
          <w:rFonts w:hint="eastAsia" w:cs="Times New Roman"/>
          <w:i w:val="0"/>
          <w:caps w:val="0"/>
          <w:color w:val="auto"/>
          <w:spacing w:val="0"/>
          <w:sz w:val="24"/>
          <w:szCs w:val="24"/>
          <w:highlight w:val="none"/>
          <w:u w:val="none"/>
          <w:shd w:val="clear" w:color="auto" w:fill="auto"/>
          <w:lang w:val="en-US" w:eastAsia="zh-CN"/>
        </w:rPr>
        <w:t>枯水期水质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-N、TP预测结果满足《地表水环境质量标准》（GB3838-2002）III类标准限值</w:t>
      </w:r>
      <w:r>
        <w:rPr>
          <w:rFonts w:hint="eastAsia" w:cs="Times New Roman"/>
          <w:color w:val="000000"/>
          <w:kern w:val="0"/>
          <w:sz w:val="24"/>
          <w:szCs w:val="24"/>
          <w:highlight w:val="none"/>
          <w:lang w:val="en-US" w:eastAsia="zh-CN" w:bidi="ar"/>
        </w:rPr>
        <w:t>，对</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w:t>
      </w:r>
      <w:r>
        <w:rPr>
          <w:rFonts w:hint="eastAsia" w:cs="Times New Roman"/>
          <w:i w:val="0"/>
          <w:caps w:val="0"/>
          <w:color w:val="auto"/>
          <w:spacing w:val="0"/>
          <w:sz w:val="24"/>
          <w:szCs w:val="24"/>
          <w:highlight w:val="none"/>
          <w:u w:val="none"/>
          <w:shd w:val="clear" w:color="auto" w:fill="auto"/>
          <w:lang w:val="en-US" w:eastAsia="zh-CN"/>
        </w:rPr>
        <w:t>水质影响较小。</w:t>
      </w:r>
    </w:p>
    <w:p w14:paraId="048DACA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事故排放下，</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w:t>
      </w:r>
      <w:r>
        <w:rPr>
          <w:rFonts w:hint="eastAsia" w:cs="Times New Roman"/>
          <w:i w:val="0"/>
          <w:caps w:val="0"/>
          <w:color w:val="auto"/>
          <w:spacing w:val="0"/>
          <w:sz w:val="24"/>
          <w:szCs w:val="24"/>
          <w:highlight w:val="none"/>
          <w:u w:val="none"/>
          <w:shd w:val="clear" w:color="auto" w:fill="auto"/>
          <w:lang w:val="en-US" w:eastAsia="zh-CN"/>
        </w:rPr>
        <w:t>枯水期水质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-N、TP预测结果均超标于《地表水环境质量标准》（GB3838-2002）III类标准限值。对龙荫港水质影响较大</w:t>
      </w:r>
      <w:r>
        <w:rPr>
          <w:rFonts w:hint="eastAsia" w:cs="Times New Roman"/>
          <w:i w:val="0"/>
          <w:caps w:val="0"/>
          <w:color w:val="auto"/>
          <w:spacing w:val="0"/>
          <w:sz w:val="24"/>
          <w:szCs w:val="24"/>
          <w:highlight w:val="none"/>
          <w:u w:val="none"/>
          <w:shd w:val="clear" w:color="auto" w:fill="auto"/>
          <w:lang w:val="en-US" w:eastAsia="zh-CN"/>
        </w:rPr>
        <w:t>。</w:t>
      </w:r>
    </w:p>
    <w:p w14:paraId="18979B1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因此，污水处理工程运营单位应加强日常管理，对各污水处理设备定期进行检修和维护，确保污水处理厂正常运营，确保排污水质稳定达标；坚决杜绝事故性排放和直接排放，污水处理厂需设置在线监测系统和应急措施，一旦发现超标排放，立即启动应急措施，防止超标废水对外排放，确保不对下游产生影响。</w:t>
      </w:r>
    </w:p>
    <w:p w14:paraId="11CC18CF">
      <w:pPr>
        <w:pStyle w:val="5"/>
        <w:numPr>
          <w:ilvl w:val="0"/>
          <w:numId w:val="0"/>
        </w:numPr>
        <w:bidi w:val="0"/>
        <w:ind w:left="0" w:leftChars="0" w:firstLine="0" w:firstLineChars="0"/>
        <w:rPr>
          <w:rFonts w:hint="eastAsia" w:ascii="Times New Roman" w:hAnsi="Times New Roman" w:eastAsia="宋体" w:cs="Times New Roman"/>
          <w:highlight w:val="none"/>
          <w:lang w:val="en-US" w:eastAsia="zh-CN"/>
        </w:rPr>
      </w:pPr>
      <w:bookmarkStart w:id="93" w:name="_Toc32244"/>
      <w:bookmarkStart w:id="94" w:name="_Toc20725"/>
      <w:bookmarkStart w:id="95" w:name="_Toc14813"/>
      <w:r>
        <w:rPr>
          <w:rFonts w:hint="eastAsia" w:ascii="Times New Roman" w:hAnsi="Times New Roman" w:eastAsia="宋体" w:cs="Times New Roman"/>
          <w:highlight w:val="none"/>
          <w:lang w:val="en-US" w:eastAsia="zh-CN"/>
        </w:rPr>
        <w:t>6.3 对水生态的影响分析</w:t>
      </w:r>
      <w:bookmarkEnd w:id="93"/>
      <w:bookmarkEnd w:id="94"/>
      <w:bookmarkEnd w:id="95"/>
    </w:p>
    <w:p w14:paraId="7090FC77">
      <w:pPr>
        <w:pStyle w:val="6"/>
        <w:bidi w:val="0"/>
        <w:rPr>
          <w:rFonts w:hint="default"/>
          <w:highlight w:val="none"/>
          <w:lang w:val="en-US" w:eastAsia="zh-CN"/>
        </w:rPr>
      </w:pPr>
      <w:r>
        <w:rPr>
          <w:rFonts w:hint="eastAsia"/>
          <w:highlight w:val="none"/>
          <w:lang w:val="en-US" w:eastAsia="zh-CN"/>
        </w:rPr>
        <w:t>6.3.1 对鱼类的影响分析</w:t>
      </w:r>
    </w:p>
    <w:p w14:paraId="3FF5A7E5">
      <w:pPr>
        <w:bidi w:val="0"/>
        <w:ind w:firstLine="480" w:firstLineChars="200"/>
        <w:jc w:val="both"/>
        <w:rPr>
          <w:rFonts w:hint="eastAsia"/>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本入河排污口论证</w:t>
      </w:r>
      <w:r>
        <w:rPr>
          <w:rFonts w:hint="eastAsia"/>
          <w:color w:val="000000" w:themeColor="text1"/>
          <w:sz w:val="24"/>
          <w:szCs w:val="24"/>
          <w:highlight w:val="none"/>
          <w:u w:val="none"/>
          <w:lang w:val="en-US" w:eastAsia="zh-CN"/>
          <w14:textFill>
            <w14:solidFill>
              <w14:schemeClr w14:val="tx1"/>
            </w14:solidFill>
          </w14:textFill>
        </w:rPr>
        <w:t>范围内龙荫港水质良好，水生生物资源相对较少，论证河段内基本为常见鱼类，无鱼虾类越冬场、产卵场以及索饵场，也无鱼类栖息地、洄游通道。</w:t>
      </w:r>
    </w:p>
    <w:p w14:paraId="29C4E6DC">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outlineLvl w:val="9"/>
        <w:rPr>
          <w:rFonts w:hint="eastAsia"/>
          <w:color w:val="000000" w:themeColor="text1"/>
          <w:sz w:val="24"/>
          <w:szCs w:val="24"/>
          <w:highlight w:val="none"/>
          <w:u w:val="none"/>
          <w:lang w:val="en-US" w:eastAsia="zh-CN"/>
          <w14:textFill>
            <w14:solidFill>
              <w14:schemeClr w14:val="tx1"/>
            </w14:solidFill>
          </w14:textFill>
        </w:rPr>
      </w:pPr>
      <w:r>
        <w:rPr>
          <w:rFonts w:hint="eastAsia"/>
          <w:color w:val="000000" w:themeColor="text1"/>
          <w:sz w:val="24"/>
          <w:szCs w:val="24"/>
          <w:highlight w:val="none"/>
          <w:u w:val="none"/>
          <w:lang w:val="en-US" w:eastAsia="zh-CN"/>
          <w14:textFill>
            <w14:solidFill>
              <w14:schemeClr w14:val="tx1"/>
            </w14:solidFill>
          </w14:textFill>
        </w:rPr>
        <w:t>根据上述预测结果分析，</w:t>
      </w:r>
      <w:r>
        <w:rPr>
          <w:rFonts w:hint="eastAsia" w:cs="Times New Roman"/>
          <w:color w:val="000000" w:themeColor="text1"/>
          <w:sz w:val="24"/>
          <w:szCs w:val="24"/>
          <w:highlight w:val="none"/>
          <w:u w:val="none"/>
          <w:lang w:val="en-US" w:eastAsia="zh-CN"/>
          <w14:textFill>
            <w14:solidFill>
              <w14:schemeClr w14:val="tx1"/>
            </w14:solidFill>
          </w14:textFill>
        </w:rPr>
        <w:t>本入河排污口在正常工况下</w:t>
      </w:r>
      <w:r>
        <w:rPr>
          <w:rFonts w:hint="eastAsia"/>
          <w:color w:val="000000" w:themeColor="text1"/>
          <w:sz w:val="24"/>
          <w:szCs w:val="24"/>
          <w:highlight w:val="none"/>
          <w:u w:val="none"/>
          <w:lang w:val="en-US" w:eastAsia="zh-CN"/>
          <w14:textFill>
            <w14:solidFill>
              <w14:schemeClr w14:val="tx1"/>
            </w14:solidFill>
          </w14:textFill>
        </w:rPr>
        <w:t>，纳污水体龙荫港论证范围内枯水期水质</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CODcr、NH</w:t>
      </w:r>
      <w:r>
        <w:rPr>
          <w:rFonts w:hint="default" w:ascii="Times New Roman" w:hAnsi="Times New Roman" w:eastAsia="宋体" w:cs="Times New Roman"/>
          <w:color w:val="000000" w:themeColor="text1"/>
          <w:kern w:val="0"/>
          <w:sz w:val="24"/>
          <w:szCs w:val="24"/>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-N、TP预测结果满足《地表水环境质量标准》（GB3838-2002）III类标准限值</w:t>
      </w:r>
      <w:r>
        <w:rPr>
          <w:rFonts w:hint="eastAsia" w:cs="Times New Roman"/>
          <w:color w:val="000000" w:themeColor="text1"/>
          <w:kern w:val="0"/>
          <w:sz w:val="24"/>
          <w:szCs w:val="24"/>
          <w:highlight w:val="none"/>
          <w:u w:val="none"/>
          <w:lang w:val="en-US" w:eastAsia="zh-CN" w:bidi="ar"/>
          <w14:textFill>
            <w14:solidFill>
              <w14:schemeClr w14:val="tx1"/>
            </w14:solidFill>
          </w14:textFill>
        </w:rPr>
        <w:t>，对</w:t>
      </w:r>
      <w:r>
        <w:rPr>
          <w:rFonts w:hint="default" w:ascii="Times New Roman" w:hAnsi="Times New Roman"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龙荫港</w:t>
      </w:r>
      <w:r>
        <w:rPr>
          <w:rFonts w:hint="eastAsia"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水质影响较小</w:t>
      </w:r>
      <w:r>
        <w:rPr>
          <w:rFonts w:hint="eastAsia"/>
          <w:color w:val="000000" w:themeColor="text1"/>
          <w:sz w:val="24"/>
          <w:szCs w:val="24"/>
          <w:highlight w:val="none"/>
          <w:u w:val="none"/>
          <w:lang w:val="en-US" w:eastAsia="zh-CN"/>
          <w14:textFill>
            <w14:solidFill>
              <w14:schemeClr w14:val="tx1"/>
            </w14:solidFill>
          </w14:textFill>
        </w:rPr>
        <w:t>，不会对龙荫港下游水生生物鱼类造成明显不利影响。</w:t>
      </w:r>
    </w:p>
    <w:p w14:paraId="3DA3799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本入河排污口在</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事故排放下，</w:t>
      </w:r>
      <w:r>
        <w:rPr>
          <w:rFonts w:hint="eastAsia"/>
          <w:color w:val="000000" w:themeColor="text1"/>
          <w:sz w:val="24"/>
          <w:szCs w:val="24"/>
          <w:highlight w:val="none"/>
          <w:u w:val="none"/>
          <w:lang w:val="en-US" w:eastAsia="zh-CN"/>
          <w14:textFill>
            <w14:solidFill>
              <w14:schemeClr w14:val="tx1"/>
            </w14:solidFill>
          </w14:textFill>
        </w:rPr>
        <w:t>纳污水体龙荫港论证范围内枯水期</w:t>
      </w:r>
      <w:r>
        <w:rPr>
          <w:rFonts w:hint="eastAsia"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水质</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CODcr、NH</w:t>
      </w:r>
      <w:r>
        <w:rPr>
          <w:rFonts w:hint="default" w:ascii="Times New Roman" w:hAnsi="Times New Roman" w:eastAsia="宋体" w:cs="Times New Roman"/>
          <w:color w:val="000000" w:themeColor="text1"/>
          <w:kern w:val="0"/>
          <w:sz w:val="24"/>
          <w:szCs w:val="24"/>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-N、TP预测结果均超标于《地表水环境质量标准》（GB3838-2002）III类标准限值</w:t>
      </w:r>
      <w:r>
        <w:rPr>
          <w:rFonts w:hint="eastAsia" w:cs="Times New Roman"/>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对龙荫港水质影响较大</w:t>
      </w:r>
      <w:r>
        <w:rPr>
          <w:rFonts w:hint="eastAsia"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w:t>
      </w:r>
      <w:r>
        <w:rPr>
          <w:rFonts w:hint="eastAsia"/>
          <w:color w:val="000000" w:themeColor="text1"/>
          <w:sz w:val="24"/>
          <w:szCs w:val="24"/>
          <w:highlight w:val="none"/>
          <w:u w:val="none"/>
          <w:lang w:val="en-US" w:eastAsia="zh-CN"/>
          <w14:textFill>
            <w14:solidFill>
              <w14:schemeClr w14:val="tx1"/>
            </w14:solidFill>
          </w14:textFill>
        </w:rPr>
        <w:t>对龙荫港下游水域生态环境质量可能产生影响，进而影响下游水生生物鱼类。因此，建设单位应采取相应的风险防范措施，加强对厂区污水处理设施和入河排污口的管理，杜绝</w:t>
      </w:r>
      <w:r>
        <w:rPr>
          <w:rFonts w:hint="eastAsia" w:cs="Times New Roman"/>
          <w:color w:val="000000" w:themeColor="text1"/>
          <w:sz w:val="24"/>
          <w:szCs w:val="24"/>
          <w:highlight w:val="none"/>
          <w:u w:val="none"/>
          <w:lang w:val="en-US" w:eastAsia="zh-CN"/>
          <w14:textFill>
            <w14:solidFill>
              <w14:schemeClr w14:val="tx1"/>
            </w14:solidFill>
          </w14:textFill>
        </w:rPr>
        <w:t>入河排污口尾水事故排放</w:t>
      </w:r>
      <w:r>
        <w:rPr>
          <w:rFonts w:hint="eastAsia"/>
          <w:color w:val="000000" w:themeColor="text1"/>
          <w:sz w:val="24"/>
          <w:szCs w:val="24"/>
          <w:highlight w:val="none"/>
          <w:u w:val="none"/>
          <w:lang w:val="en-US" w:eastAsia="zh-CN"/>
          <w14:textFill>
            <w14:solidFill>
              <w14:schemeClr w14:val="tx1"/>
            </w14:solidFill>
          </w14:textFill>
        </w:rPr>
        <w:t>。</w:t>
      </w:r>
    </w:p>
    <w:p w14:paraId="4AC1B300">
      <w:pPr>
        <w:bidi w:val="0"/>
        <w:ind w:left="0" w:leftChars="0" w:firstLine="480" w:firstLineChars="200"/>
        <w:jc w:val="both"/>
        <w:rPr>
          <w:rFonts w:hint="eastAsia"/>
          <w:color w:val="auto"/>
          <w:sz w:val="24"/>
          <w:szCs w:val="24"/>
          <w:highlight w:val="none"/>
          <w:u w:val="none"/>
          <w:lang w:val="en-US" w:eastAsia="zh-CN"/>
        </w:rPr>
      </w:pPr>
      <w:r>
        <w:rPr>
          <w:rFonts w:hint="eastAsia" w:cs="Times New Roman"/>
          <w:color w:val="auto"/>
          <w:sz w:val="24"/>
          <w:szCs w:val="24"/>
          <w:highlight w:val="none"/>
          <w:u w:val="none"/>
          <w:lang w:val="en-US" w:eastAsia="zh-CN"/>
        </w:rPr>
        <w:t>本入河排污口论证</w:t>
      </w:r>
      <w:r>
        <w:rPr>
          <w:rFonts w:hint="eastAsia"/>
          <w:color w:val="auto"/>
          <w:sz w:val="24"/>
          <w:szCs w:val="24"/>
          <w:highlight w:val="none"/>
          <w:u w:val="none"/>
          <w:lang w:val="en-US" w:eastAsia="zh-CN"/>
        </w:rPr>
        <w:t>范围内龙荫港河段不涉及种质资源保护区、无鱼虾类越冬场、产卵场以及索饵场，无需特殊保护的鱼类、水生生物，水体环境不敏感。</w:t>
      </w:r>
      <w:r>
        <w:rPr>
          <w:rFonts w:hint="eastAsia"/>
          <w:color w:val="auto"/>
          <w:sz w:val="24"/>
          <w:szCs w:val="24"/>
          <w:highlight w:val="none"/>
          <w:u w:val="none"/>
          <w:lang w:val="zh-CN"/>
        </w:rPr>
        <w:t>在采取</w:t>
      </w:r>
      <w:r>
        <w:rPr>
          <w:rFonts w:hint="eastAsia"/>
          <w:color w:val="auto"/>
          <w:sz w:val="24"/>
          <w:szCs w:val="24"/>
          <w:highlight w:val="none"/>
          <w:u w:val="none"/>
          <w:lang w:val="en-US" w:eastAsia="zh-CN"/>
        </w:rPr>
        <w:t>相应风险</w:t>
      </w:r>
      <w:r>
        <w:rPr>
          <w:rFonts w:hint="eastAsia"/>
          <w:color w:val="auto"/>
          <w:sz w:val="24"/>
          <w:szCs w:val="24"/>
          <w:highlight w:val="none"/>
          <w:u w:val="none"/>
          <w:lang w:val="zh-CN"/>
        </w:rPr>
        <w:t>防范措施，</w:t>
      </w:r>
      <w:r>
        <w:rPr>
          <w:rFonts w:hint="eastAsia"/>
          <w:color w:val="auto"/>
          <w:sz w:val="24"/>
          <w:szCs w:val="24"/>
          <w:highlight w:val="none"/>
          <w:u w:val="none"/>
          <w:lang w:val="en-US" w:eastAsia="zh-CN"/>
        </w:rPr>
        <w:t>杜绝</w:t>
      </w:r>
      <w:r>
        <w:rPr>
          <w:rFonts w:hint="eastAsia" w:cs="Times New Roman"/>
          <w:color w:val="auto"/>
          <w:sz w:val="24"/>
          <w:szCs w:val="24"/>
          <w:highlight w:val="none"/>
          <w:u w:val="none"/>
          <w:lang w:val="en-US" w:eastAsia="zh-CN"/>
        </w:rPr>
        <w:t>入河排污口尾水事故排放的情况下</w:t>
      </w:r>
      <w:r>
        <w:rPr>
          <w:rFonts w:hint="eastAsia"/>
          <w:color w:val="auto"/>
          <w:sz w:val="24"/>
          <w:szCs w:val="24"/>
          <w:highlight w:val="none"/>
          <w:u w:val="none"/>
          <w:lang w:val="en-US" w:eastAsia="zh-CN"/>
        </w:rPr>
        <w:t>，</w:t>
      </w:r>
      <w:r>
        <w:rPr>
          <w:rFonts w:hint="eastAsia" w:cs="Times New Roman"/>
          <w:color w:val="auto"/>
          <w:sz w:val="24"/>
          <w:szCs w:val="24"/>
          <w:highlight w:val="none"/>
          <w:u w:val="none"/>
          <w:lang w:val="en-US" w:eastAsia="zh-CN"/>
        </w:rPr>
        <w:t>本入河排污口的设置对纳污水体</w:t>
      </w:r>
      <w:r>
        <w:rPr>
          <w:rFonts w:hint="eastAsia"/>
          <w:color w:val="auto"/>
          <w:sz w:val="24"/>
          <w:szCs w:val="24"/>
          <w:highlight w:val="none"/>
          <w:u w:val="none"/>
          <w:lang w:val="en-US" w:eastAsia="zh-CN"/>
        </w:rPr>
        <w:t>龙荫港内的鱼类影响不大。</w:t>
      </w:r>
    </w:p>
    <w:p w14:paraId="04F6FF58">
      <w:pPr>
        <w:pStyle w:val="6"/>
        <w:bidi w:val="0"/>
        <w:rPr>
          <w:rFonts w:hint="default"/>
          <w:b/>
          <w:bCs/>
          <w:color w:val="auto"/>
          <w:highlight w:val="none"/>
          <w:u w:val="none"/>
          <w:lang w:val="en-US" w:eastAsia="zh-CN"/>
        </w:rPr>
      </w:pPr>
      <w:r>
        <w:rPr>
          <w:rFonts w:hint="default"/>
          <w:b/>
          <w:bCs/>
          <w:color w:val="auto"/>
          <w:highlight w:val="none"/>
          <w:u w:val="none"/>
          <w:lang w:val="en-US" w:eastAsia="zh-CN"/>
        </w:rPr>
        <w:t>6.</w:t>
      </w:r>
      <w:r>
        <w:rPr>
          <w:rFonts w:hint="eastAsia"/>
          <w:b/>
          <w:bCs/>
          <w:color w:val="auto"/>
          <w:highlight w:val="none"/>
          <w:u w:val="none"/>
          <w:lang w:val="en-US" w:eastAsia="zh-CN"/>
        </w:rPr>
        <w:t>3</w:t>
      </w:r>
      <w:r>
        <w:rPr>
          <w:rFonts w:hint="default"/>
          <w:b/>
          <w:bCs/>
          <w:color w:val="auto"/>
          <w:highlight w:val="none"/>
          <w:u w:val="none"/>
          <w:lang w:val="en-US" w:eastAsia="zh-CN"/>
        </w:rPr>
        <w:t>.2</w:t>
      </w:r>
      <w:r>
        <w:rPr>
          <w:rFonts w:hint="eastAsia"/>
          <w:b/>
          <w:bCs/>
          <w:color w:val="auto"/>
          <w:highlight w:val="none"/>
          <w:u w:val="none"/>
          <w:lang w:val="en-US" w:eastAsia="zh-CN"/>
        </w:rPr>
        <w:t xml:space="preserve"> </w:t>
      </w:r>
      <w:r>
        <w:rPr>
          <w:rFonts w:hint="default"/>
          <w:b/>
          <w:bCs/>
          <w:color w:val="auto"/>
          <w:highlight w:val="none"/>
          <w:u w:val="none"/>
          <w:lang w:val="en-US" w:eastAsia="zh-CN"/>
        </w:rPr>
        <w:t>对其他水生生物的影响</w:t>
      </w:r>
    </w:p>
    <w:p w14:paraId="2A69E6C4">
      <w:pPr>
        <w:bidi w:val="0"/>
        <w:ind w:left="0" w:leftChars="0" w:firstLine="480" w:firstLineChars="200"/>
        <w:jc w:val="both"/>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经过</w:t>
      </w:r>
      <w:r>
        <w:rPr>
          <w:rFonts w:hint="eastAsia" w:cs="Times New Roman"/>
          <w:color w:val="auto"/>
          <w:sz w:val="24"/>
          <w:szCs w:val="24"/>
          <w:highlight w:val="none"/>
          <w:u w:val="none"/>
          <w:lang w:val="en-US" w:eastAsia="zh-CN"/>
        </w:rPr>
        <w:t>上述预测</w:t>
      </w:r>
      <w:r>
        <w:rPr>
          <w:rFonts w:hint="eastAsia" w:ascii="Times New Roman" w:hAnsi="Times New Roman" w:eastAsia="宋体" w:cs="Times New Roman"/>
          <w:color w:val="auto"/>
          <w:sz w:val="24"/>
          <w:szCs w:val="24"/>
          <w:highlight w:val="none"/>
          <w:u w:val="none"/>
          <w:lang w:val="en-US" w:eastAsia="zh-CN"/>
        </w:rPr>
        <w:t>可知，</w:t>
      </w:r>
      <w:r>
        <w:rPr>
          <w:rFonts w:hint="eastAsia" w:cs="Times New Roman"/>
          <w:color w:val="auto"/>
          <w:sz w:val="24"/>
          <w:szCs w:val="24"/>
          <w:highlight w:val="none"/>
          <w:u w:val="none"/>
          <w:lang w:val="en-US" w:eastAsia="zh-CN"/>
        </w:rPr>
        <w:t>本入河排污口正常工况下，对纳污水体</w:t>
      </w:r>
      <w:r>
        <w:rPr>
          <w:rFonts w:hint="eastAsia"/>
          <w:color w:val="auto"/>
          <w:sz w:val="24"/>
          <w:szCs w:val="24"/>
          <w:highlight w:val="none"/>
          <w:u w:val="none"/>
          <w:lang w:val="en-US" w:eastAsia="zh-CN"/>
        </w:rPr>
        <w:t>龙荫港水质影响不大，不会改变其水质类别，对其他水生生物影响甚微。</w:t>
      </w:r>
    </w:p>
    <w:p w14:paraId="08E26F2B">
      <w:pPr>
        <w:bidi w:val="0"/>
        <w:ind w:left="0" w:leftChars="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本入河排污口事故排放下，</w:t>
      </w:r>
      <w:r>
        <w:rPr>
          <w:rFonts w:hint="eastAsia" w:ascii="Times New Roman" w:hAnsi="Times New Roman" w:eastAsia="宋体" w:cs="Times New Roman"/>
          <w:color w:val="auto"/>
          <w:sz w:val="24"/>
          <w:szCs w:val="24"/>
          <w:highlight w:val="none"/>
          <w:u w:val="none"/>
          <w:lang w:val="en-US" w:eastAsia="zh-CN"/>
        </w:rPr>
        <w:t>COD、氨氮大幅超标排放</w:t>
      </w:r>
      <w:r>
        <w:rPr>
          <w:rFonts w:hint="eastAsia" w:cs="Times New Roman"/>
          <w:color w:val="auto"/>
          <w:sz w:val="24"/>
          <w:szCs w:val="24"/>
          <w:highlight w:val="none"/>
          <w:u w:val="none"/>
          <w:lang w:val="en-US" w:eastAsia="zh-CN"/>
        </w:rPr>
        <w:t>进入纳污水体</w:t>
      </w:r>
      <w:r>
        <w:rPr>
          <w:rFonts w:hint="eastAsia"/>
          <w:color w:val="auto"/>
          <w:sz w:val="24"/>
          <w:szCs w:val="24"/>
          <w:highlight w:val="none"/>
          <w:u w:val="none"/>
          <w:lang w:val="en-US" w:eastAsia="zh-CN"/>
        </w:rPr>
        <w:t>龙荫港，</w:t>
      </w:r>
    </w:p>
    <w:p w14:paraId="1F60F7A0">
      <w:pPr>
        <w:bidi w:val="0"/>
        <w:jc w:val="both"/>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zh-CN"/>
        </w:rPr>
        <w:t>由于有机污染物浓度较高，</w:t>
      </w:r>
      <w:r>
        <w:rPr>
          <w:rFonts w:hint="default" w:ascii="Times New Roman" w:hAnsi="Times New Roman" w:eastAsia="宋体" w:cs="Times New Roman"/>
          <w:color w:val="auto"/>
          <w:sz w:val="24"/>
          <w:szCs w:val="24"/>
          <w:highlight w:val="none"/>
          <w:u w:val="none"/>
          <w:lang w:val="en-US" w:eastAsia="zh-CN"/>
        </w:rPr>
        <w:t>可能引起</w:t>
      </w:r>
      <w:r>
        <w:rPr>
          <w:rFonts w:hint="eastAsia" w:cs="Times New Roman"/>
          <w:color w:val="auto"/>
          <w:sz w:val="24"/>
          <w:szCs w:val="24"/>
          <w:highlight w:val="none"/>
          <w:u w:val="none"/>
          <w:lang w:val="en-US" w:eastAsia="zh-CN"/>
        </w:rPr>
        <w:t>水体污染或富营养化进而导致</w:t>
      </w:r>
      <w:r>
        <w:rPr>
          <w:rFonts w:hint="eastAsia"/>
          <w:color w:val="auto"/>
          <w:sz w:val="24"/>
          <w:szCs w:val="24"/>
          <w:highlight w:val="none"/>
          <w:u w:val="none"/>
          <w:lang w:val="en-US" w:eastAsia="zh-CN"/>
        </w:rPr>
        <w:t>龙荫港下游</w:t>
      </w:r>
      <w:r>
        <w:rPr>
          <w:rFonts w:hint="default" w:ascii="Times New Roman" w:hAnsi="Times New Roman" w:eastAsia="宋体" w:cs="Times New Roman"/>
          <w:color w:val="auto"/>
          <w:sz w:val="24"/>
          <w:szCs w:val="24"/>
          <w:highlight w:val="none"/>
          <w:u w:val="none"/>
          <w:lang w:val="en-US" w:eastAsia="zh-CN"/>
        </w:rPr>
        <w:t>浮游植物与浮游动物数量和组成的变化</w:t>
      </w:r>
      <w:r>
        <w:rPr>
          <w:rFonts w:hint="eastAsia" w:ascii="Times New Roman" w:hAnsi="Times New Roman" w:eastAsia="宋体" w:cs="Times New Roman"/>
          <w:color w:val="auto"/>
          <w:sz w:val="24"/>
          <w:szCs w:val="24"/>
          <w:highlight w:val="none"/>
          <w:u w:val="none"/>
          <w:lang w:val="en-US" w:eastAsia="zh-CN"/>
        </w:rPr>
        <w:t>，对下游龙荫港</w:t>
      </w:r>
      <w:r>
        <w:rPr>
          <w:rFonts w:hint="eastAsia" w:cs="Times New Roman"/>
          <w:color w:val="auto"/>
          <w:sz w:val="24"/>
          <w:szCs w:val="24"/>
          <w:highlight w:val="none"/>
          <w:u w:val="none"/>
          <w:lang w:val="en-US" w:eastAsia="zh-CN"/>
        </w:rPr>
        <w:t>其他</w:t>
      </w:r>
      <w:r>
        <w:rPr>
          <w:rFonts w:hint="eastAsia" w:ascii="Times New Roman" w:hAnsi="Times New Roman" w:eastAsia="宋体" w:cs="Times New Roman"/>
          <w:color w:val="auto"/>
          <w:sz w:val="24"/>
          <w:szCs w:val="24"/>
          <w:highlight w:val="none"/>
          <w:u w:val="none"/>
          <w:lang w:val="en-US" w:eastAsia="zh-CN"/>
        </w:rPr>
        <w:t>水生生物会造成</w:t>
      </w:r>
      <w:r>
        <w:rPr>
          <w:rFonts w:hint="eastAsia" w:cs="Times New Roman"/>
          <w:color w:val="auto"/>
          <w:sz w:val="24"/>
          <w:szCs w:val="24"/>
          <w:highlight w:val="none"/>
          <w:u w:val="none"/>
          <w:lang w:val="en-US" w:eastAsia="zh-CN"/>
        </w:rPr>
        <w:t>一定</w:t>
      </w:r>
      <w:r>
        <w:rPr>
          <w:rFonts w:hint="eastAsia" w:ascii="Times New Roman" w:hAnsi="Times New Roman" w:eastAsia="宋体" w:cs="Times New Roman"/>
          <w:color w:val="auto"/>
          <w:sz w:val="24"/>
          <w:szCs w:val="24"/>
          <w:highlight w:val="none"/>
          <w:u w:val="none"/>
          <w:lang w:val="en-US" w:eastAsia="zh-CN"/>
        </w:rPr>
        <w:t>影响。</w:t>
      </w:r>
    </w:p>
    <w:p w14:paraId="22FBFAFF">
      <w:pPr>
        <w:bidi w:val="0"/>
        <w:ind w:left="0" w:leftChars="0"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因此，</w:t>
      </w:r>
      <w:r>
        <w:rPr>
          <w:rFonts w:hint="eastAsia" w:cs="Times New Roman"/>
          <w:color w:val="auto"/>
          <w:sz w:val="24"/>
          <w:szCs w:val="24"/>
          <w:highlight w:val="none"/>
          <w:u w:val="none"/>
          <w:lang w:val="en-US" w:eastAsia="zh-CN"/>
        </w:rPr>
        <w:t>建设单位</w:t>
      </w:r>
      <w:r>
        <w:rPr>
          <w:rFonts w:hint="eastAsia" w:ascii="Times New Roman" w:hAnsi="Times New Roman" w:eastAsia="宋体" w:cs="Times New Roman"/>
          <w:color w:val="auto"/>
          <w:sz w:val="24"/>
          <w:szCs w:val="24"/>
          <w:highlight w:val="none"/>
          <w:u w:val="none"/>
          <w:lang w:val="en-US" w:eastAsia="zh-CN"/>
        </w:rPr>
        <w:t>应</w:t>
      </w:r>
      <w:r>
        <w:rPr>
          <w:rFonts w:hint="eastAsia" w:ascii="Times New Roman" w:hAnsi="Times New Roman" w:eastAsia="宋体" w:cs="Times New Roman"/>
          <w:color w:val="auto"/>
          <w:sz w:val="24"/>
          <w:szCs w:val="24"/>
          <w:highlight w:val="none"/>
          <w:u w:val="none"/>
          <w:lang w:val="zh-CN"/>
        </w:rPr>
        <w:t>采取</w:t>
      </w:r>
      <w:r>
        <w:rPr>
          <w:rFonts w:hint="eastAsia" w:ascii="Times New Roman" w:hAnsi="Times New Roman" w:eastAsia="宋体" w:cs="Times New Roman"/>
          <w:color w:val="auto"/>
          <w:sz w:val="24"/>
          <w:szCs w:val="24"/>
          <w:highlight w:val="none"/>
          <w:u w:val="none"/>
          <w:lang w:val="en-US" w:eastAsia="zh-CN"/>
        </w:rPr>
        <w:t>相应</w:t>
      </w:r>
      <w:r>
        <w:rPr>
          <w:rFonts w:hint="eastAsia" w:ascii="Times New Roman" w:hAnsi="Times New Roman" w:eastAsia="宋体" w:cs="Times New Roman"/>
          <w:color w:val="auto"/>
          <w:sz w:val="24"/>
          <w:szCs w:val="24"/>
          <w:highlight w:val="none"/>
          <w:u w:val="none"/>
          <w:lang w:val="zh-CN"/>
        </w:rPr>
        <w:t>防范措施，</w:t>
      </w:r>
      <w:r>
        <w:rPr>
          <w:rFonts w:hint="eastAsia" w:ascii="Times New Roman" w:hAnsi="Times New Roman" w:eastAsia="宋体" w:cs="Times New Roman"/>
          <w:color w:val="auto"/>
          <w:sz w:val="24"/>
          <w:szCs w:val="24"/>
          <w:highlight w:val="none"/>
          <w:u w:val="none"/>
          <w:lang w:val="en-US" w:eastAsia="zh-CN"/>
        </w:rPr>
        <w:t>杜绝</w:t>
      </w:r>
      <w:r>
        <w:rPr>
          <w:rFonts w:hint="eastAsia" w:cs="Times New Roman"/>
          <w:color w:val="auto"/>
          <w:sz w:val="24"/>
          <w:szCs w:val="24"/>
          <w:highlight w:val="none"/>
          <w:u w:val="none"/>
          <w:lang w:val="en-US" w:eastAsia="zh-CN"/>
        </w:rPr>
        <w:t>入河排污口</w:t>
      </w:r>
      <w:r>
        <w:rPr>
          <w:rFonts w:hint="eastAsia" w:ascii="Times New Roman" w:hAnsi="Times New Roman" w:eastAsia="宋体" w:cs="Times New Roman"/>
          <w:color w:val="auto"/>
          <w:sz w:val="24"/>
          <w:szCs w:val="24"/>
          <w:highlight w:val="none"/>
          <w:u w:val="none"/>
          <w:lang w:val="en-US" w:eastAsia="zh-CN"/>
        </w:rPr>
        <w:t>尾水事故排放。</w:t>
      </w:r>
    </w:p>
    <w:p w14:paraId="3B705727">
      <w:pPr>
        <w:pStyle w:val="5"/>
        <w:numPr>
          <w:ilvl w:val="0"/>
          <w:numId w:val="0"/>
        </w:numPr>
        <w:bidi w:val="0"/>
        <w:ind w:left="0" w:leftChars="0" w:firstLine="0" w:firstLineChars="0"/>
        <w:rPr>
          <w:rFonts w:hint="default" w:ascii="Times New Roman" w:hAnsi="Times New Roman" w:eastAsia="宋体" w:cs="Times New Roman"/>
          <w:highlight w:val="none"/>
          <w:lang w:val="en-US" w:eastAsia="zh-CN"/>
        </w:rPr>
      </w:pPr>
      <w:bookmarkStart w:id="96" w:name="_Toc10467"/>
      <w:r>
        <w:rPr>
          <w:rFonts w:hint="eastAsia" w:ascii="Times New Roman" w:hAnsi="Times New Roman" w:eastAsia="宋体" w:cs="Times New Roman"/>
          <w:highlight w:val="none"/>
          <w:lang w:val="en-US" w:eastAsia="zh-CN"/>
        </w:rPr>
        <w:t>6.4 对地下水影响的分析</w:t>
      </w:r>
      <w:bookmarkEnd w:id="96"/>
    </w:p>
    <w:p w14:paraId="359B920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）地下水污染途径分析</w:t>
      </w:r>
    </w:p>
    <w:p w14:paraId="6F7832F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①正常</w:t>
      </w:r>
      <w:r>
        <w:rPr>
          <w:rFonts w:hint="eastAsia" w:ascii="宋体" w:hAnsi="宋体" w:cs="宋体"/>
          <w:color w:val="000000"/>
          <w:kern w:val="0"/>
          <w:sz w:val="24"/>
          <w:szCs w:val="24"/>
          <w:highlight w:val="none"/>
          <w:lang w:val="en-US" w:eastAsia="zh-CN" w:bidi="ar"/>
        </w:rPr>
        <w:t>工况</w:t>
      </w:r>
      <w:r>
        <w:rPr>
          <w:rFonts w:hint="eastAsia" w:ascii="宋体" w:hAnsi="宋体" w:eastAsia="宋体" w:cs="宋体"/>
          <w:color w:val="000000"/>
          <w:kern w:val="0"/>
          <w:sz w:val="24"/>
          <w:szCs w:val="24"/>
          <w:highlight w:val="none"/>
          <w:lang w:val="en-US" w:eastAsia="zh-CN" w:bidi="ar"/>
        </w:rPr>
        <w:t>。</w:t>
      </w:r>
    </w:p>
    <w:p w14:paraId="616ED33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cs="宋体"/>
          <w:color w:val="000000"/>
          <w:kern w:val="0"/>
          <w:sz w:val="24"/>
          <w:szCs w:val="24"/>
          <w:highlight w:val="none"/>
          <w:lang w:val="en-US" w:eastAsia="zh-CN" w:bidi="ar"/>
        </w:rPr>
        <w:t>南岳区</w:t>
      </w:r>
      <w:r>
        <w:rPr>
          <w:rFonts w:hint="eastAsia" w:ascii="宋体" w:hAnsi="宋体" w:eastAsia="宋体" w:cs="宋体"/>
          <w:color w:val="000000"/>
          <w:kern w:val="0"/>
          <w:sz w:val="24"/>
          <w:szCs w:val="24"/>
          <w:highlight w:val="none"/>
          <w:lang w:val="en-US" w:eastAsia="zh-CN" w:bidi="ar"/>
        </w:rPr>
        <w:t>污水处理厂排水实行雨污分流</w:t>
      </w:r>
      <w:r>
        <w:rPr>
          <w:rFonts w:hint="eastAsia" w:ascii="宋体" w:hAnsi="宋体" w:cs="宋体"/>
          <w:color w:val="000000"/>
          <w:kern w:val="0"/>
          <w:sz w:val="24"/>
          <w:szCs w:val="24"/>
          <w:highlight w:val="none"/>
          <w:lang w:val="en-US" w:eastAsia="zh-CN" w:bidi="ar"/>
        </w:rPr>
        <w:t>制</w:t>
      </w:r>
      <w:r>
        <w:rPr>
          <w:rFonts w:hint="eastAsia" w:ascii="宋体" w:hAnsi="宋体" w:eastAsia="宋体" w:cs="宋体"/>
          <w:color w:val="000000"/>
          <w:kern w:val="0"/>
          <w:sz w:val="24"/>
          <w:szCs w:val="24"/>
          <w:highlight w:val="none"/>
          <w:lang w:val="en-US" w:eastAsia="zh-CN" w:bidi="ar"/>
        </w:rPr>
        <w:t>，各构筑物采取良好的防腐防渗措施，厂区地表与地下的水力联系基本被切断，污染物不会渗入地下影响地下水质。</w:t>
      </w:r>
    </w:p>
    <w:p w14:paraId="5E1F67F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②事故状态。</w:t>
      </w:r>
    </w:p>
    <w:p w14:paraId="3F7745F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造成事故排放风险的环节主要有以下几方面：污水管网系统由于管网堵塞、破裂和接头破损，造成污水外溢；由于停电、设备损坏、污水处理设备运行不正常、停工检修等造成污水未经处理排放；活性污泥变质，发生污泥膨胀或污泥解体等异常情况，使处理效果降低；由于发生地震等自然灾害使污水管、污水处理构筑物损坏，造成污水外溢。</w:t>
      </w:r>
    </w:p>
    <w:p w14:paraId="0314A83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）地下水影响分析</w:t>
      </w:r>
    </w:p>
    <w:p w14:paraId="06691AA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衡阳市南岳区污水处理厂项目为污水处理工程，处理后尾水排入龙荫港，最终汇入湘江，排放过程中产生外漏下渗的可能性很小，即使有微量废水外漏下渗，在下渗过程中经过表层粘土、粉土的分解和吸收，大部分污染物会进一步去除，不会造成地下水污染。且污水处理厂建设后，南岳区居民生活污水可集中收集处理，减少生活污水直排周边地表水体的量，间接的改善了周边的地下水环境，因此，正常工况下污水处理厂建设对地下水水质影响小。建议在废水处理设施和排水管道的建设过程中均采取严格的防渗防漏措施，如：各水处理构筑物选用结构抗渗控制设计、排污管材不透水等、运行过程中严格执行规章制度，重点防渗区污水箱涵、管道敷设时采取严格防渗措施，并加强箱涵、管道及设施的固化和密封；其他重点防渗区地面采用防腐蚀、防爆材料，防止发生沉降渗漏，防渗能力等效黏土防渗层厚度</w:t>
      </w:r>
      <w:r>
        <w:rPr>
          <w:rFonts w:hint="default" w:ascii="Times New Roman" w:hAnsi="Times New Roman" w:eastAsia="宋体" w:cs="Times New Roman"/>
          <w:color w:val="000000"/>
          <w:kern w:val="0"/>
          <w:sz w:val="24"/>
          <w:szCs w:val="24"/>
          <w:highlight w:val="none"/>
          <w:lang w:val="en-US" w:eastAsia="zh-CN" w:bidi="ar"/>
        </w:rPr>
        <w:t>≥6m</w:t>
      </w:r>
      <w:r>
        <w:rPr>
          <w:rFonts w:hint="eastAsia" w:ascii="宋体" w:hAnsi="宋体" w:eastAsia="宋体" w:cs="宋体"/>
          <w:color w:val="000000"/>
          <w:kern w:val="0"/>
          <w:sz w:val="24"/>
          <w:szCs w:val="24"/>
          <w:highlight w:val="none"/>
          <w:lang w:val="en-US" w:eastAsia="zh-CN" w:bidi="ar"/>
        </w:rPr>
        <w:t>，渗透系数</w:t>
      </w:r>
      <w:r>
        <w:rPr>
          <w:rFonts w:hint="default" w:ascii="Times New Roman" w:hAnsi="Times New Roman" w:eastAsia="宋体" w:cs="Times New Roman"/>
          <w:color w:val="000000"/>
          <w:kern w:val="0"/>
          <w:sz w:val="24"/>
          <w:szCs w:val="24"/>
          <w:highlight w:val="none"/>
          <w:lang w:val="en-US" w:eastAsia="zh-CN" w:bidi="ar"/>
        </w:rPr>
        <w:t>≤1×10</w:t>
      </w:r>
      <w:r>
        <w:rPr>
          <w:rFonts w:hint="eastAsia" w:ascii="Times New Roman" w:hAnsi="Times New Roman" w:eastAsia="宋体" w:cs="Times New Roman"/>
          <w:color w:val="000000"/>
          <w:kern w:val="0"/>
          <w:sz w:val="24"/>
          <w:szCs w:val="24"/>
          <w:highlight w:val="none"/>
          <w:vertAlign w:val="superscript"/>
          <w:lang w:val="en-US" w:eastAsia="zh-CN" w:bidi="ar"/>
        </w:rPr>
        <w:t>-7</w:t>
      </w:r>
      <w:r>
        <w:rPr>
          <w:rFonts w:hint="default" w:ascii="Times New Roman" w:hAnsi="Times New Roman" w:eastAsia="宋体" w:cs="Times New Roman"/>
          <w:color w:val="000000"/>
          <w:kern w:val="0"/>
          <w:sz w:val="24"/>
          <w:szCs w:val="24"/>
          <w:highlight w:val="none"/>
          <w:lang w:val="en-US" w:eastAsia="zh-CN" w:bidi="ar"/>
        </w:rPr>
        <w:t>cm/s</w:t>
      </w:r>
      <w:r>
        <w:rPr>
          <w:rFonts w:hint="eastAsia" w:ascii="宋体" w:hAnsi="宋体" w:eastAsia="宋体" w:cs="宋体"/>
          <w:color w:val="000000"/>
          <w:kern w:val="0"/>
          <w:sz w:val="24"/>
          <w:szCs w:val="24"/>
          <w:highlight w:val="none"/>
          <w:lang w:val="en-US" w:eastAsia="zh-CN" w:bidi="ar"/>
        </w:rPr>
        <w:t>。污水处理厂内污泥临时堆放场地，地面必须采取硬化、防渗处理。设置应急池，避免非正常排放情况的发生。</w:t>
      </w:r>
    </w:p>
    <w:p w14:paraId="0D7C4DC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综上所述，若污水处理厂</w:t>
      </w:r>
      <w:r>
        <w:rPr>
          <w:rFonts w:hint="eastAsia" w:ascii="宋体" w:hAnsi="宋体" w:cs="宋体"/>
          <w:color w:val="000000"/>
          <w:kern w:val="0"/>
          <w:sz w:val="24"/>
          <w:szCs w:val="24"/>
          <w:highlight w:val="none"/>
          <w:lang w:val="en-US" w:eastAsia="zh-CN" w:bidi="ar"/>
        </w:rPr>
        <w:t>及入河排污口</w:t>
      </w:r>
      <w:r>
        <w:rPr>
          <w:rFonts w:hint="eastAsia" w:ascii="宋体" w:hAnsi="宋体" w:eastAsia="宋体" w:cs="宋体"/>
          <w:color w:val="000000"/>
          <w:kern w:val="0"/>
          <w:sz w:val="24"/>
          <w:szCs w:val="24"/>
          <w:highlight w:val="none"/>
          <w:lang w:val="en-US" w:eastAsia="zh-CN" w:bidi="ar"/>
        </w:rPr>
        <w:t>建设及运行均采取严格有效的防渗防漏措施而且</w:t>
      </w:r>
      <w:r>
        <w:rPr>
          <w:rFonts w:hint="eastAsia" w:ascii="宋体" w:hAnsi="宋体" w:cs="宋体"/>
          <w:color w:val="000000"/>
          <w:kern w:val="0"/>
          <w:sz w:val="24"/>
          <w:szCs w:val="24"/>
          <w:highlight w:val="none"/>
          <w:lang w:val="en-US" w:eastAsia="zh-CN" w:bidi="ar"/>
        </w:rPr>
        <w:t>尾水</w:t>
      </w:r>
      <w:r>
        <w:rPr>
          <w:rFonts w:hint="eastAsia" w:ascii="宋体" w:hAnsi="宋体" w:eastAsia="宋体" w:cs="宋体"/>
          <w:color w:val="000000"/>
          <w:kern w:val="0"/>
          <w:sz w:val="24"/>
          <w:szCs w:val="24"/>
          <w:highlight w:val="none"/>
          <w:lang w:val="en-US" w:eastAsia="zh-CN" w:bidi="ar"/>
        </w:rPr>
        <w:t>能够稳定达标排放，对地下水水质影响轻微。但是，要加强对地下水水质的监测。建议根据厂区地下水的流向，设立</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个地下水监测井，定期监测地下水的水质，密切关注水质的变化情况，出现问题及时采取措施。</w:t>
      </w:r>
    </w:p>
    <w:p w14:paraId="21E4B595">
      <w:pPr>
        <w:pStyle w:val="5"/>
        <w:numPr>
          <w:ilvl w:val="0"/>
          <w:numId w:val="0"/>
        </w:numPr>
        <w:bidi w:val="0"/>
        <w:ind w:left="0" w:leftChars="0" w:firstLine="0" w:firstLineChars="0"/>
        <w:rPr>
          <w:rFonts w:hint="eastAsia" w:ascii="Times New Roman" w:hAnsi="Times New Roman" w:eastAsia="宋体" w:cs="Times New Roman"/>
          <w:highlight w:val="none"/>
          <w:lang w:val="en-US" w:eastAsia="zh-CN"/>
        </w:rPr>
      </w:pPr>
      <w:bookmarkStart w:id="97" w:name="_Toc7894"/>
      <w:r>
        <w:rPr>
          <w:rFonts w:hint="default" w:ascii="Times New Roman" w:hAnsi="Times New Roman" w:eastAsia="宋体" w:cs="Times New Roman"/>
          <w:highlight w:val="none"/>
          <w:lang w:val="en-US" w:eastAsia="zh-CN"/>
        </w:rPr>
        <w:t xml:space="preserve">6.5 </w:t>
      </w:r>
      <w:r>
        <w:rPr>
          <w:rFonts w:hint="eastAsia" w:ascii="Times New Roman" w:hAnsi="Times New Roman" w:eastAsia="宋体" w:cs="Times New Roman"/>
          <w:highlight w:val="none"/>
          <w:lang w:val="en-US" w:eastAsia="zh-CN"/>
        </w:rPr>
        <w:t>对第三者影响分析</w:t>
      </w:r>
      <w:bookmarkEnd w:id="97"/>
    </w:p>
    <w:p w14:paraId="2268FBE8">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6.5.1 </w:t>
      </w:r>
      <w:r>
        <w:rPr>
          <w:rFonts w:hint="eastAsia" w:ascii="宋体" w:hAnsi="宋体" w:eastAsia="宋体" w:cs="宋体"/>
          <w:b/>
          <w:bCs/>
          <w:color w:val="000000"/>
          <w:kern w:val="0"/>
          <w:sz w:val="28"/>
          <w:szCs w:val="28"/>
          <w:highlight w:val="none"/>
          <w:lang w:val="en-US" w:eastAsia="zh-CN" w:bidi="ar"/>
        </w:rPr>
        <w:t>对控制断面水质影响分析</w:t>
      </w:r>
    </w:p>
    <w:p w14:paraId="63BE116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bidi="ar-SA"/>
        </w:rPr>
        <w:t>本入河排污口下游4.5km设有常规监测断面龙荫港梅桥村断面</w:t>
      </w:r>
      <w:r>
        <w:rPr>
          <w:rFonts w:hint="eastAsia"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断面基本情况如下。</w:t>
      </w:r>
    </w:p>
    <w:p w14:paraId="01AB7E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sz w:val="21"/>
          <w:szCs w:val="21"/>
          <w:highlight w:val="none"/>
          <w:lang w:val="en-US" w:eastAsia="zh-CN"/>
        </w:rPr>
      </w:pPr>
      <w:r>
        <w:rPr>
          <w:rFonts w:hint="eastAsia"/>
          <w:b/>
          <w:bCs/>
          <w:sz w:val="21"/>
          <w:szCs w:val="21"/>
          <w:highlight w:val="none"/>
          <w:lang w:val="en-US" w:eastAsia="zh-CN"/>
        </w:rPr>
        <w:t xml:space="preserve">表6.5-1 </w:t>
      </w:r>
      <w:r>
        <w:rPr>
          <w:rFonts w:hint="eastAsia" w:ascii="Times New Roman" w:hAnsi="Times New Roman" w:eastAsia="宋体" w:cs="Times New Roman"/>
          <w:b/>
          <w:bCs/>
          <w:color w:val="000000"/>
          <w:kern w:val="2"/>
          <w:sz w:val="21"/>
          <w:szCs w:val="21"/>
          <w:highlight w:val="none"/>
          <w:lang w:val="en-US" w:eastAsia="zh-CN" w:bidi="ar-SA"/>
        </w:rPr>
        <w:t>龙荫港梅桥村断面基本情况</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1704"/>
        <w:gridCol w:w="1704"/>
        <w:gridCol w:w="1705"/>
        <w:gridCol w:w="1705"/>
      </w:tblGrid>
      <w:tr w14:paraId="3326A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4" w:type="dxa"/>
            <w:tcBorders>
              <w:tl2br w:val="nil"/>
              <w:tr2bl w:val="nil"/>
            </w:tcBorders>
            <w:noWrap w:val="0"/>
            <w:vAlign w:val="center"/>
          </w:tcPr>
          <w:p w14:paraId="4BDFD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断面名称</w:t>
            </w:r>
          </w:p>
        </w:tc>
        <w:tc>
          <w:tcPr>
            <w:tcW w:w="1704" w:type="dxa"/>
            <w:tcBorders>
              <w:tl2br w:val="nil"/>
              <w:tr2bl w:val="nil"/>
            </w:tcBorders>
            <w:noWrap w:val="0"/>
            <w:vAlign w:val="center"/>
          </w:tcPr>
          <w:p w14:paraId="24BD7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所在河流</w:t>
            </w:r>
          </w:p>
        </w:tc>
        <w:tc>
          <w:tcPr>
            <w:tcW w:w="1704" w:type="dxa"/>
            <w:tcBorders>
              <w:tl2br w:val="nil"/>
              <w:tr2bl w:val="nil"/>
            </w:tcBorders>
            <w:noWrap w:val="0"/>
            <w:vAlign w:val="center"/>
          </w:tcPr>
          <w:p w14:paraId="1FDA75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断面属性</w:t>
            </w:r>
          </w:p>
        </w:tc>
        <w:tc>
          <w:tcPr>
            <w:tcW w:w="1705" w:type="dxa"/>
            <w:tcBorders>
              <w:tl2br w:val="nil"/>
              <w:tr2bl w:val="nil"/>
            </w:tcBorders>
            <w:noWrap w:val="0"/>
            <w:vAlign w:val="center"/>
          </w:tcPr>
          <w:p w14:paraId="275DB5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水质类别</w:t>
            </w:r>
          </w:p>
        </w:tc>
        <w:tc>
          <w:tcPr>
            <w:tcW w:w="1705" w:type="dxa"/>
            <w:tcBorders>
              <w:tl2br w:val="nil"/>
              <w:tr2bl w:val="nil"/>
            </w:tcBorders>
            <w:noWrap w:val="0"/>
            <w:vAlign w:val="center"/>
          </w:tcPr>
          <w:p w14:paraId="7D6BD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“十四五考核类别”</w:t>
            </w:r>
          </w:p>
        </w:tc>
      </w:tr>
      <w:tr w14:paraId="593ED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04" w:type="dxa"/>
            <w:tcBorders>
              <w:tl2br w:val="nil"/>
              <w:tr2bl w:val="nil"/>
            </w:tcBorders>
            <w:noWrap w:val="0"/>
            <w:vAlign w:val="center"/>
          </w:tcPr>
          <w:p w14:paraId="33295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ascii="Times New Roman" w:hAnsi="Times New Roman" w:eastAsia="宋体" w:cs="Times New Roman"/>
                <w:color w:val="000000"/>
                <w:kern w:val="2"/>
                <w:sz w:val="21"/>
                <w:szCs w:val="21"/>
                <w:highlight w:val="none"/>
                <w:lang w:val="en-US" w:eastAsia="zh-CN" w:bidi="ar-SA"/>
              </w:rPr>
              <w:t>梅桥村</w:t>
            </w:r>
          </w:p>
        </w:tc>
        <w:tc>
          <w:tcPr>
            <w:tcW w:w="1704" w:type="dxa"/>
            <w:tcBorders>
              <w:tl2br w:val="nil"/>
              <w:tr2bl w:val="nil"/>
            </w:tcBorders>
            <w:noWrap w:val="0"/>
            <w:vAlign w:val="center"/>
          </w:tcPr>
          <w:p w14:paraId="44370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湘江龙荫港</w:t>
            </w:r>
          </w:p>
        </w:tc>
        <w:tc>
          <w:tcPr>
            <w:tcW w:w="1704" w:type="dxa"/>
            <w:tcBorders>
              <w:tl2br w:val="nil"/>
              <w:tr2bl w:val="nil"/>
            </w:tcBorders>
            <w:noWrap w:val="0"/>
            <w:vAlign w:val="center"/>
          </w:tcPr>
          <w:p w14:paraId="25AC4F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县界（</w:t>
            </w:r>
            <w:r>
              <w:rPr>
                <w:rFonts w:hint="eastAsia"/>
                <w:sz w:val="21"/>
                <w:szCs w:val="21"/>
                <w:highlight w:val="none"/>
                <w:vertAlign w:val="baseline"/>
                <w:lang w:val="en-US" w:eastAsia="zh-CN"/>
              </w:rPr>
              <w:t>南岳区-衡山县）</w:t>
            </w:r>
          </w:p>
        </w:tc>
        <w:tc>
          <w:tcPr>
            <w:tcW w:w="1705" w:type="dxa"/>
            <w:tcBorders>
              <w:tl2br w:val="nil"/>
              <w:tr2bl w:val="nil"/>
            </w:tcBorders>
            <w:noWrap w:val="0"/>
            <w:vAlign w:val="center"/>
          </w:tcPr>
          <w:p w14:paraId="406EB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III</w:t>
            </w:r>
          </w:p>
        </w:tc>
        <w:tc>
          <w:tcPr>
            <w:tcW w:w="1705" w:type="dxa"/>
            <w:tcBorders>
              <w:tl2br w:val="nil"/>
              <w:tr2bl w:val="nil"/>
            </w:tcBorders>
            <w:noWrap w:val="0"/>
            <w:vAlign w:val="center"/>
          </w:tcPr>
          <w:p w14:paraId="4CDC1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V</w:t>
            </w:r>
          </w:p>
        </w:tc>
      </w:tr>
    </w:tbl>
    <w:p w14:paraId="5DC1A8E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SA"/>
        </w:rPr>
        <w:t>本入河排污口</w:t>
      </w:r>
      <w:r>
        <w:rPr>
          <w:rFonts w:hint="eastAsia" w:cs="Times New Roman"/>
          <w:color w:val="000000"/>
          <w:kern w:val="2"/>
          <w:sz w:val="24"/>
          <w:szCs w:val="24"/>
          <w:highlight w:val="none"/>
          <w:lang w:val="en-US" w:eastAsia="zh-CN" w:bidi="ar-SA"/>
        </w:rPr>
        <w:t>正常工况下</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枯水期</w:t>
      </w:r>
      <w:r>
        <w:rPr>
          <w:rFonts w:hint="eastAsia" w:ascii="Times New Roman" w:hAnsi="Times New Roman" w:eastAsia="宋体" w:cs="Times New Roman"/>
          <w:color w:val="000000"/>
          <w:kern w:val="2"/>
          <w:sz w:val="24"/>
          <w:szCs w:val="24"/>
          <w:highlight w:val="none"/>
          <w:lang w:val="en-US" w:eastAsia="zh-CN" w:bidi="ar-SA"/>
        </w:rPr>
        <w:t>龙荫港梅桥村断面</w:t>
      </w:r>
      <w:r>
        <w:rPr>
          <w:rFonts w:hint="eastAsia" w:cs="Times New Roman"/>
          <w:color w:val="000000"/>
          <w:kern w:val="2"/>
          <w:sz w:val="24"/>
          <w:szCs w:val="24"/>
          <w:highlight w:val="none"/>
          <w:lang w:val="en-US" w:eastAsia="zh-CN" w:bidi="ar-SA"/>
        </w:rPr>
        <w:t>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-N、TP预测结果满足《地表水环境质量标准》（GB3838-2002）III类标准限值</w:t>
      </w:r>
      <w:r>
        <w:rPr>
          <w:rFonts w:hint="eastAsia" w:ascii="Times New Roman" w:hAnsi="Times New Roman" w:eastAsia="宋体" w:cs="Times New Roman"/>
          <w:color w:val="000000"/>
          <w:kern w:val="0"/>
          <w:sz w:val="24"/>
          <w:szCs w:val="24"/>
          <w:highlight w:val="none"/>
          <w:lang w:val="en-US" w:eastAsia="zh-CN" w:bidi="ar"/>
        </w:rPr>
        <w:t>，对</w:t>
      </w:r>
      <w:r>
        <w:rPr>
          <w:rFonts w:hint="eastAsia" w:ascii="Times New Roman" w:hAnsi="Times New Roman" w:eastAsia="宋体" w:cs="Times New Roman"/>
          <w:color w:val="000000"/>
          <w:kern w:val="2"/>
          <w:sz w:val="24"/>
          <w:szCs w:val="24"/>
          <w:highlight w:val="none"/>
          <w:lang w:val="en-US" w:eastAsia="zh-CN" w:bidi="ar-SA"/>
        </w:rPr>
        <w:t>龙荫港梅桥村断面影响较小。</w:t>
      </w:r>
    </w:p>
    <w:p w14:paraId="1A59D9E3">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6.5.2 </w:t>
      </w:r>
      <w:r>
        <w:rPr>
          <w:rFonts w:hint="eastAsia" w:ascii="宋体" w:hAnsi="宋体" w:eastAsia="宋体" w:cs="宋体"/>
          <w:b/>
          <w:bCs/>
          <w:color w:val="000000"/>
          <w:kern w:val="0"/>
          <w:sz w:val="28"/>
          <w:szCs w:val="28"/>
          <w:highlight w:val="none"/>
          <w:lang w:val="en-US" w:eastAsia="zh-CN" w:bidi="ar"/>
        </w:rPr>
        <w:t>对下游饮用水源保护区及取水单位的影响分析</w:t>
      </w:r>
    </w:p>
    <w:p w14:paraId="52818B7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本入河排污口下游无饮用水源保护区及重要取水口，</w:t>
      </w:r>
      <w:r>
        <w:rPr>
          <w:rFonts w:hint="eastAsia" w:cs="Times New Roman"/>
          <w:color w:val="000000"/>
          <w:kern w:val="0"/>
          <w:sz w:val="24"/>
          <w:szCs w:val="24"/>
          <w:highlight w:val="none"/>
          <w:lang w:val="en-US" w:eastAsia="zh-CN" w:bidi="ar"/>
        </w:rPr>
        <w:t>正常工况下</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枯水期</w:t>
      </w:r>
      <w:r>
        <w:rPr>
          <w:rFonts w:hint="eastAsia" w:ascii="Times New Roman" w:hAnsi="Times New Roman" w:eastAsia="宋体" w:cs="Times New Roman"/>
          <w:color w:val="000000"/>
          <w:kern w:val="2"/>
          <w:sz w:val="24"/>
          <w:szCs w:val="24"/>
          <w:highlight w:val="none"/>
          <w:lang w:val="en-US" w:eastAsia="zh-CN" w:bidi="ar-SA"/>
        </w:rPr>
        <w:t>龙荫港</w:t>
      </w:r>
      <w:r>
        <w:rPr>
          <w:rFonts w:hint="eastAsia" w:cs="Times New Roman"/>
          <w:color w:val="000000"/>
          <w:kern w:val="2"/>
          <w:sz w:val="24"/>
          <w:szCs w:val="24"/>
          <w:highlight w:val="none"/>
          <w:lang w:val="en-US" w:eastAsia="zh-CN" w:bidi="ar-SA"/>
        </w:rPr>
        <w:t>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-N、TP预测结果满足《地表水环境质量标准》（GB3838-2002）III类标准限值，不影响所处水功能区及下游水功能的使用功能，也不影响相邻水功能区的使用。</w:t>
      </w:r>
    </w:p>
    <w:p w14:paraId="63D9439A">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6.5.3 </w:t>
      </w:r>
      <w:r>
        <w:rPr>
          <w:rFonts w:hint="eastAsia" w:ascii="宋体" w:hAnsi="宋体" w:eastAsia="宋体" w:cs="宋体"/>
          <w:b/>
          <w:bCs/>
          <w:color w:val="000000"/>
          <w:kern w:val="0"/>
          <w:sz w:val="28"/>
          <w:szCs w:val="28"/>
          <w:highlight w:val="none"/>
          <w:lang w:val="en-US" w:eastAsia="zh-CN" w:bidi="ar"/>
        </w:rPr>
        <w:t>对水产种质资源保护区的影响分析</w:t>
      </w:r>
    </w:p>
    <w:p w14:paraId="2A16596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cs="Times New Roman"/>
          <w:b w:val="0"/>
          <w:bCs w:val="0"/>
          <w:color w:val="00000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下游无水产种质资源保护区核心区。</w:t>
      </w:r>
    </w:p>
    <w:p w14:paraId="7209B339">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6.5.4 </w:t>
      </w:r>
      <w:r>
        <w:rPr>
          <w:rFonts w:hint="eastAsia" w:ascii="宋体" w:hAnsi="宋体" w:eastAsia="宋体" w:cs="宋体"/>
          <w:b/>
          <w:bCs/>
          <w:color w:val="000000"/>
          <w:kern w:val="0"/>
          <w:sz w:val="28"/>
          <w:szCs w:val="28"/>
          <w:highlight w:val="none"/>
          <w:lang w:val="en-US" w:eastAsia="zh-CN" w:bidi="ar"/>
        </w:rPr>
        <w:t>对河道行洪能力的影响分析</w:t>
      </w:r>
    </w:p>
    <w:p w14:paraId="04ECEC3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宋体" w:hAnsi="宋体" w:eastAsia="宋体" w:cs="宋体"/>
          <w:color w:val="000000"/>
          <w:kern w:val="0"/>
          <w:sz w:val="24"/>
          <w:szCs w:val="24"/>
          <w:highlight w:val="none"/>
          <w:lang w:val="en-US" w:eastAsia="zh-CN" w:bidi="ar"/>
        </w:rPr>
        <w:t>，设计防洪标准采用</w:t>
      </w:r>
      <w:r>
        <w:rPr>
          <w:rFonts w:hint="eastAsia" w:ascii="Times New Roman" w:hAnsi="Times New Roman" w:eastAsia="宋体" w:cs="Times New Roman"/>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年一遇洪水标准设计，排污口岸边排放，排污管</w:t>
      </w:r>
      <w:r>
        <w:rPr>
          <w:rFonts w:hint="eastAsia" w:ascii="宋体" w:hAnsi="宋体" w:cs="宋体"/>
          <w:color w:val="000000"/>
          <w:kern w:val="0"/>
          <w:sz w:val="24"/>
          <w:szCs w:val="24"/>
          <w:highlight w:val="none"/>
          <w:lang w:val="en-US" w:eastAsia="zh-CN" w:bidi="ar"/>
        </w:rPr>
        <w:t>道</w:t>
      </w:r>
      <w:r>
        <w:rPr>
          <w:rFonts w:hint="eastAsia" w:ascii="宋体" w:hAnsi="宋体" w:eastAsia="宋体" w:cs="宋体"/>
          <w:color w:val="000000"/>
          <w:kern w:val="0"/>
          <w:sz w:val="24"/>
          <w:szCs w:val="24"/>
          <w:highlight w:val="none"/>
          <w:lang w:val="en-US" w:eastAsia="zh-CN" w:bidi="ar"/>
        </w:rPr>
        <w:t>设有一定坡度，排污口所在河段两岸稳定，河道通畅。</w:t>
      </w:r>
    </w:p>
    <w:p w14:paraId="523CBB3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outlineLvl w:val="9"/>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本入河排污口规划流量为</w:t>
      </w:r>
      <w:r>
        <w:rPr>
          <w:rFonts w:hint="default"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35</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宋体" w:hAnsi="宋体" w:eastAsia="宋体" w:cs="宋体"/>
          <w:color w:val="000000"/>
          <w:kern w:val="0"/>
          <w:sz w:val="24"/>
          <w:szCs w:val="24"/>
          <w:highlight w:val="none"/>
          <w:lang w:val="en-US" w:eastAsia="zh-CN" w:bidi="ar"/>
        </w:rPr>
        <w:t>，不会对河床产生冲刷和淤积影响，基本不会对河流行洪及防洪产生影响，符合防洪要求。</w:t>
      </w:r>
    </w:p>
    <w:p w14:paraId="7349B4E7">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6.5.5 </w:t>
      </w:r>
      <w:r>
        <w:rPr>
          <w:rFonts w:hint="eastAsia" w:ascii="宋体" w:hAnsi="宋体" w:eastAsia="宋体" w:cs="宋体"/>
          <w:b/>
          <w:bCs/>
          <w:color w:val="000000"/>
          <w:kern w:val="0"/>
          <w:sz w:val="28"/>
          <w:szCs w:val="28"/>
          <w:highlight w:val="none"/>
          <w:lang w:val="en-US" w:eastAsia="zh-CN" w:bidi="ar"/>
        </w:rPr>
        <w:t>对周边农业用水的影响分析</w:t>
      </w:r>
    </w:p>
    <w:p w14:paraId="6266D40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本入河排污口</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尾水排放执行</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《湖南省城镇污水处理厂主要水污染物排放标准》（</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DB43/T1546-2018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）一级标准</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，对照《农田灌溉水质标准》（</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GB5084-</w:t>
      </w:r>
      <w:r>
        <w:rPr>
          <w:rFonts w:hint="eastAsia" w:cs="Times New Roman"/>
          <w:color w:val="000000" w:themeColor="text1"/>
          <w:kern w:val="0"/>
          <w:sz w:val="24"/>
          <w:szCs w:val="24"/>
          <w:highlight w:val="none"/>
          <w:u w:val="none"/>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）与不同作物灌溉用水指标对比如下。</w:t>
      </w:r>
    </w:p>
    <w:p w14:paraId="32E5E7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表6.5-2 不同作物灌溉水质与污水处理厂设计的出水水质对比表 单位：mg/L</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3"/>
        <w:gridCol w:w="1703"/>
        <w:gridCol w:w="1703"/>
        <w:gridCol w:w="1705"/>
        <w:gridCol w:w="1704"/>
      </w:tblGrid>
      <w:tr w14:paraId="1D340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703" w:type="dxa"/>
            <w:vMerge w:val="restart"/>
            <w:tcBorders>
              <w:tl2br w:val="nil"/>
              <w:tr2bl w:val="nil"/>
            </w:tcBorders>
            <w:noWrap w:val="0"/>
            <w:vAlign w:val="center"/>
          </w:tcPr>
          <w:p w14:paraId="1A7861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污染物</w:t>
            </w:r>
          </w:p>
        </w:tc>
        <w:tc>
          <w:tcPr>
            <w:tcW w:w="5111" w:type="dxa"/>
            <w:gridSpan w:val="3"/>
            <w:tcBorders>
              <w:tl2br w:val="nil"/>
              <w:tr2bl w:val="nil"/>
            </w:tcBorders>
            <w:noWrap w:val="0"/>
            <w:vAlign w:val="center"/>
          </w:tcPr>
          <w:p w14:paraId="724EF8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lang w:val="en-US" w:eastAsia="zh-CN" w:bidi="ar"/>
              </w:rPr>
              <w:t>作物种类</w:t>
            </w:r>
          </w:p>
        </w:tc>
        <w:tc>
          <w:tcPr>
            <w:tcW w:w="1704" w:type="dxa"/>
            <w:vMerge w:val="restart"/>
            <w:tcBorders>
              <w:tl2br w:val="nil"/>
              <w:tr2bl w:val="nil"/>
            </w:tcBorders>
            <w:noWrap w:val="0"/>
            <w:vAlign w:val="center"/>
          </w:tcPr>
          <w:p w14:paraId="0328BD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污水处理厂出水水质</w:t>
            </w:r>
          </w:p>
        </w:tc>
      </w:tr>
      <w:tr w14:paraId="17561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1703" w:type="dxa"/>
            <w:vMerge w:val="continue"/>
            <w:tcBorders>
              <w:tl2br w:val="nil"/>
              <w:tr2bl w:val="nil"/>
            </w:tcBorders>
            <w:noWrap w:val="0"/>
            <w:vAlign w:val="center"/>
          </w:tcPr>
          <w:p w14:paraId="65B8A9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p>
        </w:tc>
        <w:tc>
          <w:tcPr>
            <w:tcW w:w="1703" w:type="dxa"/>
            <w:tcBorders>
              <w:tl2br w:val="nil"/>
              <w:tr2bl w:val="nil"/>
            </w:tcBorders>
            <w:noWrap w:val="0"/>
            <w:vAlign w:val="center"/>
          </w:tcPr>
          <w:p w14:paraId="7C6B34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水作</w:t>
            </w:r>
          </w:p>
        </w:tc>
        <w:tc>
          <w:tcPr>
            <w:tcW w:w="1703" w:type="dxa"/>
            <w:tcBorders>
              <w:tl2br w:val="nil"/>
              <w:tr2bl w:val="nil"/>
            </w:tcBorders>
            <w:noWrap w:val="0"/>
            <w:vAlign w:val="center"/>
          </w:tcPr>
          <w:p w14:paraId="631788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旱作</w:t>
            </w:r>
          </w:p>
        </w:tc>
        <w:tc>
          <w:tcPr>
            <w:tcW w:w="1705" w:type="dxa"/>
            <w:tcBorders>
              <w:tl2br w:val="nil"/>
              <w:tr2bl w:val="nil"/>
            </w:tcBorders>
            <w:noWrap w:val="0"/>
            <w:vAlign w:val="center"/>
          </w:tcPr>
          <w:p w14:paraId="4877B9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蔬菜</w:t>
            </w:r>
          </w:p>
        </w:tc>
        <w:tc>
          <w:tcPr>
            <w:tcW w:w="1704" w:type="dxa"/>
            <w:vMerge w:val="continue"/>
            <w:tcBorders>
              <w:tl2br w:val="nil"/>
              <w:tr2bl w:val="nil"/>
            </w:tcBorders>
            <w:noWrap w:val="0"/>
            <w:vAlign w:val="center"/>
          </w:tcPr>
          <w:p w14:paraId="09169F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p>
        </w:tc>
      </w:tr>
      <w:tr w14:paraId="50B84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703" w:type="dxa"/>
            <w:tcBorders>
              <w:tl2br w:val="nil"/>
              <w:tr2bl w:val="nil"/>
            </w:tcBorders>
            <w:noWrap w:val="0"/>
            <w:vAlign w:val="center"/>
          </w:tcPr>
          <w:p w14:paraId="402C28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BOD5≤</w:t>
            </w:r>
          </w:p>
        </w:tc>
        <w:tc>
          <w:tcPr>
            <w:tcW w:w="1703" w:type="dxa"/>
            <w:tcBorders>
              <w:tl2br w:val="nil"/>
              <w:tr2bl w:val="nil"/>
            </w:tcBorders>
            <w:noWrap w:val="0"/>
            <w:vAlign w:val="center"/>
          </w:tcPr>
          <w:p w14:paraId="675ED7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60</w:t>
            </w:r>
          </w:p>
        </w:tc>
        <w:tc>
          <w:tcPr>
            <w:tcW w:w="1703" w:type="dxa"/>
            <w:tcBorders>
              <w:tl2br w:val="nil"/>
              <w:tr2bl w:val="nil"/>
            </w:tcBorders>
            <w:noWrap w:val="0"/>
            <w:vAlign w:val="center"/>
          </w:tcPr>
          <w:p w14:paraId="04B24A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100</w:t>
            </w:r>
          </w:p>
        </w:tc>
        <w:tc>
          <w:tcPr>
            <w:tcW w:w="1705" w:type="dxa"/>
            <w:tcBorders>
              <w:tl2br w:val="nil"/>
              <w:tr2bl w:val="nil"/>
            </w:tcBorders>
            <w:noWrap w:val="0"/>
            <w:vAlign w:val="center"/>
          </w:tcPr>
          <w:p w14:paraId="49E0DE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40</w:t>
            </w:r>
            <w:r>
              <w:rPr>
                <w:rFonts w:hint="default" w:ascii="Times New Roman" w:hAnsi="Times New Roman" w:eastAsia="宋体" w:cs="Times New Roman"/>
                <w:color w:val="000000"/>
                <w:kern w:val="0"/>
                <w:sz w:val="21"/>
                <w:szCs w:val="21"/>
                <w:highlight w:val="none"/>
                <w:vertAlign w:val="superscript"/>
                <w:lang w:val="en-US" w:eastAsia="zh-CN" w:bidi="ar"/>
              </w:rPr>
              <w:t>a</w:t>
            </w:r>
            <w:r>
              <w:rPr>
                <w:rFonts w:hint="default" w:ascii="Times New Roman" w:hAnsi="Times New Roman" w:eastAsia="宋体" w:cs="Times New Roman"/>
                <w:color w:val="000000"/>
                <w:kern w:val="0"/>
                <w:sz w:val="21"/>
                <w:szCs w:val="21"/>
                <w:highlight w:val="none"/>
                <w:vertAlign w:val="baseline"/>
                <w:lang w:val="en-US" w:eastAsia="zh-CN" w:bidi="ar"/>
              </w:rPr>
              <w:t>,15</w:t>
            </w:r>
            <w:r>
              <w:rPr>
                <w:rFonts w:hint="default" w:ascii="Times New Roman" w:hAnsi="Times New Roman" w:eastAsia="宋体" w:cs="Times New Roman"/>
                <w:color w:val="000000"/>
                <w:kern w:val="0"/>
                <w:sz w:val="21"/>
                <w:szCs w:val="21"/>
                <w:highlight w:val="none"/>
                <w:vertAlign w:val="superscript"/>
                <w:lang w:val="en-US" w:eastAsia="zh-CN" w:bidi="ar"/>
              </w:rPr>
              <w:t>b</w:t>
            </w:r>
          </w:p>
        </w:tc>
        <w:tc>
          <w:tcPr>
            <w:tcW w:w="1704" w:type="dxa"/>
            <w:tcBorders>
              <w:tl2br w:val="nil"/>
              <w:tr2bl w:val="nil"/>
            </w:tcBorders>
            <w:noWrap w:val="0"/>
            <w:vAlign w:val="center"/>
          </w:tcPr>
          <w:p w14:paraId="44F5D7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10</w:t>
            </w:r>
          </w:p>
        </w:tc>
      </w:tr>
      <w:tr w14:paraId="1F5FC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703" w:type="dxa"/>
            <w:tcBorders>
              <w:tl2br w:val="nil"/>
              <w:tr2bl w:val="nil"/>
            </w:tcBorders>
            <w:noWrap w:val="0"/>
            <w:vAlign w:val="center"/>
          </w:tcPr>
          <w:p w14:paraId="6BE4DE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CODcr≤</w:t>
            </w:r>
          </w:p>
        </w:tc>
        <w:tc>
          <w:tcPr>
            <w:tcW w:w="1703" w:type="dxa"/>
            <w:tcBorders>
              <w:tl2br w:val="nil"/>
              <w:tr2bl w:val="nil"/>
            </w:tcBorders>
            <w:noWrap w:val="0"/>
            <w:vAlign w:val="center"/>
          </w:tcPr>
          <w:p w14:paraId="23BEDB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150</w:t>
            </w:r>
          </w:p>
        </w:tc>
        <w:tc>
          <w:tcPr>
            <w:tcW w:w="1703" w:type="dxa"/>
            <w:tcBorders>
              <w:tl2br w:val="nil"/>
              <w:tr2bl w:val="nil"/>
            </w:tcBorders>
            <w:noWrap w:val="0"/>
            <w:vAlign w:val="center"/>
          </w:tcPr>
          <w:p w14:paraId="2FF87D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200</w:t>
            </w:r>
          </w:p>
        </w:tc>
        <w:tc>
          <w:tcPr>
            <w:tcW w:w="1705" w:type="dxa"/>
            <w:tcBorders>
              <w:tl2br w:val="nil"/>
              <w:tr2bl w:val="nil"/>
            </w:tcBorders>
            <w:noWrap w:val="0"/>
            <w:vAlign w:val="center"/>
          </w:tcPr>
          <w:p w14:paraId="597572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100</w:t>
            </w:r>
            <w:r>
              <w:rPr>
                <w:rFonts w:hint="default" w:ascii="Times New Roman" w:hAnsi="Times New Roman" w:eastAsia="宋体" w:cs="Times New Roman"/>
                <w:color w:val="000000"/>
                <w:kern w:val="0"/>
                <w:sz w:val="21"/>
                <w:szCs w:val="21"/>
                <w:highlight w:val="none"/>
                <w:vertAlign w:val="superscript"/>
                <w:lang w:val="en-US" w:eastAsia="zh-CN" w:bidi="ar"/>
              </w:rPr>
              <w:t>a</w:t>
            </w:r>
            <w:r>
              <w:rPr>
                <w:rFonts w:hint="default" w:ascii="Times New Roman" w:hAnsi="Times New Roman" w:eastAsia="宋体" w:cs="Times New Roman"/>
                <w:color w:val="000000"/>
                <w:kern w:val="0"/>
                <w:sz w:val="21"/>
                <w:szCs w:val="21"/>
                <w:highlight w:val="none"/>
                <w:vertAlign w:val="baseline"/>
                <w:lang w:val="en-US" w:eastAsia="zh-CN" w:bidi="ar"/>
              </w:rPr>
              <w:t>,60</w:t>
            </w:r>
            <w:r>
              <w:rPr>
                <w:rFonts w:hint="default" w:ascii="Times New Roman" w:hAnsi="Times New Roman" w:eastAsia="宋体" w:cs="Times New Roman"/>
                <w:color w:val="000000"/>
                <w:kern w:val="0"/>
                <w:sz w:val="21"/>
                <w:szCs w:val="21"/>
                <w:highlight w:val="none"/>
                <w:vertAlign w:val="superscript"/>
                <w:lang w:val="en-US" w:eastAsia="zh-CN" w:bidi="ar"/>
              </w:rPr>
              <w:t>b</w:t>
            </w:r>
          </w:p>
        </w:tc>
        <w:tc>
          <w:tcPr>
            <w:tcW w:w="1704" w:type="dxa"/>
            <w:tcBorders>
              <w:tl2br w:val="nil"/>
              <w:tr2bl w:val="nil"/>
            </w:tcBorders>
            <w:noWrap w:val="0"/>
            <w:vAlign w:val="center"/>
          </w:tcPr>
          <w:p w14:paraId="6BC44EE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30</w:t>
            </w:r>
          </w:p>
        </w:tc>
      </w:tr>
      <w:tr w14:paraId="54EE4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1703" w:type="dxa"/>
            <w:tcBorders>
              <w:tl2br w:val="nil"/>
              <w:tr2bl w:val="nil"/>
            </w:tcBorders>
            <w:noWrap w:val="0"/>
            <w:vAlign w:val="center"/>
          </w:tcPr>
          <w:p w14:paraId="370BAC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SS≤</w:t>
            </w:r>
          </w:p>
        </w:tc>
        <w:tc>
          <w:tcPr>
            <w:tcW w:w="1703" w:type="dxa"/>
            <w:tcBorders>
              <w:tl2br w:val="nil"/>
              <w:tr2bl w:val="nil"/>
            </w:tcBorders>
            <w:noWrap w:val="0"/>
            <w:vAlign w:val="center"/>
          </w:tcPr>
          <w:p w14:paraId="3F9D76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80</w:t>
            </w:r>
          </w:p>
        </w:tc>
        <w:tc>
          <w:tcPr>
            <w:tcW w:w="1703" w:type="dxa"/>
            <w:tcBorders>
              <w:tl2br w:val="nil"/>
              <w:tr2bl w:val="nil"/>
            </w:tcBorders>
            <w:noWrap w:val="0"/>
            <w:vAlign w:val="center"/>
          </w:tcPr>
          <w:p w14:paraId="68BA5D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100</w:t>
            </w:r>
          </w:p>
        </w:tc>
        <w:tc>
          <w:tcPr>
            <w:tcW w:w="1705" w:type="dxa"/>
            <w:tcBorders>
              <w:tl2br w:val="nil"/>
              <w:tr2bl w:val="nil"/>
            </w:tcBorders>
            <w:noWrap w:val="0"/>
            <w:vAlign w:val="center"/>
          </w:tcPr>
          <w:p w14:paraId="3BB9A2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60</w:t>
            </w:r>
            <w:r>
              <w:rPr>
                <w:rFonts w:hint="default" w:ascii="Times New Roman" w:hAnsi="Times New Roman" w:eastAsia="宋体" w:cs="Times New Roman"/>
                <w:color w:val="000000"/>
                <w:kern w:val="0"/>
                <w:sz w:val="21"/>
                <w:szCs w:val="21"/>
                <w:highlight w:val="none"/>
                <w:vertAlign w:val="superscript"/>
                <w:lang w:val="en-US" w:eastAsia="zh-CN" w:bidi="ar"/>
              </w:rPr>
              <w:t>a</w:t>
            </w:r>
            <w:r>
              <w:rPr>
                <w:rFonts w:hint="default" w:ascii="Times New Roman" w:hAnsi="Times New Roman" w:eastAsia="宋体" w:cs="Times New Roman"/>
                <w:color w:val="000000"/>
                <w:kern w:val="0"/>
                <w:sz w:val="21"/>
                <w:szCs w:val="21"/>
                <w:highlight w:val="none"/>
                <w:vertAlign w:val="baseline"/>
                <w:lang w:val="en-US" w:eastAsia="zh-CN" w:bidi="ar"/>
              </w:rPr>
              <w:t>,15</w:t>
            </w:r>
            <w:r>
              <w:rPr>
                <w:rFonts w:hint="default" w:ascii="Times New Roman" w:hAnsi="Times New Roman" w:eastAsia="宋体" w:cs="Times New Roman"/>
                <w:color w:val="000000"/>
                <w:kern w:val="0"/>
                <w:sz w:val="21"/>
                <w:szCs w:val="21"/>
                <w:highlight w:val="none"/>
                <w:vertAlign w:val="superscript"/>
                <w:lang w:val="en-US" w:eastAsia="zh-CN" w:bidi="ar"/>
              </w:rPr>
              <w:t>b</w:t>
            </w:r>
          </w:p>
        </w:tc>
        <w:tc>
          <w:tcPr>
            <w:tcW w:w="1704" w:type="dxa"/>
            <w:tcBorders>
              <w:tl2br w:val="nil"/>
              <w:tr2bl w:val="nil"/>
            </w:tcBorders>
            <w:noWrap w:val="0"/>
            <w:vAlign w:val="center"/>
          </w:tcPr>
          <w:p w14:paraId="422202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vertAlign w:val="baseline"/>
                <w:lang w:val="en-US" w:eastAsia="zh-CN" w:bidi="ar"/>
              </w:rPr>
              <w:t>10</w:t>
            </w:r>
          </w:p>
        </w:tc>
      </w:tr>
      <w:tr w14:paraId="734A0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8518" w:type="dxa"/>
            <w:gridSpan w:val="5"/>
            <w:tcBorders>
              <w:tl2br w:val="nil"/>
              <w:tr2bl w:val="nil"/>
            </w:tcBorders>
            <w:noWrap w:val="0"/>
            <w:vAlign w:val="center"/>
          </w:tcPr>
          <w:p w14:paraId="17C4C3E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a加工、烹调及去皮蔬菜。</w:t>
            </w:r>
          </w:p>
          <w:p w14:paraId="138189D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kern w:val="0"/>
                <w:sz w:val="21"/>
                <w:szCs w:val="21"/>
                <w:highlight w:val="none"/>
                <w:vertAlign w:val="baseline"/>
                <w:lang w:val="en-US" w:eastAsia="zh-CN" w:bidi="ar"/>
              </w:rPr>
            </w:pPr>
            <w:r>
              <w:rPr>
                <w:rFonts w:hint="default" w:ascii="Times New Roman" w:hAnsi="Times New Roman" w:eastAsia="宋体" w:cs="Times New Roman"/>
                <w:color w:val="000000"/>
                <w:kern w:val="0"/>
                <w:sz w:val="21"/>
                <w:szCs w:val="21"/>
                <w:highlight w:val="none"/>
                <w:lang w:val="en-US" w:eastAsia="zh-CN" w:bidi="ar"/>
              </w:rPr>
              <w:t>b生食类果蔬、瓜类和草本水果。</w:t>
            </w:r>
          </w:p>
        </w:tc>
      </w:tr>
    </w:tbl>
    <w:p w14:paraId="62542E1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color w:val="000000" w:themeColor="text1"/>
          <w:highlight w:val="none"/>
          <w:u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因此，</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本入河排污口</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正常工况下尾水的</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水质能够满足《农田灌溉水质标准》（</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GB5084-</w:t>
      </w:r>
      <w:r>
        <w:rPr>
          <w:rFonts w:hint="eastAsia" w:cs="Times New Roman"/>
          <w:color w:val="000000" w:themeColor="text1"/>
          <w:kern w:val="0"/>
          <w:sz w:val="24"/>
          <w:szCs w:val="24"/>
          <w:highlight w:val="none"/>
          <w:u w:val="none"/>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）标准，不会对周边农业用水产生不利影响。</w:t>
      </w:r>
    </w:p>
    <w:p w14:paraId="6FAE3BA7">
      <w:pPr>
        <w:pStyle w:val="3"/>
        <w:rPr>
          <w:rFonts w:hint="default"/>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33AC200F">
      <w:pPr>
        <w:pStyle w:val="5"/>
        <w:numPr>
          <w:ilvl w:val="0"/>
          <w:numId w:val="0"/>
        </w:numPr>
        <w:bidi w:val="0"/>
        <w:ind w:leftChars="0"/>
        <w:jc w:val="center"/>
        <w:outlineLvl w:val="0"/>
        <w:rPr>
          <w:rStyle w:val="35"/>
          <w:rFonts w:hint="eastAsia" w:ascii="Times New Roman" w:hAnsi="Times New Roman" w:eastAsia="宋体" w:cs="Times New Roman"/>
          <w:b/>
          <w:highlight w:val="none"/>
          <w:lang w:val="en-US" w:eastAsia="zh-CN"/>
        </w:rPr>
      </w:pPr>
      <w:bookmarkStart w:id="98" w:name="_Toc30760"/>
      <w:r>
        <w:rPr>
          <w:rStyle w:val="35"/>
          <w:rFonts w:hint="eastAsia" w:ascii="Times New Roman" w:hAnsi="Times New Roman" w:eastAsia="宋体" w:cs="Times New Roman"/>
          <w:b/>
          <w:highlight w:val="none"/>
          <w:lang w:val="en-US" w:eastAsia="zh-CN"/>
        </w:rPr>
        <w:t xml:space="preserve">第七章 </w:t>
      </w:r>
      <w:r>
        <w:rPr>
          <w:rStyle w:val="35"/>
          <w:rFonts w:hint="eastAsia" w:cs="Times New Roman"/>
          <w:b/>
          <w:highlight w:val="none"/>
          <w:lang w:val="en-US" w:eastAsia="zh-CN"/>
        </w:rPr>
        <w:t xml:space="preserve"> </w:t>
      </w:r>
      <w:r>
        <w:rPr>
          <w:rStyle w:val="35"/>
          <w:rFonts w:hint="eastAsia" w:ascii="Times New Roman" w:hAnsi="Times New Roman" w:eastAsia="宋体" w:cs="Times New Roman"/>
          <w:b/>
          <w:highlight w:val="none"/>
          <w:lang w:val="en-US" w:eastAsia="zh-CN"/>
        </w:rPr>
        <w:t>水环境保护措施</w:t>
      </w:r>
      <w:bookmarkEnd w:id="98"/>
    </w:p>
    <w:p w14:paraId="3B41247C">
      <w:pPr>
        <w:pStyle w:val="5"/>
        <w:numPr>
          <w:ilvl w:val="0"/>
          <w:numId w:val="0"/>
        </w:numPr>
        <w:bidi w:val="0"/>
        <w:ind w:left="0" w:leftChars="0" w:firstLine="0" w:firstLineChars="0"/>
        <w:rPr>
          <w:rFonts w:hint="default"/>
          <w:sz w:val="30"/>
          <w:szCs w:val="30"/>
          <w:highlight w:val="none"/>
          <w:lang w:val="en-US" w:eastAsia="zh-CN"/>
        </w:rPr>
      </w:pPr>
      <w:bookmarkStart w:id="99" w:name="_Toc7261"/>
      <w:r>
        <w:rPr>
          <w:rFonts w:hint="default"/>
          <w:sz w:val="30"/>
          <w:szCs w:val="30"/>
          <w:highlight w:val="none"/>
          <w:lang w:val="en-US" w:eastAsia="zh-CN"/>
        </w:rPr>
        <w:t>7.</w:t>
      </w:r>
      <w:r>
        <w:rPr>
          <w:rFonts w:hint="eastAsia"/>
          <w:sz w:val="30"/>
          <w:szCs w:val="30"/>
          <w:highlight w:val="none"/>
          <w:lang w:val="en-US" w:eastAsia="zh-CN"/>
        </w:rPr>
        <w:t>1</w:t>
      </w:r>
      <w:r>
        <w:rPr>
          <w:rFonts w:hint="default"/>
          <w:sz w:val="30"/>
          <w:szCs w:val="30"/>
          <w:highlight w:val="none"/>
          <w:lang w:val="en-US" w:eastAsia="zh-CN"/>
        </w:rPr>
        <w:t xml:space="preserve"> 水生态保护措施</w:t>
      </w:r>
      <w:bookmarkEnd w:id="99"/>
    </w:p>
    <w:p w14:paraId="000AE75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南岳区污水处理厂</w:t>
      </w:r>
      <w:r>
        <w:rPr>
          <w:rFonts w:hint="eastAsia" w:cs="Times New Roman"/>
          <w:color w:val="000000"/>
          <w:kern w:val="0"/>
          <w:sz w:val="24"/>
          <w:szCs w:val="24"/>
          <w:highlight w:val="none"/>
          <w:lang w:val="en-US" w:eastAsia="zh-CN" w:bidi="ar"/>
        </w:rPr>
        <w:t>污水处理</w:t>
      </w:r>
      <w:r>
        <w:rPr>
          <w:rFonts w:hint="default" w:ascii="Times New Roman" w:hAnsi="Times New Roman" w:eastAsia="宋体" w:cs="Times New Roman"/>
          <w:color w:val="000000"/>
          <w:kern w:val="0"/>
          <w:sz w:val="24"/>
          <w:szCs w:val="24"/>
          <w:highlight w:val="none"/>
          <w:lang w:val="en-US" w:eastAsia="zh-CN" w:bidi="ar"/>
        </w:rPr>
        <w:t>工艺均遵循合理、可行、高效的原则进行选择，</w:t>
      </w:r>
      <w:r>
        <w:rPr>
          <w:rFonts w:hint="eastAsia" w:cs="Times New Roman"/>
          <w:color w:val="000000"/>
          <w:kern w:val="0"/>
          <w:sz w:val="24"/>
          <w:szCs w:val="24"/>
          <w:highlight w:val="none"/>
          <w:lang w:val="en-US" w:eastAsia="zh-CN" w:bidi="ar"/>
        </w:rPr>
        <w:t>尾水排放执行</w:t>
      </w:r>
      <w:r>
        <w:rPr>
          <w:rFonts w:hint="default" w:ascii="Times New Roman" w:hAnsi="Times New Roman" w:eastAsia="宋体" w:cs="Times New Roman"/>
          <w:color w:val="000000"/>
          <w:kern w:val="0"/>
          <w:sz w:val="24"/>
          <w:szCs w:val="24"/>
          <w:highlight w:val="none"/>
          <w:lang w:val="en-US" w:eastAsia="zh-CN" w:bidi="ar"/>
        </w:rPr>
        <w:t>《湖南省城镇污水处理厂主要水污染物排放标准》(DB43/T 1546-2018)一级标准，对纳污</w:t>
      </w:r>
      <w:r>
        <w:rPr>
          <w:rFonts w:hint="eastAsia" w:cs="Times New Roman"/>
          <w:color w:val="000000"/>
          <w:kern w:val="0"/>
          <w:sz w:val="24"/>
          <w:szCs w:val="24"/>
          <w:highlight w:val="none"/>
          <w:lang w:val="en-US" w:eastAsia="zh-CN" w:bidi="ar"/>
        </w:rPr>
        <w:t>水体</w:t>
      </w:r>
      <w:r>
        <w:rPr>
          <w:rFonts w:hint="default" w:ascii="Times New Roman" w:hAnsi="Times New Roman" w:eastAsia="宋体" w:cs="Times New Roman"/>
          <w:color w:val="000000"/>
          <w:kern w:val="0"/>
          <w:sz w:val="24"/>
          <w:szCs w:val="24"/>
          <w:highlight w:val="none"/>
          <w:lang w:val="en-US" w:eastAsia="zh-CN" w:bidi="ar"/>
        </w:rPr>
        <w:t>龙荫港有削减入河污染物</w:t>
      </w:r>
      <w:r>
        <w:rPr>
          <w:rFonts w:hint="eastAsia" w:ascii="Times New Roman" w:hAnsi="Times New Roman" w:eastAsia="宋体" w:cs="Times New Roman"/>
          <w:color w:val="000000"/>
          <w:kern w:val="0"/>
          <w:sz w:val="24"/>
          <w:szCs w:val="24"/>
          <w:highlight w:val="none"/>
          <w:lang w:val="en-US" w:eastAsia="zh-CN" w:bidi="ar"/>
        </w:rPr>
        <w:t>的</w:t>
      </w:r>
      <w:r>
        <w:rPr>
          <w:rFonts w:hint="default" w:ascii="Times New Roman" w:hAnsi="Times New Roman" w:eastAsia="宋体" w:cs="Times New Roman"/>
          <w:color w:val="000000"/>
          <w:kern w:val="0"/>
          <w:sz w:val="24"/>
          <w:szCs w:val="24"/>
          <w:highlight w:val="none"/>
          <w:lang w:val="en-US" w:eastAsia="zh-CN" w:bidi="ar"/>
        </w:rPr>
        <w:t>关键性作用。</w:t>
      </w:r>
    </w:p>
    <w:p w14:paraId="41BB045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根据水功能区水质影响分析，</w:t>
      </w:r>
      <w:r>
        <w:rPr>
          <w:rFonts w:hint="eastAsia" w:cs="Times New Roman"/>
          <w:color w:val="000000"/>
          <w:kern w:val="0"/>
          <w:sz w:val="24"/>
          <w:szCs w:val="24"/>
          <w:highlight w:val="none"/>
          <w:lang w:val="en-US" w:eastAsia="zh-CN" w:bidi="ar"/>
        </w:rPr>
        <w:t>正常工况</w:t>
      </w:r>
      <w:r>
        <w:rPr>
          <w:rFonts w:hint="default" w:ascii="Times New Roman" w:hAnsi="Times New Roman" w:eastAsia="宋体" w:cs="Times New Roman"/>
          <w:color w:val="000000"/>
          <w:kern w:val="0"/>
          <w:sz w:val="24"/>
          <w:szCs w:val="24"/>
          <w:highlight w:val="none"/>
          <w:lang w:val="en-US" w:eastAsia="zh-CN" w:bidi="ar"/>
        </w:rPr>
        <w:t>下，</w:t>
      </w:r>
      <w:r>
        <w:rPr>
          <w:rFonts w:hint="eastAsia" w:cs="Times New Roman"/>
          <w:color w:val="000000"/>
          <w:kern w:val="0"/>
          <w:sz w:val="24"/>
          <w:szCs w:val="24"/>
          <w:highlight w:val="none"/>
          <w:lang w:val="en-US" w:eastAsia="zh-CN" w:bidi="ar"/>
        </w:rPr>
        <w:t>入河</w:t>
      </w:r>
      <w:r>
        <w:rPr>
          <w:rFonts w:hint="default" w:ascii="Times New Roman" w:hAnsi="Times New Roman" w:eastAsia="宋体" w:cs="Times New Roman"/>
          <w:color w:val="000000"/>
          <w:kern w:val="0"/>
          <w:sz w:val="24"/>
          <w:szCs w:val="24"/>
          <w:highlight w:val="none"/>
          <w:lang w:val="en-US" w:eastAsia="zh-CN" w:bidi="ar"/>
        </w:rPr>
        <w:t>污染物浓度增量小，且排污口影响范围有限，不会对论证范围内龙荫港水质和水生生态产生明显不利影响。但若</w:t>
      </w:r>
      <w:r>
        <w:rPr>
          <w:rFonts w:hint="eastAsia" w:cs="Times New Roman"/>
          <w:color w:val="000000"/>
          <w:kern w:val="0"/>
          <w:sz w:val="24"/>
          <w:szCs w:val="24"/>
          <w:highlight w:val="none"/>
          <w:lang w:val="en-US" w:eastAsia="zh-CN" w:bidi="ar"/>
        </w:rPr>
        <w:t>尾水事故排放，则会</w:t>
      </w:r>
      <w:r>
        <w:rPr>
          <w:rFonts w:hint="default" w:ascii="Times New Roman" w:hAnsi="Times New Roman" w:eastAsia="宋体" w:cs="Times New Roman"/>
          <w:color w:val="000000"/>
          <w:kern w:val="0"/>
          <w:sz w:val="24"/>
          <w:szCs w:val="24"/>
          <w:highlight w:val="none"/>
          <w:lang w:val="en-US" w:eastAsia="zh-CN" w:bidi="ar"/>
        </w:rPr>
        <w:t>纳污水</w:t>
      </w:r>
      <w:r>
        <w:rPr>
          <w:rFonts w:hint="eastAsia" w:cs="Times New Roman"/>
          <w:color w:val="000000"/>
          <w:kern w:val="0"/>
          <w:sz w:val="24"/>
          <w:szCs w:val="24"/>
          <w:highlight w:val="none"/>
          <w:lang w:val="en-US" w:eastAsia="zh-CN" w:bidi="ar"/>
        </w:rPr>
        <w:t>体</w:t>
      </w:r>
      <w:r>
        <w:rPr>
          <w:rFonts w:hint="default" w:ascii="Times New Roman" w:hAnsi="Times New Roman" w:eastAsia="宋体" w:cs="Times New Roman"/>
          <w:color w:val="000000"/>
          <w:kern w:val="0"/>
          <w:sz w:val="24"/>
          <w:szCs w:val="24"/>
          <w:highlight w:val="none"/>
          <w:lang w:val="en-US" w:eastAsia="zh-CN" w:bidi="ar"/>
        </w:rPr>
        <w:t>龙荫港</w:t>
      </w:r>
      <w:r>
        <w:rPr>
          <w:rFonts w:hint="eastAsia" w:cs="Times New Roman"/>
          <w:color w:val="000000"/>
          <w:kern w:val="0"/>
          <w:sz w:val="24"/>
          <w:szCs w:val="24"/>
          <w:highlight w:val="none"/>
          <w:lang w:val="en-US" w:eastAsia="zh-CN" w:bidi="ar"/>
        </w:rPr>
        <w:t>水质</w:t>
      </w:r>
      <w:r>
        <w:rPr>
          <w:rFonts w:hint="default" w:ascii="Times New Roman" w:hAnsi="Times New Roman" w:eastAsia="宋体" w:cs="Times New Roman"/>
          <w:color w:val="000000"/>
          <w:kern w:val="0"/>
          <w:sz w:val="24"/>
          <w:szCs w:val="24"/>
          <w:highlight w:val="none"/>
          <w:lang w:val="en-US" w:eastAsia="zh-CN" w:bidi="ar"/>
        </w:rPr>
        <w:t>会带来一定程度的污染影响。因此，应加强南岳区污水处理厂</w:t>
      </w:r>
      <w:r>
        <w:rPr>
          <w:rFonts w:hint="eastAsia" w:cs="Times New Roman"/>
          <w:color w:val="000000"/>
          <w:kern w:val="0"/>
          <w:sz w:val="24"/>
          <w:szCs w:val="24"/>
          <w:highlight w:val="none"/>
          <w:lang w:val="en-US" w:eastAsia="zh-CN" w:bidi="ar"/>
        </w:rPr>
        <w:t>和入河排污口</w:t>
      </w:r>
      <w:r>
        <w:rPr>
          <w:rFonts w:hint="default" w:ascii="Times New Roman" w:hAnsi="Times New Roman" w:eastAsia="宋体" w:cs="Times New Roman"/>
          <w:color w:val="000000"/>
          <w:kern w:val="0"/>
          <w:sz w:val="24"/>
          <w:szCs w:val="24"/>
          <w:highlight w:val="none"/>
          <w:lang w:val="en-US" w:eastAsia="zh-CN" w:bidi="ar"/>
        </w:rPr>
        <w:t>的运营维护，杜绝尾水</w:t>
      </w:r>
      <w:r>
        <w:rPr>
          <w:rFonts w:hint="eastAsia" w:cs="Times New Roman"/>
          <w:color w:val="000000"/>
          <w:kern w:val="0"/>
          <w:sz w:val="24"/>
          <w:szCs w:val="24"/>
          <w:highlight w:val="none"/>
          <w:lang w:val="en-US" w:eastAsia="zh-CN" w:bidi="ar"/>
        </w:rPr>
        <w:t>事故排放</w:t>
      </w:r>
      <w:r>
        <w:rPr>
          <w:rFonts w:hint="default" w:ascii="Times New Roman" w:hAnsi="Times New Roman" w:eastAsia="宋体" w:cs="Times New Roman"/>
          <w:color w:val="000000"/>
          <w:kern w:val="0"/>
          <w:sz w:val="24"/>
          <w:szCs w:val="24"/>
          <w:highlight w:val="none"/>
          <w:lang w:val="en-US" w:eastAsia="zh-CN" w:bidi="ar"/>
        </w:rPr>
        <w:t>。</w:t>
      </w:r>
    </w:p>
    <w:p w14:paraId="516B60F7">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7.1.1 </w:t>
      </w:r>
      <w:r>
        <w:rPr>
          <w:rFonts w:hint="eastAsia" w:ascii="宋体" w:hAnsi="宋体" w:eastAsia="宋体" w:cs="宋体"/>
          <w:b/>
          <w:bCs/>
          <w:color w:val="000000"/>
          <w:kern w:val="0"/>
          <w:sz w:val="28"/>
          <w:szCs w:val="28"/>
          <w:highlight w:val="none"/>
          <w:lang w:val="en-US" w:eastAsia="zh-CN" w:bidi="ar"/>
        </w:rPr>
        <w:t>加强入河排污口的监督管理</w:t>
      </w:r>
    </w:p>
    <w:p w14:paraId="59DBFB1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在入河排污口运营过程中，管理单位应建立完整的管理体系。主要</w:t>
      </w:r>
      <w:r>
        <w:rPr>
          <w:rFonts w:hint="eastAsia" w:ascii="宋体" w:hAnsi="宋体" w:cs="宋体"/>
          <w:color w:val="000000"/>
          <w:kern w:val="0"/>
          <w:sz w:val="24"/>
          <w:szCs w:val="24"/>
          <w:highlight w:val="none"/>
          <w:lang w:val="en-US" w:eastAsia="zh-CN" w:bidi="ar"/>
        </w:rPr>
        <w:t>要求</w:t>
      </w:r>
      <w:r>
        <w:rPr>
          <w:rFonts w:hint="eastAsia" w:ascii="宋体" w:hAnsi="宋体" w:eastAsia="宋体" w:cs="宋体"/>
          <w:color w:val="000000"/>
          <w:kern w:val="0"/>
          <w:sz w:val="24"/>
          <w:szCs w:val="24"/>
          <w:highlight w:val="none"/>
          <w:lang w:val="en-US" w:eastAsia="zh-CN" w:bidi="ar"/>
        </w:rPr>
        <w:t>如下：</w:t>
      </w:r>
    </w:p>
    <w:p w14:paraId="2ABE3E4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入河排污口设置单位应设立标识牌，并在接入废污水口和排污口处设置监测井或取样点；安装监测入河排污口所排放的废污水量、主要污染物</w:t>
      </w:r>
      <w:r>
        <w:rPr>
          <w:rFonts w:hint="eastAsia" w:ascii="宋体" w:hAnsi="宋体" w:cs="宋体"/>
          <w:color w:val="000000"/>
          <w:kern w:val="0"/>
          <w:sz w:val="24"/>
          <w:szCs w:val="24"/>
          <w:highlight w:val="none"/>
          <w:lang w:val="en-US" w:eastAsia="zh-CN" w:bidi="ar"/>
        </w:rPr>
        <w:t>浓度</w:t>
      </w:r>
      <w:r>
        <w:rPr>
          <w:rFonts w:hint="eastAsia" w:ascii="宋体" w:hAnsi="宋体" w:eastAsia="宋体" w:cs="宋体"/>
          <w:color w:val="000000"/>
          <w:kern w:val="0"/>
          <w:sz w:val="24"/>
          <w:szCs w:val="24"/>
          <w:highlight w:val="none"/>
          <w:lang w:val="en-US" w:eastAsia="zh-CN" w:bidi="ar"/>
        </w:rPr>
        <w:t>的自动监测设备，与</w:t>
      </w:r>
      <w:r>
        <w:rPr>
          <w:rFonts w:hint="eastAsia" w:ascii="宋体" w:hAnsi="宋体" w:cs="宋体"/>
          <w:color w:val="000000"/>
          <w:kern w:val="0"/>
          <w:sz w:val="24"/>
          <w:szCs w:val="24"/>
          <w:highlight w:val="none"/>
          <w:lang w:val="en-US" w:eastAsia="zh-CN" w:bidi="ar"/>
        </w:rPr>
        <w:t>相关</w:t>
      </w:r>
      <w:r>
        <w:rPr>
          <w:rFonts w:hint="eastAsia" w:ascii="宋体" w:hAnsi="宋体" w:eastAsia="宋体" w:cs="宋体"/>
          <w:color w:val="000000"/>
          <w:kern w:val="0"/>
          <w:sz w:val="24"/>
          <w:szCs w:val="24"/>
          <w:highlight w:val="none"/>
          <w:lang w:val="en-US" w:eastAsia="zh-CN" w:bidi="ar"/>
        </w:rPr>
        <w:t>行政主管部门的水资源管理信息平台联网，并采取切实有效的措施，保证监测设备正常运行;将排污口基本情况和排放的主要污染物</w:t>
      </w:r>
      <w:r>
        <w:rPr>
          <w:rFonts w:hint="eastAsia" w:ascii="宋体" w:hAnsi="宋体" w:cs="宋体"/>
          <w:color w:val="000000"/>
          <w:kern w:val="0"/>
          <w:sz w:val="24"/>
          <w:szCs w:val="24"/>
          <w:highlight w:val="none"/>
          <w:lang w:val="en-US" w:eastAsia="zh-CN" w:bidi="ar"/>
        </w:rPr>
        <w:t>浓度</w:t>
      </w:r>
      <w:r>
        <w:rPr>
          <w:rFonts w:hint="eastAsia" w:ascii="宋体" w:hAnsi="宋体" w:eastAsia="宋体" w:cs="宋体"/>
          <w:color w:val="000000"/>
          <w:kern w:val="0"/>
          <w:sz w:val="24"/>
          <w:szCs w:val="24"/>
          <w:highlight w:val="none"/>
          <w:lang w:val="en-US" w:eastAsia="zh-CN" w:bidi="ar"/>
        </w:rPr>
        <w:t>、入河排污口位置图以及定期报表资料进行归档，建立入河排污口档案。</w:t>
      </w:r>
    </w:p>
    <w:p w14:paraId="4550042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为防止</w:t>
      </w:r>
      <w:r>
        <w:rPr>
          <w:rFonts w:hint="default" w:ascii="Times New Roman" w:hAnsi="Times New Roman" w:eastAsia="宋体" w:cs="Times New Roman"/>
          <w:color w:val="000000"/>
          <w:kern w:val="0"/>
          <w:sz w:val="24"/>
          <w:szCs w:val="24"/>
          <w:highlight w:val="none"/>
          <w:lang w:val="en-US" w:eastAsia="zh-CN" w:bidi="ar"/>
        </w:rPr>
        <w:t>南岳区污水处理厂</w:t>
      </w:r>
      <w:r>
        <w:rPr>
          <w:rFonts w:hint="eastAsia" w:ascii="宋体" w:hAnsi="宋体" w:eastAsia="宋体" w:cs="宋体"/>
          <w:color w:val="000000"/>
          <w:kern w:val="0"/>
          <w:sz w:val="24"/>
          <w:szCs w:val="24"/>
          <w:highlight w:val="none"/>
          <w:lang w:val="en-US" w:eastAsia="zh-CN" w:bidi="ar"/>
        </w:rPr>
        <w:t>尾水排放过程中出现渗漏污染地下水，</w:t>
      </w:r>
      <w:r>
        <w:rPr>
          <w:rFonts w:hint="eastAsia" w:cs="Times New Roman"/>
          <w:color w:val="000000"/>
          <w:kern w:val="0"/>
          <w:sz w:val="24"/>
          <w:szCs w:val="24"/>
          <w:highlight w:val="none"/>
          <w:lang w:val="en-US" w:eastAsia="zh-CN" w:bidi="ar"/>
        </w:rPr>
        <w:t>厂区</w:t>
      </w:r>
      <w:r>
        <w:rPr>
          <w:rFonts w:hint="eastAsia" w:ascii="宋体" w:hAnsi="宋体" w:eastAsia="宋体" w:cs="宋体"/>
          <w:color w:val="000000"/>
          <w:kern w:val="0"/>
          <w:sz w:val="24"/>
          <w:szCs w:val="24"/>
          <w:highlight w:val="none"/>
          <w:lang w:val="en-US" w:eastAsia="zh-CN" w:bidi="ar"/>
        </w:rPr>
        <w:t>应做好防渗措施及地面硬化，且管道应选用符合要求的规格材质。不得故意超标排放污水与闲置污水处理设施。</w:t>
      </w:r>
    </w:p>
    <w:p w14:paraId="003596C7">
      <w:pPr>
        <w:keepNext w:val="0"/>
        <w:keepLines w:val="0"/>
        <w:widowControl/>
        <w:suppressLineNumbers w:val="0"/>
        <w:jc w:val="left"/>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 xml:space="preserve">7.1.2 </w:t>
      </w:r>
      <w:r>
        <w:rPr>
          <w:rFonts w:hint="eastAsia" w:ascii="Times New Roman" w:hAnsi="Times New Roman" w:eastAsia="宋体" w:cs="Times New Roman"/>
          <w:b/>
          <w:bCs/>
          <w:color w:val="000000"/>
          <w:kern w:val="0"/>
          <w:sz w:val="28"/>
          <w:szCs w:val="28"/>
          <w:highlight w:val="none"/>
          <w:lang w:val="en-US" w:eastAsia="zh-CN" w:bidi="ar"/>
        </w:rPr>
        <w:t>加强工程运行管理</w:t>
      </w:r>
    </w:p>
    <w:p w14:paraId="5798297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保证</w:t>
      </w:r>
      <w:r>
        <w:rPr>
          <w:rFonts w:hint="eastAsia" w:ascii="宋体" w:hAnsi="宋体" w:cs="宋体"/>
          <w:color w:val="000000"/>
          <w:kern w:val="0"/>
          <w:sz w:val="24"/>
          <w:szCs w:val="24"/>
          <w:highlight w:val="none"/>
          <w:lang w:val="en-US" w:eastAsia="zh-CN" w:bidi="ar"/>
        </w:rPr>
        <w:t>厂区</w:t>
      </w:r>
      <w:r>
        <w:rPr>
          <w:rFonts w:hint="eastAsia" w:ascii="宋体" w:hAnsi="宋体" w:eastAsia="宋体" w:cs="宋体"/>
          <w:color w:val="000000"/>
          <w:kern w:val="0"/>
          <w:sz w:val="24"/>
          <w:szCs w:val="24"/>
          <w:highlight w:val="none"/>
          <w:lang w:val="en-US" w:eastAsia="zh-CN" w:bidi="ar"/>
        </w:rPr>
        <w:t>污水处理工程运行</w:t>
      </w:r>
      <w:r>
        <w:rPr>
          <w:rFonts w:hint="eastAsia" w:ascii="宋体" w:hAnsi="宋体" w:cs="宋体"/>
          <w:color w:val="000000"/>
          <w:kern w:val="0"/>
          <w:sz w:val="24"/>
          <w:szCs w:val="24"/>
          <w:highlight w:val="none"/>
          <w:lang w:val="en-US" w:eastAsia="zh-CN" w:bidi="ar"/>
        </w:rPr>
        <w:t>率</w:t>
      </w:r>
      <w:r>
        <w:rPr>
          <w:rFonts w:hint="eastAsia" w:ascii="宋体" w:hAnsi="宋体" w:eastAsia="宋体" w:cs="宋体"/>
          <w:color w:val="000000"/>
          <w:kern w:val="0"/>
          <w:sz w:val="24"/>
          <w:szCs w:val="24"/>
          <w:highlight w:val="none"/>
          <w:lang w:val="en-US" w:eastAsia="zh-CN" w:bidi="ar"/>
        </w:rPr>
        <w:t>达到</w:t>
      </w:r>
      <w:r>
        <w:rPr>
          <w:rFonts w:hint="default" w:ascii="Times New Roman" w:hAnsi="Times New Roman" w:eastAsia="宋体" w:cs="Times New Roman"/>
          <w:color w:val="000000"/>
          <w:kern w:val="0"/>
          <w:sz w:val="24"/>
          <w:szCs w:val="24"/>
          <w:highlight w:val="none"/>
          <w:lang w:val="en-US" w:eastAsia="zh-CN" w:bidi="ar"/>
        </w:rPr>
        <w:t>100%</w:t>
      </w:r>
      <w:r>
        <w:rPr>
          <w:rFonts w:hint="eastAsia" w:ascii="宋体" w:hAnsi="宋体" w:eastAsia="宋体" w:cs="宋体"/>
          <w:color w:val="000000"/>
          <w:kern w:val="0"/>
          <w:sz w:val="24"/>
          <w:szCs w:val="24"/>
          <w:highlight w:val="none"/>
          <w:lang w:val="en-US" w:eastAsia="zh-CN" w:bidi="ar"/>
        </w:rPr>
        <w:t>，避免发生非正常排放情况，加强生产管理，防止跑、冒、</w:t>
      </w:r>
      <w:r>
        <w:rPr>
          <w:rFonts w:hint="eastAsia" w:ascii="宋体" w:hAnsi="宋体" w:cs="宋体"/>
          <w:color w:val="000000"/>
          <w:kern w:val="0"/>
          <w:sz w:val="24"/>
          <w:szCs w:val="24"/>
          <w:highlight w:val="none"/>
          <w:lang w:val="en-US" w:eastAsia="zh-CN" w:bidi="ar"/>
        </w:rPr>
        <w:t>滴</w:t>
      </w:r>
      <w:r>
        <w:rPr>
          <w:rFonts w:hint="eastAsia" w:ascii="宋体" w:hAnsi="宋体" w:eastAsia="宋体" w:cs="宋体"/>
          <w:color w:val="000000"/>
          <w:kern w:val="0"/>
          <w:sz w:val="24"/>
          <w:szCs w:val="24"/>
          <w:highlight w:val="none"/>
          <w:lang w:val="en-US" w:eastAsia="zh-CN" w:bidi="ar"/>
        </w:rPr>
        <w:t>、漏。确保</w:t>
      </w:r>
      <w:r>
        <w:rPr>
          <w:rFonts w:hint="eastAsia" w:ascii="宋体" w:hAnsi="宋体" w:cs="宋体"/>
          <w:color w:val="000000"/>
          <w:kern w:val="0"/>
          <w:sz w:val="24"/>
          <w:szCs w:val="24"/>
          <w:highlight w:val="none"/>
          <w:lang w:val="en-US" w:eastAsia="zh-CN" w:bidi="ar"/>
        </w:rPr>
        <w:t>厂区</w:t>
      </w:r>
      <w:r>
        <w:rPr>
          <w:rFonts w:hint="eastAsia" w:ascii="宋体" w:hAnsi="宋体" w:eastAsia="宋体" w:cs="宋体"/>
          <w:color w:val="000000"/>
          <w:kern w:val="0"/>
          <w:sz w:val="24"/>
          <w:szCs w:val="24"/>
          <w:highlight w:val="none"/>
          <w:lang w:val="en-US" w:eastAsia="zh-CN" w:bidi="ar"/>
        </w:rPr>
        <w:t>污水处理系统正常运行，贯彻“分级管理、分级负责”的原则，充分估计</w:t>
      </w:r>
      <w:r>
        <w:rPr>
          <w:rFonts w:hint="eastAsia" w:ascii="宋体" w:hAnsi="宋体" w:cs="宋体"/>
          <w:color w:val="000000"/>
          <w:kern w:val="0"/>
          <w:sz w:val="24"/>
          <w:szCs w:val="24"/>
          <w:highlight w:val="none"/>
          <w:lang w:val="en-US" w:eastAsia="zh-CN" w:bidi="ar"/>
        </w:rPr>
        <w:t>事故排放</w:t>
      </w:r>
      <w:r>
        <w:rPr>
          <w:rFonts w:hint="eastAsia" w:ascii="宋体" w:hAnsi="宋体" w:eastAsia="宋体" w:cs="宋体"/>
          <w:color w:val="000000"/>
          <w:kern w:val="0"/>
          <w:sz w:val="24"/>
          <w:szCs w:val="24"/>
          <w:highlight w:val="none"/>
          <w:lang w:val="en-US" w:eastAsia="zh-CN" w:bidi="ar"/>
        </w:rPr>
        <w:t>发生的可能性，制定应急处理预案。严格安全生产管理、经常检查安全生产措施，发现问题及时解决，消除事故隐患，强化生产操作人员的安全培训教育，增强全体职工的责任感，生产操作人员必须严格执行操作规程，熟悉发生非排放时应急处理措施。</w:t>
      </w:r>
    </w:p>
    <w:p w14:paraId="56F1E9BC">
      <w:pPr>
        <w:keepNext w:val="0"/>
        <w:keepLines w:val="0"/>
        <w:widowControl/>
        <w:suppressLineNumbers w:val="0"/>
        <w:jc w:val="left"/>
        <w:rPr>
          <w:rFonts w:hint="eastAsia" w:ascii="Times New Roman" w:hAnsi="Times New Roman" w:eastAsia="宋体" w:cs="Times New Roman"/>
          <w:b/>
          <w:bCs/>
          <w:color w:val="000000"/>
          <w:kern w:val="0"/>
          <w:sz w:val="28"/>
          <w:szCs w:val="28"/>
          <w:highlight w:val="none"/>
          <w:lang w:val="en-US" w:eastAsia="zh-CN" w:bidi="ar"/>
        </w:rPr>
      </w:pPr>
      <w:r>
        <w:rPr>
          <w:rFonts w:hint="eastAsia" w:ascii="Times New Roman" w:hAnsi="Times New Roman" w:eastAsia="宋体" w:cs="Times New Roman"/>
          <w:b/>
          <w:bCs/>
          <w:color w:val="000000"/>
          <w:kern w:val="0"/>
          <w:sz w:val="28"/>
          <w:szCs w:val="28"/>
          <w:highlight w:val="none"/>
          <w:lang w:val="en-US" w:eastAsia="zh-CN" w:bidi="ar"/>
        </w:rPr>
        <w:t>7.1.3 定期监测排污口水质</w:t>
      </w:r>
    </w:p>
    <w:p w14:paraId="246E201A">
      <w:pPr>
        <w:widowControl w:val="0"/>
        <w:numPr>
          <w:ilvl w:val="0"/>
          <w:numId w:val="0"/>
        </w:numPr>
        <w:adjustRightInd w:val="0"/>
        <w:snapToGrid w:val="0"/>
        <w:spacing w:line="360" w:lineRule="auto"/>
        <w:jc w:val="center"/>
        <w:rPr>
          <w:rFonts w:hint="eastAsia"/>
          <w:highlight w:val="none"/>
          <w:lang w:val="en-US" w:eastAsia="zh-CN"/>
        </w:rPr>
      </w:pPr>
    </w:p>
    <w:p w14:paraId="1FC3006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入河排污口运营后，应加强进水口、排水口水质与水量的监测，实时监控进水、排水水量及水质，并按水法的要求定期向</w:t>
      </w:r>
      <w:r>
        <w:rPr>
          <w:rFonts w:hint="eastAsia" w:ascii="宋体" w:hAnsi="宋体" w:cs="宋体"/>
          <w:color w:val="000000"/>
          <w:kern w:val="0"/>
          <w:sz w:val="24"/>
          <w:szCs w:val="24"/>
          <w:highlight w:val="none"/>
          <w:lang w:val="en-US" w:eastAsia="zh-CN" w:bidi="ar"/>
        </w:rPr>
        <w:t>相关</w:t>
      </w:r>
      <w:r>
        <w:rPr>
          <w:rFonts w:hint="eastAsia" w:ascii="宋体" w:hAnsi="宋体" w:eastAsia="宋体" w:cs="宋体"/>
          <w:color w:val="000000"/>
          <w:kern w:val="0"/>
          <w:sz w:val="24"/>
          <w:szCs w:val="24"/>
          <w:highlight w:val="none"/>
          <w:lang w:val="en-US" w:eastAsia="zh-CN" w:bidi="ar"/>
        </w:rPr>
        <w:t>行政主管部门报告排水水质、水量及水污染物排放状况。</w:t>
      </w:r>
    </w:p>
    <w:p w14:paraId="45F944D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具体包括以下两方面：</w:t>
      </w:r>
    </w:p>
    <w:p w14:paraId="2D976CE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）建立环境监测制度</w:t>
      </w:r>
    </w:p>
    <w:p w14:paraId="476A5DB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cs="宋体"/>
          <w:color w:val="000000"/>
          <w:kern w:val="0"/>
          <w:sz w:val="24"/>
          <w:szCs w:val="24"/>
          <w:highlight w:val="none"/>
          <w:lang w:val="en-US" w:eastAsia="zh-CN" w:bidi="ar"/>
        </w:rPr>
        <w:t>厂区</w:t>
      </w:r>
      <w:r>
        <w:rPr>
          <w:rFonts w:hint="eastAsia" w:ascii="宋体" w:hAnsi="宋体" w:eastAsia="宋体" w:cs="宋体"/>
          <w:color w:val="000000"/>
          <w:kern w:val="0"/>
          <w:sz w:val="24"/>
          <w:szCs w:val="24"/>
          <w:highlight w:val="none"/>
          <w:lang w:val="en-US" w:eastAsia="zh-CN" w:bidi="ar"/>
        </w:rPr>
        <w:t>应设置化验室，并配备齐全的化验设备，建立环境监测制度，对各处理设施的进水、出水流量及污染物浓度、污泥浓度等进行监测，确保污水处理效果及</w:t>
      </w:r>
      <w:r>
        <w:rPr>
          <w:rFonts w:hint="eastAsia" w:ascii="宋体" w:hAnsi="宋体" w:cs="宋体"/>
          <w:color w:val="000000"/>
          <w:kern w:val="0"/>
          <w:sz w:val="24"/>
          <w:szCs w:val="24"/>
          <w:highlight w:val="none"/>
          <w:lang w:val="en-US" w:eastAsia="zh-CN" w:bidi="ar"/>
        </w:rPr>
        <w:t>尾水</w:t>
      </w:r>
      <w:r>
        <w:rPr>
          <w:rFonts w:hint="eastAsia" w:ascii="宋体" w:hAnsi="宋体" w:eastAsia="宋体" w:cs="宋体"/>
          <w:color w:val="000000"/>
          <w:kern w:val="0"/>
          <w:sz w:val="24"/>
          <w:szCs w:val="24"/>
          <w:highlight w:val="none"/>
          <w:lang w:val="en-US" w:eastAsia="zh-CN" w:bidi="ar"/>
        </w:rPr>
        <w:t>达标排放。</w:t>
      </w:r>
    </w:p>
    <w:p w14:paraId="51FDBFD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）水环境监测计划</w:t>
      </w:r>
    </w:p>
    <w:p w14:paraId="0975C28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为了有效地控制废污水排放，需按月进行定期常规监测统计，不仅要对总排污口的污染物（如</w:t>
      </w:r>
      <w:r>
        <w:rPr>
          <w:rFonts w:hint="default" w:ascii="Times New Roman" w:hAnsi="Times New Roman" w:eastAsia="宋体" w:cs="Times New Roman"/>
          <w:color w:val="000000"/>
          <w:kern w:val="0"/>
          <w:sz w:val="24"/>
          <w:szCs w:val="24"/>
          <w:highlight w:val="none"/>
          <w:lang w:val="en-US" w:eastAsia="zh-CN" w:bidi="ar"/>
        </w:rPr>
        <w:t>pH</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COD</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NH</w:t>
      </w:r>
      <w:r>
        <w:rPr>
          <w:rFonts w:hint="eastAsia" w:ascii="Times New Roman" w:hAnsi="Times New Roman" w:eastAsia="宋体" w:cs="Times New Roman"/>
          <w:color w:val="000000"/>
          <w:kern w:val="0"/>
          <w:sz w:val="24"/>
          <w:szCs w:val="24"/>
          <w:highlight w:val="none"/>
          <w:vertAlign w:val="subscript"/>
          <w:lang w:val="en-US" w:eastAsia="zh-CN" w:bidi="ar"/>
        </w:rPr>
        <w:t>3</w:t>
      </w:r>
      <w:r>
        <w:rPr>
          <w:rFonts w:hint="eastAsia" w:ascii="Times New Roman" w:hAnsi="Times New Roman" w:eastAsia="宋体" w:cs="Times New Roman"/>
          <w:color w:val="000000"/>
          <w:kern w:val="0"/>
          <w:sz w:val="24"/>
          <w:szCs w:val="24"/>
          <w:highlight w:val="none"/>
          <w:lang w:val="en-US" w:eastAsia="zh-CN" w:bidi="ar"/>
        </w:rPr>
        <w:t>-N</w:t>
      </w:r>
      <w:r>
        <w:rPr>
          <w:rFonts w:hint="eastAsia" w:ascii="宋体" w:hAnsi="宋体" w:eastAsia="宋体" w:cs="宋体"/>
          <w:color w:val="000000"/>
          <w:kern w:val="0"/>
          <w:sz w:val="24"/>
          <w:szCs w:val="24"/>
          <w:highlight w:val="none"/>
          <w:lang w:val="en-US" w:eastAsia="zh-CN" w:bidi="ar"/>
        </w:rPr>
        <w:t>等）浓度和流量进行监测，而且进水口废污水的流量和浓度也要进行监测，各监测项目的监测方法、手段、频次等均按国家有关规定进行。</w:t>
      </w:r>
    </w:p>
    <w:p w14:paraId="02562DC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为了便于项目建设后采集水样，在项目设计时预设采样口，采样口设置要有利于废水的流量测量，采样时记录生产运行的工况。</w:t>
      </w:r>
    </w:p>
    <w:p w14:paraId="7DA5DBFF">
      <w:pPr>
        <w:keepNext w:val="0"/>
        <w:keepLines w:val="0"/>
        <w:widowControl/>
        <w:suppressLineNumbers w:val="0"/>
        <w:jc w:val="left"/>
        <w:rPr>
          <w:highlight w:val="none"/>
        </w:rPr>
      </w:pPr>
      <w:r>
        <w:rPr>
          <w:rFonts w:hint="default" w:ascii="Times New Roman" w:hAnsi="Times New Roman" w:eastAsia="宋体" w:cs="Times New Roman"/>
          <w:b/>
          <w:bCs/>
          <w:color w:val="000000"/>
          <w:kern w:val="0"/>
          <w:sz w:val="28"/>
          <w:szCs w:val="28"/>
          <w:highlight w:val="none"/>
          <w:lang w:val="en-US" w:eastAsia="zh-CN" w:bidi="ar"/>
        </w:rPr>
        <w:t xml:space="preserve">7.1.4 </w:t>
      </w:r>
      <w:r>
        <w:rPr>
          <w:rFonts w:hint="eastAsia" w:ascii="宋体" w:hAnsi="宋体" w:eastAsia="宋体" w:cs="宋体"/>
          <w:b/>
          <w:bCs/>
          <w:color w:val="000000"/>
          <w:kern w:val="0"/>
          <w:sz w:val="28"/>
          <w:szCs w:val="28"/>
          <w:highlight w:val="none"/>
          <w:lang w:val="en-US" w:eastAsia="zh-CN" w:bidi="ar"/>
        </w:rPr>
        <w:t>建立信息报送制度</w:t>
      </w:r>
    </w:p>
    <w:p w14:paraId="5D281E1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南岳区污水处理厂</w:t>
      </w:r>
      <w:r>
        <w:rPr>
          <w:rFonts w:hint="eastAsia" w:cs="Times New Roman"/>
          <w:color w:val="000000"/>
          <w:kern w:val="0"/>
          <w:sz w:val="24"/>
          <w:szCs w:val="24"/>
          <w:highlight w:val="none"/>
          <w:lang w:val="en-US" w:eastAsia="zh-CN" w:bidi="ar"/>
        </w:rPr>
        <w:t>和入河排污口</w:t>
      </w:r>
      <w:r>
        <w:rPr>
          <w:rFonts w:hint="eastAsia" w:ascii="宋体" w:hAnsi="宋体" w:eastAsia="宋体" w:cs="宋体"/>
          <w:color w:val="000000"/>
          <w:kern w:val="0"/>
          <w:sz w:val="24"/>
          <w:szCs w:val="24"/>
          <w:highlight w:val="none"/>
          <w:lang w:val="en-US" w:eastAsia="zh-CN" w:bidi="ar"/>
        </w:rPr>
        <w:t>运营期内，相关人员应对入河排污口污水排放情况（排水水质、水量、污染物排放状况等）做好登记工作，积极配合各主管部门的监督，在规定的上传时间前，向入河排污口管理单位报送上年度入河排污口使用情况和水质监测报表，报表中的水质数据应由排污单位委托有资质认定的水质监测机构监测。</w:t>
      </w:r>
    </w:p>
    <w:p w14:paraId="43525B22">
      <w:pPr>
        <w:pStyle w:val="5"/>
        <w:numPr>
          <w:ilvl w:val="0"/>
          <w:numId w:val="0"/>
        </w:numPr>
        <w:bidi w:val="0"/>
        <w:ind w:left="0" w:leftChars="0" w:firstLine="0" w:firstLineChars="0"/>
        <w:rPr>
          <w:rFonts w:hint="default"/>
          <w:sz w:val="30"/>
          <w:szCs w:val="30"/>
          <w:highlight w:val="none"/>
          <w:lang w:val="en-US" w:eastAsia="zh-CN"/>
        </w:rPr>
      </w:pPr>
      <w:bookmarkStart w:id="100" w:name="_Toc14896"/>
      <w:r>
        <w:rPr>
          <w:rFonts w:hint="default"/>
          <w:sz w:val="30"/>
          <w:szCs w:val="30"/>
          <w:highlight w:val="none"/>
          <w:lang w:val="en-US" w:eastAsia="zh-CN"/>
        </w:rPr>
        <w:t>7.</w:t>
      </w:r>
      <w:r>
        <w:rPr>
          <w:rFonts w:hint="eastAsia"/>
          <w:sz w:val="30"/>
          <w:szCs w:val="30"/>
          <w:highlight w:val="none"/>
          <w:lang w:val="en-US" w:eastAsia="zh-CN"/>
        </w:rPr>
        <w:t>2</w:t>
      </w:r>
      <w:r>
        <w:rPr>
          <w:rFonts w:hint="default"/>
          <w:sz w:val="30"/>
          <w:szCs w:val="30"/>
          <w:highlight w:val="none"/>
          <w:lang w:val="en-US" w:eastAsia="zh-CN"/>
        </w:rPr>
        <w:t xml:space="preserve"> </w:t>
      </w:r>
      <w:r>
        <w:rPr>
          <w:rFonts w:hint="eastAsia"/>
          <w:sz w:val="30"/>
          <w:szCs w:val="30"/>
          <w:highlight w:val="none"/>
          <w:lang w:val="en-US" w:eastAsia="zh-CN"/>
        </w:rPr>
        <w:t>开展排污口设置竣工验收</w:t>
      </w:r>
      <w:bookmarkEnd w:id="100"/>
    </w:p>
    <w:p w14:paraId="4206656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为加强入河排污口监督管理，切实保护水资源和水环境，入河排污口设置单位在工程竣工验收后，应尽快向设置审批单位申请验收，经验收合格后的入河排污口方可正式投入使用。</w:t>
      </w:r>
    </w:p>
    <w:p w14:paraId="0B3C21A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入河排污口设置验收内容应包括</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污水处理设施验收合格</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入河排污口设置审批手续完备，技术资料齐全</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入河排污口已按行政许可决定的要求建成，污水排放符合行政许可决定中提出的标准及总量控制要求</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有削减要求或削减承诺的，有关措施和承诺已经落实</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污水处理设施水质水量监测设备、监测频次、报送信息方式等符合有关规定的要求</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入河排污口设置单位有完善的水污染事件应急预案</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有关水资源保护措施全面落实等。</w:t>
      </w:r>
    </w:p>
    <w:p w14:paraId="0E9995BA">
      <w:pPr>
        <w:pStyle w:val="5"/>
        <w:numPr>
          <w:ilvl w:val="0"/>
          <w:numId w:val="0"/>
        </w:numPr>
        <w:bidi w:val="0"/>
        <w:ind w:left="0" w:leftChars="0" w:firstLine="0" w:firstLineChars="0"/>
        <w:rPr>
          <w:highlight w:val="none"/>
        </w:rPr>
      </w:pPr>
      <w:bookmarkStart w:id="101" w:name="_Toc12433"/>
      <w:r>
        <w:rPr>
          <w:rFonts w:hint="default"/>
          <w:highlight w:val="none"/>
          <w:lang w:val="en-US" w:eastAsia="zh-CN"/>
        </w:rPr>
        <w:t>7.</w:t>
      </w:r>
      <w:r>
        <w:rPr>
          <w:rFonts w:hint="eastAsia"/>
          <w:highlight w:val="none"/>
          <w:lang w:val="en-US" w:eastAsia="zh-CN"/>
        </w:rPr>
        <w:t>3</w:t>
      </w:r>
      <w:r>
        <w:rPr>
          <w:rFonts w:hint="default"/>
          <w:highlight w:val="none"/>
          <w:lang w:val="en-US" w:eastAsia="zh-CN"/>
        </w:rPr>
        <w:t xml:space="preserve"> </w:t>
      </w:r>
      <w:r>
        <w:rPr>
          <w:rFonts w:hint="eastAsia"/>
          <w:highlight w:val="none"/>
          <w:lang w:val="en-US" w:eastAsia="zh-CN"/>
        </w:rPr>
        <w:t>事故排污时应急措施</w:t>
      </w:r>
      <w:bookmarkEnd w:id="101"/>
    </w:p>
    <w:p w14:paraId="2ABB146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Times New Roman" w:hAnsi="Times New Roman" w:eastAsia="宋体" w:cs="Times New Roman"/>
          <w:color w:val="000000"/>
          <w:kern w:val="0"/>
          <w:sz w:val="24"/>
          <w:szCs w:val="24"/>
          <w:highlight w:val="none"/>
          <w:lang w:val="en-US" w:eastAsia="zh-CN" w:bidi="ar"/>
        </w:rPr>
        <w:t>污水处理厂和</w:t>
      </w:r>
      <w:r>
        <w:rPr>
          <w:rFonts w:hint="eastAsia" w:cs="Times New Roman"/>
          <w:color w:val="000000"/>
          <w:kern w:val="0"/>
          <w:sz w:val="24"/>
          <w:szCs w:val="24"/>
          <w:highlight w:val="none"/>
          <w:lang w:val="en-US" w:eastAsia="zh-CN" w:bidi="ar"/>
        </w:rPr>
        <w:t>本</w:t>
      </w:r>
      <w:r>
        <w:rPr>
          <w:rFonts w:hint="default" w:ascii="Times New Roman" w:hAnsi="Times New Roman" w:eastAsia="宋体" w:cs="Times New Roman"/>
          <w:color w:val="000000"/>
          <w:kern w:val="0"/>
          <w:sz w:val="24"/>
          <w:szCs w:val="24"/>
          <w:highlight w:val="none"/>
          <w:lang w:val="en-US" w:eastAsia="zh-CN" w:bidi="ar"/>
        </w:rPr>
        <w:t>入河排污口</w:t>
      </w:r>
      <w:r>
        <w:rPr>
          <w:rFonts w:hint="eastAsia" w:ascii="宋体" w:hAnsi="宋体" w:eastAsia="宋体" w:cs="宋体"/>
          <w:color w:val="000000"/>
          <w:kern w:val="0"/>
          <w:sz w:val="24"/>
          <w:szCs w:val="24"/>
          <w:highlight w:val="none"/>
          <w:lang w:val="en-US" w:eastAsia="zh-CN" w:bidi="ar"/>
        </w:rPr>
        <w:t>建设运行期间废水事故性排放的原因主要有以下：</w:t>
      </w:r>
    </w:p>
    <w:p w14:paraId="095D547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）接管污水超出标准，导致活性污泥中毒后短期内无法恢复处理功能；</w:t>
      </w:r>
    </w:p>
    <w:p w14:paraId="7955060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）停电事故和机械故障造成废污水无法正常处理；</w:t>
      </w:r>
    </w:p>
    <w:p w14:paraId="2E239B3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）出于节省处理成本的违法直排；</w:t>
      </w:r>
    </w:p>
    <w:p w14:paraId="50ED823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）其他人为破坏造成的废污水泄漏事故；</w:t>
      </w:r>
    </w:p>
    <w:p w14:paraId="7013A34C">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）自然灾害原因；</w:t>
      </w:r>
    </w:p>
    <w:p w14:paraId="631605D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）污水直接排放的影响，如出现这种风险，将在入河排污口下游产生一段污染带，对入河排污口下游水质产生较大影响。</w:t>
      </w:r>
    </w:p>
    <w:p w14:paraId="020D6A15">
      <w:pPr>
        <w:pStyle w:val="6"/>
        <w:bidi w:val="0"/>
        <w:rPr>
          <w:highlight w:val="none"/>
        </w:rPr>
      </w:pPr>
      <w:r>
        <w:rPr>
          <w:rFonts w:hint="default"/>
          <w:highlight w:val="none"/>
          <w:lang w:val="en-US" w:eastAsia="zh-CN"/>
        </w:rPr>
        <w:t>7.</w:t>
      </w:r>
      <w:r>
        <w:rPr>
          <w:rFonts w:hint="eastAsia"/>
          <w:highlight w:val="none"/>
          <w:lang w:val="en-US" w:eastAsia="zh-CN"/>
        </w:rPr>
        <w:t>3</w:t>
      </w:r>
      <w:r>
        <w:rPr>
          <w:rFonts w:hint="default"/>
          <w:highlight w:val="none"/>
          <w:lang w:val="en-US" w:eastAsia="zh-CN"/>
        </w:rPr>
        <w:t>.1</w:t>
      </w:r>
      <w:r>
        <w:rPr>
          <w:rFonts w:hint="eastAsia"/>
          <w:highlight w:val="none"/>
          <w:lang w:val="en-US" w:eastAsia="zh-CN"/>
        </w:rPr>
        <w:t>事故预防措施</w:t>
      </w:r>
    </w:p>
    <w:p w14:paraId="30A1F95D">
      <w:pPr>
        <w:keepNext w:val="0"/>
        <w:keepLines w:val="0"/>
        <w:widowControl/>
        <w:suppressLineNumbers w:val="0"/>
        <w:jc w:val="left"/>
        <w:rPr>
          <w:rFonts w:hint="default" w:ascii="Times New Roman" w:hAnsi="Times New Roman" w:cs="Times New Roman"/>
          <w:sz w:val="24"/>
          <w:szCs w:val="24"/>
          <w:highlight w:val="none"/>
        </w:rPr>
      </w:pPr>
      <w:r>
        <w:rPr>
          <w:rFonts w:hint="default" w:ascii="Times New Roman" w:hAnsi="Times New Roman" w:eastAsia="宋体" w:cs="Times New Roman"/>
          <w:b/>
          <w:bCs/>
          <w:color w:val="000000"/>
          <w:kern w:val="0"/>
          <w:sz w:val="24"/>
          <w:szCs w:val="24"/>
          <w:highlight w:val="none"/>
          <w:lang w:val="en-US" w:eastAsia="zh-CN" w:bidi="ar"/>
        </w:rPr>
        <w:t>7.</w:t>
      </w:r>
      <w:r>
        <w:rPr>
          <w:rFonts w:hint="eastAsia"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eastAsia="宋体" w:cs="Times New Roman"/>
          <w:b/>
          <w:bCs/>
          <w:color w:val="000000"/>
          <w:kern w:val="0"/>
          <w:sz w:val="24"/>
          <w:szCs w:val="24"/>
          <w:highlight w:val="none"/>
          <w:lang w:val="en-US" w:eastAsia="zh-CN" w:bidi="ar"/>
        </w:rPr>
        <w:t>.1.1 污水收集区域事故预防措施</w:t>
      </w:r>
    </w:p>
    <w:p w14:paraId="6051DE8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）在污水干管和支管设计中，要选择适当的最小设计流速和充满度，同时严禁固体废物排入管网，避免箱涵发生堵塞、破裂；</w:t>
      </w:r>
    </w:p>
    <w:p w14:paraId="517466A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）污水收集管网必须要采用符合国家标准和相关规定的合格材质，避免传输污水途中发生渗漏和外流，造成地下水及土壤的二次污染；</w:t>
      </w:r>
    </w:p>
    <w:p w14:paraId="0FA1D6F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）未来计划接入污水处理厂进行处理的废水，应一同进行接入管网设计，且接入管网的的污染物排放浓度应不超出污水处理厂进水水质的设计标准；</w:t>
      </w:r>
    </w:p>
    <w:p w14:paraId="1F4B6B5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）建立污水管网事故隐患排查和排水安全保障制度。</w:t>
      </w:r>
    </w:p>
    <w:p w14:paraId="11D31062">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7.</w:t>
      </w:r>
      <w:r>
        <w:rPr>
          <w:rFonts w:hint="eastAsia"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eastAsia="宋体" w:cs="Times New Roman"/>
          <w:b/>
          <w:bCs/>
          <w:color w:val="000000"/>
          <w:kern w:val="0"/>
          <w:sz w:val="24"/>
          <w:szCs w:val="24"/>
          <w:highlight w:val="none"/>
          <w:lang w:val="en-US" w:eastAsia="zh-CN" w:bidi="ar"/>
        </w:rPr>
        <w:t xml:space="preserve">.1.2 </w:t>
      </w:r>
      <w:r>
        <w:rPr>
          <w:rFonts w:hint="eastAsia" w:ascii="Times New Roman" w:hAnsi="Times New Roman" w:eastAsia="宋体" w:cs="Times New Roman"/>
          <w:b/>
          <w:bCs/>
          <w:color w:val="000000"/>
          <w:kern w:val="0"/>
          <w:sz w:val="24"/>
          <w:szCs w:val="24"/>
          <w:highlight w:val="none"/>
          <w:lang w:val="en-US" w:eastAsia="zh-CN" w:bidi="ar"/>
        </w:rPr>
        <w:t>污水处理厂设备运行事故预防措施</w:t>
      </w:r>
    </w:p>
    <w:p w14:paraId="6916B55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（1）在设备选型时，应采用性能可靠的优质产品；</w:t>
      </w:r>
    </w:p>
    <w:p w14:paraId="328148E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（2）对易发生故障的器械部件、水泵等，在设计中应考虑备用替换品；</w:t>
      </w:r>
    </w:p>
    <w:p w14:paraId="4C1D71A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（3）对于大型机械的易损坏零件，应有足够的备用件和替换件；</w:t>
      </w:r>
    </w:p>
    <w:p w14:paraId="2BE4E8A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（4）加强污水处理厂内各种设备的维护、保养，确保各设备运行工况保持良好的运行状态，降低设备故障造成的风险影响；</w:t>
      </w:r>
    </w:p>
    <w:p w14:paraId="0858857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（5）</w:t>
      </w:r>
      <w:r>
        <w:rPr>
          <w:rFonts w:hint="eastAsia" w:ascii="Times New Roman" w:hAnsi="Times New Roman" w:eastAsia="宋体" w:cs="Times New Roman"/>
          <w:color w:val="000000"/>
          <w:kern w:val="0"/>
          <w:sz w:val="24"/>
          <w:szCs w:val="24"/>
          <w:highlight w:val="none"/>
          <w:lang w:val="en-US" w:eastAsia="zh-CN" w:bidi="ar"/>
        </w:rPr>
        <w:t>采取</w:t>
      </w:r>
      <w:r>
        <w:rPr>
          <w:rFonts w:hint="default" w:ascii="Times New Roman" w:hAnsi="Times New Roman" w:eastAsia="宋体" w:cs="Times New Roman"/>
          <w:color w:val="000000"/>
          <w:kern w:val="0"/>
          <w:sz w:val="24"/>
          <w:szCs w:val="24"/>
          <w:highlight w:val="none"/>
          <w:lang w:val="en-US" w:eastAsia="zh-CN" w:bidi="ar"/>
        </w:rPr>
        <w:t>污水处理系统人为事故预防措施。加强工作人员职业操守、岗位技术、安全生产等培训，实行严格的管理制度和安全考核制度。</w:t>
      </w:r>
    </w:p>
    <w:p w14:paraId="0633994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（6）建设完整的在线水质监测系统，对本工程运行状况、进水出水水质进行监测。</w:t>
      </w:r>
    </w:p>
    <w:p w14:paraId="00FFCA02">
      <w:pPr>
        <w:pStyle w:val="6"/>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7.</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 xml:space="preserve">.2 </w:t>
      </w:r>
      <w:r>
        <w:rPr>
          <w:rFonts w:hint="eastAsia" w:ascii="Times New Roman" w:hAnsi="Times New Roman" w:eastAsia="宋体" w:cs="Times New Roman"/>
          <w:highlight w:val="none"/>
          <w:lang w:val="en-US" w:eastAsia="zh-CN"/>
        </w:rPr>
        <w:t>事故应急预案</w:t>
      </w:r>
    </w:p>
    <w:p w14:paraId="18BAE46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当污水事故</w:t>
      </w:r>
      <w:r>
        <w:rPr>
          <w:rFonts w:hint="eastAsia" w:ascii="宋体" w:hAnsi="宋体" w:cs="宋体"/>
          <w:color w:val="000000"/>
          <w:kern w:val="0"/>
          <w:sz w:val="24"/>
          <w:szCs w:val="24"/>
          <w:highlight w:val="none"/>
          <w:lang w:val="en-US" w:eastAsia="zh-CN" w:bidi="ar"/>
        </w:rPr>
        <w:t>排放</w:t>
      </w:r>
      <w:r>
        <w:rPr>
          <w:rFonts w:hint="eastAsia" w:ascii="宋体" w:hAnsi="宋体" w:eastAsia="宋体" w:cs="宋体"/>
          <w:color w:val="000000"/>
          <w:kern w:val="0"/>
          <w:sz w:val="24"/>
          <w:szCs w:val="24"/>
          <w:highlight w:val="none"/>
          <w:lang w:val="en-US" w:eastAsia="zh-CN" w:bidi="ar"/>
        </w:rPr>
        <w:t>不可避免的发生时，应立即启动制定的事故应急处置预案。为了积极应对可能发生的事故排污，建设单位应成立应急救援领导小组，制定《衡阳市南岳区污水处理厂突发环境事件应急预案》，组建应急救援专业队伍，并组织训练和演练；检查、监督做好污水处理厂污水事故</w:t>
      </w:r>
      <w:r>
        <w:rPr>
          <w:rFonts w:hint="eastAsia" w:ascii="宋体" w:hAnsi="宋体" w:cs="宋体"/>
          <w:color w:val="000000"/>
          <w:kern w:val="0"/>
          <w:sz w:val="24"/>
          <w:szCs w:val="24"/>
          <w:highlight w:val="none"/>
          <w:lang w:val="en-US" w:eastAsia="zh-CN" w:bidi="ar"/>
        </w:rPr>
        <w:t>排放</w:t>
      </w:r>
      <w:r>
        <w:rPr>
          <w:rFonts w:hint="eastAsia" w:ascii="宋体" w:hAnsi="宋体" w:eastAsia="宋体" w:cs="宋体"/>
          <w:color w:val="000000"/>
          <w:kern w:val="0"/>
          <w:sz w:val="24"/>
          <w:szCs w:val="24"/>
          <w:highlight w:val="none"/>
          <w:lang w:val="en-US" w:eastAsia="zh-CN" w:bidi="ar"/>
        </w:rPr>
        <w:t>的预防措施和应急救援的各项准备工作、发布和接触应急救援指令。组织、指挥救援队伍，实施救援行动；向当地生态环境局、水利局和事故现场周边单位通报事故情况，必要时向政府有关单位发出救援指令；组织事故调查，对应急救援工作进行总结。具体内容如下。</w:t>
      </w:r>
    </w:p>
    <w:p w14:paraId="7672CF2E">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7.</w:t>
      </w:r>
      <w:r>
        <w:rPr>
          <w:rFonts w:hint="eastAsia"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eastAsia="宋体" w:cs="Times New Roman"/>
          <w:b/>
          <w:bCs/>
          <w:color w:val="000000"/>
          <w:kern w:val="0"/>
          <w:sz w:val="24"/>
          <w:szCs w:val="24"/>
          <w:highlight w:val="none"/>
          <w:lang w:val="en-US" w:eastAsia="zh-CN" w:bidi="ar"/>
        </w:rPr>
        <w:t xml:space="preserve">.2.1 </w:t>
      </w:r>
      <w:r>
        <w:rPr>
          <w:rFonts w:hint="eastAsia" w:ascii="Times New Roman" w:hAnsi="Times New Roman" w:eastAsia="宋体" w:cs="Times New Roman"/>
          <w:b/>
          <w:bCs/>
          <w:color w:val="000000"/>
          <w:kern w:val="0"/>
          <w:sz w:val="24"/>
          <w:szCs w:val="24"/>
          <w:highlight w:val="none"/>
          <w:lang w:val="en-US" w:eastAsia="zh-CN" w:bidi="ar"/>
        </w:rPr>
        <w:t>成立应急救援领导小组</w:t>
      </w:r>
    </w:p>
    <w:p w14:paraId="6C1EEA54">
      <w:pPr>
        <w:keepNext w:val="0"/>
        <w:keepLines w:val="0"/>
        <w:pageBreakBefore w:val="0"/>
        <w:widowControl/>
        <w:suppressLineNumbers w:val="0"/>
        <w:kinsoku/>
        <w:wordWrap/>
        <w:overflowPunct/>
        <w:topLinePunct w:val="0"/>
        <w:autoSpaceDE/>
        <w:autoSpaceDN/>
        <w:bidi w:val="0"/>
        <w:adjustRightInd/>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按相关要求组建应急救援专业队伍，并组织训练和演练；检查、督促做好污水处理厂事故的预防措施和应急救援的各项准备工作；发布和解除应急救援指令；组织、指挥救援队伍，实施救援行动；向当地生态环境局、水利局和事故现场周边单位通报事故情况，必要时向政府有关单位发出救援指令；组织事故调查，对应急救援工作进行总结。应急救援领导小组内部做好人员分工。</w:t>
      </w:r>
    </w:p>
    <w:p w14:paraId="24462401">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7.</w:t>
      </w:r>
      <w:r>
        <w:rPr>
          <w:rFonts w:hint="eastAsia"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eastAsia="宋体" w:cs="Times New Roman"/>
          <w:b/>
          <w:bCs/>
          <w:color w:val="000000"/>
          <w:kern w:val="0"/>
          <w:sz w:val="24"/>
          <w:szCs w:val="24"/>
          <w:highlight w:val="none"/>
          <w:lang w:val="en-US" w:eastAsia="zh-CN" w:bidi="ar"/>
        </w:rPr>
        <w:t xml:space="preserve">.2.2 </w:t>
      </w:r>
      <w:r>
        <w:rPr>
          <w:rFonts w:hint="eastAsia" w:ascii="Times New Roman" w:hAnsi="Times New Roman" w:eastAsia="宋体" w:cs="Times New Roman"/>
          <w:b/>
          <w:bCs/>
          <w:color w:val="000000"/>
          <w:kern w:val="0"/>
          <w:sz w:val="24"/>
          <w:szCs w:val="24"/>
          <w:highlight w:val="none"/>
          <w:lang w:val="en-US" w:eastAsia="zh-CN" w:bidi="ar"/>
        </w:rPr>
        <w:t>事故工程措施</w:t>
      </w:r>
    </w:p>
    <w:p w14:paraId="753DB6F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1、进水水质超标现场处置措施</w:t>
      </w:r>
    </w:p>
    <w:p w14:paraId="047F376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①突发或短时间进水超标</w:t>
      </w:r>
    </w:p>
    <w:p w14:paraId="774E71F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当突发或短时间进水水质超标时，应减少进水量，调整污水处理工艺，充分发挥污水处理厂所具有的能力，挖掘设施、工艺、设备的潜力，调整污水处理系统运行工况，延长设备的运行时间，必要时投运备用设备，采取一切措施，尽可能在不增加设施和设备的情况下消除由于进水水质超标而引起的对出水水质下降构成的威胁，满足污水排放标准要求。配合</w:t>
      </w:r>
      <w:r>
        <w:rPr>
          <w:rFonts w:hint="eastAsia" w:ascii="Times New Roman" w:hAnsi="Times New Roman" w:eastAsia="宋体" w:cs="Times New Roman"/>
          <w:color w:val="000000"/>
          <w:kern w:val="0"/>
          <w:sz w:val="24"/>
          <w:szCs w:val="24"/>
          <w:highlight w:val="none"/>
          <w:lang w:val="en-US" w:eastAsia="zh-CN" w:bidi="ar"/>
        </w:rPr>
        <w:t>生态环境</w:t>
      </w:r>
      <w:r>
        <w:rPr>
          <w:rFonts w:hint="default" w:ascii="Times New Roman" w:hAnsi="Times New Roman" w:eastAsia="宋体" w:cs="Times New Roman"/>
          <w:color w:val="000000"/>
          <w:kern w:val="0"/>
          <w:sz w:val="24"/>
          <w:szCs w:val="24"/>
          <w:highlight w:val="none"/>
          <w:lang w:val="en-US" w:eastAsia="zh-CN" w:bidi="ar"/>
        </w:rPr>
        <w:t>监察部门，查找超标污水源，加大监管执行力度，从源头截流进入污水处理厂的超标污水。</w:t>
      </w:r>
    </w:p>
    <w:p w14:paraId="3233046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②非突发或非短时间进水超标</w:t>
      </w:r>
    </w:p>
    <w:p w14:paraId="3A31556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若污水处理厂进水水质持续超标，且污水处理厂的处理能力已经得到充分发挥，并采取了一切可能采取的措施，若污水处理厂所具备的条件仍不能满足由于进水水质超标而导致出水超标时，</w:t>
      </w:r>
      <w:r>
        <w:rPr>
          <w:rFonts w:hint="eastAsia" w:ascii="Times New Roman" w:hAnsi="Times New Roman" w:eastAsia="宋体" w:cs="Times New Roman"/>
          <w:color w:val="000000"/>
          <w:kern w:val="0"/>
          <w:sz w:val="24"/>
          <w:szCs w:val="24"/>
          <w:highlight w:val="none"/>
          <w:lang w:val="en-US" w:eastAsia="zh-CN" w:bidi="ar"/>
        </w:rPr>
        <w:t>此时应以</w:t>
      </w:r>
      <w:r>
        <w:rPr>
          <w:rFonts w:hint="default" w:ascii="Times New Roman" w:hAnsi="Times New Roman" w:eastAsia="宋体" w:cs="Times New Roman"/>
          <w:color w:val="000000"/>
          <w:kern w:val="0"/>
          <w:sz w:val="24"/>
          <w:szCs w:val="24"/>
          <w:highlight w:val="none"/>
          <w:lang w:val="en-US" w:eastAsia="zh-CN" w:bidi="ar"/>
        </w:rPr>
        <w:t>书面形式报给相关部门，并协助彻查进水水质超标的原因，拿出解决方案，确保进水能满足合同约定，以免损坏厂区内设备和生化系统，从而影响污水处理厂的正常运营。</w:t>
      </w:r>
    </w:p>
    <w:p w14:paraId="5E69168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、停电设备故障等事故的现场处置</w:t>
      </w:r>
    </w:p>
    <w:p w14:paraId="5511B84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本污水处理厂供电系统设计采用双电源供电，当主线路停电时可开启自备发电机组，若两路电源均无法供电，应采取以下处置措施：</w:t>
      </w:r>
    </w:p>
    <w:p w14:paraId="42D101B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）长时间停电将对生物菌种带来不良影响，可能引起微生物死亡、活性污泥量减少、污泥活性降低；为应对此种情况，来电后加大生化池的曝气量以保持活性污泥的活性，保证来电以后尽快的恢复运行。</w:t>
      </w:r>
    </w:p>
    <w:p w14:paraId="4B0ACA1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突然停电将使全厂有用电设备全部断电而很多设备开关仍然处于开启状态，一旦突然来电将可能引起设备损毁事故，为预防此种情况的发生，在停电后污水处理厂将及时对配电间进行倒闸，并及时将全厂所有设备开关打入停止状态，预防事故发生。</w:t>
      </w:r>
    </w:p>
    <w:p w14:paraId="5661843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）停电，立即向南岳区污水处理厂突发环境事件应急机构、当地生态环境部门等部门汇报，并和供电公司及时联系送电情况。</w:t>
      </w:r>
    </w:p>
    <w:p w14:paraId="07C8243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当发生大面积停电时，全厂的用电设备均无法正常工作，此时厂长应及时通知岗位运行人员对厂内的所有蓄水池进行人工观测水位，确保水池的容水能力；如有必要，应通知各污水泵站停止进水；如仍不能解决问题应租借相应功率的发电机供电确保运行。</w:t>
      </w:r>
    </w:p>
    <w:p w14:paraId="7B61488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来电后，按操作规程即刻开启设备，恢复运行。应保持停电信息与各污水泵站进行沟通，停电前，开启排水设备将箱涵内污水降至最低水平，以充分利用管网容积储水，送电后，立即开启水泵，通知泵站进水，恢复运营，同时，根据停电时间的长短及污水厂管网情况确定能够容纳停电期间入厂的污水，如不能，及时通知当地生态环境部门和政府单位，临时限制南岳区生活排水，确保尾水实现达标排放。</w:t>
      </w:r>
    </w:p>
    <w:p w14:paraId="03790FFE">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7.</w:t>
      </w:r>
      <w:r>
        <w:rPr>
          <w:rFonts w:hint="eastAsia"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eastAsia="宋体" w:cs="Times New Roman"/>
          <w:b/>
          <w:bCs/>
          <w:color w:val="000000"/>
          <w:kern w:val="0"/>
          <w:sz w:val="24"/>
          <w:szCs w:val="24"/>
          <w:highlight w:val="none"/>
          <w:lang w:val="en-US" w:eastAsia="zh-CN" w:bidi="ar"/>
        </w:rPr>
        <w:t xml:space="preserve">.2.3 </w:t>
      </w:r>
      <w:r>
        <w:rPr>
          <w:rFonts w:hint="eastAsia" w:ascii="Times New Roman" w:hAnsi="Times New Roman" w:eastAsia="宋体" w:cs="Times New Roman"/>
          <w:b/>
          <w:bCs/>
          <w:color w:val="000000"/>
          <w:kern w:val="0"/>
          <w:sz w:val="24"/>
          <w:szCs w:val="24"/>
          <w:highlight w:val="none"/>
          <w:lang w:val="en-US" w:eastAsia="zh-CN" w:bidi="ar"/>
        </w:rPr>
        <w:t>风险事故防范对策及措施</w:t>
      </w:r>
    </w:p>
    <w:p w14:paraId="2149E5A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）非正常污水排放的防护</w:t>
      </w:r>
    </w:p>
    <w:p w14:paraId="5FDD06A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项目建设后一旦发生事故，所收集的污水将不能达标排放，超标污水进入龙荫港势必造成河流污染，带来不利影响。针对这种情况提出了事故应急措施。项目采用双路电源，设有一路备用电源，减少停电几率，并提高设备的备用率，以确保污水处理厂的正常运行。主要措施如下：</w:t>
      </w:r>
    </w:p>
    <w:p w14:paraId="6FC01FF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加强</w:t>
      </w:r>
      <w:r>
        <w:rPr>
          <w:rFonts w:hint="eastAsia" w:ascii="宋体" w:hAnsi="宋体" w:cs="宋体"/>
          <w:color w:val="000000"/>
          <w:kern w:val="0"/>
          <w:sz w:val="24"/>
          <w:szCs w:val="24"/>
          <w:highlight w:val="none"/>
          <w:lang w:val="en-US" w:eastAsia="zh-CN" w:bidi="ar"/>
        </w:rPr>
        <w:t>用电</w:t>
      </w:r>
      <w:r>
        <w:rPr>
          <w:rFonts w:hint="eastAsia" w:ascii="宋体" w:hAnsi="宋体" w:eastAsia="宋体" w:cs="宋体"/>
          <w:color w:val="000000"/>
          <w:kern w:val="0"/>
          <w:sz w:val="24"/>
          <w:szCs w:val="24"/>
          <w:highlight w:val="none"/>
          <w:lang w:val="en-US" w:eastAsia="zh-CN" w:bidi="ar"/>
        </w:rPr>
        <w:t>管理，保证供电设施及线路正常运行；加强输水管线的巡查，及时发现问题及时解决；建立污水处理厂运行管理和操作责任制度；搞好员工培训，建立技术考核档案，不合格者不得上岗；加强设备、设施的维护与管理，关键设备应有备机，保证电源双回路供电。</w:t>
      </w:r>
    </w:p>
    <w:p w14:paraId="20A3A06E">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一旦发生事故，立即采取以下措施：</w:t>
      </w:r>
    </w:p>
    <w:p w14:paraId="21F65EE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①保证格栅和沉砂池正常运行，使进水中的</w:t>
      </w:r>
      <w:r>
        <w:rPr>
          <w:rFonts w:hint="default" w:ascii="Times New Roman" w:hAnsi="Times New Roman" w:eastAsia="宋体" w:cs="Times New Roman"/>
          <w:color w:val="000000"/>
          <w:kern w:val="0"/>
          <w:sz w:val="24"/>
          <w:szCs w:val="24"/>
          <w:highlight w:val="none"/>
          <w:lang w:val="en-US" w:eastAsia="zh-CN" w:bidi="ar"/>
        </w:rPr>
        <w:t>SS</w:t>
      </w:r>
      <w:r>
        <w:rPr>
          <w:rFonts w:hint="eastAsia" w:ascii="宋体" w:hAnsi="宋体" w:eastAsia="宋体" w:cs="宋体"/>
          <w:color w:val="000000"/>
          <w:kern w:val="0"/>
          <w:sz w:val="24"/>
          <w:szCs w:val="24"/>
          <w:highlight w:val="none"/>
          <w:lang w:val="en-US" w:eastAsia="zh-CN" w:bidi="ar"/>
        </w:rPr>
        <w:t>和</w:t>
      </w:r>
      <w:r>
        <w:rPr>
          <w:rFonts w:hint="default" w:ascii="Times New Roman" w:hAnsi="Times New Roman" w:eastAsia="宋体" w:cs="Times New Roman"/>
          <w:color w:val="000000"/>
          <w:kern w:val="0"/>
          <w:sz w:val="24"/>
          <w:szCs w:val="24"/>
          <w:highlight w:val="none"/>
          <w:lang w:val="en-US" w:eastAsia="zh-CN" w:bidi="ar"/>
        </w:rPr>
        <w:t>CODcr</w:t>
      </w:r>
      <w:r>
        <w:rPr>
          <w:rFonts w:hint="eastAsia" w:ascii="宋体" w:hAnsi="宋体" w:eastAsia="宋体" w:cs="宋体"/>
          <w:color w:val="000000"/>
          <w:kern w:val="0"/>
          <w:sz w:val="24"/>
          <w:szCs w:val="24"/>
          <w:highlight w:val="none"/>
          <w:lang w:val="en-US" w:eastAsia="zh-CN" w:bidi="ar"/>
        </w:rPr>
        <w:t>得到一定的削减；</w:t>
      </w:r>
    </w:p>
    <w:p w14:paraId="2FE057D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②从汇水系统查找原因，有关企事业单位采取应急措施，控制对微生物有毒害物质的排放量；</w:t>
      </w:r>
    </w:p>
    <w:p w14:paraId="1FFBB97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③如一旦出现不可抗拒的外部原因，如双回路停电，突发性自然灾害等情况将导致污水未处理外排时，要求临时限制南岳区居民生活排水，以确保水体功能安全；</w:t>
      </w:r>
    </w:p>
    <w:p w14:paraId="345D116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④在事故发生及处理期间，应在入河排放口附近水域悬挂标志示警，提醒各有关方面采取防范措施。</w:t>
      </w:r>
    </w:p>
    <w:p w14:paraId="5CAF82B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）暴雨对污水处理厂影响的预防措施</w:t>
      </w:r>
    </w:p>
    <w:p w14:paraId="3CC05D2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设计中要充分考虑到暴雨的影响，按国家有关规定，考虑设计年和校核年暴雨的影响。</w:t>
      </w:r>
    </w:p>
    <w:p w14:paraId="1CFA88D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）管道渗漏预防措施</w:t>
      </w:r>
    </w:p>
    <w:p w14:paraId="2763B0C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施工过程中确定工程质量，做好污水输送管道的防渗措施。运行期定期检查，一旦发现管道渗漏及时修复。</w:t>
      </w:r>
    </w:p>
    <w:p w14:paraId="29F3F58F">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）地下水应急处置和应急预案</w:t>
      </w:r>
    </w:p>
    <w:p w14:paraId="1AD1E31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在制定全厂安全管理体制的基础上，制订专门的地下水污染事故的应急措施，并应与其它应急预案相协调。一旦发现地下水发生异常情况，必须按照应急预案马上采取紧急措施：</w:t>
      </w:r>
    </w:p>
    <w:p w14:paraId="0FD2345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）当确定发生地下水异常情况时，按照制订的地下水应急预案，在第一时间内尽快上报主管领导，通知当地生态环境局、附近居民等地下水用户，密切关注地下水水质变化情况。</w:t>
      </w:r>
    </w:p>
    <w:p w14:paraId="3183E618">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组织专业队伍对事故现场进行调查、监测，查找环境事故发生地点、分析事故原因，尽量将紧急事件局部化，如可能应予以消除，采取包括切断生产装置或设施等措施，防止事故的扩散、蔓延及连锁反应，尽量缩小地下水污染事故的影响。</w:t>
      </w:r>
    </w:p>
    <w:p w14:paraId="3745492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当通过监测发现对周围地下水造成污染时，根据观测井的反馈信息，控制污染区地下水流场，防止污染物扩散。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当发现地下水受到范围污染时，首先确定污染的大致范围。根据污染的范围，在污染区的下游位置布置应急排水井，抽入污水送污水处理厂集中处理。</w:t>
      </w:r>
    </w:p>
    <w:p w14:paraId="79047A3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）对事故后果进行评估，并制定防止类似事件发生的措施。</w:t>
      </w:r>
    </w:p>
    <w:p w14:paraId="5946347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）如果自身力量无法应对污染事故，应立即请求社会应急力量协助处理。</w:t>
      </w:r>
    </w:p>
    <w:p w14:paraId="3AD433A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综上所述，污水处理工程存在一定的环境风险，包括对附近水域的污染影响，在设计中应充分考虑到可能的风险事故并采取必要的措施，在日常工作中加强管理，预防和及时处理风险事故，减少可能的环境影响及经济损失。</w:t>
      </w:r>
    </w:p>
    <w:p w14:paraId="32A5272F">
      <w:pPr>
        <w:pStyle w:val="2"/>
        <w:jc w:val="both"/>
        <w:rPr>
          <w:rFonts w:hint="eastAsia"/>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0AF18FE3">
      <w:pPr>
        <w:pStyle w:val="5"/>
        <w:numPr>
          <w:ilvl w:val="0"/>
          <w:numId w:val="7"/>
        </w:numPr>
        <w:bidi w:val="0"/>
        <w:ind w:leftChars="0"/>
        <w:jc w:val="center"/>
        <w:outlineLvl w:val="0"/>
        <w:rPr>
          <w:rStyle w:val="35"/>
          <w:rFonts w:hint="eastAsia" w:ascii="Times New Roman" w:hAnsi="Times New Roman" w:eastAsia="宋体" w:cs="Times New Roman"/>
          <w:b/>
          <w:highlight w:val="none"/>
          <w:lang w:val="en-US" w:eastAsia="zh-CN"/>
        </w:rPr>
      </w:pPr>
      <w:r>
        <w:rPr>
          <w:rStyle w:val="35"/>
          <w:rFonts w:hint="eastAsia" w:cs="Times New Roman"/>
          <w:b/>
          <w:highlight w:val="none"/>
          <w:lang w:val="en-US" w:eastAsia="zh-CN"/>
        </w:rPr>
        <w:t xml:space="preserve"> </w:t>
      </w:r>
      <w:bookmarkStart w:id="102" w:name="_Toc20561"/>
      <w:r>
        <w:rPr>
          <w:rStyle w:val="35"/>
          <w:rFonts w:hint="eastAsia" w:ascii="Times New Roman" w:hAnsi="Times New Roman" w:eastAsia="宋体" w:cs="Times New Roman"/>
          <w:b/>
          <w:highlight w:val="none"/>
          <w:lang w:val="en-US" w:eastAsia="zh-CN"/>
        </w:rPr>
        <w:t>入河排污口设置合理性分析</w:t>
      </w:r>
      <w:bookmarkEnd w:id="102"/>
    </w:p>
    <w:p w14:paraId="2273266C">
      <w:pPr>
        <w:pStyle w:val="5"/>
        <w:numPr>
          <w:ilvl w:val="0"/>
          <w:numId w:val="0"/>
        </w:numPr>
        <w:bidi w:val="0"/>
        <w:ind w:leftChars="0"/>
        <w:rPr>
          <w:rFonts w:hint="eastAsia" w:ascii="宋体" w:hAnsi="宋体"/>
          <w:color w:val="auto"/>
          <w:szCs w:val="21"/>
          <w:highlight w:val="none"/>
          <w:u w:val="none"/>
        </w:rPr>
      </w:pPr>
      <w:bookmarkStart w:id="103" w:name="_Toc19828"/>
      <w:bookmarkStart w:id="104" w:name="_Toc7260"/>
      <w:bookmarkStart w:id="105" w:name="_Toc20760"/>
      <w:r>
        <w:rPr>
          <w:rFonts w:hint="eastAsia"/>
          <w:color w:val="auto"/>
          <w:highlight w:val="none"/>
          <w:u w:val="none"/>
          <w:lang w:val="en-US" w:eastAsia="zh-CN"/>
        </w:rPr>
        <w:t>8.1</w:t>
      </w:r>
      <w:r>
        <w:rPr>
          <w:rFonts w:hint="eastAsia" w:ascii="宋体" w:hAnsi="宋体"/>
          <w:color w:val="auto"/>
          <w:szCs w:val="21"/>
          <w:highlight w:val="none"/>
          <w:u w:val="none"/>
        </w:rPr>
        <w:t xml:space="preserve"> </w:t>
      </w:r>
      <w:bookmarkEnd w:id="103"/>
      <w:bookmarkStart w:id="106" w:name="_Toc102063615"/>
      <w:r>
        <w:rPr>
          <w:rFonts w:hint="eastAsia" w:ascii="宋体" w:hAnsi="宋体"/>
          <w:color w:val="auto"/>
          <w:szCs w:val="21"/>
          <w:highlight w:val="none"/>
          <w:u w:val="none"/>
        </w:rPr>
        <w:t>与</w:t>
      </w:r>
      <w:r>
        <w:rPr>
          <w:rFonts w:hint="eastAsia" w:ascii="宋体" w:hAnsi="宋体"/>
          <w:color w:val="auto"/>
          <w:szCs w:val="21"/>
          <w:highlight w:val="none"/>
          <w:u w:val="none"/>
          <w:lang w:eastAsia="zh-CN"/>
        </w:rPr>
        <w:t>国家法律、</w:t>
      </w:r>
      <w:r>
        <w:rPr>
          <w:rFonts w:hint="eastAsia" w:ascii="宋体" w:hAnsi="宋体"/>
          <w:color w:val="auto"/>
          <w:szCs w:val="21"/>
          <w:highlight w:val="none"/>
          <w:u w:val="none"/>
        </w:rPr>
        <w:t>产业政策、区域规划相符性分析</w:t>
      </w:r>
      <w:bookmarkEnd w:id="104"/>
      <w:bookmarkEnd w:id="105"/>
      <w:bookmarkEnd w:id="106"/>
    </w:p>
    <w:p w14:paraId="0C7DC3B4">
      <w:pPr>
        <w:pStyle w:val="6"/>
        <w:bidi w:val="0"/>
        <w:rPr>
          <w:rFonts w:hint="default"/>
          <w:highlight w:val="none"/>
          <w:lang w:val="en-US" w:eastAsia="zh-CN"/>
        </w:rPr>
      </w:pPr>
      <w:r>
        <w:rPr>
          <w:rFonts w:hint="default"/>
          <w:highlight w:val="none"/>
          <w:lang w:val="en-US" w:eastAsia="zh-CN"/>
        </w:rPr>
        <w:t>8.1.1</w:t>
      </w:r>
      <w:r>
        <w:rPr>
          <w:rFonts w:hint="eastAsia"/>
          <w:highlight w:val="none"/>
          <w:lang w:val="en-US" w:eastAsia="zh-CN"/>
        </w:rPr>
        <w:t xml:space="preserve"> </w:t>
      </w:r>
      <w:r>
        <w:rPr>
          <w:rFonts w:hint="default"/>
          <w:highlight w:val="none"/>
          <w:lang w:val="en-US" w:eastAsia="zh-CN"/>
        </w:rPr>
        <w:t>与《中华人民共和国水污染防治法》符合性分析</w:t>
      </w:r>
    </w:p>
    <w:p w14:paraId="3430EEDD">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根据《中华人民共和国水污染防治法》中“第六十四条 在饮用水水源保护区内，禁止设置排污口”，“第七十五条 在风景名胜区水体、重要渔业水体和其他具有特殊经济文化价值的水体的保护区内，不得新建排污口。在保护区附近新建排污口，应当保证保护区水体不受污染”。</w:t>
      </w:r>
    </w:p>
    <w:p w14:paraId="50EF9C4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cs="Times New Roman"/>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default" w:ascii="Times New Roman" w:hAnsi="Times New Roman" w:cs="Times New Roman"/>
          <w:sz w:val="24"/>
          <w:szCs w:val="24"/>
          <w:highlight w:val="none"/>
          <w:lang w:val="en-US" w:eastAsia="zh-CN"/>
        </w:rPr>
        <w:t>不在饮用水源地保护区、风景名胜区</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重要渔业水体、其他具有特殊经济文化价值的水体的保护区内</w:t>
      </w:r>
      <w:r>
        <w:rPr>
          <w:rFonts w:hint="eastAsia" w:cs="Times New Roman"/>
          <w:sz w:val="24"/>
          <w:szCs w:val="24"/>
          <w:highlight w:val="none"/>
          <w:lang w:val="en-US" w:eastAsia="zh-CN"/>
        </w:rPr>
        <w:t>。</w:t>
      </w:r>
    </w:p>
    <w:p w14:paraId="05C48D9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因此，</w:t>
      </w:r>
      <w:r>
        <w:rPr>
          <w:rFonts w:hint="eastAsia" w:ascii="Times New Roman" w:hAnsi="Times New Roman" w:cs="Times New Roman"/>
          <w:b w:val="0"/>
          <w:bCs w:val="0"/>
          <w:color w:val="000000"/>
          <w:sz w:val="24"/>
          <w:szCs w:val="24"/>
          <w:highlight w:val="none"/>
          <w:lang w:val="en-US" w:eastAsia="zh-CN"/>
        </w:rPr>
        <w:t>本入河排污口</w:t>
      </w:r>
      <w:r>
        <w:rPr>
          <w:rFonts w:hint="default" w:ascii="Times New Roman" w:hAnsi="Times New Roman" w:cs="Times New Roman"/>
          <w:sz w:val="24"/>
          <w:szCs w:val="24"/>
          <w:highlight w:val="none"/>
          <w:lang w:val="en-US" w:eastAsia="zh-CN"/>
        </w:rPr>
        <w:t>符合《中华人民共和国水污染防治法》的</w:t>
      </w:r>
      <w:r>
        <w:rPr>
          <w:rFonts w:hint="eastAsia" w:cs="Times New Roman"/>
          <w:sz w:val="24"/>
          <w:szCs w:val="24"/>
          <w:highlight w:val="none"/>
          <w:lang w:val="en-US" w:eastAsia="zh-CN"/>
        </w:rPr>
        <w:t>相关</w:t>
      </w:r>
      <w:r>
        <w:rPr>
          <w:rFonts w:hint="default" w:ascii="Times New Roman" w:hAnsi="Times New Roman" w:cs="Times New Roman"/>
          <w:sz w:val="24"/>
          <w:szCs w:val="24"/>
          <w:highlight w:val="none"/>
          <w:lang w:val="en-US" w:eastAsia="zh-CN"/>
        </w:rPr>
        <w:t>规定。</w:t>
      </w:r>
    </w:p>
    <w:p w14:paraId="2F4926AD">
      <w:pPr>
        <w:pStyle w:val="6"/>
        <w:bidi w:val="0"/>
        <w:rPr>
          <w:rFonts w:hint="eastAsia"/>
          <w:highlight w:val="none"/>
          <w:lang w:val="en-US" w:eastAsia="zh-CN"/>
        </w:rPr>
      </w:pPr>
      <w:r>
        <w:rPr>
          <w:rFonts w:hint="eastAsia"/>
          <w:highlight w:val="none"/>
          <w:lang w:val="en-US" w:eastAsia="zh-CN"/>
        </w:rPr>
        <w:t>8.1.2 与《国务院办公厅关于加强入河入海排污口监督管理工作的实施意见》（国办函[2022]17号）的相符性分析</w:t>
      </w:r>
    </w:p>
    <w:p w14:paraId="7D61C29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cs="Times New Roman"/>
          <w:b w:val="0"/>
          <w:bCs w:val="0"/>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国办函[2022]17号文件中要求：“（十二）严格规范审批。工矿企业、工业及其他各类园区污水处理厂、城镇污水处理厂入河排污口的设置依法依规实行审核制。所有入海排污口的设置实行备案制。对未达到水质目标的水功能区，除城镇污水处理厂入河排污口外，应当严格控制新设、改设或者扩大排污口。”</w:t>
      </w:r>
    </w:p>
    <w:p w14:paraId="4C6E726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cs="Times New Roman"/>
          <w:b w:val="0"/>
          <w:bCs w:val="0"/>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本入河排污口属于城镇污水处理厂入河排污口，符合“国办函[2022]17号”的相关要求。</w:t>
      </w:r>
    </w:p>
    <w:p w14:paraId="4C06D261">
      <w:pPr>
        <w:pStyle w:val="6"/>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8.1.</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 xml:space="preserve"> 产业政策符合性分析</w:t>
      </w:r>
    </w:p>
    <w:p w14:paraId="7CB8E9A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根据《产业结构调整指导目录（2024年本）》，</w:t>
      </w:r>
      <w:r>
        <w:rPr>
          <w:rFonts w:hint="eastAsia" w:ascii="Times New Roman" w:hAnsi="Times New Roman" w:cs="Times New Roman"/>
          <w:b w:val="0"/>
          <w:bCs w:val="0"/>
          <w:color w:val="000000"/>
          <w:sz w:val="24"/>
          <w:szCs w:val="24"/>
          <w:highlight w:val="none"/>
          <w:lang w:val="en-US" w:eastAsia="zh-CN"/>
        </w:rPr>
        <w:t>本入河排污口</w:t>
      </w:r>
      <w:r>
        <w:rPr>
          <w:rFonts w:hint="eastAsia" w:ascii="Times New Roman" w:hAnsi="Times New Roman" w:eastAsia="宋体" w:cs="Times New Roman"/>
          <w:sz w:val="24"/>
          <w:szCs w:val="24"/>
          <w:highlight w:val="none"/>
          <w:lang w:val="en-US" w:eastAsia="zh-CN"/>
        </w:rPr>
        <w:t>属于政府鼓励类的“二十二、城市基础设施”中“城镇供排水工程”和“四十二、环境保护与资源节约综合利用”中“10、‘三废’综合利用与治理技术、装备和工程”。</w:t>
      </w:r>
    </w:p>
    <w:p w14:paraId="21859BA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因此，</w:t>
      </w:r>
      <w:r>
        <w:rPr>
          <w:rFonts w:hint="eastAsia" w:ascii="Times New Roman" w:hAnsi="Times New Roman" w:cs="Times New Roman"/>
          <w:b w:val="0"/>
          <w:bCs w:val="0"/>
          <w:color w:val="000000"/>
          <w:sz w:val="24"/>
          <w:szCs w:val="24"/>
          <w:highlight w:val="none"/>
          <w:lang w:val="en-US" w:eastAsia="zh-CN"/>
        </w:rPr>
        <w:t>本入河排污口</w:t>
      </w:r>
      <w:r>
        <w:rPr>
          <w:rFonts w:hint="eastAsia" w:ascii="Times New Roman" w:hAnsi="Times New Roman" w:eastAsia="宋体" w:cs="Times New Roman"/>
          <w:sz w:val="24"/>
          <w:szCs w:val="24"/>
          <w:highlight w:val="none"/>
          <w:lang w:val="en-US" w:eastAsia="zh-CN"/>
        </w:rPr>
        <w:t>符合国家产业政策。</w:t>
      </w:r>
    </w:p>
    <w:p w14:paraId="51024592">
      <w:pPr>
        <w:pStyle w:val="6"/>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8.1.</w:t>
      </w:r>
      <w:r>
        <w:rPr>
          <w:rFonts w:hint="eastAsia" w:cs="Times New Roman"/>
          <w:highlight w:val="none"/>
          <w:lang w:val="en-US" w:eastAsia="zh-CN"/>
        </w:rPr>
        <w:t>4</w:t>
      </w:r>
      <w:r>
        <w:rPr>
          <w:rFonts w:hint="eastAsia" w:ascii="Times New Roman" w:hAnsi="Times New Roman" w:eastAsia="宋体" w:cs="Times New Roman"/>
          <w:highlight w:val="none"/>
          <w:lang w:val="en-US" w:eastAsia="zh-CN"/>
        </w:rPr>
        <w:t xml:space="preserve"> </w:t>
      </w:r>
      <w:r>
        <w:rPr>
          <w:rFonts w:hint="eastAsia" w:cs="Times New Roman"/>
          <w:highlight w:val="none"/>
          <w:lang w:val="en-US" w:eastAsia="zh-CN"/>
        </w:rPr>
        <w:t>与</w:t>
      </w:r>
      <w:r>
        <w:rPr>
          <w:rFonts w:hint="eastAsia" w:ascii="Times New Roman" w:hAnsi="Times New Roman" w:eastAsia="宋体" w:cs="Times New Roman"/>
          <w:highlight w:val="none"/>
          <w:lang w:val="en-US" w:eastAsia="zh-CN"/>
        </w:rPr>
        <w:t>区域环保规划符合性分析</w:t>
      </w:r>
    </w:p>
    <w:p w14:paraId="7A7A6F6F">
      <w:pPr>
        <w:spacing w:line="360" w:lineRule="auto"/>
        <w:ind w:left="0" w:leftChars="0" w:firstLine="480" w:firstLineChars="200"/>
        <w:jc w:val="both"/>
        <w:rPr>
          <w:rFonts w:hint="default" w:ascii="Times New Roman" w:hAnsi="Times New Roman" w:cs="Times New Roman"/>
          <w:b w:val="0"/>
          <w:bCs/>
          <w:color w:val="auto"/>
          <w:kern w:val="2"/>
          <w:sz w:val="24"/>
          <w:szCs w:val="24"/>
          <w:highlight w:val="none"/>
          <w:u w:val="none"/>
          <w:lang w:val="en-US" w:eastAsia="zh-CN" w:bidi="ar-SA"/>
        </w:rPr>
      </w:pPr>
      <w:r>
        <w:rPr>
          <w:rFonts w:hint="default" w:ascii="Times New Roman" w:hAnsi="Times New Roman" w:cs="Times New Roman"/>
          <w:b w:val="0"/>
          <w:bCs/>
          <w:color w:val="auto"/>
          <w:kern w:val="2"/>
          <w:sz w:val="24"/>
          <w:szCs w:val="24"/>
          <w:highlight w:val="none"/>
          <w:u w:val="none"/>
          <w:lang w:val="en-US" w:eastAsia="zh-CN" w:bidi="ar-SA"/>
        </w:rPr>
        <w:t>根据《衡阳市“十四五”生态环境保护规划》（衡政办发〔2021〕37号），衡阳市“十三五”生态环境保护发展现状中“</w:t>
      </w:r>
      <w:r>
        <w:rPr>
          <w:rFonts w:hint="default" w:ascii="Times New Roman" w:hAnsi="Times New Roman" w:eastAsia="宋体" w:cs="Times New Roman"/>
          <w:b w:val="0"/>
          <w:bCs/>
          <w:color w:val="auto"/>
          <w:kern w:val="2"/>
          <w:sz w:val="24"/>
          <w:szCs w:val="24"/>
          <w:highlight w:val="none"/>
          <w:u w:val="none"/>
          <w:lang w:val="en-US" w:eastAsia="zh-CN" w:bidi="ar-SA"/>
        </w:rPr>
        <w:t>不断强化城镇生活污水治理，全市建成污水处理厂13座，总处理能力89万t/d，县级以上城镇污水处理率达96%。完成归阳镇、新市镇等37个乡镇生活污水处理厂及配套管网工程建设。</w:t>
      </w:r>
      <w:r>
        <w:rPr>
          <w:rFonts w:hint="default" w:ascii="Times New Roman" w:hAnsi="Times New Roman" w:cs="Times New Roman"/>
          <w:b w:val="0"/>
          <w:bCs/>
          <w:color w:val="auto"/>
          <w:kern w:val="2"/>
          <w:sz w:val="24"/>
          <w:szCs w:val="24"/>
          <w:highlight w:val="none"/>
          <w:u w:val="none"/>
          <w:lang w:val="en-US" w:eastAsia="zh-CN" w:bidi="ar-SA"/>
        </w:rPr>
        <w:t>”</w:t>
      </w:r>
    </w:p>
    <w:p w14:paraId="60994B68">
      <w:pPr>
        <w:spacing w:line="360" w:lineRule="auto"/>
        <w:ind w:left="0" w:leftChars="0" w:firstLine="480" w:firstLineChars="200"/>
        <w:jc w:val="both"/>
        <w:rPr>
          <w:rFonts w:hint="default" w:ascii="Times New Roman" w:hAnsi="Times New Roman" w:cs="Times New Roman"/>
          <w:b w:val="0"/>
          <w:bCs/>
          <w:color w:val="auto"/>
          <w:kern w:val="2"/>
          <w:sz w:val="24"/>
          <w:szCs w:val="24"/>
          <w:highlight w:val="none"/>
          <w:u w:val="none"/>
          <w:lang w:val="en-US" w:eastAsia="zh-CN" w:bidi="ar-SA"/>
        </w:rPr>
      </w:pPr>
      <w:r>
        <w:rPr>
          <w:rFonts w:hint="default" w:ascii="Times New Roman" w:hAnsi="Times New Roman" w:cs="Times New Roman"/>
          <w:b w:val="0"/>
          <w:bCs/>
          <w:color w:val="auto"/>
          <w:kern w:val="2"/>
          <w:sz w:val="24"/>
          <w:szCs w:val="24"/>
          <w:highlight w:val="none"/>
          <w:u w:val="none"/>
          <w:lang w:val="en-US" w:eastAsia="zh-CN" w:bidi="ar-SA"/>
        </w:rPr>
        <w:t>根据衡阳市“十四五”规划要求，“（二）深入打好碧水保卫战”中“加强城镇水污染防治。加强乡镇污水处理基础设施建设、提升城镇生活污水处理能力。以补足城乡污水收集和处理设施短板为重点，加强生活源污染治理，城市污水收集处理系统要适应城镇化发展，完善城市污水管网建设，实现建成区污水管网全覆盖，改造老旧破损管网及检查井，系统解决管网漏损问题。……2025年底，基本消除城中村、老旧城区和城乡结合部生活污水收集处理设施空白区，县以上城市（含县城）生活污水集中收集率达到70%，进水水质五日生化耗氧量浓度大于100mg/L的污水处理厂规模占比不低于30%，乡镇政府所在地污水处理设施覆盖率达到100%。”</w:t>
      </w:r>
    </w:p>
    <w:p w14:paraId="72136D20">
      <w:pPr>
        <w:spacing w:line="360" w:lineRule="auto"/>
        <w:ind w:left="0" w:leftChars="0" w:firstLine="480" w:firstLineChars="200"/>
        <w:jc w:val="both"/>
        <w:rPr>
          <w:rFonts w:hint="default" w:ascii="Times New Roman" w:hAnsi="Times New Roman" w:eastAsia="宋体" w:cs="Times New Roman"/>
          <w:b w:val="0"/>
          <w:bCs/>
          <w:color w:val="auto"/>
          <w:kern w:val="2"/>
          <w:sz w:val="24"/>
          <w:szCs w:val="24"/>
          <w:highlight w:val="none"/>
          <w:u w:val="none"/>
          <w:lang w:val="en-US" w:eastAsia="zh-CN" w:bidi="ar-SA"/>
        </w:rPr>
      </w:pPr>
      <w:r>
        <w:rPr>
          <w:rFonts w:hint="default" w:ascii="Times New Roman" w:hAnsi="Times New Roman" w:eastAsia="宋体" w:cs="Times New Roman"/>
          <w:b w:val="0"/>
          <w:bCs/>
          <w:color w:val="auto"/>
          <w:kern w:val="2"/>
          <w:sz w:val="24"/>
          <w:szCs w:val="24"/>
          <w:highlight w:val="none"/>
          <w:u w:val="none"/>
          <w:lang w:val="en-US" w:eastAsia="zh-CN" w:bidi="ar-SA"/>
        </w:rPr>
        <w:t>“加强入河排污口排查整治与监管。贯彻执行《湖南省入河排污口监督管理办法》，加强全市入河排污口监督管理。结合长江入河排污口排查整治专项行动，2023年完成湘江衡阳段、蒸水流域和耒水流域等全市各流域入河排污口排查工作，配合省一级建立入河排污口名录，初步建成统一的流域排污口信息管理系统。”</w:t>
      </w:r>
    </w:p>
    <w:p w14:paraId="6E1D2D5B">
      <w:pPr>
        <w:spacing w:line="360" w:lineRule="auto"/>
        <w:ind w:left="0" w:leftChars="0" w:firstLine="480" w:firstLineChars="200"/>
        <w:jc w:val="both"/>
        <w:rPr>
          <w:rFonts w:hint="default" w:ascii="Times New Roman" w:hAnsi="Times New Roman" w:eastAsia="宋体" w:cs="Times New Roman"/>
          <w:b w:val="0"/>
          <w:bCs/>
          <w:color w:val="auto"/>
          <w:kern w:val="2"/>
          <w:sz w:val="24"/>
          <w:szCs w:val="24"/>
          <w:highlight w:val="none"/>
          <w:u w:val="none"/>
          <w:lang w:val="en-US" w:eastAsia="zh-CN" w:bidi="ar-SA"/>
        </w:rPr>
      </w:pPr>
      <w:r>
        <w:rPr>
          <w:rFonts w:hint="eastAsia" w:ascii="Times New Roman" w:hAnsi="Times New Roman" w:cs="Times New Roman"/>
          <w:b w:val="0"/>
          <w:bCs w:val="0"/>
          <w:color w:val="000000"/>
          <w:sz w:val="24"/>
          <w:szCs w:val="24"/>
          <w:highlight w:val="none"/>
          <w:lang w:val="en-US" w:eastAsia="zh-CN"/>
        </w:rPr>
        <w:t>本入河排污口的建设属于南岳区污水处理厂建设的重要组成部分，南岳区污水处理厂扩建及提质改造后</w:t>
      </w:r>
      <w:r>
        <w:rPr>
          <w:rFonts w:hint="default" w:ascii="Times New Roman" w:hAnsi="Times New Roman" w:eastAsia="宋体" w:cs="Times New Roman"/>
          <w:b w:val="0"/>
          <w:bCs/>
          <w:color w:val="auto"/>
          <w:kern w:val="2"/>
          <w:sz w:val="24"/>
          <w:szCs w:val="24"/>
          <w:highlight w:val="none"/>
          <w:u w:val="none"/>
          <w:lang w:val="en-US" w:eastAsia="zh-CN" w:bidi="ar-SA"/>
        </w:rPr>
        <w:t>，可有效收集南岳区城区</w:t>
      </w:r>
      <w:r>
        <w:rPr>
          <w:rFonts w:hint="eastAsia" w:cs="Times New Roman"/>
          <w:b w:val="0"/>
          <w:bCs/>
          <w:color w:val="auto"/>
          <w:kern w:val="2"/>
          <w:sz w:val="24"/>
          <w:szCs w:val="24"/>
          <w:highlight w:val="none"/>
          <w:u w:val="none"/>
          <w:lang w:val="en-US" w:eastAsia="zh-CN" w:bidi="ar-SA"/>
        </w:rPr>
        <w:t>居民</w:t>
      </w:r>
      <w:r>
        <w:rPr>
          <w:rFonts w:hint="default" w:ascii="Times New Roman" w:hAnsi="Times New Roman" w:eastAsia="宋体" w:cs="Times New Roman"/>
          <w:b w:val="0"/>
          <w:bCs/>
          <w:color w:val="auto"/>
          <w:kern w:val="2"/>
          <w:sz w:val="24"/>
          <w:szCs w:val="24"/>
          <w:highlight w:val="none"/>
          <w:u w:val="none"/>
          <w:lang w:val="en-US" w:eastAsia="zh-CN" w:bidi="ar-SA"/>
        </w:rPr>
        <w:t>生活污水，并进行集中效处理，可有效</w:t>
      </w:r>
      <w:r>
        <w:rPr>
          <w:rFonts w:hint="eastAsia" w:cs="Times New Roman"/>
          <w:b w:val="0"/>
          <w:bCs/>
          <w:color w:val="auto"/>
          <w:kern w:val="2"/>
          <w:sz w:val="24"/>
          <w:szCs w:val="24"/>
          <w:highlight w:val="none"/>
          <w:u w:val="none"/>
          <w:lang w:val="en-US" w:eastAsia="zh-CN" w:bidi="ar-SA"/>
        </w:rPr>
        <w:t>改善及保护</w:t>
      </w:r>
      <w:r>
        <w:rPr>
          <w:rFonts w:hint="default" w:ascii="Times New Roman" w:hAnsi="Times New Roman" w:eastAsia="宋体" w:cs="Times New Roman"/>
          <w:b w:val="0"/>
          <w:bCs/>
          <w:color w:val="auto"/>
          <w:kern w:val="2"/>
          <w:sz w:val="24"/>
          <w:szCs w:val="24"/>
          <w:highlight w:val="none"/>
          <w:u w:val="none"/>
          <w:lang w:val="en-US" w:eastAsia="zh-CN" w:bidi="ar-SA"/>
        </w:rPr>
        <w:t>龙荫港的水质。</w:t>
      </w:r>
      <w:r>
        <w:rPr>
          <w:rFonts w:hint="eastAsia" w:cs="Times New Roman"/>
          <w:b w:val="0"/>
          <w:bCs/>
          <w:color w:val="auto"/>
          <w:kern w:val="2"/>
          <w:sz w:val="24"/>
          <w:szCs w:val="24"/>
          <w:highlight w:val="none"/>
          <w:u w:val="none"/>
          <w:lang w:val="en-US" w:eastAsia="zh-CN" w:bidi="ar-SA"/>
        </w:rPr>
        <w:t>此外，本</w:t>
      </w:r>
      <w:r>
        <w:rPr>
          <w:rFonts w:hint="default" w:ascii="Times New Roman" w:hAnsi="Times New Roman" w:eastAsia="宋体" w:cs="Times New Roman"/>
          <w:b w:val="0"/>
          <w:bCs/>
          <w:color w:val="auto"/>
          <w:kern w:val="2"/>
          <w:sz w:val="24"/>
          <w:szCs w:val="24"/>
          <w:highlight w:val="none"/>
          <w:u w:val="none"/>
          <w:lang w:val="en-US" w:eastAsia="zh-CN" w:bidi="ar-SA"/>
        </w:rPr>
        <w:t>入河排污口规范化设置，有利于衡阳市入河排污口监督管理工作的开展。</w:t>
      </w:r>
    </w:p>
    <w:p w14:paraId="2571BE24">
      <w:pPr>
        <w:spacing w:line="360" w:lineRule="auto"/>
        <w:ind w:left="0" w:leftChars="0" w:firstLine="480" w:firstLineChars="200"/>
        <w:jc w:val="both"/>
        <w:rPr>
          <w:rFonts w:hint="eastAsia" w:ascii="Times New Roman" w:hAnsi="Times New Roman" w:eastAsia="宋体" w:cs="Times New Roman"/>
          <w:color w:val="auto"/>
          <w:highlight w:val="none"/>
          <w:u w:val="none"/>
          <w:lang w:val="en-US" w:eastAsia="zh-CN"/>
        </w:rPr>
      </w:pPr>
      <w:r>
        <w:rPr>
          <w:rFonts w:hint="eastAsia" w:cs="Times New Roman"/>
          <w:b w:val="0"/>
          <w:bCs/>
          <w:color w:val="auto"/>
          <w:kern w:val="2"/>
          <w:sz w:val="24"/>
          <w:szCs w:val="24"/>
          <w:highlight w:val="none"/>
          <w:u w:val="none"/>
          <w:lang w:val="en-US" w:eastAsia="zh-CN" w:bidi="ar-SA"/>
        </w:rPr>
        <w:t>综上所述，</w:t>
      </w:r>
      <w:r>
        <w:rPr>
          <w:rFonts w:hint="eastAsia" w:ascii="Times New Roman" w:hAnsi="Times New Roman" w:cs="Times New Roman"/>
          <w:b w:val="0"/>
          <w:bCs w:val="0"/>
          <w:color w:val="000000"/>
          <w:sz w:val="24"/>
          <w:szCs w:val="24"/>
          <w:highlight w:val="none"/>
          <w:lang w:val="en-US" w:eastAsia="zh-CN"/>
        </w:rPr>
        <w:t>本入河排污口的建设</w:t>
      </w:r>
      <w:r>
        <w:rPr>
          <w:rFonts w:hint="default" w:ascii="Times New Roman" w:hAnsi="Times New Roman" w:eastAsia="宋体" w:cs="Times New Roman"/>
          <w:b w:val="0"/>
          <w:bCs/>
          <w:color w:val="auto"/>
          <w:kern w:val="2"/>
          <w:sz w:val="24"/>
          <w:szCs w:val="24"/>
          <w:highlight w:val="none"/>
          <w:u w:val="none"/>
          <w:lang w:val="en-US" w:eastAsia="zh-CN" w:bidi="ar-SA"/>
        </w:rPr>
        <w:t>符合《衡阳市“十四五”生态环境保护规划》</w:t>
      </w:r>
      <w:r>
        <w:rPr>
          <w:rFonts w:hint="eastAsia" w:cs="Times New Roman"/>
          <w:b w:val="0"/>
          <w:bCs/>
          <w:color w:val="auto"/>
          <w:kern w:val="2"/>
          <w:sz w:val="24"/>
          <w:szCs w:val="24"/>
          <w:highlight w:val="none"/>
          <w:u w:val="none"/>
          <w:lang w:val="en-US" w:eastAsia="zh-CN" w:bidi="ar-SA"/>
        </w:rPr>
        <w:t>相关</w:t>
      </w:r>
      <w:r>
        <w:rPr>
          <w:rFonts w:hint="default" w:ascii="Times New Roman" w:hAnsi="Times New Roman" w:eastAsia="宋体" w:cs="Times New Roman"/>
          <w:b w:val="0"/>
          <w:bCs/>
          <w:color w:val="auto"/>
          <w:kern w:val="2"/>
          <w:sz w:val="24"/>
          <w:szCs w:val="24"/>
          <w:highlight w:val="none"/>
          <w:u w:val="none"/>
          <w:lang w:val="en-US" w:eastAsia="zh-CN" w:bidi="ar-SA"/>
        </w:rPr>
        <w:t>要求。</w:t>
      </w:r>
      <w:bookmarkStart w:id="107" w:name="_Toc4352"/>
    </w:p>
    <w:p w14:paraId="5C2A9C05">
      <w:pPr>
        <w:pStyle w:val="5"/>
        <w:numPr>
          <w:ilvl w:val="0"/>
          <w:numId w:val="0"/>
        </w:numPr>
        <w:bidi w:val="0"/>
        <w:ind w:leftChars="0"/>
        <w:rPr>
          <w:rFonts w:hint="eastAsia" w:ascii="Times New Roman" w:hAnsi="Times New Roman" w:eastAsia="宋体" w:cs="Times New Roman"/>
          <w:color w:val="auto"/>
          <w:highlight w:val="none"/>
          <w:u w:val="none"/>
          <w:lang w:val="en-US" w:eastAsia="zh-CN"/>
        </w:rPr>
      </w:pPr>
      <w:bookmarkStart w:id="108" w:name="_Toc13465"/>
      <w:r>
        <w:rPr>
          <w:rFonts w:hint="eastAsia" w:ascii="Times New Roman" w:hAnsi="Times New Roman" w:eastAsia="宋体" w:cs="Times New Roman"/>
          <w:color w:val="auto"/>
          <w:highlight w:val="none"/>
          <w:u w:val="none"/>
          <w:lang w:val="en-US" w:eastAsia="zh-CN"/>
        </w:rPr>
        <w:t>8.2 与生态红线、“三线一单”符合性分析</w:t>
      </w:r>
      <w:bookmarkEnd w:id="107"/>
      <w:bookmarkEnd w:id="108"/>
    </w:p>
    <w:p w14:paraId="23E61F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highlight w:val="none"/>
          <w:u w:val="none"/>
          <w:lang w:val="en-US" w:eastAsia="zh-CN"/>
        </w:rPr>
      </w:pPr>
      <w:r>
        <w:rPr>
          <w:rFonts w:hint="eastAsia"/>
          <w:color w:val="auto"/>
          <w:sz w:val="24"/>
          <w:szCs w:val="24"/>
          <w:highlight w:val="none"/>
          <w:u w:val="none"/>
          <w:lang w:val="en-US" w:eastAsia="zh-CN"/>
        </w:rPr>
        <w:t>本入河排污口位于衡阳市</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color w:val="auto"/>
          <w:sz w:val="24"/>
          <w:szCs w:val="24"/>
          <w:highlight w:val="none"/>
          <w:u w:val="none"/>
          <w:lang w:val="en-US" w:eastAsia="zh-CN"/>
        </w:rPr>
        <w:t>，根据湖南省人民政府关于印发《湖南省生态保护红线》的通知及《衡阳市生态保护红线划定方案》，本入河排污口不涉及上述文件所划定的生态保护红线范围。</w:t>
      </w:r>
    </w:p>
    <w:p w14:paraId="4539E9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u w:val="none"/>
          <w:lang w:val="en-US" w:eastAsia="zh-CN"/>
        </w:rPr>
      </w:pPr>
      <w:r>
        <w:rPr>
          <w:rFonts w:hint="eastAsia"/>
          <w:color w:val="auto"/>
          <w:sz w:val="24"/>
          <w:szCs w:val="24"/>
          <w:highlight w:val="none"/>
          <w:u w:val="none"/>
          <w:lang w:val="en-US" w:eastAsia="zh-CN"/>
        </w:rPr>
        <w:t>本入河排污口</w:t>
      </w:r>
      <w:r>
        <w:rPr>
          <w:rFonts w:hint="eastAsia" w:ascii="Times New Roman" w:hAnsi="Times New Roman" w:eastAsia="宋体" w:cs="Times New Roman"/>
          <w:color w:val="auto"/>
          <w:sz w:val="24"/>
          <w:szCs w:val="24"/>
          <w:highlight w:val="none"/>
          <w:u w:val="none"/>
          <w:lang w:val="en-US" w:eastAsia="zh-CN"/>
        </w:rPr>
        <w:t>排放</w:t>
      </w:r>
      <w:r>
        <w:rPr>
          <w:rFonts w:hint="eastAsia" w:cs="Times New Roman"/>
          <w:color w:val="auto"/>
          <w:sz w:val="24"/>
          <w:szCs w:val="24"/>
          <w:highlight w:val="none"/>
          <w:u w:val="none"/>
          <w:lang w:val="en-US" w:eastAsia="zh-CN"/>
        </w:rPr>
        <w:t>尾水均可实现稳定达标排放</w:t>
      </w:r>
      <w:r>
        <w:rPr>
          <w:rFonts w:hint="eastAsia" w:ascii="Times New Roman" w:hAnsi="Times New Roman" w:eastAsia="宋体" w:cs="Times New Roman"/>
          <w:color w:val="auto"/>
          <w:sz w:val="24"/>
          <w:szCs w:val="24"/>
          <w:highlight w:val="none"/>
          <w:u w:val="none"/>
          <w:lang w:val="en-US" w:eastAsia="zh-CN"/>
        </w:rPr>
        <w:t>，不会改变</w:t>
      </w:r>
      <w:r>
        <w:rPr>
          <w:rFonts w:hint="eastAsia" w:cs="Times New Roman"/>
          <w:color w:val="auto"/>
          <w:sz w:val="24"/>
          <w:szCs w:val="24"/>
          <w:highlight w:val="none"/>
          <w:u w:val="none"/>
          <w:lang w:val="en-US" w:eastAsia="zh-CN"/>
        </w:rPr>
        <w:t>纳污水体</w:t>
      </w:r>
      <w:r>
        <w:rPr>
          <w:rFonts w:hint="eastAsia" w:ascii="Times New Roman" w:hAnsi="Times New Roman" w:cs="Times New Roman"/>
          <w:b w:val="0"/>
          <w:bCs w:val="0"/>
          <w:color w:val="000000"/>
          <w:sz w:val="24"/>
          <w:szCs w:val="24"/>
          <w:highlight w:val="none"/>
          <w:lang w:val="en-US" w:eastAsia="zh-CN"/>
        </w:rPr>
        <w:t>龙荫港</w:t>
      </w:r>
      <w:r>
        <w:rPr>
          <w:rFonts w:hint="eastAsia" w:ascii="Times New Roman" w:hAnsi="Times New Roman" w:eastAsia="宋体" w:cs="Times New Roman"/>
          <w:color w:val="auto"/>
          <w:sz w:val="24"/>
          <w:szCs w:val="24"/>
          <w:highlight w:val="none"/>
          <w:u w:val="none"/>
          <w:lang w:val="en-US" w:eastAsia="zh-CN"/>
        </w:rPr>
        <w:t>所在区域的水环境功能，对</w:t>
      </w:r>
      <w:r>
        <w:rPr>
          <w:rFonts w:hint="eastAsia" w:cs="Times New Roman"/>
          <w:color w:val="auto"/>
          <w:sz w:val="24"/>
          <w:szCs w:val="24"/>
          <w:highlight w:val="none"/>
          <w:u w:val="none"/>
          <w:lang w:val="en-US" w:eastAsia="zh-CN"/>
        </w:rPr>
        <w:t>水</w:t>
      </w:r>
      <w:r>
        <w:rPr>
          <w:rFonts w:hint="eastAsia" w:ascii="Times New Roman" w:hAnsi="Times New Roman" w:eastAsia="宋体" w:cs="Times New Roman"/>
          <w:color w:val="auto"/>
          <w:sz w:val="24"/>
          <w:szCs w:val="24"/>
          <w:highlight w:val="none"/>
          <w:u w:val="none"/>
          <w:lang w:val="en-US" w:eastAsia="zh-CN"/>
        </w:rPr>
        <w:t>环境质量影响很小，符合环境质量底线要求。</w:t>
      </w:r>
    </w:p>
    <w:p w14:paraId="03076A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根据《衡阳市人民政府关于实施“三线一单”生态环境分区管控的意见》（衡政发〔2020〕9号），</w:t>
      </w:r>
      <w:r>
        <w:rPr>
          <w:rFonts w:hint="eastAsia"/>
          <w:color w:val="auto"/>
          <w:sz w:val="24"/>
          <w:szCs w:val="24"/>
          <w:highlight w:val="none"/>
          <w:u w:val="none"/>
          <w:lang w:val="en-US" w:eastAsia="zh-CN"/>
        </w:rPr>
        <w:t>本入河排污口</w:t>
      </w:r>
      <w:r>
        <w:rPr>
          <w:rFonts w:hint="eastAsia" w:ascii="Times New Roman" w:hAnsi="Times New Roman" w:eastAsia="宋体" w:cs="Times New Roman"/>
          <w:color w:val="auto"/>
          <w:sz w:val="24"/>
          <w:szCs w:val="24"/>
          <w:highlight w:val="none"/>
          <w:u w:val="none"/>
          <w:lang w:val="en-US" w:eastAsia="zh-CN"/>
        </w:rPr>
        <w:t>所在区域南岳区属于重点管控单元，</w:t>
      </w:r>
      <w:r>
        <w:rPr>
          <w:rFonts w:hint="eastAsia"/>
          <w:color w:val="auto"/>
          <w:sz w:val="24"/>
          <w:szCs w:val="24"/>
          <w:highlight w:val="none"/>
          <w:u w:val="none"/>
          <w:lang w:val="en-US" w:eastAsia="zh-CN"/>
        </w:rPr>
        <w:t>本入河排污口</w:t>
      </w:r>
      <w:r>
        <w:rPr>
          <w:rFonts w:hint="eastAsia" w:ascii="Times New Roman" w:hAnsi="Times New Roman" w:eastAsia="宋体" w:cs="Times New Roman"/>
          <w:color w:val="auto"/>
          <w:sz w:val="24"/>
          <w:szCs w:val="24"/>
          <w:highlight w:val="none"/>
          <w:u w:val="none"/>
          <w:lang w:val="en-US" w:eastAsia="zh-CN"/>
        </w:rPr>
        <w:t>与衡阳市“三线一单”生态环境管控基本要求符合性分析如下：</w:t>
      </w:r>
    </w:p>
    <w:p w14:paraId="231F7F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表8-1与衡阳市“三线一单”生态环境管控基本要求符合性分析</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01"/>
        <w:gridCol w:w="5928"/>
        <w:gridCol w:w="1707"/>
      </w:tblGrid>
      <w:tr w14:paraId="243D1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01" w:type="dxa"/>
            <w:noWrap w:val="0"/>
            <w:vAlign w:val="center"/>
          </w:tcPr>
          <w:p w14:paraId="4D5AEC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管控维度</w:t>
            </w:r>
          </w:p>
        </w:tc>
        <w:tc>
          <w:tcPr>
            <w:tcW w:w="5928" w:type="dxa"/>
            <w:tcBorders>
              <w:right w:val="single" w:color="auto" w:sz="4" w:space="0"/>
            </w:tcBorders>
            <w:noWrap w:val="0"/>
            <w:vAlign w:val="center"/>
          </w:tcPr>
          <w:p w14:paraId="6592AB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管控要求</w:t>
            </w:r>
          </w:p>
        </w:tc>
        <w:tc>
          <w:tcPr>
            <w:tcW w:w="1707" w:type="dxa"/>
            <w:tcBorders>
              <w:left w:val="single" w:color="auto" w:sz="4" w:space="0"/>
            </w:tcBorders>
            <w:noWrap w:val="0"/>
            <w:vAlign w:val="center"/>
          </w:tcPr>
          <w:p w14:paraId="35B567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0"/>
                <w:sz w:val="21"/>
                <w:szCs w:val="21"/>
                <w:highlight w:val="none"/>
                <w:u w:val="none"/>
                <w:lang w:eastAsia="zh-CN"/>
              </w:rPr>
            </w:pPr>
            <w:r>
              <w:rPr>
                <w:rFonts w:hint="eastAsia" w:ascii="Times New Roman" w:hAnsi="Times New Roman" w:eastAsia="宋体" w:cs="Times New Roman"/>
                <w:b w:val="0"/>
                <w:bCs/>
                <w:kern w:val="0"/>
                <w:sz w:val="21"/>
                <w:szCs w:val="21"/>
                <w:highlight w:val="none"/>
                <w:u w:val="none"/>
                <w:lang w:val="en-US" w:eastAsia="zh-CN"/>
              </w:rPr>
              <w:t>本入河排污口</w:t>
            </w:r>
            <w:r>
              <w:rPr>
                <w:rFonts w:hint="eastAsia" w:ascii="Times New Roman" w:hAnsi="Times New Roman" w:eastAsia="宋体" w:cs="Times New Roman"/>
                <w:b w:val="0"/>
                <w:bCs/>
                <w:kern w:val="0"/>
                <w:sz w:val="21"/>
                <w:szCs w:val="21"/>
                <w:highlight w:val="none"/>
                <w:u w:val="none"/>
                <w:lang w:eastAsia="zh-CN"/>
              </w:rPr>
              <w:t>情况及相符性</w:t>
            </w:r>
          </w:p>
        </w:tc>
      </w:tr>
      <w:tr w14:paraId="71B92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01" w:type="dxa"/>
            <w:noWrap w:val="0"/>
            <w:vAlign w:val="center"/>
          </w:tcPr>
          <w:p w14:paraId="6D3DFD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空间布局约束</w:t>
            </w:r>
          </w:p>
        </w:tc>
        <w:tc>
          <w:tcPr>
            <w:tcW w:w="5928" w:type="dxa"/>
            <w:tcBorders>
              <w:right w:val="single" w:color="auto" w:sz="4" w:space="0"/>
            </w:tcBorders>
            <w:noWrap w:val="0"/>
            <w:vAlign w:val="center"/>
          </w:tcPr>
          <w:p w14:paraId="7F73E400">
            <w:pPr>
              <w:keepNext w:val="0"/>
              <w:keepLines w:val="0"/>
              <w:pageBreakBefore w:val="0"/>
              <w:numPr>
                <w:ilvl w:val="1"/>
                <w:numId w:val="8"/>
              </w:numPr>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不再新建35蒸吨以下燃煤锅炉。</w:t>
            </w:r>
          </w:p>
          <w:p w14:paraId="661AC6AB">
            <w:pPr>
              <w:keepNext w:val="0"/>
              <w:keepLines w:val="0"/>
              <w:pageBreakBefore w:val="0"/>
              <w:numPr>
                <w:ilvl w:val="0"/>
                <w:numId w:val="0"/>
              </w:numPr>
              <w:kinsoku/>
              <w:wordWrap/>
              <w:overflowPunct/>
              <w:topLinePunct w:val="0"/>
              <w:autoSpaceDE/>
              <w:autoSpaceDN/>
              <w:bidi w:val="0"/>
              <w:adjustRightInd w:val="0"/>
              <w:spacing w:line="240" w:lineRule="auto"/>
              <w:ind w:leftChars="0"/>
              <w:jc w:val="both"/>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sz w:val="21"/>
                <w:szCs w:val="21"/>
                <w:highlight w:val="none"/>
              </w:rPr>
              <w:t>（1.2）风景名胜区按《湖南省南岳衡山风景名胜区保护条例》管理。</w:t>
            </w:r>
          </w:p>
        </w:tc>
        <w:tc>
          <w:tcPr>
            <w:tcW w:w="1707" w:type="dxa"/>
            <w:tcBorders>
              <w:left w:val="single" w:color="auto" w:sz="4" w:space="0"/>
            </w:tcBorders>
            <w:noWrap w:val="0"/>
            <w:vAlign w:val="center"/>
          </w:tcPr>
          <w:p w14:paraId="7256E37E">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eastAsia" w:ascii="Times New Roman" w:hAnsi="Times New Roman" w:eastAsia="宋体" w:cs="Times New Roman"/>
                <w:b w:val="0"/>
                <w:bCs/>
                <w:kern w:val="0"/>
                <w:sz w:val="21"/>
                <w:szCs w:val="21"/>
                <w:highlight w:val="none"/>
                <w:u w:val="none"/>
                <w:lang w:eastAsia="zh-CN"/>
              </w:rPr>
            </w:pPr>
            <w:r>
              <w:rPr>
                <w:rFonts w:hint="eastAsia" w:cs="Times New Roman"/>
                <w:b w:val="0"/>
                <w:bCs/>
                <w:kern w:val="0"/>
                <w:sz w:val="21"/>
                <w:szCs w:val="21"/>
                <w:highlight w:val="none"/>
                <w:u w:val="none"/>
                <w:lang w:eastAsia="zh-CN"/>
              </w:rPr>
              <w:t>（</w:t>
            </w:r>
            <w:r>
              <w:rPr>
                <w:rFonts w:hint="eastAsia" w:cs="Times New Roman"/>
                <w:b w:val="0"/>
                <w:bCs/>
                <w:kern w:val="0"/>
                <w:sz w:val="21"/>
                <w:szCs w:val="21"/>
                <w:highlight w:val="none"/>
                <w:u w:val="none"/>
                <w:lang w:val="en-US" w:eastAsia="zh-CN"/>
              </w:rPr>
              <w:t>1.1</w:t>
            </w:r>
            <w:r>
              <w:rPr>
                <w:rFonts w:hint="eastAsia" w:cs="Times New Roman"/>
                <w:b w:val="0"/>
                <w:bCs/>
                <w:kern w:val="0"/>
                <w:sz w:val="21"/>
                <w:szCs w:val="21"/>
                <w:highlight w:val="none"/>
                <w:u w:val="none"/>
                <w:lang w:eastAsia="zh-CN"/>
              </w:rPr>
              <w:t>）、（</w:t>
            </w:r>
            <w:r>
              <w:rPr>
                <w:rFonts w:hint="eastAsia" w:cs="Times New Roman"/>
                <w:b w:val="0"/>
                <w:bCs/>
                <w:kern w:val="0"/>
                <w:sz w:val="21"/>
                <w:szCs w:val="21"/>
                <w:highlight w:val="none"/>
                <w:u w:val="none"/>
                <w:lang w:val="en-US" w:eastAsia="zh-CN"/>
              </w:rPr>
              <w:t>1.2</w:t>
            </w:r>
            <w:r>
              <w:rPr>
                <w:rFonts w:hint="eastAsia" w:cs="Times New Roman"/>
                <w:b w:val="0"/>
                <w:bCs/>
                <w:kern w:val="0"/>
                <w:sz w:val="21"/>
                <w:szCs w:val="21"/>
                <w:highlight w:val="none"/>
                <w:u w:val="none"/>
                <w:lang w:eastAsia="zh-CN"/>
              </w:rPr>
              <w:t>）</w:t>
            </w:r>
            <w:r>
              <w:rPr>
                <w:rFonts w:hint="eastAsia" w:cs="Times New Roman"/>
                <w:b w:val="0"/>
                <w:bCs/>
                <w:kern w:val="0"/>
                <w:sz w:val="21"/>
                <w:szCs w:val="21"/>
                <w:highlight w:val="none"/>
                <w:u w:val="none"/>
                <w:lang w:val="en-US" w:eastAsia="zh-CN"/>
              </w:rPr>
              <w:t>均</w:t>
            </w:r>
            <w:r>
              <w:rPr>
                <w:rFonts w:hint="eastAsia" w:ascii="Times New Roman" w:hAnsi="Times New Roman" w:eastAsia="宋体" w:cs="Times New Roman"/>
                <w:b w:val="0"/>
                <w:bCs/>
                <w:kern w:val="0"/>
                <w:sz w:val="21"/>
                <w:szCs w:val="21"/>
                <w:highlight w:val="none"/>
                <w:u w:val="none"/>
                <w:lang w:eastAsia="zh-CN"/>
              </w:rPr>
              <w:t>不涉及</w:t>
            </w:r>
            <w:r>
              <w:rPr>
                <w:rFonts w:hint="eastAsia" w:cs="Times New Roman"/>
                <w:b w:val="0"/>
                <w:bCs/>
                <w:kern w:val="0"/>
                <w:sz w:val="21"/>
                <w:szCs w:val="21"/>
                <w:highlight w:val="none"/>
                <w:u w:val="none"/>
                <w:lang w:eastAsia="zh-CN"/>
              </w:rPr>
              <w:t>。</w:t>
            </w:r>
          </w:p>
        </w:tc>
      </w:tr>
      <w:tr w14:paraId="1C6DE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01" w:type="dxa"/>
            <w:noWrap w:val="0"/>
            <w:vAlign w:val="center"/>
          </w:tcPr>
          <w:p w14:paraId="2C0DAB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污染物排放管控</w:t>
            </w:r>
          </w:p>
        </w:tc>
        <w:tc>
          <w:tcPr>
            <w:tcW w:w="5928" w:type="dxa"/>
            <w:tcBorders>
              <w:right w:val="single" w:color="auto" w:sz="4" w:space="0"/>
            </w:tcBorders>
            <w:noWrap w:val="0"/>
            <w:vAlign w:val="center"/>
          </w:tcPr>
          <w:p w14:paraId="41523D73">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2.1）积极推进雨污分流、老旧污水管网改造和破损修复等工作，加快消除城中村、老旧城区和城乡结合部生活污水收集处理设施空白区，显著提升城镇生活污水集中收集效能，污水处理率达到85%左右；因地制宜，统筹推进城区、乡镇黑臭水体治理；石化生产存贮销售企业和工业园区、矿山开采区、垃圾填埋场等区域、场地应进行必要的防渗处理。</w:t>
            </w:r>
          </w:p>
          <w:p w14:paraId="6419A804">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2.2）完成“散乱污”企业及集群综合整治工作；加快推进“气化南岳”工程建设，推进天然气管网、储气库等基础设施建设；2020年底前，加油站、储油库、油罐车基本完成油气回收治理工作；禁止露天烧烤直排，严禁秸杆露天焚烧</w:t>
            </w:r>
            <w:r>
              <w:rPr>
                <w:rFonts w:hint="default" w:ascii="Times New Roman" w:hAnsi="Times New Roman" w:eastAsia="宋体" w:cs="Times New Roman"/>
                <w:sz w:val="21"/>
                <w:szCs w:val="21"/>
                <w:highlight w:val="none"/>
                <w:lang w:eastAsia="zh-CN"/>
              </w:rPr>
              <w:t>。</w:t>
            </w:r>
          </w:p>
          <w:p w14:paraId="358A9663">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sz w:val="21"/>
                <w:szCs w:val="21"/>
                <w:highlight w:val="none"/>
              </w:rPr>
              <w:t>（2.3）建立健全城镇垃圾收集转运及处理处置体系，推动生活垃圾分类，统筹布局生活垃圾转运站，逐步淘汰敞开式收运设施，推广密闭压缩式收运方式，加快建设生活垃圾处理设施；对于无渗滤液处理设施、渗滤液处理不达标的生活垃圾处理设施，加快完成改造。在农用地土壤污染状况详查基础上，完成受污染耕地的质量类别划分，开展受污染耕地成因排查和整改试点工作。</w:t>
            </w:r>
          </w:p>
        </w:tc>
        <w:tc>
          <w:tcPr>
            <w:tcW w:w="1707" w:type="dxa"/>
            <w:tcBorders>
              <w:left w:val="single" w:color="auto" w:sz="4" w:space="0"/>
            </w:tcBorders>
            <w:noWrap w:val="0"/>
            <w:vAlign w:val="center"/>
          </w:tcPr>
          <w:p w14:paraId="154358AA">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lang w:val="en-US" w:eastAsia="zh-CN"/>
              </w:rPr>
            </w:pPr>
            <w:r>
              <w:rPr>
                <w:rFonts w:hint="default" w:ascii="Times New Roman" w:hAnsi="Times New Roman" w:eastAsia="宋体" w:cs="Times New Roman"/>
                <w:b w:val="0"/>
                <w:bCs/>
                <w:kern w:val="0"/>
                <w:sz w:val="21"/>
                <w:szCs w:val="21"/>
                <w:highlight w:val="none"/>
                <w:u w:val="none"/>
                <w:lang w:eastAsia="zh-CN"/>
              </w:rPr>
              <w:t>（</w:t>
            </w:r>
            <w:r>
              <w:rPr>
                <w:rFonts w:hint="default" w:ascii="Times New Roman" w:hAnsi="Times New Roman" w:eastAsia="宋体" w:cs="Times New Roman"/>
                <w:b w:val="0"/>
                <w:bCs/>
                <w:kern w:val="0"/>
                <w:sz w:val="21"/>
                <w:szCs w:val="21"/>
                <w:highlight w:val="none"/>
                <w:u w:val="none"/>
                <w:lang w:val="en-US" w:eastAsia="zh-CN"/>
              </w:rPr>
              <w:t>2.1</w:t>
            </w:r>
            <w:r>
              <w:rPr>
                <w:rFonts w:hint="default" w:ascii="Times New Roman" w:hAnsi="Times New Roman" w:eastAsia="宋体" w:cs="Times New Roman"/>
                <w:b w:val="0"/>
                <w:bCs/>
                <w:kern w:val="0"/>
                <w:sz w:val="21"/>
                <w:szCs w:val="21"/>
                <w:highlight w:val="none"/>
                <w:u w:val="none"/>
                <w:lang w:eastAsia="zh-CN"/>
              </w:rPr>
              <w:t>）本项目为污水处理厂及排污口设置项目，收集</w:t>
            </w:r>
            <w:r>
              <w:rPr>
                <w:rFonts w:hint="default" w:ascii="Times New Roman" w:hAnsi="Times New Roman" w:cs="Times New Roman"/>
                <w:b w:val="0"/>
                <w:bCs/>
                <w:kern w:val="0"/>
                <w:sz w:val="21"/>
                <w:szCs w:val="21"/>
                <w:highlight w:val="none"/>
                <w:u w:val="none"/>
                <w:lang w:val="en-US" w:eastAsia="zh-CN"/>
              </w:rPr>
              <w:t>南岳区城区</w:t>
            </w:r>
            <w:r>
              <w:rPr>
                <w:rFonts w:hint="default" w:ascii="Times New Roman" w:hAnsi="Times New Roman" w:eastAsia="宋体" w:cs="Times New Roman"/>
                <w:b w:val="0"/>
                <w:bCs/>
                <w:kern w:val="0"/>
                <w:sz w:val="21"/>
                <w:szCs w:val="21"/>
                <w:highlight w:val="none"/>
                <w:u w:val="none"/>
                <w:lang w:eastAsia="zh-CN"/>
              </w:rPr>
              <w:t>生活污水，处理规模</w:t>
            </w:r>
            <w:r>
              <w:rPr>
                <w:rFonts w:hint="default" w:ascii="Times New Roman" w:hAnsi="Times New Roman" w:cs="Times New Roman"/>
                <w:b w:val="0"/>
                <w:bCs/>
                <w:kern w:val="0"/>
                <w:sz w:val="21"/>
                <w:szCs w:val="21"/>
                <w:highlight w:val="none"/>
                <w:u w:val="none"/>
                <w:lang w:val="en-US" w:eastAsia="zh-CN"/>
              </w:rPr>
              <w:t>为3</w:t>
            </w:r>
            <w:r>
              <w:rPr>
                <w:rFonts w:hint="default" w:ascii="Times New Roman" w:hAnsi="Times New Roman" w:eastAsia="宋体" w:cs="Times New Roman"/>
                <w:b w:val="0"/>
                <w:bCs/>
                <w:kern w:val="0"/>
                <w:sz w:val="21"/>
                <w:szCs w:val="21"/>
                <w:highlight w:val="none"/>
                <w:u w:val="none"/>
                <w:lang w:val="en-US" w:eastAsia="zh-CN"/>
              </w:rPr>
              <w:t>万m</w:t>
            </w:r>
            <w:r>
              <w:rPr>
                <w:rFonts w:hint="default" w:ascii="Times New Roman" w:hAnsi="Times New Roman" w:eastAsia="宋体" w:cs="Times New Roman"/>
                <w:b w:val="0"/>
                <w:bCs/>
                <w:kern w:val="0"/>
                <w:sz w:val="21"/>
                <w:szCs w:val="21"/>
                <w:highlight w:val="none"/>
                <w:u w:val="none"/>
                <w:vertAlign w:val="superscript"/>
                <w:lang w:val="en-US" w:eastAsia="zh-CN"/>
              </w:rPr>
              <w:t>3</w:t>
            </w:r>
            <w:r>
              <w:rPr>
                <w:rFonts w:hint="default" w:ascii="Times New Roman" w:hAnsi="Times New Roman" w:eastAsia="宋体" w:cs="Times New Roman"/>
                <w:b w:val="0"/>
                <w:bCs/>
                <w:kern w:val="0"/>
                <w:sz w:val="21"/>
                <w:szCs w:val="21"/>
                <w:highlight w:val="none"/>
                <w:u w:val="none"/>
                <w:lang w:val="en-US" w:eastAsia="zh-CN"/>
              </w:rPr>
              <w:t>/d，属于城镇生活污水收集处理工程。相符。</w:t>
            </w:r>
          </w:p>
          <w:p w14:paraId="393BD54E">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lang w:val="en-US" w:eastAsia="zh-CN"/>
              </w:rPr>
            </w:pPr>
            <w:r>
              <w:rPr>
                <w:rFonts w:hint="default" w:ascii="Times New Roman" w:hAnsi="Times New Roman" w:eastAsia="宋体" w:cs="Times New Roman"/>
                <w:b w:val="0"/>
                <w:bCs/>
                <w:kern w:val="0"/>
                <w:sz w:val="21"/>
                <w:szCs w:val="21"/>
                <w:highlight w:val="none"/>
                <w:u w:val="none"/>
                <w:lang w:val="en-US" w:eastAsia="zh-CN"/>
              </w:rPr>
              <w:t>（2.2）不涉及。</w:t>
            </w:r>
          </w:p>
          <w:p w14:paraId="7F823915">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lang w:val="en-US" w:eastAsia="zh-CN"/>
              </w:rPr>
            </w:pPr>
            <w:r>
              <w:rPr>
                <w:rFonts w:hint="default" w:ascii="Times New Roman" w:hAnsi="Times New Roman" w:eastAsia="宋体" w:cs="Times New Roman"/>
                <w:b w:val="0"/>
                <w:bCs/>
                <w:kern w:val="0"/>
                <w:sz w:val="21"/>
                <w:szCs w:val="21"/>
                <w:highlight w:val="none"/>
                <w:u w:val="none"/>
                <w:lang w:val="en-US" w:eastAsia="zh-CN"/>
              </w:rPr>
              <w:t>（2.3）不涉及。</w:t>
            </w:r>
          </w:p>
        </w:tc>
      </w:tr>
      <w:tr w14:paraId="776E8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01" w:type="dxa"/>
            <w:noWrap w:val="0"/>
            <w:vAlign w:val="center"/>
          </w:tcPr>
          <w:p w14:paraId="0AE0B4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环境风险防控</w:t>
            </w:r>
          </w:p>
        </w:tc>
        <w:tc>
          <w:tcPr>
            <w:tcW w:w="5928" w:type="dxa"/>
            <w:tcBorders>
              <w:right w:val="single" w:color="auto" w:sz="4" w:space="0"/>
            </w:tcBorders>
            <w:noWrap w:val="0"/>
            <w:vAlign w:val="center"/>
          </w:tcPr>
          <w:p w14:paraId="67706E9E">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（3.1）完善应急预案体系建设；统筹推进环境应急物资储备库建设。</w:t>
            </w:r>
          </w:p>
          <w:p w14:paraId="6D116E38">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sz w:val="21"/>
                <w:szCs w:val="21"/>
                <w:highlight w:val="none"/>
              </w:rPr>
              <w:t>（3.2）采取农艺调控、化学阻控、替代种植等措施，降低农产品重金属超标风险。</w:t>
            </w:r>
          </w:p>
        </w:tc>
        <w:tc>
          <w:tcPr>
            <w:tcW w:w="1707" w:type="dxa"/>
            <w:tcBorders>
              <w:left w:val="single" w:color="auto" w:sz="4" w:space="0"/>
            </w:tcBorders>
            <w:noWrap w:val="0"/>
            <w:vAlign w:val="center"/>
          </w:tcPr>
          <w:p w14:paraId="4F4710DB">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lang w:val="en-US" w:eastAsia="zh-CN"/>
              </w:rPr>
            </w:pPr>
            <w:r>
              <w:rPr>
                <w:rFonts w:hint="default" w:ascii="Times New Roman" w:hAnsi="Times New Roman" w:eastAsia="宋体" w:cs="Times New Roman"/>
                <w:b w:val="0"/>
                <w:bCs/>
                <w:kern w:val="0"/>
                <w:sz w:val="21"/>
                <w:szCs w:val="21"/>
                <w:highlight w:val="none"/>
                <w:u w:val="none"/>
                <w:lang w:val="en-US" w:eastAsia="zh-CN"/>
              </w:rPr>
              <w:t>（</w:t>
            </w:r>
            <w:r>
              <w:rPr>
                <w:rFonts w:hint="default" w:ascii="Times New Roman" w:hAnsi="Times New Roman" w:cs="Times New Roman"/>
                <w:b w:val="0"/>
                <w:bCs/>
                <w:kern w:val="0"/>
                <w:sz w:val="21"/>
                <w:szCs w:val="21"/>
                <w:highlight w:val="none"/>
                <w:u w:val="none"/>
                <w:lang w:val="en-US" w:eastAsia="zh-CN"/>
              </w:rPr>
              <w:t>3.1</w:t>
            </w:r>
            <w:r>
              <w:rPr>
                <w:rFonts w:hint="default" w:ascii="Times New Roman" w:hAnsi="Times New Roman" w:eastAsia="宋体" w:cs="Times New Roman"/>
                <w:b w:val="0"/>
                <w:bCs/>
                <w:kern w:val="0"/>
                <w:sz w:val="21"/>
                <w:szCs w:val="21"/>
                <w:highlight w:val="none"/>
                <w:u w:val="none"/>
                <w:lang w:val="en-US" w:eastAsia="zh-CN"/>
              </w:rPr>
              <w:t>）</w:t>
            </w:r>
            <w:r>
              <w:rPr>
                <w:rFonts w:hint="default" w:ascii="Times New Roman" w:hAnsi="Times New Roman" w:cs="Times New Roman"/>
                <w:b w:val="0"/>
                <w:bCs/>
                <w:kern w:val="0"/>
                <w:sz w:val="21"/>
                <w:szCs w:val="21"/>
                <w:highlight w:val="none"/>
                <w:u w:val="none"/>
                <w:lang w:val="en-US" w:eastAsia="zh-CN"/>
              </w:rPr>
              <w:t>拟编制突发环境事件应急预案</w:t>
            </w:r>
            <w:r>
              <w:rPr>
                <w:rFonts w:hint="default" w:ascii="Times New Roman" w:hAnsi="Times New Roman" w:eastAsia="宋体" w:cs="Times New Roman"/>
                <w:b w:val="0"/>
                <w:bCs/>
                <w:kern w:val="0"/>
                <w:sz w:val="21"/>
                <w:szCs w:val="21"/>
                <w:highlight w:val="none"/>
                <w:u w:val="none"/>
                <w:lang w:val="en-US" w:eastAsia="zh-CN"/>
              </w:rPr>
              <w:t>。</w:t>
            </w:r>
          </w:p>
          <w:p w14:paraId="6107AC70">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lang w:val="en-US" w:eastAsia="zh-CN"/>
              </w:rPr>
              <w:t>（</w:t>
            </w:r>
            <w:r>
              <w:rPr>
                <w:rFonts w:hint="default" w:ascii="Times New Roman" w:hAnsi="Times New Roman" w:cs="Times New Roman"/>
                <w:b w:val="0"/>
                <w:bCs/>
                <w:kern w:val="0"/>
                <w:sz w:val="21"/>
                <w:szCs w:val="21"/>
                <w:highlight w:val="none"/>
                <w:u w:val="none"/>
                <w:lang w:val="en-US" w:eastAsia="zh-CN"/>
              </w:rPr>
              <w:t>3.2</w:t>
            </w:r>
            <w:r>
              <w:rPr>
                <w:rFonts w:hint="default" w:ascii="Times New Roman" w:hAnsi="Times New Roman" w:eastAsia="宋体" w:cs="Times New Roman"/>
                <w:b w:val="0"/>
                <w:bCs/>
                <w:kern w:val="0"/>
                <w:sz w:val="21"/>
                <w:szCs w:val="21"/>
                <w:highlight w:val="none"/>
                <w:u w:val="none"/>
                <w:lang w:val="en-US" w:eastAsia="zh-CN"/>
              </w:rPr>
              <w:t>）</w:t>
            </w:r>
            <w:r>
              <w:rPr>
                <w:rFonts w:hint="default" w:ascii="Times New Roman" w:hAnsi="Times New Roman" w:cs="Times New Roman"/>
                <w:b w:val="0"/>
                <w:bCs/>
                <w:kern w:val="0"/>
                <w:sz w:val="21"/>
                <w:szCs w:val="21"/>
                <w:highlight w:val="none"/>
                <w:u w:val="none"/>
                <w:lang w:val="en-US" w:eastAsia="zh-CN"/>
              </w:rPr>
              <w:t>污水处理厂所在地块为污水处理公用设施用地，符合土地利用总体规划。土壤环境质量达标，不属于污染地块。相符。</w:t>
            </w:r>
          </w:p>
        </w:tc>
      </w:tr>
      <w:tr w14:paraId="4B501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01" w:type="dxa"/>
            <w:noWrap w:val="0"/>
            <w:vAlign w:val="center"/>
          </w:tcPr>
          <w:p w14:paraId="617F73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b w:val="0"/>
                <w:bCs/>
                <w:kern w:val="0"/>
                <w:sz w:val="21"/>
                <w:szCs w:val="21"/>
                <w:highlight w:val="none"/>
                <w:u w:val="none"/>
              </w:rPr>
              <w:t>资源开发效率要求</w:t>
            </w:r>
          </w:p>
        </w:tc>
        <w:tc>
          <w:tcPr>
            <w:tcW w:w="5928" w:type="dxa"/>
            <w:tcBorders>
              <w:right w:val="single" w:color="auto" w:sz="4" w:space="0"/>
            </w:tcBorders>
            <w:noWrap w:val="0"/>
            <w:vAlign w:val="center"/>
          </w:tcPr>
          <w:p w14:paraId="3D5385A7">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到2020年，全区能耗强度降低 14%，控制目标8.59万吨标准煤。</w:t>
            </w:r>
          </w:p>
          <w:p w14:paraId="6FF41266">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kern w:val="0"/>
                <w:sz w:val="21"/>
                <w:szCs w:val="21"/>
                <w:highlight w:val="none"/>
                <w:u w:val="none"/>
              </w:rPr>
            </w:pPr>
            <w:r>
              <w:rPr>
                <w:rFonts w:hint="default" w:ascii="Times New Roman" w:hAnsi="Times New Roman" w:eastAsia="宋体" w:cs="Times New Roman"/>
                <w:sz w:val="21"/>
                <w:szCs w:val="21"/>
                <w:highlight w:val="none"/>
              </w:rPr>
              <w:t>（4.2）水资源：严格用水强度指标管理，积极推进农业节水，推进循环发展，将再生水、雨水、矿井水等非常规水源纳入区域水资源统一配置。到2020年，全区万元国内生产总值用水量、万元工业增加值用水量分别比2015年降低30%和32.7%；农田灌溉水有效利用系数提高到0.603。</w:t>
            </w:r>
          </w:p>
        </w:tc>
        <w:tc>
          <w:tcPr>
            <w:tcW w:w="1707" w:type="dxa"/>
            <w:tcBorders>
              <w:left w:val="single" w:color="auto" w:sz="4" w:space="0"/>
            </w:tcBorders>
            <w:noWrap w:val="0"/>
            <w:vAlign w:val="center"/>
          </w:tcPr>
          <w:p w14:paraId="3C40D3A0">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b w:val="0"/>
                <w:bCs/>
                <w:kern w:val="0"/>
                <w:sz w:val="21"/>
                <w:szCs w:val="21"/>
                <w:highlight w:val="none"/>
                <w:u w:val="none"/>
                <w:lang w:val="en-US" w:eastAsia="zh-CN"/>
              </w:rPr>
            </w:pPr>
            <w:r>
              <w:rPr>
                <w:rFonts w:hint="eastAsia" w:cs="Times New Roman"/>
                <w:b w:val="0"/>
                <w:bCs/>
                <w:kern w:val="0"/>
                <w:sz w:val="21"/>
                <w:szCs w:val="21"/>
                <w:highlight w:val="none"/>
                <w:u w:val="none"/>
                <w:lang w:val="en-US" w:eastAsia="zh-CN"/>
              </w:rPr>
              <w:t>本项目能源仅使用电能、自来水，符合节能环保要求。</w:t>
            </w:r>
          </w:p>
          <w:p w14:paraId="589B0EB3">
            <w:pPr>
              <w:keepNext w:val="0"/>
              <w:keepLines w:val="0"/>
              <w:pageBreakBefore w:val="0"/>
              <w:kinsoku/>
              <w:wordWrap/>
              <w:overflowPunct/>
              <w:topLinePunct w:val="0"/>
              <w:autoSpaceDE/>
              <w:autoSpaceDN/>
              <w:bidi w:val="0"/>
              <w:adjustRightInd w:val="0"/>
              <w:spacing w:line="240" w:lineRule="auto"/>
              <w:ind w:firstLine="0" w:firstLineChars="0"/>
              <w:jc w:val="both"/>
              <w:textAlignment w:val="auto"/>
              <w:rPr>
                <w:rFonts w:hint="default" w:ascii="Times New Roman" w:hAnsi="Times New Roman" w:eastAsia="宋体" w:cs="Times New Roman"/>
                <w:b w:val="0"/>
                <w:bCs/>
                <w:sz w:val="21"/>
                <w:szCs w:val="21"/>
                <w:highlight w:val="none"/>
                <w:u w:val="none"/>
              </w:rPr>
            </w:pPr>
            <w:r>
              <w:rPr>
                <w:rFonts w:hint="default" w:ascii="Times New Roman" w:hAnsi="Times New Roman" w:cs="Times New Roman"/>
                <w:b w:val="0"/>
                <w:bCs/>
                <w:kern w:val="0"/>
                <w:sz w:val="21"/>
                <w:szCs w:val="21"/>
                <w:highlight w:val="none"/>
                <w:u w:val="none"/>
                <w:lang w:val="en-US" w:eastAsia="zh-CN"/>
              </w:rPr>
              <w:t>相符。</w:t>
            </w:r>
          </w:p>
        </w:tc>
      </w:tr>
    </w:tbl>
    <w:p w14:paraId="6A6B5074">
      <w:pPr>
        <w:pStyle w:val="5"/>
        <w:numPr>
          <w:ilvl w:val="0"/>
          <w:numId w:val="0"/>
        </w:numPr>
        <w:bidi w:val="0"/>
        <w:ind w:leftChars="0"/>
        <w:rPr>
          <w:rFonts w:hint="default" w:ascii="Times New Roman" w:hAnsi="Times New Roman" w:eastAsia="宋体" w:cs="Times New Roman"/>
          <w:highlight w:val="none"/>
          <w:lang w:val="en-US" w:eastAsia="zh-CN"/>
        </w:rPr>
      </w:pPr>
      <w:bookmarkStart w:id="109" w:name="_Toc1733"/>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olor w:val="auto"/>
          <w:highlight w:val="none"/>
          <w:u w:val="none"/>
          <w:lang w:val="en-US" w:eastAsia="zh-CN"/>
        </w:rPr>
        <w:t>入河排污口设置位置合理性</w:t>
      </w:r>
      <w:bookmarkEnd w:id="109"/>
    </w:p>
    <w:p w14:paraId="2992FA9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本入河排污口设置在</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Times New Roman" w:hAnsi="Times New Roman" w:eastAsia="宋体" w:cs="Times New Roman"/>
          <w:kern w:val="2"/>
          <w:sz w:val="24"/>
          <w:szCs w:val="24"/>
          <w:highlight w:val="none"/>
          <w:lang w:val="en-US" w:eastAsia="zh-CN" w:bidi="ar-SA"/>
        </w:rPr>
        <w:t>，纳污水体为龙荫港，</w:t>
      </w:r>
      <w:r>
        <w:rPr>
          <w:rFonts w:hint="eastAsia" w:cs="Times New Roman"/>
          <w:color w:val="auto"/>
          <w:spacing w:val="-1"/>
          <w:sz w:val="24"/>
          <w:szCs w:val="24"/>
          <w:highlight w:val="none"/>
          <w:u w:val="none"/>
          <w:lang w:val="en-US" w:eastAsia="zh-CN" w:bidi="zh-CN"/>
        </w:rPr>
        <w:t>根据《湖南省水功能区划（修编）》（湖南省水利厅2014年12月）、</w:t>
      </w:r>
      <w:r>
        <w:rPr>
          <w:rFonts w:hint="eastAsia" w:ascii="Times New Roman" w:hAnsi="Times New Roman" w:eastAsia="宋体" w:cs="Times New Roman"/>
          <w:sz w:val="24"/>
          <w:szCs w:val="24"/>
          <w:highlight w:val="none"/>
        </w:rPr>
        <w:t>《衡阳市水功能区划》（2010~2020）</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i w:val="0"/>
          <w:caps w:val="0"/>
          <w:color w:val="auto"/>
          <w:spacing w:val="0"/>
          <w:sz w:val="24"/>
          <w:szCs w:val="24"/>
          <w:highlight w:val="none"/>
          <w:u w:val="none"/>
          <w:shd w:val="clear" w:color="auto" w:fill="auto"/>
        </w:rPr>
        <w:t>《湖南省衡阳市水资源综合规划报告（2020-2035年）》</w:t>
      </w:r>
      <w:r>
        <w:rPr>
          <w:rFonts w:hint="eastAsia" w:cs="Times New Roman"/>
          <w:color w:val="auto"/>
          <w:spacing w:val="-1"/>
          <w:sz w:val="24"/>
          <w:szCs w:val="24"/>
          <w:highlight w:val="none"/>
          <w:u w:val="none"/>
          <w:lang w:val="en-US" w:eastAsia="zh-CN" w:bidi="zh-CN"/>
        </w:rPr>
        <w:t>，</w:t>
      </w:r>
      <w:r>
        <w:rPr>
          <w:rFonts w:hint="eastAsia" w:cs="Times New Roman"/>
          <w:i w:val="0"/>
          <w:caps w:val="0"/>
          <w:color w:val="auto"/>
          <w:spacing w:val="0"/>
          <w:sz w:val="24"/>
          <w:szCs w:val="24"/>
          <w:highlight w:val="none"/>
          <w:u w:val="none"/>
          <w:shd w:val="clear" w:color="auto" w:fill="auto"/>
          <w:lang w:val="en-US" w:eastAsia="zh-CN"/>
        </w:rPr>
        <w:t>龙荫港暂</w:t>
      </w:r>
      <w:r>
        <w:rPr>
          <w:rFonts w:hint="eastAsia" w:cs="Times New Roman"/>
          <w:i w:val="0"/>
          <w:caps w:val="0"/>
          <w:color w:val="auto"/>
          <w:spacing w:val="0"/>
          <w:sz w:val="24"/>
          <w:szCs w:val="24"/>
          <w:highlight w:val="none"/>
          <w:u w:val="none"/>
          <w:shd w:val="clear" w:color="auto" w:fill="auto"/>
          <w:lang w:eastAsia="zh-CN"/>
        </w:rPr>
        <w:t>未划分水环境功能区类别，水体功能主要为农业用水，水质目标</w:t>
      </w:r>
      <w:r>
        <w:rPr>
          <w:rFonts w:hint="eastAsia" w:cs="Times New Roman"/>
          <w:i w:val="0"/>
          <w:caps w:val="0"/>
          <w:color w:val="auto"/>
          <w:spacing w:val="0"/>
          <w:sz w:val="24"/>
          <w:szCs w:val="24"/>
          <w:highlight w:val="none"/>
          <w:u w:val="none"/>
          <w:shd w:val="clear" w:color="auto" w:fill="auto"/>
          <w:lang w:val="en-US" w:eastAsia="zh-CN"/>
        </w:rPr>
        <w:t>参照</w:t>
      </w:r>
      <w:r>
        <w:rPr>
          <w:rFonts w:hint="eastAsia" w:cs="Times New Roman"/>
          <w:i w:val="0"/>
          <w:caps w:val="0"/>
          <w:color w:val="auto"/>
          <w:spacing w:val="0"/>
          <w:sz w:val="24"/>
          <w:szCs w:val="24"/>
          <w:highlight w:val="none"/>
          <w:u w:val="none"/>
          <w:shd w:val="clear" w:color="auto" w:fill="auto"/>
          <w:lang w:eastAsia="zh-CN"/>
        </w:rPr>
        <w:t>执行《</w:t>
      </w:r>
      <w:r>
        <w:rPr>
          <w:rFonts w:hint="eastAsia" w:cs="Times New Roman"/>
          <w:i w:val="0"/>
          <w:caps w:val="0"/>
          <w:color w:val="auto"/>
          <w:spacing w:val="0"/>
          <w:sz w:val="24"/>
          <w:szCs w:val="24"/>
          <w:highlight w:val="none"/>
          <w:u w:val="none"/>
          <w:shd w:val="clear" w:color="auto" w:fill="auto"/>
          <w:lang w:val="en-US" w:eastAsia="zh-CN"/>
        </w:rPr>
        <w:t>地表水环境质量标准</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GB3838-2002</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中III</w:t>
      </w:r>
      <w:r>
        <w:rPr>
          <w:rFonts w:hint="eastAsia" w:cs="Times New Roman"/>
          <w:i w:val="0"/>
          <w:caps w:val="0"/>
          <w:color w:val="auto"/>
          <w:spacing w:val="0"/>
          <w:sz w:val="24"/>
          <w:szCs w:val="24"/>
          <w:highlight w:val="none"/>
          <w:u w:val="none"/>
          <w:shd w:val="clear" w:color="auto" w:fill="auto"/>
          <w:lang w:eastAsia="zh-CN"/>
        </w:rPr>
        <w:t>类</w:t>
      </w:r>
      <w:r>
        <w:rPr>
          <w:rFonts w:hint="eastAsia" w:cs="Times New Roman"/>
          <w:i w:val="0"/>
          <w:caps w:val="0"/>
          <w:color w:val="auto"/>
          <w:spacing w:val="0"/>
          <w:sz w:val="24"/>
          <w:szCs w:val="24"/>
          <w:highlight w:val="none"/>
          <w:u w:val="none"/>
          <w:shd w:val="clear" w:color="auto" w:fill="auto"/>
          <w:lang w:val="en-US" w:eastAsia="zh-CN"/>
        </w:rPr>
        <w:t>标准</w:t>
      </w:r>
      <w:r>
        <w:rPr>
          <w:rFonts w:hint="eastAsia" w:ascii="Times New Roman" w:hAnsi="Times New Roman" w:eastAsia="宋体" w:cs="Times New Roman"/>
          <w:kern w:val="2"/>
          <w:sz w:val="24"/>
          <w:szCs w:val="24"/>
          <w:highlight w:val="none"/>
          <w:lang w:val="en-US" w:eastAsia="zh-CN" w:bidi="ar-SA"/>
        </w:rPr>
        <w:t>。</w:t>
      </w:r>
    </w:p>
    <w:p w14:paraId="492DA32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sz w:val="24"/>
          <w:szCs w:val="24"/>
          <w:highlight w:val="none"/>
          <w:lang w:val="en-US"/>
        </w:rPr>
      </w:pPr>
      <w:r>
        <w:rPr>
          <w:rFonts w:hint="default" w:ascii="Times New Roman" w:hAnsi="Times New Roman" w:eastAsia="宋体" w:cs="Times New Roman"/>
          <w:kern w:val="2"/>
          <w:sz w:val="24"/>
          <w:szCs w:val="24"/>
          <w:highlight w:val="none"/>
          <w:lang w:val="en-US" w:eastAsia="zh-CN" w:bidi="ar-SA"/>
        </w:rPr>
        <w:t>根据前文预测分析，</w:t>
      </w:r>
      <w:r>
        <w:rPr>
          <w:rFonts w:hint="default" w:ascii="Times New Roman" w:hAnsi="Times New Roman" w:eastAsia="宋体" w:cs="Times New Roman"/>
          <w:color w:val="000000"/>
          <w:kern w:val="0"/>
          <w:sz w:val="24"/>
          <w:szCs w:val="24"/>
          <w:highlight w:val="none"/>
          <w:lang w:val="en-US" w:eastAsia="zh-CN" w:bidi="ar"/>
        </w:rPr>
        <w:t>正常</w:t>
      </w:r>
      <w:r>
        <w:rPr>
          <w:rFonts w:hint="default" w:ascii="Times New Roman" w:hAnsi="Times New Roman" w:cs="Times New Roman"/>
          <w:color w:val="000000"/>
          <w:kern w:val="0"/>
          <w:sz w:val="24"/>
          <w:szCs w:val="24"/>
          <w:highlight w:val="none"/>
          <w:lang w:val="en-US" w:eastAsia="zh-CN" w:bidi="ar"/>
        </w:rPr>
        <w:t>工况</w:t>
      </w:r>
      <w:r>
        <w:rPr>
          <w:rFonts w:hint="default" w:ascii="Times New Roman" w:hAnsi="Times New Roman" w:eastAsia="宋体" w:cs="Times New Roman"/>
          <w:color w:val="000000"/>
          <w:kern w:val="0"/>
          <w:sz w:val="24"/>
          <w:szCs w:val="24"/>
          <w:highlight w:val="none"/>
          <w:lang w:val="en-US" w:eastAsia="zh-CN" w:bidi="ar"/>
        </w:rPr>
        <w:t>下，</w:t>
      </w:r>
      <w:r>
        <w:rPr>
          <w:rFonts w:hint="default" w:ascii="Times New Roman" w:hAnsi="Times New Roman" w:cs="Times New Roman"/>
          <w:i w:val="0"/>
          <w:caps w:val="0"/>
          <w:color w:val="auto"/>
          <w:spacing w:val="0"/>
          <w:sz w:val="24"/>
          <w:szCs w:val="24"/>
          <w:highlight w:val="none"/>
          <w:u w:val="none"/>
          <w:shd w:val="clear" w:color="auto" w:fill="auto"/>
          <w:lang w:val="en-US" w:eastAsia="zh-CN"/>
        </w:rPr>
        <w:t>龙荫港枯水期水质</w:t>
      </w:r>
      <w:r>
        <w:rPr>
          <w:rFonts w:hint="default" w:ascii="Times New Roman" w:hAnsi="Times New Roman" w:eastAsia="宋体" w:cs="Times New Roman"/>
          <w:color w:val="000000"/>
          <w:kern w:val="0"/>
          <w:sz w:val="24"/>
          <w:szCs w:val="24"/>
          <w:highlight w:val="none"/>
          <w:lang w:val="en-US" w:eastAsia="zh-CN" w:bidi="ar"/>
        </w:rPr>
        <w:t>CODcr、NH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w:t>
      </w:r>
      <w:r>
        <w:rPr>
          <w:rFonts w:hint="default" w:ascii="Times New Roman" w:hAnsi="Times New Roman" w:cs="Times New Roman"/>
          <w:color w:val="000000"/>
          <w:kern w:val="0"/>
          <w:sz w:val="24"/>
          <w:szCs w:val="24"/>
          <w:highlight w:val="none"/>
          <w:lang w:val="en-US" w:eastAsia="zh-CN" w:bidi="ar"/>
        </w:rPr>
        <w:t>TP</w:t>
      </w:r>
      <w:r>
        <w:rPr>
          <w:rFonts w:hint="default" w:ascii="Times New Roman" w:hAnsi="Times New Roman" w:eastAsia="宋体" w:cs="Times New Roman"/>
          <w:color w:val="000000"/>
          <w:kern w:val="0"/>
          <w:sz w:val="24"/>
          <w:szCs w:val="24"/>
          <w:highlight w:val="none"/>
          <w:lang w:val="en-US" w:eastAsia="zh-CN" w:bidi="ar"/>
        </w:rPr>
        <w:t>预测结果满足《地表水环境质量标准》（GB3838-2002）III类标准限值，排污口的设置不</w:t>
      </w:r>
      <w:r>
        <w:rPr>
          <w:rFonts w:hint="default" w:ascii="Times New Roman" w:hAnsi="Times New Roman" w:cs="Times New Roman"/>
          <w:color w:val="000000"/>
          <w:kern w:val="0"/>
          <w:sz w:val="24"/>
          <w:szCs w:val="24"/>
          <w:highlight w:val="none"/>
          <w:lang w:val="en-US" w:eastAsia="zh-CN" w:bidi="ar"/>
        </w:rPr>
        <w:t>会</w:t>
      </w:r>
      <w:r>
        <w:rPr>
          <w:rFonts w:hint="default" w:ascii="Times New Roman" w:hAnsi="Times New Roman" w:eastAsia="宋体" w:cs="Times New Roman"/>
          <w:color w:val="000000"/>
          <w:kern w:val="0"/>
          <w:sz w:val="24"/>
          <w:szCs w:val="24"/>
          <w:highlight w:val="none"/>
          <w:lang w:val="en-US" w:eastAsia="zh-CN" w:bidi="ar"/>
        </w:rPr>
        <w:t>改变排污口所处水功能区及下游水功能的使用功能，也不影响相邻水功能区的使用。因此，本入河排污口设置符合</w:t>
      </w:r>
      <w:r>
        <w:rPr>
          <w:rFonts w:hint="default" w:ascii="Times New Roman" w:hAnsi="Times New Roman" w:cs="Times New Roman"/>
          <w:color w:val="000000"/>
          <w:kern w:val="0"/>
          <w:sz w:val="24"/>
          <w:szCs w:val="24"/>
          <w:highlight w:val="none"/>
          <w:lang w:val="en-US" w:eastAsia="zh-CN" w:bidi="ar"/>
        </w:rPr>
        <w:t>水域</w:t>
      </w:r>
      <w:r>
        <w:rPr>
          <w:rFonts w:hint="default" w:ascii="Times New Roman" w:hAnsi="Times New Roman" w:eastAsia="宋体" w:cs="Times New Roman"/>
          <w:color w:val="000000"/>
          <w:kern w:val="0"/>
          <w:sz w:val="24"/>
          <w:szCs w:val="24"/>
          <w:highlight w:val="none"/>
          <w:lang w:val="en-US" w:eastAsia="zh-CN" w:bidi="ar"/>
        </w:rPr>
        <w:t>（水功能区）管理要求。</w:t>
      </w:r>
    </w:p>
    <w:p w14:paraId="5A5AA468">
      <w:pPr>
        <w:pStyle w:val="5"/>
        <w:numPr>
          <w:ilvl w:val="0"/>
          <w:numId w:val="0"/>
        </w:numPr>
        <w:bidi w:val="0"/>
        <w:ind w:leftChars="0"/>
        <w:rPr>
          <w:rFonts w:hint="default" w:ascii="Times New Roman" w:hAnsi="Times New Roman" w:eastAsia="宋体" w:cs="Times New Roman"/>
          <w:highlight w:val="none"/>
          <w:lang w:val="en-US" w:eastAsia="zh-CN"/>
        </w:rPr>
      </w:pPr>
      <w:bookmarkStart w:id="110" w:name="_Toc20389"/>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eastAsia="zh-CN"/>
        </w:rPr>
        <w:t xml:space="preserve"> </w:t>
      </w:r>
      <w:r>
        <w:rPr>
          <w:color w:val="auto"/>
          <w:highlight w:val="none"/>
          <w:u w:val="none"/>
        </w:rPr>
        <w:t>入河排污口排放浓度和总量合理性分析</w:t>
      </w:r>
      <w:bookmarkEnd w:id="110"/>
    </w:p>
    <w:p w14:paraId="35E6E5F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南岳区污水处理厂</w:t>
      </w:r>
      <w:r>
        <w:rPr>
          <w:rFonts w:hint="eastAsia" w:cs="Times New Roman"/>
          <w:color w:val="000000" w:themeColor="text1"/>
          <w:sz w:val="24"/>
          <w:szCs w:val="24"/>
          <w:highlight w:val="none"/>
          <w:u w:val="none"/>
          <w:lang w:val="en-US" w:eastAsia="zh-CN"/>
          <w14:textFill>
            <w14:solidFill>
              <w14:schemeClr w14:val="tx1"/>
            </w14:solidFill>
          </w14:textFill>
        </w:rPr>
        <w:t>扩建及</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提质改造后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采用“预处理+活性污泥法（一、二期为改良型氧化沟、三期为A</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O工艺）+二沉池+高效沉淀池+反硝化深床滤池+紫外线消毒”的处理工艺</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，经处理后</w:t>
      </w:r>
      <w:r>
        <w:rPr>
          <w:rFonts w:hint="eastAsia" w:cs="Times New Roman"/>
          <w:color w:val="000000" w:themeColor="text1"/>
          <w:kern w:val="2"/>
          <w:sz w:val="24"/>
          <w:szCs w:val="24"/>
          <w:highlight w:val="none"/>
          <w:u w:val="none"/>
          <w:lang w:val="en-US" w:eastAsia="zh-CN" w:bidi="ar-SA"/>
          <w14:textFill>
            <w14:solidFill>
              <w14:schemeClr w14:val="tx1"/>
            </w14:solidFill>
          </w14:textFill>
        </w:rPr>
        <w:t>尾水排放</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能满足</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《湖南省城镇污水处理厂主要水污染物排放标准》（DB43/T1546-2018）一级标准</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r>
        <w:rPr>
          <w:rFonts w:hint="eastAsia" w:cs="Times New Roman"/>
          <w:color w:val="000000" w:themeColor="text1"/>
          <w:kern w:val="2"/>
          <w:sz w:val="24"/>
          <w:szCs w:val="24"/>
          <w:highlight w:val="none"/>
          <w:u w:val="none"/>
          <w:lang w:val="en-US" w:eastAsia="zh-CN" w:bidi="ar-SA"/>
          <w14:textFill>
            <w14:solidFill>
              <w14:schemeClr w14:val="tx1"/>
            </w14:solidFill>
          </w14:textFill>
        </w:rPr>
        <w:t>本入河排污口</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论证范围龙荫港水域纳污能力为</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cr：457.051t/a，</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：22.852t/a、TP：6.856t/a；</w:t>
      </w:r>
      <w:r>
        <w:rPr>
          <w:rFonts w:hint="eastAsia" w:cs="Times New Roman"/>
          <w:color w:val="000000" w:themeColor="text1"/>
          <w:kern w:val="2"/>
          <w:sz w:val="24"/>
          <w:szCs w:val="24"/>
          <w:highlight w:val="none"/>
          <w:u w:val="none"/>
          <w:lang w:val="en-US" w:eastAsia="zh-CN" w:bidi="ar-SA"/>
          <w14:textFill>
            <w14:solidFill>
              <w14:schemeClr w14:val="tx1"/>
            </w14:solidFill>
          </w14:textFill>
        </w:rPr>
        <w:t>本入河排污口</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cr：328.5t/a，</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：16.425t/a、TP：3.285t/a，论证河段龙荫港的纳污能力大于</w:t>
      </w:r>
      <w:r>
        <w:rPr>
          <w:rFonts w:hint="eastAsia" w:cs="Times New Roman"/>
          <w:color w:val="000000" w:themeColor="text1"/>
          <w:kern w:val="2"/>
          <w:sz w:val="24"/>
          <w:szCs w:val="24"/>
          <w:highlight w:val="none"/>
          <w:u w:val="none"/>
          <w:lang w:val="en-US" w:eastAsia="zh-CN" w:bidi="ar-SA"/>
          <w14:textFill>
            <w14:solidFill>
              <w14:schemeClr w14:val="tx1"/>
            </w14:solidFill>
          </w14:textFill>
        </w:rPr>
        <w:t>本入河排污口</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各污染物的排放总量。</w:t>
      </w:r>
    </w:p>
    <w:p w14:paraId="04EF6B7E">
      <w:pPr>
        <w:pStyle w:val="5"/>
        <w:numPr>
          <w:ilvl w:val="0"/>
          <w:numId w:val="0"/>
        </w:numPr>
        <w:bidi w:val="0"/>
        <w:ind w:left="0" w:leftChars="0" w:firstLine="0" w:firstLineChars="0"/>
        <w:rPr>
          <w:rFonts w:hint="default" w:ascii="Times New Roman" w:hAnsi="Times New Roman" w:eastAsia="宋体" w:cs="Times New Roman"/>
          <w:highlight w:val="none"/>
          <w:lang w:val="en-US" w:eastAsia="zh-CN"/>
        </w:rPr>
      </w:pPr>
      <w:bookmarkStart w:id="111" w:name="_Toc22155"/>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第三者权益的相符性分析</w:t>
      </w:r>
      <w:bookmarkEnd w:id="111"/>
    </w:p>
    <w:p w14:paraId="2EC93A2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本入河排污口设置在</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南岳区</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南岳镇</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红星村老屋组</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（南岳区龙荫港左岸）</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，纳污水体为龙荫港，</w:t>
      </w:r>
      <w:r>
        <w:rPr>
          <w:rFonts w:hint="eastAsia"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龙荫港暂</w:t>
      </w:r>
      <w:r>
        <w:rPr>
          <w:rFonts w:hint="eastAsia" w:cs="Times New Roman"/>
          <w:i w:val="0"/>
          <w:caps w:val="0"/>
          <w:color w:val="000000" w:themeColor="text1"/>
          <w:spacing w:val="0"/>
          <w:sz w:val="24"/>
          <w:szCs w:val="24"/>
          <w:highlight w:val="none"/>
          <w:u w:val="none"/>
          <w:shd w:val="clear" w:color="auto" w:fill="auto"/>
          <w:lang w:eastAsia="zh-CN"/>
          <w14:textFill>
            <w14:solidFill>
              <w14:schemeClr w14:val="tx1"/>
            </w14:solidFill>
          </w14:textFill>
        </w:rPr>
        <w:t>未划分水环境功能区类别</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，论证范围内无重要取水口，主要为农灌取水。根据前文预测分析，</w:t>
      </w:r>
      <w:r>
        <w:rPr>
          <w:rFonts w:hint="eastAsia" w:cs="Times New Roman"/>
          <w:color w:val="000000" w:themeColor="text1"/>
          <w:kern w:val="2"/>
          <w:sz w:val="24"/>
          <w:szCs w:val="24"/>
          <w:highlight w:val="none"/>
          <w:u w:val="none"/>
          <w:lang w:val="en-US" w:eastAsia="zh-CN" w:bidi="ar-SA"/>
          <w14:textFill>
            <w14:solidFill>
              <w14:schemeClr w14:val="tx1"/>
            </w14:solidFill>
          </w14:textFill>
        </w:rPr>
        <w:t>入河排污口</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正常</w:t>
      </w:r>
      <w:r>
        <w:rPr>
          <w:rFonts w:hint="eastAsia" w:cs="Times New Roman"/>
          <w:color w:val="000000" w:themeColor="text1"/>
          <w:kern w:val="2"/>
          <w:sz w:val="24"/>
          <w:szCs w:val="24"/>
          <w:highlight w:val="none"/>
          <w:u w:val="none"/>
          <w:lang w:val="en-US" w:eastAsia="zh-CN" w:bidi="ar-SA"/>
          <w14:textFill>
            <w14:solidFill>
              <w14:schemeClr w14:val="tx1"/>
            </w14:solidFill>
          </w14:textFill>
        </w:rPr>
        <w:t>工况</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下</w:t>
      </w:r>
      <w:r>
        <w:rPr>
          <w:rFonts w:hint="eastAsia" w:cs="Times New Roman"/>
          <w:color w:val="000000" w:themeColor="text1"/>
          <w:kern w:val="2"/>
          <w:sz w:val="24"/>
          <w:szCs w:val="24"/>
          <w:highlight w:val="none"/>
          <w:u w:val="none"/>
          <w:lang w:val="en-US" w:eastAsia="zh-CN" w:bidi="ar-SA"/>
          <w14:textFill>
            <w14:solidFill>
              <w14:schemeClr w14:val="tx1"/>
            </w14:solidFill>
          </w14:textFill>
        </w:rPr>
        <w:t>，枯水期</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龙荫港以及常规监测断面龙荫港梅桥村断面</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cr、</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-N</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、TP预测结果</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满足《地表水环境质量标准》（</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GB3838-2002</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III</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类标准限值，</w:t>
      </w:r>
      <w:r>
        <w:rPr>
          <w:rFonts w:hint="eastAsia" w:ascii="宋体" w:hAnsi="宋体" w:cs="宋体"/>
          <w:color w:val="000000" w:themeColor="text1"/>
          <w:kern w:val="0"/>
          <w:sz w:val="24"/>
          <w:szCs w:val="24"/>
          <w:highlight w:val="none"/>
          <w:u w:val="none"/>
          <w:lang w:val="en-US" w:eastAsia="zh-CN" w:bidi="ar"/>
          <w14:textFill>
            <w14:solidFill>
              <w14:schemeClr w14:val="tx1"/>
            </w14:solidFill>
          </w14:textFill>
        </w:rPr>
        <w:t>同时</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满足《农田灌溉水质标准》（</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GB5084-</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）相关标准限值，对下游农业用水影响不大。</w:t>
      </w:r>
    </w:p>
    <w:p w14:paraId="1C9AD1B9">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因此</w:t>
      </w:r>
      <w:r>
        <w:rPr>
          <w:rFonts w:hint="eastAsia" w:ascii="宋体" w:hAnsi="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本入河排污口的设置对下游第三者权益的影响较小。</w:t>
      </w:r>
    </w:p>
    <w:p w14:paraId="26950C08">
      <w:pPr>
        <w:pStyle w:val="5"/>
        <w:numPr>
          <w:ilvl w:val="0"/>
          <w:numId w:val="0"/>
        </w:numPr>
        <w:bidi w:val="0"/>
        <w:ind w:left="0" w:leftChars="0" w:firstLine="0" w:firstLineChars="0"/>
        <w:rPr>
          <w:rFonts w:hint="default" w:ascii="Times New Roman" w:hAnsi="Times New Roman" w:eastAsia="宋体" w:cs="Times New Roman"/>
          <w:highlight w:val="none"/>
          <w:lang w:val="en-US" w:eastAsia="zh-CN"/>
        </w:rPr>
      </w:pPr>
      <w:bookmarkStart w:id="112" w:name="_Toc32318"/>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入河排污口河段河床稳定性和防洪影响</w:t>
      </w:r>
      <w:bookmarkEnd w:id="112"/>
    </w:p>
    <w:p w14:paraId="5B150F47">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本入河排污口位于</w:t>
      </w:r>
      <w:r>
        <w:rPr>
          <w:rFonts w:hint="default" w:ascii="Times New Roman" w:hAnsi="Times New Roman" w:cs="Times New Roman"/>
          <w:b w:val="0"/>
          <w:bCs w:val="0"/>
          <w:color w:val="000000"/>
          <w:sz w:val="24"/>
          <w:szCs w:val="24"/>
          <w:highlight w:val="none"/>
          <w:lang w:val="en-US" w:eastAsia="zh-CN"/>
        </w:rPr>
        <w:t>南岳区</w:t>
      </w:r>
      <w:r>
        <w:rPr>
          <w:rFonts w:hint="eastAsia" w:ascii="Times New Roman" w:hAnsi="Times New Roman" w:cs="Times New Roman"/>
          <w:b w:val="0"/>
          <w:bCs w:val="0"/>
          <w:color w:val="000000"/>
          <w:sz w:val="24"/>
          <w:szCs w:val="24"/>
          <w:highlight w:val="none"/>
          <w:lang w:val="en-US" w:eastAsia="zh-CN"/>
        </w:rPr>
        <w:t>南岳镇</w:t>
      </w:r>
      <w:r>
        <w:rPr>
          <w:rFonts w:hint="default" w:ascii="Times New Roman" w:hAnsi="Times New Roman" w:cs="Times New Roman"/>
          <w:b w:val="0"/>
          <w:bCs w:val="0"/>
          <w:color w:val="000000"/>
          <w:sz w:val="24"/>
          <w:szCs w:val="24"/>
          <w:highlight w:val="none"/>
          <w:lang w:val="en-US" w:eastAsia="zh-CN"/>
        </w:rPr>
        <w:t>红星村老屋组</w:t>
      </w:r>
      <w:r>
        <w:rPr>
          <w:rFonts w:hint="eastAsia" w:ascii="Times New Roman" w:hAnsi="Times New Roman" w:cs="Times New Roman"/>
          <w:b w:val="0"/>
          <w:bCs w:val="0"/>
          <w:color w:val="000000"/>
          <w:sz w:val="24"/>
          <w:szCs w:val="24"/>
          <w:highlight w:val="none"/>
          <w:lang w:val="en-US" w:eastAsia="zh-CN"/>
        </w:rPr>
        <w:t>（南岳区龙荫港左岸）</w:t>
      </w:r>
      <w:r>
        <w:rPr>
          <w:rFonts w:hint="eastAsia" w:ascii="宋体" w:hAnsi="宋体" w:eastAsia="宋体" w:cs="宋体"/>
          <w:color w:val="000000"/>
          <w:kern w:val="0"/>
          <w:sz w:val="24"/>
          <w:szCs w:val="24"/>
          <w:highlight w:val="none"/>
          <w:lang w:val="en-US" w:eastAsia="zh-CN" w:bidi="ar"/>
        </w:rPr>
        <w:t>，设计防洪标准采用</w:t>
      </w:r>
      <w:r>
        <w:rPr>
          <w:rFonts w:hint="eastAsia" w:ascii="Times New Roman" w:hAnsi="Times New Roman" w:eastAsia="宋体" w:cs="Times New Roman"/>
          <w:color w:val="000000"/>
          <w:kern w:val="0"/>
          <w:sz w:val="24"/>
          <w:szCs w:val="24"/>
          <w:highlight w:val="none"/>
          <w:lang w:val="en-US" w:eastAsia="zh-CN" w:bidi="ar"/>
        </w:rPr>
        <w:t>20</w:t>
      </w:r>
      <w:r>
        <w:rPr>
          <w:rFonts w:hint="eastAsia" w:ascii="宋体" w:hAnsi="宋体" w:eastAsia="宋体" w:cs="宋体"/>
          <w:color w:val="000000"/>
          <w:kern w:val="0"/>
          <w:sz w:val="24"/>
          <w:szCs w:val="24"/>
          <w:highlight w:val="none"/>
          <w:lang w:val="en-US" w:eastAsia="zh-CN" w:bidi="ar"/>
        </w:rPr>
        <w:t>年一遇洪水标准设计，排污口岸边排放，排污管</w:t>
      </w:r>
      <w:r>
        <w:rPr>
          <w:rFonts w:hint="eastAsia" w:ascii="宋体" w:hAnsi="宋体" w:cs="宋体"/>
          <w:color w:val="000000"/>
          <w:kern w:val="0"/>
          <w:sz w:val="24"/>
          <w:szCs w:val="24"/>
          <w:highlight w:val="none"/>
          <w:lang w:val="en-US" w:eastAsia="zh-CN" w:bidi="ar"/>
        </w:rPr>
        <w:t>道</w:t>
      </w:r>
      <w:r>
        <w:rPr>
          <w:rFonts w:hint="eastAsia" w:ascii="宋体" w:hAnsi="宋体" w:eastAsia="宋体" w:cs="宋体"/>
          <w:color w:val="000000"/>
          <w:kern w:val="0"/>
          <w:sz w:val="24"/>
          <w:szCs w:val="24"/>
          <w:highlight w:val="none"/>
          <w:lang w:val="en-US" w:eastAsia="zh-CN" w:bidi="ar"/>
        </w:rPr>
        <w:t>设有一定坡度，排污口所在河段两岸稳定，河道通畅。</w:t>
      </w:r>
    </w:p>
    <w:p w14:paraId="23A048C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本入河排污口规划流量为</w:t>
      </w:r>
      <w:r>
        <w:rPr>
          <w:rFonts w:hint="default"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35</w:t>
      </w:r>
      <w:r>
        <w:rPr>
          <w:rFonts w:hint="default" w:ascii="Times New Roman" w:hAnsi="Times New Roman" w:eastAsia="宋体" w:cs="Times New Roman"/>
          <w:color w:val="000000"/>
          <w:kern w:val="0"/>
          <w:sz w:val="24"/>
          <w:szCs w:val="24"/>
          <w:highlight w:val="none"/>
          <w:lang w:val="en-US" w:eastAsia="zh-CN" w:bidi="ar"/>
        </w:rPr>
        <w:t>m</w:t>
      </w:r>
      <w:r>
        <w:rPr>
          <w:rFonts w:hint="eastAsia"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/s</w:t>
      </w:r>
      <w:r>
        <w:rPr>
          <w:rFonts w:hint="eastAsia" w:ascii="宋体" w:hAnsi="宋体" w:eastAsia="宋体" w:cs="宋体"/>
          <w:color w:val="000000"/>
          <w:kern w:val="0"/>
          <w:sz w:val="24"/>
          <w:szCs w:val="24"/>
          <w:highlight w:val="none"/>
          <w:lang w:val="en-US" w:eastAsia="zh-CN" w:bidi="ar"/>
        </w:rPr>
        <w:t>，不会对河床产生冲刷和淤积影响，基本不会对河流行洪及防洪产生影响，符合防洪要求。</w:t>
      </w:r>
    </w:p>
    <w:p w14:paraId="07ED9107">
      <w:pPr>
        <w:pStyle w:val="5"/>
        <w:numPr>
          <w:ilvl w:val="0"/>
          <w:numId w:val="0"/>
        </w:numPr>
        <w:bidi w:val="0"/>
        <w:ind w:left="0" w:leftChars="0" w:firstLine="0" w:firstLineChars="0"/>
        <w:rPr>
          <w:rFonts w:hint="default" w:ascii="Times New Roman" w:hAnsi="Times New Roman" w:eastAsia="宋体" w:cs="Times New Roman"/>
          <w:highlight w:val="none"/>
          <w:lang w:val="en-US" w:eastAsia="zh-CN"/>
        </w:rPr>
      </w:pPr>
      <w:bookmarkStart w:id="113" w:name="_Toc28450"/>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7</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入河排污口设置合理性分析</w:t>
      </w:r>
      <w:bookmarkEnd w:id="113"/>
    </w:p>
    <w:p w14:paraId="524317E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城镇污水处理厂本身就是治理水污染的环境治理工程，是城镇的基础设施建设，符合国家的产业政策。衡阳市南岳区污水处理厂</w:t>
      </w:r>
      <w:r>
        <w:rPr>
          <w:rFonts w:hint="eastAsia" w:ascii="宋体" w:hAnsi="宋体" w:cs="宋体"/>
          <w:color w:val="000000"/>
          <w:kern w:val="0"/>
          <w:sz w:val="24"/>
          <w:szCs w:val="24"/>
          <w:highlight w:val="none"/>
          <w:lang w:val="en-US" w:eastAsia="zh-CN" w:bidi="ar"/>
        </w:rPr>
        <w:t>和入河排污口</w:t>
      </w:r>
      <w:r>
        <w:rPr>
          <w:rFonts w:hint="eastAsia" w:ascii="宋体" w:hAnsi="宋体" w:eastAsia="宋体" w:cs="宋体"/>
          <w:color w:val="000000"/>
          <w:kern w:val="0"/>
          <w:sz w:val="24"/>
          <w:szCs w:val="24"/>
          <w:highlight w:val="none"/>
          <w:lang w:val="en-US" w:eastAsia="zh-CN" w:bidi="ar"/>
        </w:rPr>
        <w:t>的建设可有效的减轻对龙荫港的污染，从而改善区域的水环境，对完善南岳区污水处理厂基础设施配套，改善当地人民的生活环境具有明显的促进作用；本入河排污口位置、排放浓度和总量符合《水污染防治行动计划》、《入河排污口监督管理办法》、《地表水环境质量标准》（</w:t>
      </w:r>
      <w:r>
        <w:rPr>
          <w:rFonts w:hint="default" w:ascii="Times New Roman" w:hAnsi="Times New Roman" w:eastAsia="宋体" w:cs="Times New Roman"/>
          <w:color w:val="000000"/>
          <w:kern w:val="0"/>
          <w:sz w:val="24"/>
          <w:szCs w:val="24"/>
          <w:highlight w:val="none"/>
          <w:lang w:val="en-US" w:eastAsia="zh-CN" w:bidi="ar"/>
        </w:rPr>
        <w:t>GB3838-2002</w:t>
      </w:r>
      <w:r>
        <w:rPr>
          <w:rFonts w:hint="eastAsia" w:ascii="宋体" w:hAnsi="宋体" w:eastAsia="宋体" w:cs="宋体"/>
          <w:color w:val="000000"/>
          <w:kern w:val="0"/>
          <w:sz w:val="24"/>
          <w:szCs w:val="24"/>
          <w:highlight w:val="none"/>
          <w:lang w:val="en-US" w:eastAsia="zh-CN" w:bidi="ar"/>
        </w:rPr>
        <w:t>）的要求</w:t>
      </w:r>
      <w:r>
        <w:rPr>
          <w:rFonts w:hint="eastAsia" w:ascii="宋体" w:hAnsi="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正常</w:t>
      </w:r>
      <w:r>
        <w:rPr>
          <w:rFonts w:hint="eastAsia" w:ascii="宋体" w:hAnsi="宋体" w:cs="宋体"/>
          <w:color w:val="000000"/>
          <w:kern w:val="0"/>
          <w:sz w:val="24"/>
          <w:szCs w:val="24"/>
          <w:highlight w:val="none"/>
          <w:lang w:val="en-US" w:eastAsia="zh-CN" w:bidi="ar"/>
        </w:rPr>
        <w:t>工</w:t>
      </w:r>
      <w:r>
        <w:rPr>
          <w:rFonts w:hint="eastAsia" w:ascii="宋体" w:hAnsi="宋体" w:eastAsia="宋体" w:cs="宋体"/>
          <w:color w:val="000000"/>
          <w:kern w:val="0"/>
          <w:sz w:val="24"/>
          <w:szCs w:val="24"/>
          <w:highlight w:val="none"/>
          <w:lang w:val="en-US" w:eastAsia="zh-CN" w:bidi="ar"/>
        </w:rPr>
        <w:t>况下</w:t>
      </w:r>
      <w:r>
        <w:rPr>
          <w:rFonts w:hint="eastAsia" w:ascii="宋体" w:hAnsi="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本入河排污口不会对水功能区（水域）水质造成影响，对第三者影响较小</w:t>
      </w:r>
      <w:r>
        <w:rPr>
          <w:rFonts w:hint="eastAsia" w:ascii="宋体" w:hAnsi="宋体" w:cs="宋体"/>
          <w:color w:val="000000"/>
          <w:kern w:val="0"/>
          <w:sz w:val="24"/>
          <w:szCs w:val="24"/>
          <w:highlight w:val="none"/>
          <w:lang w:val="en-US" w:eastAsia="zh-CN" w:bidi="ar"/>
        </w:rPr>
        <w:t>，不存在重大环境制约因素</w:t>
      </w:r>
      <w:r>
        <w:rPr>
          <w:rFonts w:hint="eastAsia" w:ascii="宋体" w:hAnsi="宋体" w:eastAsia="宋体" w:cs="宋体"/>
          <w:color w:val="000000"/>
          <w:kern w:val="0"/>
          <w:sz w:val="24"/>
          <w:szCs w:val="24"/>
          <w:highlight w:val="none"/>
          <w:lang w:val="en-US" w:eastAsia="zh-CN" w:bidi="ar"/>
        </w:rPr>
        <w:t>。</w:t>
      </w:r>
    </w:p>
    <w:p w14:paraId="24E1D513">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因此，本入河排污口排放浓度和总量合理，入河排污口的设置无重大制约因素，本入河排污口设置是合理的。</w:t>
      </w:r>
    </w:p>
    <w:p w14:paraId="03065754">
      <w:pPr>
        <w:rPr>
          <w:rFonts w:hint="default"/>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1A7E6BA2">
      <w:pPr>
        <w:pStyle w:val="5"/>
        <w:numPr>
          <w:ilvl w:val="0"/>
          <w:numId w:val="0"/>
        </w:numPr>
        <w:bidi w:val="0"/>
        <w:ind w:leftChars="0"/>
        <w:jc w:val="center"/>
        <w:outlineLvl w:val="0"/>
        <w:rPr>
          <w:rStyle w:val="35"/>
          <w:rFonts w:hint="default" w:ascii="Times New Roman" w:hAnsi="Times New Roman" w:eastAsia="宋体" w:cs="Times New Roman"/>
          <w:b/>
          <w:highlight w:val="none"/>
          <w:lang w:val="en-US" w:eastAsia="zh-CN"/>
        </w:rPr>
      </w:pPr>
      <w:bookmarkStart w:id="114" w:name="_Toc19689"/>
      <w:r>
        <w:rPr>
          <w:rStyle w:val="35"/>
          <w:rFonts w:hint="default" w:ascii="Times New Roman" w:hAnsi="Times New Roman" w:eastAsia="宋体" w:cs="Times New Roman"/>
          <w:b/>
          <w:highlight w:val="none"/>
          <w:lang w:val="en-US" w:eastAsia="zh-CN"/>
        </w:rPr>
        <w:t>第</w:t>
      </w:r>
      <w:r>
        <w:rPr>
          <w:rStyle w:val="35"/>
          <w:rFonts w:hint="eastAsia" w:ascii="Times New Roman" w:hAnsi="Times New Roman" w:eastAsia="宋体" w:cs="Times New Roman"/>
          <w:b/>
          <w:highlight w:val="none"/>
          <w:lang w:val="en-US" w:eastAsia="zh-CN"/>
        </w:rPr>
        <w:t>九</w:t>
      </w:r>
      <w:r>
        <w:rPr>
          <w:rStyle w:val="35"/>
          <w:rFonts w:hint="default" w:ascii="Times New Roman" w:hAnsi="Times New Roman" w:eastAsia="宋体" w:cs="Times New Roman"/>
          <w:b/>
          <w:highlight w:val="none"/>
          <w:lang w:val="en-US" w:eastAsia="zh-CN"/>
        </w:rPr>
        <w:t xml:space="preserve">章 </w:t>
      </w:r>
      <w:r>
        <w:rPr>
          <w:rStyle w:val="35"/>
          <w:rFonts w:hint="eastAsia" w:cs="Times New Roman"/>
          <w:b/>
          <w:highlight w:val="none"/>
          <w:lang w:val="en-US" w:eastAsia="zh-CN"/>
        </w:rPr>
        <w:t xml:space="preserve"> </w:t>
      </w:r>
      <w:r>
        <w:rPr>
          <w:rStyle w:val="35"/>
          <w:rFonts w:hint="eastAsia" w:ascii="Times New Roman" w:hAnsi="Times New Roman" w:eastAsia="宋体" w:cs="Times New Roman"/>
          <w:b/>
          <w:highlight w:val="none"/>
          <w:lang w:val="en-US" w:eastAsia="zh-CN"/>
        </w:rPr>
        <w:t>论证结论与建议</w:t>
      </w:r>
      <w:bookmarkEnd w:id="114"/>
    </w:p>
    <w:p w14:paraId="20D758A4">
      <w:pPr>
        <w:pStyle w:val="5"/>
        <w:numPr>
          <w:ilvl w:val="0"/>
          <w:numId w:val="0"/>
        </w:numPr>
        <w:bidi w:val="0"/>
        <w:ind w:leftChars="0"/>
        <w:rPr>
          <w:rFonts w:hint="eastAsia"/>
          <w:highlight w:val="none"/>
          <w:lang w:val="en-US" w:eastAsia="zh-CN"/>
        </w:rPr>
      </w:pPr>
      <w:bookmarkStart w:id="115" w:name="_Toc21260"/>
      <w:bookmarkStart w:id="116" w:name="_Toc24185"/>
      <w:bookmarkStart w:id="117" w:name="_Toc10479"/>
      <w:r>
        <w:rPr>
          <w:rFonts w:hint="eastAsia"/>
          <w:highlight w:val="none"/>
          <w:lang w:val="en-US" w:eastAsia="zh-CN"/>
        </w:rPr>
        <w:t>9.1 论证结论</w:t>
      </w:r>
      <w:bookmarkEnd w:id="115"/>
      <w:bookmarkEnd w:id="116"/>
      <w:bookmarkEnd w:id="117"/>
    </w:p>
    <w:p w14:paraId="71B09402">
      <w:pPr>
        <w:pStyle w:val="6"/>
        <w:bidi w:val="0"/>
        <w:rPr>
          <w:rFonts w:hint="eastAsia"/>
          <w:highlight w:val="none"/>
          <w:lang w:val="en-US" w:eastAsia="zh-CN"/>
        </w:rPr>
      </w:pPr>
      <w:r>
        <w:rPr>
          <w:rFonts w:hint="eastAsia"/>
          <w:highlight w:val="none"/>
          <w:lang w:val="en-US" w:eastAsia="zh-CN"/>
        </w:rPr>
        <w:t>9.1.1 入河排污口设置及排放概况</w:t>
      </w:r>
    </w:p>
    <w:p w14:paraId="30B4B4F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衡阳市南岳区污水处理厂入河排污口位于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南岳镇</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红星村老屋组</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（南岳区龙荫港左岸），地理坐标为东经</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112°45′8.53308″</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，北纬</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27°13′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12.36000</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，为新建排污口，所属类型为城镇污水处理厂排污口，排放方式为连续排放，尾水排放量为3万m</w:t>
      </w:r>
      <w:r>
        <w:rPr>
          <w:rFonts w:hint="eastAsia"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/d，</w:t>
      </w:r>
      <w:r>
        <w:rPr>
          <w:rFonts w:hint="eastAsia" w:ascii="Times New Roman" w:hAnsi="Times New Roman" w:cs="Times New Roman"/>
          <w:color w:val="000000" w:themeColor="text1"/>
          <w:sz w:val="24"/>
          <w:highlight w:val="none"/>
          <w:u w:val="none"/>
          <w:lang w:eastAsia="zh-CN"/>
          <w14:textFill>
            <w14:solidFill>
              <w14:schemeClr w14:val="tx1"/>
            </w14:solidFill>
          </w14:textFill>
        </w:rPr>
        <w:t>排污管道为</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专管</w:t>
      </w:r>
      <w:r>
        <w:rPr>
          <w:rFonts w:hint="eastAsia" w:ascii="Times New Roman" w:hAnsi="Times New Roman" w:cs="Times New Roman"/>
          <w:color w:val="000000" w:themeColor="text1"/>
          <w:sz w:val="24"/>
          <w:highlight w:val="none"/>
          <w:u w:val="none"/>
          <w:lang w:eastAsia="zh-CN"/>
          <w14:textFill>
            <w14:solidFill>
              <w14:schemeClr w14:val="tx1"/>
            </w14:solidFill>
          </w14:textFill>
        </w:rPr>
        <w:t>，岸边排放</w:t>
      </w:r>
      <w:r>
        <w:rPr>
          <w:rFonts w:hint="eastAsia" w:ascii="Times New Roman" w:hAnsi="Times New Roman" w:cs="Times New Roman"/>
          <w:color w:val="000000" w:themeColor="text1"/>
          <w:sz w:val="24"/>
          <w:highlight w:val="none"/>
          <w:u w:val="none"/>
          <w14:textFill>
            <w14:solidFill>
              <w14:schemeClr w14:val="tx1"/>
            </w14:solidFill>
          </w14:textFill>
        </w:rPr>
        <w:t>。</w:t>
      </w:r>
    </w:p>
    <w:p w14:paraId="3B07EFB8">
      <w:pPr>
        <w:keepNext w:val="0"/>
        <w:keepLines w:val="0"/>
        <w:pageBreakBefore w:val="0"/>
        <w:widowControl w:val="0"/>
        <w:kinsoku/>
        <w:wordWrap/>
        <w:overflowPunct/>
        <w:topLinePunct w:val="0"/>
        <w:autoSpaceDE/>
        <w:autoSpaceDN/>
        <w:bidi w:val="0"/>
        <w:adjustRightInd w:val="0"/>
        <w:snapToGrid w:val="0"/>
        <w:ind w:firstLine="482" w:firstLineChars="200"/>
        <w:jc w:val="both"/>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入河排污口基本信息如下：</w:t>
      </w:r>
    </w:p>
    <w:p w14:paraId="3747EC7B">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（1）入河排污口名称：</w:t>
      </w:r>
      <w:r>
        <w:rPr>
          <w:rFonts w:hint="eastAsia" w:ascii="Times New Roman" w:hAnsi="Times New Roman" w:eastAsia="宋体" w:cs="Times New Roman"/>
          <w:color w:val="auto"/>
          <w:sz w:val="24"/>
          <w:szCs w:val="24"/>
          <w:highlight w:val="none"/>
          <w:u w:val="none"/>
          <w:lang w:val="en-US" w:eastAsia="zh-CN"/>
        </w:rPr>
        <w:t>衡阳市南岳区污水处理厂入河排污口；</w:t>
      </w:r>
    </w:p>
    <w:p w14:paraId="0B633A76">
      <w:pPr>
        <w:keepNext w:val="0"/>
        <w:keepLines w:val="0"/>
        <w:pageBreakBefore w:val="0"/>
        <w:widowControl w:val="0"/>
        <w:kinsoku/>
        <w:wordWrap/>
        <w:overflowPunct/>
        <w:topLinePunct w:val="0"/>
        <w:autoSpaceDE/>
        <w:autoSpaceDN/>
        <w:bidi w:val="0"/>
        <w:ind w:firstLine="480" w:firstLineChars="200"/>
        <w:jc w:val="both"/>
        <w:textAlignment w:val="auto"/>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lang w:val="en-US" w:eastAsia="zh-CN"/>
        </w:rPr>
        <w:t>建设单位</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000000"/>
          <w:sz w:val="24"/>
          <w:szCs w:val="24"/>
          <w:highlight w:val="none"/>
          <w:u w:val="none"/>
          <w:lang w:val="en-US" w:eastAsia="zh-CN"/>
        </w:rPr>
        <w:t>南岳区住房和城乡建设局</w:t>
      </w:r>
      <w:r>
        <w:rPr>
          <w:rFonts w:hint="eastAsia" w:ascii="Times New Roman" w:hAnsi="Times New Roman" w:eastAsia="宋体" w:cs="Times New Roman"/>
          <w:color w:val="000000"/>
          <w:sz w:val="24"/>
          <w:szCs w:val="24"/>
          <w:highlight w:val="none"/>
          <w:u w:val="none"/>
          <w:lang w:val="en-US" w:eastAsia="zh-CN"/>
        </w:rPr>
        <w:t>；</w:t>
      </w:r>
    </w:p>
    <w:p w14:paraId="1E98810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000000"/>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（3）入河排污口位置：</w:t>
      </w:r>
      <w:r>
        <w:rPr>
          <w:rFonts w:hint="default" w:ascii="Times New Roman" w:hAnsi="Times New Roman" w:eastAsia="宋体" w:cs="Times New Roman"/>
          <w:color w:val="000000"/>
          <w:sz w:val="24"/>
          <w:szCs w:val="24"/>
          <w:highlight w:val="none"/>
          <w:u w:val="none"/>
          <w:lang w:val="en-US" w:eastAsia="zh-CN"/>
        </w:rPr>
        <w:t>南岳区</w:t>
      </w:r>
      <w:r>
        <w:rPr>
          <w:rFonts w:hint="eastAsia" w:ascii="Times New Roman" w:hAnsi="Times New Roman" w:eastAsia="宋体" w:cs="Times New Roman"/>
          <w:color w:val="000000"/>
          <w:sz w:val="24"/>
          <w:szCs w:val="24"/>
          <w:highlight w:val="none"/>
          <w:u w:val="none"/>
          <w:lang w:val="en-US" w:eastAsia="zh-CN"/>
        </w:rPr>
        <w:t>南岳镇</w:t>
      </w:r>
      <w:r>
        <w:rPr>
          <w:rFonts w:hint="default" w:ascii="Times New Roman" w:hAnsi="Times New Roman" w:eastAsia="宋体" w:cs="Times New Roman"/>
          <w:color w:val="000000"/>
          <w:sz w:val="24"/>
          <w:szCs w:val="24"/>
          <w:highlight w:val="none"/>
          <w:u w:val="none"/>
          <w:lang w:val="en-US" w:eastAsia="zh-CN"/>
        </w:rPr>
        <w:t>红星村老屋组</w:t>
      </w:r>
      <w:r>
        <w:rPr>
          <w:rFonts w:hint="eastAsia" w:ascii="Times New Roman" w:hAnsi="Times New Roman" w:eastAsia="宋体" w:cs="Times New Roman"/>
          <w:color w:val="000000"/>
          <w:sz w:val="24"/>
          <w:szCs w:val="24"/>
          <w:highlight w:val="none"/>
          <w:u w:val="none"/>
          <w:lang w:val="en-US" w:eastAsia="zh-CN"/>
        </w:rPr>
        <w:t>（南岳区龙荫港左岸），地理坐标为东经</w:t>
      </w:r>
      <w:r>
        <w:rPr>
          <w:rFonts w:hint="default" w:ascii="Times New Roman" w:hAnsi="Times New Roman" w:eastAsia="宋体" w:cs="Times New Roman"/>
          <w:color w:val="000000"/>
          <w:sz w:val="24"/>
          <w:szCs w:val="24"/>
          <w:highlight w:val="none"/>
          <w:u w:val="none"/>
          <w:lang w:val="en-US" w:eastAsia="zh-CN"/>
        </w:rPr>
        <w:t>112°45′8.53308″</w:t>
      </w:r>
      <w:r>
        <w:rPr>
          <w:rFonts w:hint="eastAsia" w:ascii="Times New Roman" w:hAnsi="Times New Roman" w:eastAsia="宋体" w:cs="Times New Roman"/>
          <w:color w:val="000000"/>
          <w:sz w:val="24"/>
          <w:szCs w:val="24"/>
          <w:highlight w:val="none"/>
          <w:u w:val="none"/>
          <w:lang w:val="en-US" w:eastAsia="zh-CN"/>
        </w:rPr>
        <w:t>，北纬</w:t>
      </w:r>
      <w:r>
        <w:rPr>
          <w:rFonts w:hint="default" w:ascii="Times New Roman" w:hAnsi="Times New Roman" w:eastAsia="宋体" w:cs="Times New Roman"/>
          <w:color w:val="000000"/>
          <w:sz w:val="24"/>
          <w:szCs w:val="24"/>
          <w:highlight w:val="none"/>
          <w:u w:val="none"/>
          <w:lang w:val="en-US" w:eastAsia="zh-CN"/>
        </w:rPr>
        <w:t>27°13′</w:t>
      </w:r>
      <w:r>
        <w:rPr>
          <w:rFonts w:hint="eastAsia" w:ascii="Times New Roman" w:hAnsi="Times New Roman" w:eastAsia="宋体" w:cs="Times New Roman"/>
          <w:color w:val="000000"/>
          <w:sz w:val="24"/>
          <w:szCs w:val="24"/>
          <w:highlight w:val="none"/>
          <w:u w:val="none"/>
          <w:lang w:val="en-US" w:eastAsia="zh-CN"/>
        </w:rPr>
        <w:t>12.36000</w:t>
      </w:r>
      <w:r>
        <w:rPr>
          <w:rFonts w:hint="default" w:ascii="Times New Roman" w:hAnsi="Times New Roman" w:eastAsia="宋体" w:cs="Times New Roman"/>
          <w:color w:val="000000"/>
          <w:sz w:val="24"/>
          <w:szCs w:val="24"/>
          <w:highlight w:val="none"/>
          <w:u w:val="none"/>
          <w:lang w:val="en-US" w:eastAsia="zh-CN"/>
        </w:rPr>
        <w:t>″</w:t>
      </w:r>
      <w:r>
        <w:rPr>
          <w:rFonts w:hint="eastAsia" w:ascii="Times New Roman" w:hAnsi="Times New Roman" w:eastAsia="宋体" w:cs="Times New Roman"/>
          <w:color w:val="000000"/>
          <w:sz w:val="24"/>
          <w:szCs w:val="24"/>
          <w:highlight w:val="none"/>
          <w:u w:val="none"/>
          <w:lang w:val="en-US" w:eastAsia="zh-CN"/>
        </w:rPr>
        <w:t>；</w:t>
      </w:r>
    </w:p>
    <w:p w14:paraId="59223FF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（4）服务范围：南岳区城区居民生活污水；</w:t>
      </w:r>
    </w:p>
    <w:p w14:paraId="05A0309D">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lang w:val="en-US" w:eastAsia="zh-CN"/>
        </w:rPr>
        <w:t>）入河排污口类型：</w:t>
      </w:r>
      <w:r>
        <w:rPr>
          <w:rFonts w:hint="eastAsia" w:cs="Times New Roman"/>
          <w:color w:val="auto"/>
          <w:sz w:val="24"/>
          <w:szCs w:val="24"/>
          <w:highlight w:val="none"/>
          <w:u w:val="none"/>
          <w:lang w:val="en-US" w:eastAsia="zh-CN"/>
        </w:rPr>
        <w:t>新建排污口；</w:t>
      </w:r>
    </w:p>
    <w:p w14:paraId="1026EC76">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lang w:val="en-US" w:eastAsia="zh-CN"/>
        </w:rPr>
        <w:t>）设计排污能力：</w:t>
      </w:r>
      <w:r>
        <w:rPr>
          <w:rFonts w:hint="eastAsia" w:ascii="Times New Roman" w:hAnsi="Times New Roman"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万m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/d，</w:t>
      </w:r>
      <w:r>
        <w:rPr>
          <w:rFonts w:hint="eastAsia" w:ascii="Times New Roman" w:hAnsi="Times New Roman" w:eastAsia="宋体" w:cs="Times New Roman"/>
          <w:color w:val="auto"/>
          <w:sz w:val="24"/>
          <w:szCs w:val="24"/>
          <w:highlight w:val="none"/>
          <w:u w:val="none"/>
          <w:lang w:val="en-US" w:eastAsia="zh-CN"/>
        </w:rPr>
        <w:t>1095</w:t>
      </w:r>
      <w:r>
        <w:rPr>
          <w:rFonts w:hint="default" w:ascii="Times New Roman" w:hAnsi="Times New Roman" w:eastAsia="宋体" w:cs="Times New Roman"/>
          <w:color w:val="auto"/>
          <w:sz w:val="24"/>
          <w:szCs w:val="24"/>
          <w:highlight w:val="none"/>
          <w:u w:val="none"/>
          <w:lang w:val="en-US" w:eastAsia="zh-CN"/>
        </w:rPr>
        <w:t>万m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/a</w:t>
      </w:r>
      <w:r>
        <w:rPr>
          <w:rFonts w:hint="eastAsia" w:ascii="Times New Roman" w:hAnsi="Times New Roman" w:eastAsia="宋体" w:cs="Times New Roman"/>
          <w:color w:val="auto"/>
          <w:sz w:val="24"/>
          <w:szCs w:val="24"/>
          <w:highlight w:val="none"/>
          <w:u w:val="none"/>
          <w:lang w:val="en-US" w:eastAsia="zh-CN"/>
        </w:rPr>
        <w:t>；</w:t>
      </w:r>
    </w:p>
    <w:p w14:paraId="7561A46F">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）入河排污口分类：</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城镇污水处理厂排污口；</w:t>
      </w:r>
    </w:p>
    <w:p w14:paraId="2B666C82">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）排放方式：连续排放</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77FDA3EB">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废水处理</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工艺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：采用“预处理+活性污泥法（一、二期为改良型氧化沟、三期为A</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O工艺）+二沉池+高效沉淀池+反硝化深床滤池+紫外线消毒”的处理工艺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1CFD15C9">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w:t>
      </w:r>
      <w:r>
        <w:rPr>
          <w:rFonts w:hint="eastAsia" w:ascii="Times New Roman" w:hAnsi="Times New Roman" w:eastAsia="宋体" w:cs="Times New Roman"/>
          <w:color w:val="auto"/>
          <w:kern w:val="2"/>
          <w:sz w:val="24"/>
          <w:szCs w:val="24"/>
          <w:highlight w:val="none"/>
          <w:u w:val="none"/>
          <w:lang w:val="en-US" w:eastAsia="zh-CN" w:bidi="ar-SA"/>
        </w:rPr>
        <w:t>10</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ascii="Times New Roman" w:hAnsi="Times New Roman" w:eastAsia="宋体" w:cs="Times New Roman"/>
          <w:color w:val="auto"/>
          <w:kern w:val="2"/>
          <w:sz w:val="24"/>
          <w:szCs w:val="24"/>
          <w:highlight w:val="none"/>
          <w:u w:val="none"/>
          <w:lang w:val="en-US" w:eastAsia="zh-CN" w:bidi="ar-SA"/>
        </w:rPr>
        <w:t>尾水排放</w:t>
      </w:r>
      <w:r>
        <w:rPr>
          <w:rFonts w:hint="default" w:ascii="Times New Roman" w:hAnsi="Times New Roman" w:eastAsia="宋体" w:cs="Times New Roman"/>
          <w:color w:val="auto"/>
          <w:kern w:val="2"/>
          <w:sz w:val="24"/>
          <w:szCs w:val="24"/>
          <w:highlight w:val="none"/>
          <w:u w:val="none"/>
          <w:lang w:val="en-US" w:eastAsia="zh-CN" w:bidi="ar-SA"/>
        </w:rPr>
        <w:t>标准：</w:t>
      </w:r>
      <w:r>
        <w:rPr>
          <w:rFonts w:hint="default" w:ascii="Times New Roman" w:hAnsi="Times New Roman" w:eastAsia="宋体" w:cs="Times New Roman"/>
          <w:color w:val="000000"/>
          <w:sz w:val="24"/>
          <w:szCs w:val="24"/>
          <w:highlight w:val="none"/>
          <w:u w:val="none"/>
          <w:lang w:val="en-US" w:eastAsia="zh-CN"/>
        </w:rPr>
        <w:t>执行《湖南省城镇污水处理厂主要水污染物排放标准》（DB43/T1546-2018）一级标准</w:t>
      </w:r>
      <w:r>
        <w:rPr>
          <w:rFonts w:hint="eastAsia" w:ascii="Times New Roman" w:hAnsi="Times New Roman" w:eastAsia="宋体" w:cs="Times New Roman"/>
          <w:color w:val="000000"/>
          <w:sz w:val="24"/>
          <w:szCs w:val="24"/>
          <w:highlight w:val="none"/>
          <w:u w:val="none"/>
          <w:lang w:val="en-US" w:eastAsia="zh-CN"/>
        </w:rPr>
        <w:t>；</w:t>
      </w:r>
    </w:p>
    <w:p w14:paraId="5E50A3C9">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kern w:val="2"/>
          <w:sz w:val="24"/>
          <w:szCs w:val="24"/>
          <w:highlight w:val="none"/>
          <w:u w:val="none"/>
          <w:lang w:val="en-US" w:eastAsia="zh-CN" w:bidi="ar-SA"/>
        </w:rPr>
        <w:t>（1</w:t>
      </w:r>
      <w:r>
        <w:rPr>
          <w:rFonts w:hint="eastAsia" w:ascii="Times New Roman" w:hAnsi="Times New Roman" w:eastAsia="宋体" w:cs="Times New Roman"/>
          <w:color w:val="auto"/>
          <w:kern w:val="2"/>
          <w:sz w:val="24"/>
          <w:szCs w:val="24"/>
          <w:highlight w:val="none"/>
          <w:u w:val="none"/>
          <w:lang w:val="en-US" w:eastAsia="zh-CN" w:bidi="ar-SA"/>
        </w:rPr>
        <w:t>1</w:t>
      </w:r>
      <w:r>
        <w:rPr>
          <w:rFonts w:hint="default" w:ascii="Times New Roman" w:hAnsi="Times New Roman" w:eastAsia="宋体" w:cs="Times New Roman"/>
          <w:color w:val="auto"/>
          <w:kern w:val="2"/>
          <w:sz w:val="24"/>
          <w:szCs w:val="24"/>
          <w:highlight w:val="none"/>
          <w:u w:val="none"/>
          <w:lang w:val="en-US" w:eastAsia="zh-CN" w:bidi="ar-SA"/>
        </w:rPr>
        <w:t>）入河方式：</w:t>
      </w:r>
      <w:r>
        <w:rPr>
          <w:rFonts w:hint="eastAsia" w:ascii="Times New Roman" w:hAnsi="Times New Roman" w:eastAsia="宋体" w:cs="Times New Roman"/>
          <w:color w:val="auto"/>
          <w:kern w:val="2"/>
          <w:sz w:val="24"/>
          <w:szCs w:val="24"/>
          <w:highlight w:val="none"/>
          <w:u w:val="none"/>
          <w:lang w:val="en-US" w:eastAsia="zh-CN" w:bidi="ar-SA"/>
        </w:rPr>
        <w:t>经50m</w:t>
      </w:r>
      <w:r>
        <w:rPr>
          <w:rFonts w:hint="eastAsia" w:cs="Times New Roman"/>
          <w:color w:val="auto"/>
          <w:kern w:val="2"/>
          <w:sz w:val="24"/>
          <w:szCs w:val="24"/>
          <w:highlight w:val="none"/>
          <w:u w:val="none"/>
          <w:lang w:val="en-US" w:eastAsia="zh-CN" w:bidi="ar-SA"/>
        </w:rPr>
        <w:t>专用排污管道通过入河排污口</w:t>
      </w:r>
      <w:r>
        <w:rPr>
          <w:rFonts w:hint="eastAsia" w:ascii="Times New Roman" w:hAnsi="Times New Roman" w:eastAsia="宋体" w:cs="Times New Roman"/>
          <w:color w:val="auto"/>
          <w:kern w:val="2"/>
          <w:sz w:val="24"/>
          <w:szCs w:val="24"/>
          <w:highlight w:val="none"/>
          <w:u w:val="none"/>
          <w:lang w:val="en-US" w:eastAsia="zh-CN" w:bidi="ar-SA"/>
        </w:rPr>
        <w:t>排入南岳区龙荫港，流经17.16km后汇入湘江；</w:t>
      </w:r>
    </w:p>
    <w:p w14:paraId="7AEFACFF">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纳污水体</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kern w:val="2"/>
          <w:sz w:val="24"/>
          <w:szCs w:val="24"/>
          <w:highlight w:val="none"/>
          <w:u w:val="none"/>
          <w:lang w:val="en-US" w:eastAsia="zh-CN" w:bidi="ar-SA"/>
        </w:rPr>
        <w:t>龙荫港；</w:t>
      </w:r>
    </w:p>
    <w:p w14:paraId="2E17E02D">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）排入水体水功能区划：</w:t>
      </w:r>
      <w:r>
        <w:rPr>
          <w:rFonts w:hint="eastAsia" w:ascii="Times New Roman" w:hAnsi="Times New Roman" w:eastAsia="宋体" w:cs="Times New Roman"/>
          <w:color w:val="auto"/>
          <w:kern w:val="2"/>
          <w:sz w:val="24"/>
          <w:szCs w:val="24"/>
          <w:highlight w:val="none"/>
          <w:u w:val="none"/>
          <w:lang w:val="en-US" w:eastAsia="zh-CN" w:bidi="ar-SA"/>
        </w:rPr>
        <w:t>龙荫港暂</w:t>
      </w:r>
      <w:r>
        <w:rPr>
          <w:rFonts w:hint="default" w:ascii="Times New Roman" w:hAnsi="Times New Roman" w:eastAsia="宋体" w:cs="Times New Roman"/>
          <w:color w:val="auto"/>
          <w:sz w:val="24"/>
          <w:szCs w:val="24"/>
          <w:highlight w:val="none"/>
          <w:u w:val="none"/>
          <w:lang w:val="en-US" w:eastAsia="zh-CN"/>
        </w:rPr>
        <w:t>未划分水环境功能区，</w:t>
      </w:r>
      <w:r>
        <w:rPr>
          <w:rFonts w:hint="eastAsia" w:ascii="Times New Roman" w:hAnsi="Times New Roman" w:eastAsia="宋体" w:cs="Times New Roman"/>
          <w:color w:val="auto"/>
          <w:sz w:val="24"/>
          <w:szCs w:val="24"/>
          <w:highlight w:val="none"/>
          <w:u w:val="none"/>
          <w:lang w:val="en-US" w:eastAsia="zh-CN"/>
        </w:rPr>
        <w:t>属于</w:t>
      </w:r>
      <w:r>
        <w:rPr>
          <w:rFonts w:hint="default" w:ascii="Times New Roman" w:hAnsi="Times New Roman" w:eastAsia="宋体" w:cs="Times New Roman"/>
          <w:color w:val="auto"/>
          <w:sz w:val="24"/>
          <w:szCs w:val="24"/>
          <w:highlight w:val="none"/>
          <w:u w:val="none"/>
          <w:lang w:val="en-US" w:eastAsia="zh-CN"/>
        </w:rPr>
        <w:t>农业用水</w:t>
      </w:r>
      <w:r>
        <w:rPr>
          <w:rFonts w:hint="eastAsia" w:ascii="Times New Roman" w:hAnsi="Times New Roman" w:eastAsia="宋体" w:cs="Times New Roman"/>
          <w:color w:val="auto"/>
          <w:sz w:val="24"/>
          <w:szCs w:val="24"/>
          <w:highlight w:val="none"/>
          <w:u w:val="none"/>
          <w:lang w:val="en-US" w:eastAsia="zh-CN"/>
        </w:rPr>
        <w:t>区</w:t>
      </w:r>
      <w:r>
        <w:rPr>
          <w:rFonts w:hint="default" w:ascii="Times New Roman" w:hAnsi="Times New Roman" w:eastAsia="宋体" w:cs="Times New Roman"/>
          <w:color w:val="auto"/>
          <w:sz w:val="24"/>
          <w:szCs w:val="24"/>
          <w:highlight w:val="none"/>
          <w:u w:val="none"/>
          <w:lang w:val="en-US" w:eastAsia="zh-CN"/>
        </w:rPr>
        <w:t>，水质目标</w:t>
      </w:r>
      <w:r>
        <w:rPr>
          <w:rFonts w:hint="eastAsia" w:ascii="Times New Roman" w:hAnsi="Times New Roman" w:eastAsia="宋体" w:cs="Times New Roman"/>
          <w:color w:val="auto"/>
          <w:sz w:val="24"/>
          <w:szCs w:val="24"/>
          <w:highlight w:val="none"/>
          <w:u w:val="none"/>
          <w:lang w:val="en-US" w:eastAsia="zh-CN"/>
        </w:rPr>
        <w:t>参照</w:t>
      </w:r>
      <w:r>
        <w:rPr>
          <w:rFonts w:hint="default" w:ascii="Times New Roman" w:hAnsi="Times New Roman" w:eastAsia="宋体" w:cs="Times New Roman"/>
          <w:color w:val="auto"/>
          <w:sz w:val="24"/>
          <w:szCs w:val="24"/>
          <w:highlight w:val="none"/>
          <w:u w:val="none"/>
          <w:lang w:val="en-US" w:eastAsia="zh-CN"/>
        </w:rPr>
        <w:t>执行</w:t>
      </w:r>
      <w:r>
        <w:rPr>
          <w:rFonts w:hint="eastAsia" w:ascii="Times New Roman" w:hAnsi="Times New Roman" w:eastAsia="宋体" w:cs="Times New Roman"/>
          <w:color w:val="auto"/>
          <w:sz w:val="24"/>
          <w:szCs w:val="24"/>
          <w:highlight w:val="none"/>
          <w:u w:val="none"/>
          <w:lang w:val="en-US" w:eastAsia="zh-CN"/>
        </w:rPr>
        <w:t>《地表水环境质量标准》（GB3838-2002）中</w:t>
      </w:r>
      <w:r>
        <w:rPr>
          <w:rFonts w:hint="default" w:ascii="Times New Roman" w:hAnsi="Times New Roman" w:eastAsia="宋体" w:cs="Times New Roman"/>
          <w:color w:val="auto"/>
          <w:sz w:val="24"/>
          <w:szCs w:val="24"/>
          <w:highlight w:val="none"/>
          <w:u w:val="none"/>
          <w:lang w:val="en-US" w:eastAsia="zh-CN"/>
        </w:rPr>
        <w:t>Ⅲ类</w:t>
      </w:r>
      <w:r>
        <w:rPr>
          <w:rFonts w:hint="eastAsia" w:cs="Times New Roman"/>
          <w:color w:val="auto"/>
          <w:sz w:val="24"/>
          <w:szCs w:val="24"/>
          <w:highlight w:val="none"/>
          <w:u w:val="none"/>
          <w:lang w:val="en-US" w:eastAsia="zh-CN"/>
        </w:rPr>
        <w:t>；</w:t>
      </w:r>
      <w:r>
        <w:rPr>
          <w:rFonts w:hint="eastAsia" w:cs="Times New Roman"/>
          <w:i w:val="0"/>
          <w:caps w:val="0"/>
          <w:color w:val="auto"/>
          <w:spacing w:val="0"/>
          <w:sz w:val="24"/>
          <w:szCs w:val="24"/>
          <w:highlight w:val="none"/>
          <w:u w:val="none"/>
          <w:shd w:val="clear" w:color="auto" w:fill="auto"/>
          <w:lang w:val="en-US" w:eastAsia="zh-CN"/>
        </w:rPr>
        <w:t>龙荫港入湘江段属于湘江衡东～衡山保留区，水质目标为III类；</w:t>
      </w:r>
    </w:p>
    <w:p w14:paraId="5C3AA25F">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lang w:val="en-US" w:eastAsia="zh-CN"/>
        </w:rPr>
        <w:t>）入河排污口编码：</w:t>
      </w:r>
      <w:r>
        <w:rPr>
          <w:rFonts w:hint="eastAsia" w:ascii="Times New Roman" w:hAnsi="Times New Roman" w:eastAsia="宋体" w:cs="Times New Roman"/>
          <w:color w:val="auto"/>
          <w:sz w:val="24"/>
          <w:szCs w:val="24"/>
          <w:highlight w:val="none"/>
          <w:u w:val="none"/>
          <w:lang w:val="en-US" w:eastAsia="zh-CN"/>
        </w:rPr>
        <w:t>按行政主管部门确定的编号建设；</w:t>
      </w:r>
    </w:p>
    <w:p w14:paraId="522ECAD6">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lang w:val="en-US" w:eastAsia="zh-CN"/>
        </w:rPr>
        <w:t>）污染物排放浓度：COD：</w:t>
      </w:r>
      <w:r>
        <w:rPr>
          <w:rFonts w:hint="eastAsia" w:ascii="Times New Roman" w:hAnsi="Times New Roman" w:eastAsia="宋体" w:cs="Times New Roman"/>
          <w:color w:val="auto"/>
          <w:sz w:val="24"/>
          <w:szCs w:val="24"/>
          <w:highlight w:val="none"/>
          <w:u w:val="none"/>
          <w:lang w:val="en-US" w:eastAsia="zh-CN"/>
        </w:rPr>
        <w:t>30</w:t>
      </w:r>
      <w:r>
        <w:rPr>
          <w:rFonts w:hint="default" w:ascii="Times New Roman" w:hAnsi="Times New Roman" w:eastAsia="宋体" w:cs="Times New Roman"/>
          <w:color w:val="auto"/>
          <w:sz w:val="24"/>
          <w:szCs w:val="24"/>
          <w:highlight w:val="none"/>
          <w:u w:val="none"/>
          <w:lang w:val="en-US" w:eastAsia="zh-CN"/>
        </w:rPr>
        <w:t>mg/L，BOD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10</w:t>
      </w:r>
      <w:r>
        <w:rPr>
          <w:rFonts w:hint="default" w:ascii="Times New Roman" w:hAnsi="Times New Roman" w:eastAsia="宋体" w:cs="Times New Roman"/>
          <w:color w:val="auto"/>
          <w:sz w:val="24"/>
          <w:szCs w:val="24"/>
          <w:highlight w:val="none"/>
          <w:u w:val="none"/>
          <w:lang w:val="en-US" w:eastAsia="zh-CN"/>
        </w:rPr>
        <w:t>mg/L，SS：</w:t>
      </w:r>
      <w:r>
        <w:rPr>
          <w:rFonts w:hint="eastAsia" w:ascii="Times New Roman" w:hAnsi="Times New Roman" w:eastAsia="宋体" w:cs="Times New Roman"/>
          <w:color w:val="auto"/>
          <w:sz w:val="24"/>
          <w:szCs w:val="24"/>
          <w:highlight w:val="none"/>
          <w:u w:val="none"/>
          <w:lang w:val="en-US" w:eastAsia="zh-CN"/>
        </w:rPr>
        <w:t>10</w:t>
      </w:r>
      <w:r>
        <w:rPr>
          <w:rFonts w:hint="default" w:ascii="Times New Roman" w:hAnsi="Times New Roman" w:eastAsia="宋体" w:cs="Times New Roman"/>
          <w:color w:val="auto"/>
          <w:sz w:val="24"/>
          <w:szCs w:val="24"/>
          <w:highlight w:val="none"/>
          <w:u w:val="none"/>
          <w:lang w:val="en-US" w:eastAsia="zh-CN"/>
        </w:rPr>
        <w:t>mg/L，氨氮：</w:t>
      </w:r>
      <w:r>
        <w:rPr>
          <w:rFonts w:hint="eastAsia" w:ascii="Times New Roman" w:hAnsi="Times New Roman" w:eastAsia="宋体" w:cs="Times New Roman"/>
          <w:color w:val="auto"/>
          <w:sz w:val="24"/>
          <w:szCs w:val="24"/>
          <w:highlight w:val="none"/>
          <w:u w:val="none"/>
          <w:lang w:val="en-US" w:eastAsia="zh-CN"/>
        </w:rPr>
        <w:t>1.5</w:t>
      </w:r>
      <w:r>
        <w:rPr>
          <w:rFonts w:hint="default" w:ascii="Times New Roman" w:hAnsi="Times New Roman" w:eastAsia="宋体" w:cs="Times New Roman"/>
          <w:color w:val="auto"/>
          <w:sz w:val="24"/>
          <w:szCs w:val="24"/>
          <w:highlight w:val="none"/>
          <w:u w:val="none"/>
          <w:lang w:val="en-US" w:eastAsia="zh-CN"/>
        </w:rPr>
        <w:t>mg/L，TN：</w:t>
      </w:r>
      <w:r>
        <w:rPr>
          <w:rFonts w:hint="eastAsia" w:ascii="Times New Roman" w:hAnsi="Times New Roman" w:eastAsia="宋体" w:cs="Times New Roman"/>
          <w:color w:val="auto"/>
          <w:sz w:val="24"/>
          <w:szCs w:val="24"/>
          <w:highlight w:val="none"/>
          <w:u w:val="none"/>
          <w:lang w:val="en-US" w:eastAsia="zh-CN"/>
        </w:rPr>
        <w:t>10</w:t>
      </w:r>
      <w:r>
        <w:rPr>
          <w:rFonts w:hint="default" w:ascii="Times New Roman" w:hAnsi="Times New Roman" w:eastAsia="宋体" w:cs="Times New Roman"/>
          <w:color w:val="auto"/>
          <w:sz w:val="24"/>
          <w:szCs w:val="24"/>
          <w:highlight w:val="none"/>
          <w:u w:val="none"/>
          <w:lang w:val="en-US" w:eastAsia="zh-CN"/>
        </w:rPr>
        <w:t>mg/L，TP：</w:t>
      </w:r>
      <w:r>
        <w:rPr>
          <w:rFonts w:hint="eastAsia" w:ascii="Times New Roman" w:hAnsi="Times New Roman" w:eastAsia="宋体" w:cs="Times New Roman"/>
          <w:color w:val="auto"/>
          <w:sz w:val="24"/>
          <w:szCs w:val="24"/>
          <w:highlight w:val="none"/>
          <w:u w:val="none"/>
          <w:lang w:val="en-US" w:eastAsia="zh-CN"/>
        </w:rPr>
        <w:t>0.3</w:t>
      </w:r>
      <w:r>
        <w:rPr>
          <w:rFonts w:hint="default" w:ascii="Times New Roman" w:hAnsi="Times New Roman" w:eastAsia="宋体" w:cs="Times New Roman"/>
          <w:color w:val="auto"/>
          <w:sz w:val="24"/>
          <w:szCs w:val="24"/>
          <w:highlight w:val="none"/>
          <w:u w:val="none"/>
          <w:lang w:val="en-US" w:eastAsia="zh-CN"/>
        </w:rPr>
        <w:t>mg/L。</w:t>
      </w:r>
    </w:p>
    <w:p w14:paraId="4726C4B9">
      <w:pPr>
        <w:keepNext w:val="0"/>
        <w:keepLines w:val="0"/>
        <w:pageBreakBefore w:val="0"/>
        <w:widowControl w:val="0"/>
        <w:kinsoku/>
        <w:wordWrap/>
        <w:overflowPunct/>
        <w:topLinePunct w:val="0"/>
        <w:autoSpaceDE/>
        <w:autoSpaceDN/>
        <w:bidi w:val="0"/>
        <w:ind w:firstLine="480" w:firstLineChars="200"/>
        <w:jc w:val="both"/>
        <w:textAlignment w:val="auto"/>
        <w:rPr>
          <w:rFonts w:hint="eastAsia" w:ascii="Times New Roman" w:hAnsi="Times New Roman" w:eastAsia="宋体" w:cs="Times New Roman"/>
          <w:b w:val="0"/>
          <w:bCs/>
          <w:color w:val="0000FF"/>
          <w:kern w:val="2"/>
          <w:sz w:val="24"/>
          <w:szCs w:val="24"/>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lang w:val="en-US" w:eastAsia="zh-CN"/>
        </w:rPr>
        <w:t>）污染物年排放量：COD：</w:t>
      </w:r>
      <w:r>
        <w:rPr>
          <w:rFonts w:hint="eastAsia" w:ascii="Times New Roman" w:hAnsi="Times New Roman" w:eastAsia="宋体" w:cs="Times New Roman"/>
          <w:color w:val="auto"/>
          <w:sz w:val="24"/>
          <w:szCs w:val="24"/>
          <w:highlight w:val="none"/>
          <w:u w:val="none"/>
          <w:lang w:val="en-US" w:eastAsia="zh-CN"/>
        </w:rPr>
        <w:t>328.5</w:t>
      </w:r>
      <w:r>
        <w:rPr>
          <w:rFonts w:hint="default" w:ascii="Times New Roman" w:hAnsi="Times New Roman" w:eastAsia="宋体" w:cs="Times New Roman"/>
          <w:color w:val="auto"/>
          <w:sz w:val="24"/>
          <w:szCs w:val="24"/>
          <w:highlight w:val="none"/>
          <w:u w:val="none"/>
          <w:lang w:val="en-US" w:eastAsia="zh-CN"/>
        </w:rPr>
        <w:t>t/a，BOD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109.5</w:t>
      </w:r>
      <w:r>
        <w:rPr>
          <w:rFonts w:hint="default" w:ascii="Times New Roman" w:hAnsi="Times New Roman" w:eastAsia="宋体" w:cs="Times New Roman"/>
          <w:color w:val="auto"/>
          <w:sz w:val="24"/>
          <w:szCs w:val="24"/>
          <w:highlight w:val="none"/>
          <w:u w:val="none"/>
          <w:lang w:val="en-US" w:eastAsia="zh-CN"/>
        </w:rPr>
        <w:t>t/a，SS：</w:t>
      </w:r>
      <w:r>
        <w:rPr>
          <w:rFonts w:hint="eastAsia" w:ascii="Times New Roman" w:hAnsi="Times New Roman" w:eastAsia="宋体" w:cs="Times New Roman"/>
          <w:color w:val="auto"/>
          <w:sz w:val="24"/>
          <w:szCs w:val="24"/>
          <w:highlight w:val="none"/>
          <w:u w:val="none"/>
          <w:lang w:val="en-US" w:eastAsia="zh-CN"/>
        </w:rPr>
        <w:t>109.5</w:t>
      </w:r>
      <w:r>
        <w:rPr>
          <w:rFonts w:hint="default" w:ascii="Times New Roman" w:hAnsi="Times New Roman" w:eastAsia="宋体" w:cs="Times New Roman"/>
          <w:color w:val="auto"/>
          <w:sz w:val="24"/>
          <w:szCs w:val="24"/>
          <w:highlight w:val="none"/>
          <w:u w:val="none"/>
          <w:lang w:val="en-US" w:eastAsia="zh-CN"/>
        </w:rPr>
        <w:t>t/a，氨氮：</w:t>
      </w:r>
      <w:r>
        <w:rPr>
          <w:rFonts w:hint="eastAsia" w:ascii="Times New Roman" w:hAnsi="Times New Roman" w:eastAsia="宋体" w:cs="Times New Roman"/>
          <w:color w:val="auto"/>
          <w:sz w:val="24"/>
          <w:szCs w:val="24"/>
          <w:highlight w:val="none"/>
          <w:u w:val="none"/>
          <w:lang w:val="en-US" w:eastAsia="zh-CN"/>
        </w:rPr>
        <w:t>16.425</w:t>
      </w:r>
      <w:r>
        <w:rPr>
          <w:rFonts w:hint="default" w:ascii="Times New Roman" w:hAnsi="Times New Roman" w:eastAsia="宋体" w:cs="Times New Roman"/>
          <w:color w:val="auto"/>
          <w:sz w:val="24"/>
          <w:szCs w:val="24"/>
          <w:highlight w:val="none"/>
          <w:u w:val="none"/>
          <w:lang w:val="en-US" w:eastAsia="zh-CN"/>
        </w:rPr>
        <w:t>t/a，TN：</w:t>
      </w:r>
      <w:r>
        <w:rPr>
          <w:rFonts w:hint="eastAsia" w:ascii="Times New Roman" w:hAnsi="Times New Roman" w:eastAsia="宋体" w:cs="Times New Roman"/>
          <w:color w:val="auto"/>
          <w:sz w:val="24"/>
          <w:szCs w:val="24"/>
          <w:highlight w:val="none"/>
          <w:u w:val="none"/>
          <w:lang w:val="en-US" w:eastAsia="zh-CN"/>
        </w:rPr>
        <w:t>3.285</w:t>
      </w:r>
      <w:r>
        <w:rPr>
          <w:rFonts w:hint="default" w:ascii="Times New Roman" w:hAnsi="Times New Roman" w:eastAsia="宋体" w:cs="Times New Roman"/>
          <w:color w:val="auto"/>
          <w:sz w:val="24"/>
          <w:szCs w:val="24"/>
          <w:highlight w:val="none"/>
          <w:u w:val="none"/>
          <w:lang w:val="en-US" w:eastAsia="zh-CN"/>
        </w:rPr>
        <w:t>t/a，TP：</w:t>
      </w:r>
      <w:r>
        <w:rPr>
          <w:rFonts w:hint="eastAsia" w:ascii="Times New Roman" w:hAnsi="Times New Roman" w:eastAsia="宋体" w:cs="Times New Roman"/>
          <w:color w:val="auto"/>
          <w:sz w:val="24"/>
          <w:szCs w:val="24"/>
          <w:highlight w:val="none"/>
          <w:u w:val="none"/>
          <w:lang w:val="en-US" w:eastAsia="zh-CN"/>
        </w:rPr>
        <w:t>109.5</w:t>
      </w:r>
      <w:r>
        <w:rPr>
          <w:rFonts w:hint="default" w:ascii="Times New Roman" w:hAnsi="Times New Roman" w:eastAsia="宋体" w:cs="Times New Roman"/>
          <w:color w:val="auto"/>
          <w:sz w:val="24"/>
          <w:szCs w:val="24"/>
          <w:highlight w:val="none"/>
          <w:u w:val="none"/>
          <w:lang w:val="en-US" w:eastAsia="zh-CN"/>
        </w:rPr>
        <w:t>t/a。</w:t>
      </w:r>
    </w:p>
    <w:p w14:paraId="2BE97D96">
      <w:pPr>
        <w:pStyle w:val="6"/>
        <w:bidi w:val="0"/>
        <w:rPr>
          <w:rFonts w:hint="default"/>
          <w:highlight w:val="none"/>
          <w:lang w:val="en-US" w:eastAsia="zh-CN"/>
        </w:rPr>
      </w:pPr>
      <w:r>
        <w:rPr>
          <w:rFonts w:hint="eastAsia"/>
          <w:highlight w:val="none"/>
          <w:lang w:val="en-US" w:eastAsia="zh-CN"/>
        </w:rPr>
        <w:t>9.1.2 对水功能区（水域）水质和生态的影响</w:t>
      </w:r>
    </w:p>
    <w:p w14:paraId="0EA78DEF">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（1）尾水达标排放要求</w:t>
      </w:r>
    </w:p>
    <w:p w14:paraId="513ACA06">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根据南岳区污水处理厂入河排污口设置情况，尾水经50m</w:t>
      </w:r>
      <w:r>
        <w:rPr>
          <w:rFonts w:hint="eastAsia" w:cs="Times New Roman"/>
          <w:color w:val="auto"/>
          <w:kern w:val="2"/>
          <w:sz w:val="24"/>
          <w:szCs w:val="24"/>
          <w:highlight w:val="none"/>
          <w:u w:val="none"/>
          <w:lang w:val="en-US" w:eastAsia="zh-CN" w:bidi="ar-SA"/>
        </w:rPr>
        <w:t>专用排污管道</w:t>
      </w:r>
      <w:r>
        <w:rPr>
          <w:rFonts w:hint="eastAsia" w:ascii="Times New Roman" w:hAnsi="Times New Roman" w:eastAsia="宋体" w:cs="Times New Roman"/>
          <w:color w:val="auto"/>
          <w:sz w:val="24"/>
          <w:szCs w:val="24"/>
          <w:highlight w:val="none"/>
          <w:u w:val="none"/>
          <w:lang w:val="en-US" w:eastAsia="zh-CN"/>
        </w:rPr>
        <w:t>排入南岳区龙荫港，最终汇入湘江。</w:t>
      </w:r>
    </w:p>
    <w:p w14:paraId="20D300B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①区域水功能区划的要求</w:t>
      </w:r>
    </w:p>
    <w:p w14:paraId="1742278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根据《湖南省水功能区划（修编）》（湖南省水利厅2014年12月）、《衡阳市水功能区划》（2010~2020）、</w:t>
      </w:r>
      <w:r>
        <w:rPr>
          <w:rFonts w:hint="default" w:ascii="Times New Roman" w:hAnsi="Times New Roman" w:eastAsia="宋体" w:cs="Times New Roman"/>
          <w:color w:val="auto"/>
          <w:sz w:val="24"/>
          <w:szCs w:val="24"/>
          <w:highlight w:val="none"/>
          <w:u w:val="none"/>
          <w:lang w:val="en-US" w:eastAsia="zh-CN"/>
        </w:rPr>
        <w:t>《湖南省衡阳市水资源综合规划报告（2020-2035年）》</w:t>
      </w:r>
      <w:r>
        <w:rPr>
          <w:rFonts w:hint="eastAsia" w:ascii="Times New Roman" w:hAnsi="Times New Roman" w:eastAsia="宋体" w:cs="Times New Roman"/>
          <w:color w:val="auto"/>
          <w:sz w:val="24"/>
          <w:szCs w:val="24"/>
          <w:highlight w:val="none"/>
          <w:u w:val="none"/>
          <w:lang w:val="en-US" w:eastAsia="zh-CN"/>
        </w:rPr>
        <w:t>，纳污水体龙荫港暂未划分水环境功能区类别，水体功能主要为农业用水，水质目标参照执行《地表水环境质量标准》（GB3838-2002）中III类标准。龙荫港入湘江段属于湘江衡东～衡山保留区，水质目标为III类。</w:t>
      </w:r>
    </w:p>
    <w:p w14:paraId="24EA8881">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②</w:t>
      </w:r>
      <w:r>
        <w:rPr>
          <w:rFonts w:hint="eastAsia" w:ascii="Times New Roman" w:hAnsi="Times New Roman" w:eastAsia="宋体" w:cs="Times New Roman"/>
          <w:color w:val="auto"/>
          <w:sz w:val="24"/>
          <w:szCs w:val="24"/>
          <w:highlight w:val="none"/>
          <w:u w:val="none"/>
          <w:lang w:val="en-US" w:eastAsia="zh-CN"/>
        </w:rPr>
        <w:t>尾水排放标准</w:t>
      </w:r>
    </w:p>
    <w:p w14:paraId="056D6FB1">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南岳区污水处理厂尾水排放</w:t>
      </w:r>
      <w:r>
        <w:rPr>
          <w:rFonts w:hint="default" w:ascii="Times New Roman" w:hAnsi="Times New Roman" w:eastAsia="宋体" w:cs="Times New Roman"/>
          <w:color w:val="auto"/>
          <w:sz w:val="24"/>
          <w:szCs w:val="24"/>
          <w:highlight w:val="none"/>
          <w:u w:val="none"/>
          <w:lang w:val="en-US" w:eastAsia="zh-CN"/>
        </w:rPr>
        <w:t>执行《湖南省城镇污水处理厂主要水污染物排放标准》（DB43/T1546-2018）一级标准</w:t>
      </w:r>
      <w:r>
        <w:rPr>
          <w:rFonts w:hint="eastAsia" w:ascii="Times New Roman" w:hAnsi="Times New Roman" w:eastAsia="宋体" w:cs="Times New Roman"/>
          <w:color w:val="auto"/>
          <w:sz w:val="24"/>
          <w:szCs w:val="24"/>
          <w:highlight w:val="none"/>
          <w:u w:val="none"/>
          <w:lang w:val="en-US" w:eastAsia="zh-CN"/>
        </w:rPr>
        <w:t>。</w:t>
      </w:r>
    </w:p>
    <w:p w14:paraId="3A0184E6">
      <w:pPr>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（2）对水功能区（水域）水质影响</w:t>
      </w:r>
    </w:p>
    <w:p w14:paraId="742AA0D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南岳区污水处理厂扩建及提质改造后采用</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“预处理+活性污泥法（一、二期为改良型氧化沟、三期为A</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O工艺）+二沉池+高效沉淀池+反硝化深床滤池+紫外线消毒”的处理工艺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，属于《排污许可证申请与核发技术规范 水处理（试行）》（HJ978-2018）中的可行技术，尾水能稳定达到</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《湖南省城镇污水处理厂主要水污染物排放标准》（DB43/T1546-2018）一级标准</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后排放。</w:t>
      </w:r>
    </w:p>
    <w:p w14:paraId="653C0B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szCs w:val="24"/>
          <w:highlight w:val="none"/>
          <w:u w:val="none"/>
        </w:rPr>
      </w:pPr>
      <w:r>
        <w:rPr>
          <w:rFonts w:hint="default" w:ascii="Times New Roman" w:hAnsi="Times New Roman" w:cs="Times New Roman"/>
          <w:color w:val="000000"/>
          <w:sz w:val="24"/>
          <w:szCs w:val="24"/>
          <w:highlight w:val="none"/>
          <w:u w:val="none"/>
        </w:rPr>
        <w:t>正常</w:t>
      </w:r>
      <w:r>
        <w:rPr>
          <w:rFonts w:hint="eastAsia" w:ascii="Times New Roman" w:hAnsi="Times New Roman" w:cs="Times New Roman"/>
          <w:color w:val="000000"/>
          <w:sz w:val="24"/>
          <w:szCs w:val="24"/>
          <w:highlight w:val="none"/>
          <w:u w:val="none"/>
          <w:lang w:val="en-US" w:eastAsia="zh-CN"/>
        </w:rPr>
        <w:t>工</w:t>
      </w:r>
      <w:r>
        <w:rPr>
          <w:rFonts w:hint="default" w:ascii="Times New Roman" w:hAnsi="Times New Roman" w:cs="Times New Roman"/>
          <w:color w:val="000000"/>
          <w:sz w:val="24"/>
          <w:szCs w:val="24"/>
          <w:highlight w:val="none"/>
          <w:u w:val="none"/>
        </w:rPr>
        <w:t>况下，</w:t>
      </w:r>
      <w:r>
        <w:rPr>
          <w:rFonts w:hint="eastAsia" w:ascii="Times New Roman" w:hAnsi="Times New Roman" w:eastAsia="宋体" w:cs="Times New Roman"/>
          <w:color w:val="auto"/>
          <w:sz w:val="24"/>
          <w:szCs w:val="24"/>
          <w:highlight w:val="none"/>
          <w:u w:val="none"/>
          <w:lang w:val="en-US" w:eastAsia="zh-CN"/>
        </w:rPr>
        <w:t>南岳区污水处理厂</w:t>
      </w:r>
      <w:r>
        <w:rPr>
          <w:rFonts w:hint="default" w:ascii="Times New Roman" w:hAnsi="Times New Roman" w:cs="Times New Roman"/>
          <w:color w:val="000000"/>
          <w:sz w:val="24"/>
          <w:szCs w:val="24"/>
          <w:highlight w:val="none"/>
          <w:u w:val="none"/>
        </w:rPr>
        <w:t>废水处理达标后</w:t>
      </w:r>
      <w:r>
        <w:rPr>
          <w:rFonts w:hint="eastAsia" w:ascii="Times New Roman" w:hAnsi="Times New Roman" w:cs="Times New Roman"/>
          <w:color w:val="000000"/>
          <w:sz w:val="24"/>
          <w:szCs w:val="24"/>
          <w:highlight w:val="none"/>
          <w:u w:val="none"/>
          <w:lang w:val="en-US" w:eastAsia="zh-CN"/>
        </w:rPr>
        <w:t>的尾水</w:t>
      </w:r>
      <w:r>
        <w:rPr>
          <w:rFonts w:hint="eastAsia" w:cs="Times New Roman"/>
          <w:color w:val="000000"/>
          <w:sz w:val="24"/>
          <w:szCs w:val="24"/>
          <w:highlight w:val="none"/>
          <w:u w:val="none"/>
          <w:lang w:eastAsia="zh-CN"/>
        </w:rPr>
        <w:t>经</w:t>
      </w:r>
      <w:r>
        <w:rPr>
          <w:rFonts w:hint="eastAsia" w:cs="Times New Roman"/>
          <w:color w:val="000000"/>
          <w:sz w:val="24"/>
          <w:szCs w:val="24"/>
          <w:highlight w:val="none"/>
          <w:u w:val="none"/>
          <w:lang w:val="en-US" w:eastAsia="zh-CN"/>
        </w:rPr>
        <w:t>厂区50m</w:t>
      </w:r>
      <w:r>
        <w:rPr>
          <w:rFonts w:hint="eastAsia" w:cs="Times New Roman"/>
          <w:color w:val="auto"/>
          <w:kern w:val="2"/>
          <w:sz w:val="24"/>
          <w:szCs w:val="24"/>
          <w:highlight w:val="none"/>
          <w:u w:val="none"/>
          <w:lang w:val="en-US" w:eastAsia="zh-CN" w:bidi="ar-SA"/>
        </w:rPr>
        <w:t>专用排污管道</w:t>
      </w:r>
      <w:r>
        <w:rPr>
          <w:rFonts w:hint="eastAsia" w:cs="Times New Roman"/>
          <w:color w:val="000000"/>
          <w:sz w:val="24"/>
          <w:szCs w:val="24"/>
          <w:highlight w:val="none"/>
          <w:u w:val="none"/>
          <w:lang w:val="en-US" w:eastAsia="zh-CN"/>
        </w:rPr>
        <w:t>通过入河排污口排入龙荫港，经预测</w:t>
      </w:r>
      <w:r>
        <w:rPr>
          <w:rFonts w:hint="default" w:ascii="Times New Roman" w:hAnsi="Times New Roman" w:cs="Times New Roman"/>
          <w:color w:val="000000"/>
          <w:sz w:val="24"/>
          <w:szCs w:val="24"/>
          <w:highlight w:val="none"/>
          <w:u w:val="none"/>
        </w:rPr>
        <w:t>枯水期</w:t>
      </w:r>
      <w:r>
        <w:rPr>
          <w:rFonts w:hint="eastAsia" w:cs="Times New Roman"/>
          <w:color w:val="000000"/>
          <w:sz w:val="24"/>
          <w:szCs w:val="24"/>
          <w:highlight w:val="none"/>
          <w:u w:val="none"/>
          <w:lang w:val="en-US" w:eastAsia="zh-CN"/>
        </w:rPr>
        <w:t>龙荫港、</w:t>
      </w:r>
      <w:r>
        <w:rPr>
          <w:rFonts w:hint="eastAsia" w:ascii="Times New Roman" w:hAnsi="Times New Roman" w:eastAsia="宋体" w:cs="Times New Roman"/>
          <w:color w:val="000000"/>
          <w:kern w:val="2"/>
          <w:sz w:val="24"/>
          <w:szCs w:val="20"/>
          <w:highlight w:val="none"/>
          <w:u w:val="none"/>
          <w:lang w:val="en-US" w:eastAsia="zh-CN" w:bidi="ar-SA"/>
        </w:rPr>
        <w:t>龙荫港梅桥村断面</w:t>
      </w:r>
      <w:r>
        <w:rPr>
          <w:rFonts w:hint="default" w:ascii="Times New Roman" w:hAnsi="Times New Roman" w:cs="Times New Roman"/>
          <w:color w:val="000000"/>
          <w:sz w:val="24"/>
          <w:szCs w:val="24"/>
          <w:highlight w:val="none"/>
          <w:u w:val="none"/>
        </w:rPr>
        <w:t>水质</w:t>
      </w:r>
      <w:r>
        <w:rPr>
          <w:rFonts w:hint="eastAsia" w:ascii="Times New Roman" w:hAnsi="Times New Roman" w:eastAsia="宋体" w:cs="Times New Roman"/>
          <w:color w:val="000000"/>
          <w:kern w:val="2"/>
          <w:sz w:val="24"/>
          <w:szCs w:val="20"/>
          <w:highlight w:val="none"/>
          <w:u w:val="none"/>
          <w:lang w:val="en-US" w:eastAsia="zh-CN" w:bidi="ar-SA"/>
        </w:rPr>
        <w:t>CODcr、NH</w:t>
      </w:r>
      <w:r>
        <w:rPr>
          <w:rFonts w:hint="eastAsia" w:ascii="Times New Roman" w:hAnsi="Times New Roman" w:eastAsia="宋体" w:cs="Times New Roman"/>
          <w:color w:val="000000"/>
          <w:kern w:val="2"/>
          <w:sz w:val="24"/>
          <w:szCs w:val="20"/>
          <w:highlight w:val="none"/>
          <w:u w:val="none"/>
          <w:vertAlign w:val="subscript"/>
          <w:lang w:val="en-US" w:eastAsia="zh-CN" w:bidi="ar-SA"/>
        </w:rPr>
        <w:t>3</w:t>
      </w:r>
      <w:r>
        <w:rPr>
          <w:rFonts w:hint="eastAsia" w:ascii="Times New Roman" w:hAnsi="Times New Roman" w:eastAsia="宋体" w:cs="Times New Roman"/>
          <w:color w:val="000000"/>
          <w:kern w:val="2"/>
          <w:sz w:val="24"/>
          <w:szCs w:val="20"/>
          <w:highlight w:val="none"/>
          <w:u w:val="none"/>
          <w:lang w:val="en-US" w:eastAsia="zh-CN" w:bidi="ar-SA"/>
        </w:rPr>
        <w:t>-N、TP</w:t>
      </w:r>
      <w:r>
        <w:rPr>
          <w:rFonts w:hint="default" w:ascii="Times New Roman" w:hAnsi="Times New Roman" w:cs="Times New Roman"/>
          <w:color w:val="000000"/>
          <w:sz w:val="24"/>
          <w:szCs w:val="24"/>
          <w:highlight w:val="none"/>
          <w:u w:val="none"/>
        </w:rPr>
        <w:t>预测浓度均可</w:t>
      </w:r>
      <w:r>
        <w:rPr>
          <w:rFonts w:hint="eastAsia" w:ascii="Times New Roman" w:hAnsi="Times New Roman" w:cs="Times New Roman"/>
          <w:color w:val="000000"/>
          <w:sz w:val="24"/>
          <w:szCs w:val="24"/>
          <w:highlight w:val="none"/>
          <w:u w:val="none"/>
          <w:lang w:val="en-US" w:eastAsia="zh-CN"/>
        </w:rPr>
        <w:t>满足</w:t>
      </w:r>
      <w:r>
        <w:rPr>
          <w:rFonts w:hint="default" w:ascii="Times New Roman" w:hAnsi="Times New Roman" w:cs="Times New Roman"/>
          <w:color w:val="000000"/>
          <w:sz w:val="24"/>
          <w:szCs w:val="24"/>
          <w:highlight w:val="none"/>
          <w:u w:val="none"/>
        </w:rPr>
        <w:t>《地表水环境质量标准》（GB</w:t>
      </w:r>
      <w:r>
        <w:rPr>
          <w:rFonts w:hint="default" w:cs="Times New Roman"/>
          <w:color w:val="000000"/>
          <w:sz w:val="24"/>
          <w:szCs w:val="24"/>
          <w:highlight w:val="none"/>
          <w:u w:val="none"/>
          <w:lang w:val="en-US" w:eastAsia="zh-CN"/>
        </w:rPr>
        <w:t>3838-2002）III类水质标准</w:t>
      </w:r>
      <w:r>
        <w:rPr>
          <w:rFonts w:hint="eastAsia" w:cs="Times New Roman"/>
          <w:color w:val="000000"/>
          <w:sz w:val="24"/>
          <w:szCs w:val="24"/>
          <w:highlight w:val="none"/>
          <w:u w:val="none"/>
          <w:lang w:val="en-US" w:eastAsia="zh-CN"/>
        </w:rPr>
        <w:t>，</w:t>
      </w:r>
      <w:r>
        <w:rPr>
          <w:rFonts w:hint="default" w:cs="Times New Roman"/>
          <w:color w:val="000000"/>
          <w:sz w:val="24"/>
          <w:szCs w:val="24"/>
          <w:highlight w:val="none"/>
          <w:u w:val="none"/>
          <w:lang w:val="en-US" w:eastAsia="zh-CN"/>
        </w:rPr>
        <w:t>对水环境影响较小</w:t>
      </w:r>
      <w:r>
        <w:rPr>
          <w:rFonts w:hint="default" w:ascii="Times New Roman" w:hAnsi="Times New Roman" w:cs="Times New Roman"/>
          <w:color w:val="000000"/>
          <w:sz w:val="24"/>
          <w:szCs w:val="24"/>
          <w:highlight w:val="none"/>
          <w:u w:val="none"/>
        </w:rPr>
        <w:t>。</w:t>
      </w:r>
      <w:r>
        <w:rPr>
          <w:rFonts w:hint="default" w:ascii="Times New Roman" w:hAnsi="Times New Roman" w:cs="Times New Roman"/>
          <w:color w:val="000000"/>
          <w:sz w:val="24"/>
          <w:szCs w:val="24"/>
          <w:highlight w:val="none"/>
          <w:u w:val="none"/>
          <w:lang w:eastAsia="zh-CN"/>
        </w:rPr>
        <w:t>因此，</w:t>
      </w:r>
      <w:r>
        <w:rPr>
          <w:rFonts w:hint="default" w:ascii="Times New Roman" w:hAnsi="Times New Roman" w:cs="Times New Roman"/>
          <w:color w:val="000000"/>
          <w:sz w:val="24"/>
          <w:szCs w:val="24"/>
          <w:highlight w:val="none"/>
          <w:u w:val="none"/>
        </w:rPr>
        <w:t>正常</w:t>
      </w:r>
      <w:r>
        <w:rPr>
          <w:rFonts w:hint="eastAsia" w:ascii="Times New Roman" w:hAnsi="Times New Roman" w:cs="Times New Roman"/>
          <w:color w:val="000000"/>
          <w:sz w:val="24"/>
          <w:szCs w:val="24"/>
          <w:highlight w:val="none"/>
          <w:u w:val="none"/>
          <w:lang w:val="en-US" w:eastAsia="zh-CN"/>
        </w:rPr>
        <w:t>工</w:t>
      </w:r>
      <w:r>
        <w:rPr>
          <w:rFonts w:hint="default" w:ascii="Times New Roman" w:hAnsi="Times New Roman" w:cs="Times New Roman"/>
          <w:color w:val="000000"/>
          <w:sz w:val="24"/>
          <w:szCs w:val="24"/>
          <w:highlight w:val="none"/>
          <w:u w:val="none"/>
        </w:rPr>
        <w:t>况下</w:t>
      </w:r>
      <w:r>
        <w:rPr>
          <w:rFonts w:hint="default" w:ascii="Times New Roman" w:hAnsi="Times New Roman" w:cs="Times New Roman"/>
          <w:color w:val="000000"/>
          <w:sz w:val="24"/>
          <w:szCs w:val="24"/>
          <w:highlight w:val="none"/>
          <w:u w:val="none"/>
          <w:lang w:eastAsia="zh-CN"/>
        </w:rPr>
        <w:t>本入河排污口</w:t>
      </w:r>
      <w:r>
        <w:rPr>
          <w:rFonts w:hint="eastAsia" w:ascii="Times New Roman" w:hAnsi="Times New Roman" w:cs="Times New Roman"/>
          <w:color w:val="000000"/>
          <w:sz w:val="24"/>
          <w:szCs w:val="24"/>
          <w:highlight w:val="none"/>
          <w:u w:val="none"/>
          <w:lang w:val="en-US" w:eastAsia="zh-CN"/>
        </w:rPr>
        <w:t>的</w:t>
      </w:r>
      <w:r>
        <w:rPr>
          <w:rFonts w:hint="default" w:ascii="Times New Roman" w:hAnsi="Times New Roman" w:cs="Times New Roman"/>
          <w:color w:val="000000"/>
          <w:sz w:val="24"/>
          <w:szCs w:val="24"/>
          <w:highlight w:val="none"/>
          <w:u w:val="none"/>
          <w:lang w:eastAsia="zh-CN"/>
        </w:rPr>
        <w:t>设置对水功能区水质的影响可以接受。</w:t>
      </w:r>
    </w:p>
    <w:p w14:paraId="14C76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szCs w:val="24"/>
          <w:highlight w:val="none"/>
          <w:u w:val="none"/>
        </w:rPr>
      </w:pPr>
      <w:r>
        <w:rPr>
          <w:rFonts w:hint="eastAsia" w:cs="Times New Roman"/>
          <w:color w:val="000000"/>
          <w:sz w:val="24"/>
          <w:szCs w:val="24"/>
          <w:highlight w:val="none"/>
          <w:u w:val="none"/>
          <w:lang w:val="en-US" w:eastAsia="zh-CN"/>
        </w:rPr>
        <w:t>事故排放下，</w:t>
      </w:r>
      <w:r>
        <w:rPr>
          <w:rFonts w:hint="eastAsia" w:ascii="Times New Roman" w:hAnsi="Times New Roman" w:eastAsia="宋体" w:cs="Times New Roman"/>
          <w:color w:val="auto"/>
          <w:sz w:val="24"/>
          <w:szCs w:val="24"/>
          <w:highlight w:val="none"/>
          <w:u w:val="none"/>
          <w:lang w:val="en-US" w:eastAsia="zh-CN"/>
        </w:rPr>
        <w:t>南岳区污水处理厂</w:t>
      </w:r>
      <w:r>
        <w:rPr>
          <w:rFonts w:hint="default" w:ascii="Times New Roman" w:hAnsi="Times New Roman" w:cs="Times New Roman"/>
          <w:color w:val="000000"/>
          <w:sz w:val="24"/>
          <w:szCs w:val="24"/>
          <w:highlight w:val="none"/>
          <w:u w:val="none"/>
        </w:rPr>
        <w:t>废水处理达标后</w:t>
      </w:r>
      <w:r>
        <w:rPr>
          <w:rFonts w:hint="eastAsia" w:ascii="Times New Roman" w:hAnsi="Times New Roman" w:cs="Times New Roman"/>
          <w:color w:val="000000"/>
          <w:sz w:val="24"/>
          <w:szCs w:val="24"/>
          <w:highlight w:val="none"/>
          <w:u w:val="none"/>
          <w:lang w:val="en-US" w:eastAsia="zh-CN"/>
        </w:rPr>
        <w:t>的尾水</w:t>
      </w:r>
      <w:r>
        <w:rPr>
          <w:rFonts w:hint="eastAsia" w:cs="Times New Roman"/>
          <w:color w:val="000000"/>
          <w:sz w:val="24"/>
          <w:szCs w:val="24"/>
          <w:highlight w:val="none"/>
          <w:u w:val="none"/>
          <w:lang w:eastAsia="zh-CN"/>
        </w:rPr>
        <w:t>经</w:t>
      </w:r>
      <w:r>
        <w:rPr>
          <w:rFonts w:hint="eastAsia" w:cs="Times New Roman"/>
          <w:color w:val="000000"/>
          <w:sz w:val="24"/>
          <w:szCs w:val="24"/>
          <w:highlight w:val="none"/>
          <w:u w:val="none"/>
          <w:lang w:val="en-US" w:eastAsia="zh-CN"/>
        </w:rPr>
        <w:t>厂区50m</w:t>
      </w:r>
      <w:r>
        <w:rPr>
          <w:rFonts w:hint="eastAsia" w:cs="Times New Roman"/>
          <w:color w:val="auto"/>
          <w:kern w:val="2"/>
          <w:sz w:val="24"/>
          <w:szCs w:val="24"/>
          <w:highlight w:val="none"/>
          <w:u w:val="none"/>
          <w:lang w:val="en-US" w:eastAsia="zh-CN" w:bidi="ar-SA"/>
        </w:rPr>
        <w:t>专用排污管道</w:t>
      </w:r>
      <w:r>
        <w:rPr>
          <w:rFonts w:hint="eastAsia" w:cs="Times New Roman"/>
          <w:color w:val="000000"/>
          <w:sz w:val="24"/>
          <w:szCs w:val="24"/>
          <w:highlight w:val="none"/>
          <w:u w:val="none"/>
          <w:lang w:val="en-US" w:eastAsia="zh-CN"/>
        </w:rPr>
        <w:t>通过入河排污口排入龙荫港，经预测</w:t>
      </w:r>
      <w:r>
        <w:rPr>
          <w:rFonts w:hint="default" w:ascii="Times New Roman" w:hAnsi="Times New Roman" w:cs="Times New Roman"/>
          <w:color w:val="000000"/>
          <w:sz w:val="24"/>
          <w:szCs w:val="24"/>
          <w:highlight w:val="none"/>
          <w:u w:val="none"/>
        </w:rPr>
        <w:t>枯水期</w:t>
      </w:r>
      <w:r>
        <w:rPr>
          <w:rFonts w:hint="eastAsia" w:cs="Times New Roman"/>
          <w:color w:val="000000"/>
          <w:sz w:val="24"/>
          <w:szCs w:val="24"/>
          <w:highlight w:val="none"/>
          <w:u w:val="none"/>
          <w:lang w:val="en-US" w:eastAsia="zh-CN"/>
        </w:rPr>
        <w:t>龙荫港</w:t>
      </w:r>
      <w:r>
        <w:rPr>
          <w:rFonts w:hint="default" w:cs="Times New Roman"/>
          <w:color w:val="000000"/>
          <w:sz w:val="24"/>
          <w:szCs w:val="24"/>
          <w:highlight w:val="none"/>
          <w:u w:val="none"/>
          <w:lang w:val="en-US" w:eastAsia="zh-CN"/>
        </w:rPr>
        <w:t>水质</w:t>
      </w:r>
      <w:r>
        <w:rPr>
          <w:rFonts w:hint="eastAsia" w:ascii="Times New Roman" w:hAnsi="Times New Roman" w:eastAsia="宋体" w:cs="Times New Roman"/>
          <w:color w:val="000000"/>
          <w:kern w:val="2"/>
          <w:sz w:val="24"/>
          <w:szCs w:val="20"/>
          <w:highlight w:val="none"/>
          <w:u w:val="none"/>
          <w:lang w:val="en-US" w:eastAsia="zh-CN" w:bidi="ar-SA"/>
        </w:rPr>
        <w:t>CODcr、NH</w:t>
      </w:r>
      <w:r>
        <w:rPr>
          <w:rFonts w:hint="eastAsia" w:ascii="Times New Roman" w:hAnsi="Times New Roman" w:eastAsia="宋体" w:cs="Times New Roman"/>
          <w:color w:val="000000"/>
          <w:kern w:val="2"/>
          <w:sz w:val="24"/>
          <w:szCs w:val="20"/>
          <w:highlight w:val="none"/>
          <w:u w:val="none"/>
          <w:vertAlign w:val="subscript"/>
          <w:lang w:val="en-US" w:eastAsia="zh-CN" w:bidi="ar-SA"/>
        </w:rPr>
        <w:t>3</w:t>
      </w:r>
      <w:r>
        <w:rPr>
          <w:rFonts w:hint="eastAsia" w:ascii="Times New Roman" w:hAnsi="Times New Roman" w:eastAsia="宋体" w:cs="Times New Roman"/>
          <w:color w:val="000000"/>
          <w:kern w:val="2"/>
          <w:sz w:val="24"/>
          <w:szCs w:val="20"/>
          <w:highlight w:val="none"/>
          <w:u w:val="none"/>
          <w:lang w:val="en-US" w:eastAsia="zh-CN" w:bidi="ar-SA"/>
        </w:rPr>
        <w:t>-N、TP</w:t>
      </w:r>
      <w:r>
        <w:rPr>
          <w:rFonts w:hint="default" w:ascii="Times New Roman" w:hAnsi="Times New Roman" w:cs="Times New Roman"/>
          <w:color w:val="000000"/>
          <w:sz w:val="24"/>
          <w:szCs w:val="24"/>
          <w:highlight w:val="none"/>
          <w:u w:val="none"/>
        </w:rPr>
        <w:t>预测浓度</w:t>
      </w:r>
      <w:r>
        <w:rPr>
          <w:rFonts w:hint="eastAsia" w:ascii="Times New Roman" w:hAnsi="Times New Roman" w:cs="Times New Roman"/>
          <w:color w:val="000000"/>
          <w:sz w:val="24"/>
          <w:szCs w:val="24"/>
          <w:highlight w:val="none"/>
          <w:u w:val="none"/>
          <w:lang w:val="en-US" w:eastAsia="zh-CN"/>
        </w:rPr>
        <w:t>均大幅超标于</w:t>
      </w:r>
      <w:r>
        <w:rPr>
          <w:rFonts w:hint="default" w:ascii="Times New Roman" w:hAnsi="Times New Roman" w:cs="Times New Roman"/>
          <w:color w:val="000000"/>
          <w:sz w:val="24"/>
          <w:szCs w:val="24"/>
          <w:highlight w:val="none"/>
          <w:u w:val="none"/>
        </w:rPr>
        <w:t>《地表水环境质量标准》（GB</w:t>
      </w:r>
      <w:r>
        <w:rPr>
          <w:rFonts w:hint="default" w:cs="Times New Roman"/>
          <w:color w:val="000000"/>
          <w:sz w:val="24"/>
          <w:szCs w:val="24"/>
          <w:highlight w:val="none"/>
          <w:u w:val="none"/>
          <w:lang w:val="en-US" w:eastAsia="zh-CN"/>
        </w:rPr>
        <w:t>3838-2002）III类水质标准</w:t>
      </w:r>
      <w:r>
        <w:rPr>
          <w:rFonts w:hint="eastAsia" w:cs="Times New Roman"/>
          <w:color w:val="000000"/>
          <w:sz w:val="24"/>
          <w:szCs w:val="24"/>
          <w:highlight w:val="none"/>
          <w:u w:val="none"/>
          <w:lang w:val="en-US" w:eastAsia="zh-CN"/>
        </w:rPr>
        <w:t>，</w:t>
      </w:r>
      <w:r>
        <w:rPr>
          <w:rFonts w:hint="default" w:ascii="Times New Roman" w:hAnsi="Times New Roman" w:cs="Times New Roman"/>
          <w:color w:val="000000"/>
          <w:sz w:val="24"/>
          <w:szCs w:val="24"/>
          <w:highlight w:val="none"/>
          <w:u w:val="none"/>
        </w:rPr>
        <w:t>说明当发生</w:t>
      </w:r>
      <w:r>
        <w:rPr>
          <w:rFonts w:hint="eastAsia" w:ascii="Times New Roman" w:hAnsi="Times New Roman" w:cs="Times New Roman"/>
          <w:color w:val="000000"/>
          <w:sz w:val="24"/>
          <w:szCs w:val="24"/>
          <w:highlight w:val="none"/>
          <w:u w:val="none"/>
          <w:lang w:val="en-US" w:eastAsia="zh-CN"/>
        </w:rPr>
        <w:t>尾水</w:t>
      </w:r>
      <w:r>
        <w:rPr>
          <w:rFonts w:hint="eastAsia" w:cs="Times New Roman"/>
          <w:color w:val="000000"/>
          <w:sz w:val="24"/>
          <w:szCs w:val="24"/>
          <w:highlight w:val="none"/>
          <w:u w:val="none"/>
          <w:lang w:val="en-US" w:eastAsia="zh-CN"/>
        </w:rPr>
        <w:t>事故排放</w:t>
      </w:r>
      <w:r>
        <w:rPr>
          <w:rFonts w:hint="default" w:ascii="Times New Roman" w:hAnsi="Times New Roman" w:cs="Times New Roman"/>
          <w:color w:val="000000"/>
          <w:sz w:val="24"/>
          <w:szCs w:val="24"/>
          <w:highlight w:val="none"/>
          <w:u w:val="none"/>
        </w:rPr>
        <w:t>时，对</w:t>
      </w:r>
      <w:r>
        <w:rPr>
          <w:rFonts w:hint="eastAsia" w:cs="Times New Roman"/>
          <w:color w:val="000000"/>
          <w:sz w:val="24"/>
          <w:szCs w:val="24"/>
          <w:highlight w:val="none"/>
          <w:u w:val="none"/>
          <w:lang w:val="en-US" w:eastAsia="zh-CN"/>
        </w:rPr>
        <w:t>龙荫港</w:t>
      </w:r>
      <w:r>
        <w:rPr>
          <w:rFonts w:hint="eastAsia" w:cs="Times New Roman"/>
          <w:color w:val="000000"/>
          <w:sz w:val="24"/>
          <w:szCs w:val="24"/>
          <w:highlight w:val="none"/>
          <w:u w:val="none"/>
          <w:lang w:eastAsia="zh-CN"/>
        </w:rPr>
        <w:t>下游</w:t>
      </w:r>
      <w:r>
        <w:rPr>
          <w:rFonts w:hint="default" w:ascii="Times New Roman" w:hAnsi="Times New Roman" w:cs="Times New Roman"/>
          <w:color w:val="000000"/>
          <w:sz w:val="24"/>
          <w:szCs w:val="24"/>
          <w:highlight w:val="none"/>
          <w:u w:val="none"/>
        </w:rPr>
        <w:t>水质</w:t>
      </w:r>
      <w:r>
        <w:rPr>
          <w:rFonts w:hint="eastAsia" w:cs="Times New Roman"/>
          <w:color w:val="000000"/>
          <w:sz w:val="24"/>
          <w:szCs w:val="24"/>
          <w:highlight w:val="none"/>
          <w:u w:val="none"/>
          <w:lang w:eastAsia="zh-CN"/>
        </w:rPr>
        <w:t>影响较大。</w:t>
      </w:r>
      <w:r>
        <w:rPr>
          <w:rFonts w:hint="default" w:ascii="Times New Roman" w:hAnsi="Times New Roman" w:cs="Times New Roman"/>
          <w:color w:val="000000"/>
          <w:sz w:val="24"/>
          <w:szCs w:val="24"/>
          <w:highlight w:val="none"/>
          <w:u w:val="none"/>
        </w:rPr>
        <w:t>因此，</w:t>
      </w:r>
      <w:r>
        <w:rPr>
          <w:rFonts w:hint="eastAsia" w:ascii="Times New Roman" w:hAnsi="Times New Roman" w:eastAsia="宋体" w:cs="Times New Roman"/>
          <w:color w:val="auto"/>
          <w:sz w:val="24"/>
          <w:szCs w:val="24"/>
          <w:highlight w:val="none"/>
          <w:u w:val="none"/>
          <w:lang w:val="en-US" w:eastAsia="zh-CN"/>
        </w:rPr>
        <w:t>南岳区污水处理厂</w:t>
      </w:r>
      <w:r>
        <w:rPr>
          <w:rFonts w:hint="default" w:ascii="Times New Roman" w:hAnsi="Times New Roman" w:cs="Times New Roman"/>
          <w:color w:val="000000"/>
          <w:sz w:val="24"/>
          <w:szCs w:val="24"/>
          <w:highlight w:val="none"/>
          <w:u w:val="none"/>
        </w:rPr>
        <w:t>应加强</w:t>
      </w:r>
      <w:r>
        <w:rPr>
          <w:rFonts w:hint="eastAsia" w:ascii="Times New Roman" w:hAnsi="Times New Roman" w:cs="Times New Roman"/>
          <w:color w:val="000000"/>
          <w:sz w:val="24"/>
          <w:szCs w:val="24"/>
          <w:highlight w:val="none"/>
          <w:u w:val="none"/>
          <w:lang w:val="en-US" w:eastAsia="zh-CN"/>
        </w:rPr>
        <w:t>厂区</w:t>
      </w:r>
      <w:r>
        <w:rPr>
          <w:rFonts w:hint="default" w:ascii="Times New Roman" w:hAnsi="Times New Roman" w:cs="Times New Roman"/>
          <w:color w:val="000000"/>
          <w:sz w:val="24"/>
          <w:szCs w:val="24"/>
          <w:highlight w:val="none"/>
          <w:u w:val="none"/>
        </w:rPr>
        <w:t>废水处理设施的</w:t>
      </w:r>
      <w:r>
        <w:rPr>
          <w:rFonts w:hint="eastAsia" w:ascii="Times New Roman" w:hAnsi="Times New Roman" w:cs="Times New Roman"/>
          <w:color w:val="000000"/>
          <w:sz w:val="24"/>
          <w:szCs w:val="24"/>
          <w:highlight w:val="none"/>
          <w:u w:val="none"/>
          <w:lang w:val="en-US" w:eastAsia="zh-CN"/>
        </w:rPr>
        <w:t>运维</w:t>
      </w:r>
      <w:r>
        <w:rPr>
          <w:rFonts w:hint="default" w:ascii="Times New Roman" w:hAnsi="Times New Roman" w:cs="Times New Roman"/>
          <w:color w:val="000000"/>
          <w:sz w:val="24"/>
          <w:szCs w:val="24"/>
          <w:highlight w:val="none"/>
          <w:u w:val="none"/>
        </w:rPr>
        <w:t>，关键设备一用一备，</w:t>
      </w:r>
      <w:r>
        <w:rPr>
          <w:rFonts w:hint="eastAsia" w:ascii="Times New Roman" w:hAnsi="Times New Roman" w:cs="Times New Roman"/>
          <w:color w:val="000000"/>
          <w:sz w:val="24"/>
          <w:szCs w:val="24"/>
          <w:highlight w:val="none"/>
          <w:u w:val="none"/>
          <w:lang w:val="en-US" w:eastAsia="zh-CN"/>
        </w:rPr>
        <w:t>杜绝尾水事故排放</w:t>
      </w:r>
      <w:r>
        <w:rPr>
          <w:rFonts w:hint="eastAsia" w:cs="Times New Roman"/>
          <w:color w:val="000000"/>
          <w:spacing w:val="-2"/>
          <w:position w:val="2"/>
          <w:sz w:val="24"/>
          <w:szCs w:val="24"/>
          <w:highlight w:val="none"/>
          <w:u w:val="none"/>
          <w:lang w:eastAsia="zh-CN"/>
        </w:rPr>
        <w:t>。</w:t>
      </w:r>
    </w:p>
    <w:p w14:paraId="248DA03F">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u w:val="none"/>
          <w:lang w:val="en-US" w:eastAsia="zh-CN"/>
        </w:rPr>
      </w:pPr>
      <w:r>
        <w:rPr>
          <w:rFonts w:hint="eastAsia"/>
          <w:sz w:val="24"/>
          <w:szCs w:val="24"/>
          <w:highlight w:val="none"/>
          <w:u w:val="none"/>
          <w:lang w:val="en-US" w:eastAsia="zh-CN"/>
        </w:rPr>
        <w:t>（3）总量控制</w:t>
      </w:r>
    </w:p>
    <w:p w14:paraId="6D5F182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u w:val="none"/>
          <w:lang w:val="en-US" w:eastAsia="zh-CN"/>
        </w:rPr>
      </w:pPr>
      <w:r>
        <w:rPr>
          <w:rFonts w:hint="eastAsia"/>
          <w:sz w:val="24"/>
          <w:szCs w:val="24"/>
          <w:highlight w:val="none"/>
          <w:u w:val="none"/>
          <w:lang w:val="en-US" w:eastAsia="zh-CN"/>
        </w:rPr>
        <w:t>本次论证范围（</w:t>
      </w:r>
      <w:r>
        <w:rPr>
          <w:rFonts w:hint="eastAsia" w:ascii="Times New Roman" w:hAnsi="Times New Roman" w:eastAsia="宋体" w:cs="Times New Roman"/>
          <w:color w:val="000000"/>
          <w:kern w:val="2"/>
          <w:sz w:val="24"/>
          <w:szCs w:val="20"/>
          <w:highlight w:val="none"/>
          <w:lang w:val="en-US" w:eastAsia="zh-CN" w:bidi="ar-SA"/>
        </w:rPr>
        <w:t>入河排污口</w:t>
      </w:r>
      <w:r>
        <w:rPr>
          <w:rFonts w:hint="eastAsia" w:ascii="Times New Roman" w:hAnsi="Times New Roman"/>
          <w:color w:val="000000"/>
          <w:sz w:val="24"/>
          <w:szCs w:val="24"/>
          <w:highlight w:val="none"/>
        </w:rPr>
        <w:t>龙荫港</w:t>
      </w:r>
      <w:r>
        <w:rPr>
          <w:rFonts w:hint="eastAsia" w:ascii="Times New Roman" w:hAnsi="Times New Roman" w:eastAsia="宋体" w:cs="Times New Roman"/>
          <w:color w:val="000000"/>
          <w:kern w:val="2"/>
          <w:sz w:val="24"/>
          <w:szCs w:val="20"/>
          <w:highlight w:val="none"/>
          <w:lang w:val="en-US" w:eastAsia="zh-CN" w:bidi="ar-SA"/>
        </w:rPr>
        <w:t>上游500m处至下游5000m</w:t>
      </w:r>
      <w:r>
        <w:rPr>
          <w:rFonts w:hint="eastAsia"/>
          <w:sz w:val="24"/>
          <w:szCs w:val="24"/>
          <w:highlight w:val="none"/>
          <w:u w:val="none"/>
          <w:lang w:val="en-US" w:eastAsia="zh-CN"/>
        </w:rPr>
        <w:t>）内龙荫港水域的纳污能力为</w:t>
      </w:r>
      <w:r>
        <w:rPr>
          <w:rFonts w:hint="default"/>
          <w:sz w:val="24"/>
          <w:szCs w:val="24"/>
          <w:highlight w:val="none"/>
          <w:u w:val="none"/>
        </w:rPr>
        <w:t>COD</w:t>
      </w:r>
      <w:r>
        <w:rPr>
          <w:rFonts w:hint="eastAsia"/>
          <w:sz w:val="24"/>
          <w:szCs w:val="24"/>
          <w:highlight w:val="none"/>
          <w:u w:val="none"/>
          <w:lang w:val="en-US" w:eastAsia="zh-CN"/>
        </w:rPr>
        <w:t>cr：457.051t/a、</w:t>
      </w:r>
      <w:r>
        <w:rPr>
          <w:rFonts w:hint="default"/>
          <w:sz w:val="24"/>
          <w:szCs w:val="24"/>
          <w:highlight w:val="none"/>
          <w:u w:val="none"/>
          <w:lang w:val="en-US" w:eastAsia="zh-CN"/>
        </w:rPr>
        <w:t>NH</w:t>
      </w:r>
      <w:r>
        <w:rPr>
          <w:rFonts w:hint="default"/>
          <w:sz w:val="24"/>
          <w:szCs w:val="24"/>
          <w:highlight w:val="none"/>
          <w:u w:val="none"/>
          <w:vertAlign w:val="subscript"/>
          <w:lang w:val="en-US" w:eastAsia="zh-CN"/>
        </w:rPr>
        <w:t>3</w:t>
      </w:r>
      <w:r>
        <w:rPr>
          <w:rFonts w:hint="default"/>
          <w:sz w:val="24"/>
          <w:szCs w:val="24"/>
          <w:highlight w:val="none"/>
          <w:u w:val="none"/>
          <w:lang w:val="en-US" w:eastAsia="zh-CN"/>
        </w:rPr>
        <w:t>-N</w:t>
      </w:r>
      <w:r>
        <w:rPr>
          <w:rFonts w:hint="eastAsia"/>
          <w:sz w:val="24"/>
          <w:szCs w:val="24"/>
          <w:highlight w:val="none"/>
          <w:u w:val="none"/>
          <w:lang w:val="en-US" w:eastAsia="zh-CN"/>
        </w:rPr>
        <w:t>：22.852t/a、</w:t>
      </w:r>
      <w:r>
        <w:rPr>
          <w:rFonts w:hint="default"/>
          <w:sz w:val="24"/>
          <w:szCs w:val="24"/>
          <w:highlight w:val="none"/>
          <w:u w:val="none"/>
          <w:lang w:val="en-US" w:eastAsia="zh-CN"/>
        </w:rPr>
        <w:t>TP</w:t>
      </w:r>
      <w:r>
        <w:rPr>
          <w:rFonts w:hint="eastAsia"/>
          <w:sz w:val="24"/>
          <w:szCs w:val="24"/>
          <w:highlight w:val="none"/>
          <w:u w:val="none"/>
          <w:lang w:val="en-US" w:eastAsia="zh-CN"/>
        </w:rPr>
        <w:t>：6.856t/a；本入河排污口污染物排放量为</w:t>
      </w:r>
      <w:r>
        <w:rPr>
          <w:rFonts w:hint="default"/>
          <w:sz w:val="24"/>
          <w:szCs w:val="24"/>
          <w:highlight w:val="none"/>
          <w:u w:val="none"/>
        </w:rPr>
        <w:t>COD</w:t>
      </w:r>
      <w:r>
        <w:rPr>
          <w:rFonts w:hint="eastAsia"/>
          <w:sz w:val="24"/>
          <w:szCs w:val="24"/>
          <w:highlight w:val="none"/>
          <w:u w:val="none"/>
          <w:lang w:val="en-US" w:eastAsia="zh-CN"/>
        </w:rPr>
        <w:t>cr：328.5t/a、</w:t>
      </w:r>
      <w:r>
        <w:rPr>
          <w:rFonts w:hint="default"/>
          <w:sz w:val="24"/>
          <w:szCs w:val="24"/>
          <w:highlight w:val="none"/>
          <w:u w:val="none"/>
          <w:lang w:val="en-US" w:eastAsia="zh-CN"/>
        </w:rPr>
        <w:t>NH</w:t>
      </w:r>
      <w:r>
        <w:rPr>
          <w:rFonts w:hint="default"/>
          <w:sz w:val="24"/>
          <w:szCs w:val="24"/>
          <w:highlight w:val="none"/>
          <w:u w:val="none"/>
          <w:vertAlign w:val="subscript"/>
          <w:lang w:val="en-US" w:eastAsia="zh-CN"/>
        </w:rPr>
        <w:t>3</w:t>
      </w:r>
      <w:r>
        <w:rPr>
          <w:rFonts w:hint="default"/>
          <w:sz w:val="24"/>
          <w:szCs w:val="24"/>
          <w:highlight w:val="none"/>
          <w:u w:val="none"/>
          <w:lang w:val="en-US" w:eastAsia="zh-CN"/>
        </w:rPr>
        <w:t>-N</w:t>
      </w:r>
      <w:r>
        <w:rPr>
          <w:rFonts w:hint="eastAsia"/>
          <w:sz w:val="24"/>
          <w:szCs w:val="24"/>
          <w:highlight w:val="none"/>
          <w:u w:val="none"/>
          <w:lang w:val="en-US" w:eastAsia="zh-CN"/>
        </w:rPr>
        <w:t>：16.425t/a、</w:t>
      </w:r>
      <w:r>
        <w:rPr>
          <w:rFonts w:hint="default"/>
          <w:sz w:val="24"/>
          <w:szCs w:val="24"/>
          <w:highlight w:val="none"/>
          <w:u w:val="none"/>
          <w:lang w:val="en-US" w:eastAsia="zh-CN"/>
        </w:rPr>
        <w:t>TP</w:t>
      </w:r>
      <w:r>
        <w:rPr>
          <w:rFonts w:hint="eastAsia"/>
          <w:sz w:val="24"/>
          <w:szCs w:val="24"/>
          <w:highlight w:val="none"/>
          <w:u w:val="none"/>
          <w:lang w:val="en-US" w:eastAsia="zh-CN"/>
        </w:rPr>
        <w:t>：3.285t/a，小于论证河段的纳污能力。因此，论证范围内龙荫港水域的纳污能力能够满足本项目的需求。</w:t>
      </w:r>
    </w:p>
    <w:p w14:paraId="6B08F5E4">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eastAsia="宋体"/>
          <w:sz w:val="24"/>
          <w:szCs w:val="24"/>
          <w:highlight w:val="none"/>
          <w:u w:val="none"/>
          <w:lang w:val="en-US" w:eastAsia="zh-CN"/>
        </w:rPr>
      </w:pPr>
      <w:r>
        <w:rPr>
          <w:rFonts w:hint="eastAsia"/>
          <w:sz w:val="24"/>
          <w:szCs w:val="24"/>
          <w:highlight w:val="none"/>
          <w:u w:val="none"/>
          <w:lang w:eastAsia="zh-CN"/>
        </w:rPr>
        <w:t>（</w:t>
      </w:r>
      <w:r>
        <w:rPr>
          <w:rFonts w:hint="eastAsia"/>
          <w:sz w:val="24"/>
          <w:szCs w:val="24"/>
          <w:highlight w:val="none"/>
          <w:u w:val="none"/>
          <w:lang w:val="en-US" w:eastAsia="zh-CN"/>
        </w:rPr>
        <w:t>4</w:t>
      </w:r>
      <w:r>
        <w:rPr>
          <w:rFonts w:hint="eastAsia"/>
          <w:sz w:val="24"/>
          <w:szCs w:val="24"/>
          <w:highlight w:val="none"/>
          <w:u w:val="none"/>
          <w:lang w:eastAsia="zh-CN"/>
        </w:rPr>
        <w:t>）</w:t>
      </w:r>
      <w:r>
        <w:rPr>
          <w:rFonts w:hint="eastAsia"/>
          <w:sz w:val="24"/>
          <w:szCs w:val="24"/>
          <w:highlight w:val="none"/>
          <w:u w:val="none"/>
          <w:lang w:val="en-US" w:eastAsia="zh-CN"/>
        </w:rPr>
        <w:t>对</w:t>
      </w:r>
      <w:r>
        <w:rPr>
          <w:sz w:val="24"/>
          <w:szCs w:val="24"/>
          <w:highlight w:val="none"/>
          <w:u w:val="none"/>
        </w:rPr>
        <w:t>水生态影响</w:t>
      </w:r>
      <w:r>
        <w:rPr>
          <w:rFonts w:hint="eastAsia"/>
          <w:sz w:val="24"/>
          <w:szCs w:val="24"/>
          <w:highlight w:val="none"/>
          <w:u w:val="none"/>
          <w:lang w:val="en-US" w:eastAsia="zh-CN"/>
        </w:rPr>
        <w:t>分析</w:t>
      </w:r>
    </w:p>
    <w:p w14:paraId="1B2432B7">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u w:val="none"/>
          <w:lang w:val="en-US" w:eastAsia="zh-CN"/>
        </w:rPr>
      </w:pPr>
      <w:r>
        <w:rPr>
          <w:rFonts w:hint="eastAsia"/>
          <w:sz w:val="24"/>
          <w:szCs w:val="24"/>
          <w:highlight w:val="none"/>
          <w:u w:val="none"/>
          <w:lang w:val="en-US" w:eastAsia="zh-CN"/>
        </w:rPr>
        <w:t>本入河排污口正常工况下，尾水排放对龙荫港水域上、下游水质并没有太大影响，但是尾水中剩余的无毒有机污染物及N、P等营养型污染物将促进该水域局部（排污口附近）水体中的藻类繁殖、生长，在一定的时间和区域内可以达到高峰，此时，种类最多，数量最大。尾水中可能存在某些污染物对水生生物生长起到一定的抑制作用，二者相互影响的结果使水生生物群落中的耐污性种类的数量逐渐增多；而一些不耐污、清水性的种类减少或逐渐消失，使影响区域的水生生物群落结构由清水性向污水性群落演变，生物的多样性减少，群落趋向不稳定，最终演化结果可能是排污口附近局部水域的富营养化，对下游局部河段生态环境有一定影响。</w:t>
      </w:r>
    </w:p>
    <w:p w14:paraId="6FAB705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u w:val="none"/>
        </w:rPr>
      </w:pPr>
      <w:r>
        <w:rPr>
          <w:rFonts w:hint="eastAsia"/>
          <w:sz w:val="24"/>
          <w:szCs w:val="24"/>
          <w:highlight w:val="none"/>
          <w:u w:val="none"/>
        </w:rPr>
        <w:t>本入河排污口未设置在自然保护区、风景名胜区、重要湿地以及鱼类“三场”和洄游通道，不存在</w:t>
      </w:r>
      <w:r>
        <w:rPr>
          <w:rFonts w:hint="eastAsia"/>
          <w:sz w:val="24"/>
          <w:szCs w:val="24"/>
          <w:highlight w:val="none"/>
          <w:u w:val="none"/>
          <w:lang w:val="en-US" w:eastAsia="zh-CN"/>
        </w:rPr>
        <w:t>重大</w:t>
      </w:r>
      <w:r>
        <w:rPr>
          <w:rFonts w:hint="eastAsia"/>
          <w:sz w:val="24"/>
          <w:szCs w:val="24"/>
          <w:highlight w:val="none"/>
          <w:u w:val="none"/>
        </w:rPr>
        <w:t>生态制约因素，符合水生态保护要求。此外本入河排污口的</w:t>
      </w:r>
      <w:r>
        <w:rPr>
          <w:rFonts w:hint="eastAsia"/>
          <w:sz w:val="24"/>
          <w:szCs w:val="24"/>
          <w:highlight w:val="none"/>
          <w:u w:val="none"/>
          <w:lang w:val="en-US" w:eastAsia="zh-CN"/>
        </w:rPr>
        <w:t>设置</w:t>
      </w:r>
      <w:r>
        <w:rPr>
          <w:rFonts w:hint="eastAsia"/>
          <w:sz w:val="24"/>
          <w:szCs w:val="24"/>
          <w:highlight w:val="none"/>
          <w:u w:val="none"/>
        </w:rPr>
        <w:t>能削减</w:t>
      </w:r>
      <w:r>
        <w:rPr>
          <w:rFonts w:hint="eastAsia"/>
          <w:sz w:val="24"/>
          <w:szCs w:val="24"/>
          <w:highlight w:val="none"/>
          <w:u w:val="none"/>
          <w:lang w:val="en-US" w:eastAsia="zh-CN"/>
        </w:rPr>
        <w:t>南岳区生活</w:t>
      </w:r>
      <w:r>
        <w:rPr>
          <w:rFonts w:hint="eastAsia"/>
          <w:sz w:val="24"/>
          <w:szCs w:val="24"/>
          <w:highlight w:val="none"/>
          <w:u w:val="none"/>
        </w:rPr>
        <w:t>污水排入</w:t>
      </w:r>
      <w:r>
        <w:rPr>
          <w:rFonts w:hint="eastAsia"/>
          <w:sz w:val="24"/>
          <w:szCs w:val="24"/>
          <w:highlight w:val="none"/>
          <w:u w:val="none"/>
          <w:lang w:val="en-US" w:eastAsia="zh-CN"/>
        </w:rPr>
        <w:t>龙荫港以及湘江流域</w:t>
      </w:r>
      <w:r>
        <w:rPr>
          <w:rFonts w:hint="eastAsia"/>
          <w:sz w:val="24"/>
          <w:szCs w:val="24"/>
          <w:highlight w:val="none"/>
          <w:u w:val="none"/>
        </w:rPr>
        <w:t>的污染量，对改善水功能区的水质，实现水功能区的水质目标有</w:t>
      </w:r>
      <w:r>
        <w:rPr>
          <w:rFonts w:hint="eastAsia"/>
          <w:sz w:val="24"/>
          <w:szCs w:val="24"/>
          <w:highlight w:val="none"/>
          <w:u w:val="none"/>
          <w:lang w:val="en-US" w:eastAsia="zh-CN"/>
        </w:rPr>
        <w:t>正向作用</w:t>
      </w:r>
      <w:r>
        <w:rPr>
          <w:rFonts w:hint="eastAsia"/>
          <w:sz w:val="24"/>
          <w:szCs w:val="24"/>
          <w:highlight w:val="none"/>
          <w:u w:val="none"/>
        </w:rPr>
        <w:t>，可</w:t>
      </w:r>
      <w:r>
        <w:rPr>
          <w:rFonts w:hint="eastAsia"/>
          <w:sz w:val="24"/>
          <w:szCs w:val="24"/>
          <w:highlight w:val="none"/>
          <w:u w:val="none"/>
          <w:lang w:val="en-US" w:eastAsia="zh-CN"/>
        </w:rPr>
        <w:t>促进</w:t>
      </w:r>
      <w:r>
        <w:rPr>
          <w:rFonts w:hint="eastAsia"/>
          <w:sz w:val="24"/>
          <w:szCs w:val="24"/>
          <w:highlight w:val="none"/>
          <w:u w:val="none"/>
        </w:rPr>
        <w:t>流域的水生态环境</w:t>
      </w:r>
      <w:r>
        <w:rPr>
          <w:rFonts w:hint="eastAsia"/>
          <w:sz w:val="24"/>
          <w:szCs w:val="24"/>
          <w:highlight w:val="none"/>
          <w:u w:val="none"/>
          <w:lang w:val="en-US" w:eastAsia="zh-CN"/>
        </w:rPr>
        <w:t>的改善</w:t>
      </w:r>
      <w:r>
        <w:rPr>
          <w:rFonts w:hint="eastAsia"/>
          <w:sz w:val="24"/>
          <w:szCs w:val="24"/>
          <w:highlight w:val="none"/>
          <w:u w:val="none"/>
        </w:rPr>
        <w:t>。</w:t>
      </w:r>
    </w:p>
    <w:p w14:paraId="3343B233">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u w:val="none"/>
          <w:lang w:val="en-US" w:eastAsia="zh-CN"/>
        </w:rPr>
      </w:pPr>
      <w:r>
        <w:rPr>
          <w:rFonts w:hint="eastAsia"/>
          <w:sz w:val="24"/>
          <w:szCs w:val="24"/>
          <w:highlight w:val="none"/>
          <w:u w:val="none"/>
        </w:rPr>
        <w:t>综上所述，本入河排污口设置对于减轻水环境污染，进而实现流域治理，保护区域内的生态环境具有重要的意义</w:t>
      </w:r>
      <w:r>
        <w:rPr>
          <w:rFonts w:hint="eastAsia"/>
          <w:sz w:val="24"/>
          <w:szCs w:val="24"/>
          <w:highlight w:val="none"/>
          <w:u w:val="none"/>
          <w:lang w:eastAsia="zh-CN"/>
        </w:rPr>
        <w:t>。</w:t>
      </w:r>
    </w:p>
    <w:p w14:paraId="139B41CF">
      <w:pPr>
        <w:pStyle w:val="6"/>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9.1.3 对第三者权益的影响</w:t>
      </w:r>
    </w:p>
    <w:p w14:paraId="1566B576">
      <w:pPr>
        <w:spacing w:line="360" w:lineRule="auto"/>
        <w:ind w:firstLine="480" w:firstLineChars="200"/>
        <w:jc w:val="both"/>
        <w:rPr>
          <w:rFonts w:hint="eastAsia" w:cs="Times New Roman"/>
          <w:i w:val="0"/>
          <w:caps w:val="0"/>
          <w:color w:val="auto"/>
          <w:spacing w:val="0"/>
          <w:sz w:val="24"/>
          <w:szCs w:val="24"/>
          <w:highlight w:val="none"/>
          <w:u w:val="none"/>
          <w:shd w:val="clear" w:color="auto" w:fill="auto"/>
          <w:lang w:eastAsia="zh-CN"/>
        </w:rPr>
      </w:pP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1</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对控制断面影响分析</w:t>
      </w:r>
    </w:p>
    <w:p w14:paraId="424DD316">
      <w:pPr>
        <w:spacing w:line="360" w:lineRule="auto"/>
        <w:ind w:firstLine="480" w:firstLineChars="200"/>
        <w:jc w:val="both"/>
        <w:rPr>
          <w:rFonts w:hint="default" w:cs="Times New Roman"/>
          <w:i w:val="0"/>
          <w:caps w:val="0"/>
          <w:color w:val="auto"/>
          <w:spacing w:val="0"/>
          <w:sz w:val="24"/>
          <w:szCs w:val="24"/>
          <w:highlight w:val="none"/>
          <w:u w:val="none"/>
          <w:shd w:val="clear" w:color="auto" w:fill="auto"/>
          <w:lang w:val="en-US" w:eastAsia="zh-CN"/>
        </w:rPr>
      </w:pPr>
      <w:r>
        <w:rPr>
          <w:rFonts w:hint="eastAsia" w:ascii="宋体" w:hAnsi="宋体" w:eastAsia="宋体" w:cs="宋体"/>
          <w:color w:val="000000"/>
          <w:kern w:val="0"/>
          <w:sz w:val="24"/>
          <w:szCs w:val="24"/>
          <w:highlight w:val="none"/>
          <w:lang w:val="en-US" w:eastAsia="zh-CN" w:bidi="ar"/>
        </w:rPr>
        <w:t>本入河排污口</w:t>
      </w:r>
      <w:r>
        <w:rPr>
          <w:rFonts w:hint="eastAsia" w:ascii="Times New Roman" w:hAnsi="Times New Roman" w:eastAsia="宋体" w:cs="Times New Roman"/>
          <w:color w:val="000000"/>
          <w:kern w:val="2"/>
          <w:sz w:val="24"/>
          <w:szCs w:val="20"/>
          <w:highlight w:val="none"/>
          <w:lang w:val="en-US" w:eastAsia="zh-CN" w:bidi="ar-SA"/>
        </w:rPr>
        <w:t>下游4.5km设有常规监测断面龙荫港梅桥村断面，根据前文预测结果，正常工况下，枯水期</w:t>
      </w:r>
      <w:r>
        <w:rPr>
          <w:rFonts w:hint="eastAsia" w:ascii="Times New Roman" w:hAnsi="Times New Roman" w:eastAsia="宋体" w:cs="Times New Roman"/>
          <w:kern w:val="2"/>
          <w:sz w:val="24"/>
          <w:szCs w:val="20"/>
          <w:highlight w:val="none"/>
          <w:lang w:val="en-US" w:eastAsia="zh-CN" w:bidi="ar-SA"/>
        </w:rPr>
        <w:t>CODcr、NH</w:t>
      </w:r>
      <w:r>
        <w:rPr>
          <w:rFonts w:hint="eastAsia" w:ascii="Times New Roman" w:hAnsi="Times New Roman" w:eastAsia="宋体" w:cs="Times New Roman"/>
          <w:kern w:val="2"/>
          <w:sz w:val="24"/>
          <w:szCs w:val="20"/>
          <w:highlight w:val="none"/>
          <w:vertAlign w:val="subscript"/>
          <w:lang w:val="en-US" w:eastAsia="zh-CN" w:bidi="ar-SA"/>
        </w:rPr>
        <w:t>3</w:t>
      </w:r>
      <w:r>
        <w:rPr>
          <w:rFonts w:hint="eastAsia" w:ascii="Times New Roman" w:hAnsi="Times New Roman" w:eastAsia="宋体" w:cs="Times New Roman"/>
          <w:kern w:val="2"/>
          <w:sz w:val="24"/>
          <w:szCs w:val="20"/>
          <w:highlight w:val="none"/>
          <w:lang w:val="en-US" w:eastAsia="zh-CN" w:bidi="ar-SA"/>
        </w:rPr>
        <w:t>-N、TP预测浓度均可满足《地表水环境质量标准》（GB3838-2002）III类水质标准。</w:t>
      </w:r>
    </w:p>
    <w:p w14:paraId="4D5ECA77">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i w:val="0"/>
          <w:caps w:val="0"/>
          <w:color w:val="auto"/>
          <w:spacing w:val="0"/>
          <w:sz w:val="24"/>
          <w:szCs w:val="24"/>
          <w:highlight w:val="none"/>
          <w:u w:val="none"/>
          <w:shd w:val="clear" w:color="auto" w:fill="auto"/>
          <w:lang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eastAsia="zh-CN"/>
        </w:rPr>
        <w:t>（</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2</w:t>
      </w:r>
      <w:r>
        <w:rPr>
          <w:rFonts w:hint="eastAsia" w:ascii="Times New Roman" w:hAnsi="Times New Roman" w:eastAsia="宋体" w:cs="Times New Roman"/>
          <w:i w:val="0"/>
          <w:caps w:val="0"/>
          <w:color w:val="auto"/>
          <w:spacing w:val="0"/>
          <w:sz w:val="24"/>
          <w:szCs w:val="24"/>
          <w:highlight w:val="none"/>
          <w:u w:val="none"/>
          <w:shd w:val="clear" w:color="auto" w:fill="auto"/>
          <w:lang w:eastAsia="zh-CN"/>
        </w:rPr>
        <w:t>）</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对水产种质资源保护区影响分析</w:t>
      </w:r>
    </w:p>
    <w:p w14:paraId="26D672E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本入河排污口设置于</w:t>
      </w:r>
      <w:r>
        <w:rPr>
          <w:rFonts w:hint="default" w:ascii="Times New Roman" w:hAnsi="Times New Roman" w:eastAsia="宋体" w:cs="Times New Roman"/>
          <w:color w:val="000000"/>
          <w:sz w:val="24"/>
          <w:szCs w:val="24"/>
          <w:highlight w:val="none"/>
          <w:u w:val="none"/>
          <w:lang w:val="en-US" w:eastAsia="zh-CN"/>
        </w:rPr>
        <w:t>南岳区</w:t>
      </w:r>
      <w:r>
        <w:rPr>
          <w:rFonts w:hint="eastAsia" w:ascii="Times New Roman" w:hAnsi="Times New Roman" w:eastAsia="宋体" w:cs="Times New Roman"/>
          <w:color w:val="000000"/>
          <w:sz w:val="24"/>
          <w:szCs w:val="24"/>
          <w:highlight w:val="none"/>
          <w:u w:val="none"/>
          <w:lang w:val="en-US" w:eastAsia="zh-CN"/>
        </w:rPr>
        <w:t>南岳镇</w:t>
      </w:r>
      <w:r>
        <w:rPr>
          <w:rFonts w:hint="default" w:ascii="Times New Roman" w:hAnsi="Times New Roman" w:eastAsia="宋体" w:cs="Times New Roman"/>
          <w:color w:val="000000"/>
          <w:sz w:val="24"/>
          <w:szCs w:val="24"/>
          <w:highlight w:val="none"/>
          <w:u w:val="none"/>
          <w:lang w:val="en-US" w:eastAsia="zh-CN"/>
        </w:rPr>
        <w:t>红星村老屋组</w:t>
      </w:r>
      <w:r>
        <w:rPr>
          <w:rFonts w:hint="eastAsia" w:ascii="Times New Roman" w:hAnsi="Times New Roman" w:eastAsia="宋体" w:cs="Times New Roman"/>
          <w:color w:val="000000"/>
          <w:sz w:val="24"/>
          <w:szCs w:val="24"/>
          <w:highlight w:val="none"/>
          <w:u w:val="none"/>
          <w:lang w:val="en-US" w:eastAsia="zh-CN"/>
        </w:rPr>
        <w:t>（南岳区龙荫港左岸）</w:t>
      </w:r>
      <w:r>
        <w:rPr>
          <w:rFonts w:hint="eastAsia" w:ascii="宋体" w:hAnsi="宋体" w:eastAsia="宋体" w:cs="宋体"/>
          <w:color w:val="000000"/>
          <w:kern w:val="0"/>
          <w:sz w:val="24"/>
          <w:szCs w:val="24"/>
          <w:highlight w:val="none"/>
          <w:lang w:val="en-US" w:eastAsia="zh-CN" w:bidi="ar"/>
        </w:rPr>
        <w:t>，不在水产种质资源保护区区内。</w:t>
      </w:r>
    </w:p>
    <w:p w14:paraId="3C71ACF9">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eastAsia="zh-CN"/>
        </w:rPr>
        <w:t>（</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3</w:t>
      </w:r>
      <w:r>
        <w:rPr>
          <w:rFonts w:hint="eastAsia" w:ascii="Times New Roman" w:hAnsi="Times New Roman" w:eastAsia="宋体" w:cs="Times New Roman"/>
          <w:i w:val="0"/>
          <w:caps w:val="0"/>
          <w:color w:val="auto"/>
          <w:spacing w:val="0"/>
          <w:sz w:val="24"/>
          <w:szCs w:val="24"/>
          <w:highlight w:val="none"/>
          <w:u w:val="none"/>
          <w:shd w:val="clear" w:color="auto" w:fill="auto"/>
          <w:lang w:eastAsia="zh-CN"/>
        </w:rPr>
        <w:t>）</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对饮用水源保护区影响分析</w:t>
      </w:r>
    </w:p>
    <w:p w14:paraId="1ED3E38E">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本入河排污口距离最近的饮用水源保护区为上游5.6km衡阳市南岳区兴隆水库饮用水水源保护区，排污口下游无饮用水水源保护区。本入河排污口的设置对上游饮用水源保护区无影响。</w:t>
      </w:r>
    </w:p>
    <w:p w14:paraId="491C672A">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（4）对河道行洪能力影响分析</w:t>
      </w:r>
    </w:p>
    <w:p w14:paraId="400649DD">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本入河排污口设计防洪标准采用20年一遇洪水标准设计，排污口岸边排放，排污管设有一定坡度，排污口所在河段两岸稳定，河道通畅。</w:t>
      </w:r>
    </w:p>
    <w:p w14:paraId="74AD2DF8">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pP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本入河排污口规划流量为</w:t>
      </w:r>
      <w:r>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t>0.</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35</w:t>
      </w:r>
      <w:r>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t>m</w:t>
      </w:r>
      <w:r>
        <w:rPr>
          <w:rFonts w:hint="eastAsia" w:ascii="Times New Roman" w:hAnsi="Times New Roman" w:eastAsia="宋体" w:cs="Times New Roman"/>
          <w:i w:val="0"/>
          <w:caps w:val="0"/>
          <w:color w:val="auto"/>
          <w:spacing w:val="0"/>
          <w:sz w:val="24"/>
          <w:szCs w:val="24"/>
          <w:highlight w:val="none"/>
          <w:u w:val="none"/>
          <w:shd w:val="clear" w:color="auto" w:fill="auto"/>
          <w:vertAlign w:val="superscript"/>
          <w:lang w:val="en-US" w:eastAsia="zh-CN"/>
        </w:rPr>
        <w:t>3</w:t>
      </w:r>
      <w:r>
        <w:rPr>
          <w:rFonts w:hint="default" w:ascii="Times New Roman" w:hAnsi="Times New Roman" w:eastAsia="宋体" w:cs="Times New Roman"/>
          <w:i w:val="0"/>
          <w:caps w:val="0"/>
          <w:color w:val="auto"/>
          <w:spacing w:val="0"/>
          <w:sz w:val="24"/>
          <w:szCs w:val="24"/>
          <w:highlight w:val="none"/>
          <w:u w:val="none"/>
          <w:shd w:val="clear" w:color="auto" w:fill="auto"/>
          <w:lang w:val="en-US" w:eastAsia="zh-CN"/>
        </w:rPr>
        <w:t>/s</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，不会对河床产生冲刷和淤积影响，基本不会对河流行洪及防洪产生影响，符合防洪要求。</w:t>
      </w:r>
    </w:p>
    <w:p w14:paraId="34D37FEF">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i w:val="0"/>
          <w:caps w:val="0"/>
          <w:color w:val="auto"/>
          <w:spacing w:val="0"/>
          <w:sz w:val="24"/>
          <w:szCs w:val="24"/>
          <w:highlight w:val="none"/>
          <w:u w:val="none"/>
          <w:shd w:val="clear" w:color="auto" w:fill="auto"/>
          <w:lang w:eastAsia="zh-CN"/>
        </w:rPr>
      </w:pP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5</w:t>
      </w:r>
      <w:r>
        <w:rPr>
          <w:rFonts w:hint="eastAsia" w:cs="Times New Roman"/>
          <w:i w:val="0"/>
          <w:caps w:val="0"/>
          <w:color w:val="auto"/>
          <w:spacing w:val="0"/>
          <w:sz w:val="24"/>
          <w:szCs w:val="24"/>
          <w:highlight w:val="none"/>
          <w:u w:val="none"/>
          <w:shd w:val="clear" w:color="auto" w:fill="auto"/>
          <w:lang w:eastAsia="zh-CN"/>
        </w:rPr>
        <w:t>）</w:t>
      </w:r>
      <w:r>
        <w:rPr>
          <w:rFonts w:hint="eastAsia" w:cs="Times New Roman"/>
          <w:i w:val="0"/>
          <w:caps w:val="0"/>
          <w:color w:val="auto"/>
          <w:spacing w:val="0"/>
          <w:sz w:val="24"/>
          <w:szCs w:val="24"/>
          <w:highlight w:val="none"/>
          <w:u w:val="none"/>
          <w:shd w:val="clear" w:color="auto" w:fill="auto"/>
          <w:lang w:val="en-US" w:eastAsia="zh-CN"/>
        </w:rPr>
        <w:t>对周边农业用水影响分析</w:t>
      </w:r>
    </w:p>
    <w:p w14:paraId="19418BA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both"/>
        <w:textAlignment w:val="auto"/>
        <w:rPr>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i w:val="0"/>
          <w:caps w:val="0"/>
          <w:color w:val="000000" w:themeColor="text1"/>
          <w:spacing w:val="0"/>
          <w:sz w:val="24"/>
          <w:szCs w:val="24"/>
          <w:highlight w:val="none"/>
          <w:u w:val="none"/>
          <w:shd w:val="clear" w:color="auto" w:fill="auto"/>
          <w:lang w:val="en-US" w:eastAsia="zh-CN"/>
          <w14:textFill>
            <w14:solidFill>
              <w14:schemeClr w14:val="tx1"/>
            </w14:solidFill>
          </w14:textFill>
        </w:rPr>
        <w:t>本入河排污口</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尾水排放执行</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《湖南省城镇污水处理厂主要水污染物排放标准》（DB43/T1546-2018）一级标准</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，能够满足</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《农田灌溉水质标准》（</w:t>
      </w:r>
      <w:r>
        <w:rPr>
          <w:rFonts w:hint="default"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GB5084-20</w:t>
      </w:r>
      <w:r>
        <w:rPr>
          <w:rFonts w:hint="eastAsia"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21</w:t>
      </w:r>
      <w:r>
        <w:rPr>
          <w:rFonts w:hint="eastAsia" w:ascii="宋体" w:hAnsi="宋体" w:eastAsia="宋体" w:cs="宋体"/>
          <w:color w:val="000000" w:themeColor="text1"/>
          <w:kern w:val="0"/>
          <w:sz w:val="24"/>
          <w:szCs w:val="24"/>
          <w:highlight w:val="none"/>
          <w:u w:val="none"/>
          <w:lang w:val="en-US" w:eastAsia="zh-CN" w:bidi="ar"/>
          <w14:textFill>
            <w14:solidFill>
              <w14:schemeClr w14:val="tx1"/>
            </w14:solidFill>
          </w14:textFill>
        </w:rPr>
        <w:t>）标准，不会对周边农业用水产生不利影响。</w:t>
      </w:r>
    </w:p>
    <w:p w14:paraId="441C6863">
      <w:pPr>
        <w:pStyle w:val="6"/>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9.1.4 入河排污口设置可行性、合理性结论</w:t>
      </w:r>
    </w:p>
    <w:p w14:paraId="1E89C8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olor w:val="auto"/>
          <w:sz w:val="24"/>
          <w:szCs w:val="24"/>
          <w:highlight w:val="none"/>
          <w:u w:val="none"/>
          <w:lang w:val="zh-CN"/>
        </w:rPr>
      </w:pPr>
      <w:r>
        <w:rPr>
          <w:rFonts w:hint="eastAsia" w:ascii="Times New Roman" w:hAnsi="Times New Roman"/>
          <w:color w:val="auto"/>
          <w:sz w:val="24"/>
          <w:szCs w:val="24"/>
          <w:highlight w:val="none"/>
          <w:u w:val="none"/>
          <w:lang w:val="zh-CN"/>
        </w:rPr>
        <w:t>（</w:t>
      </w:r>
      <w:r>
        <w:rPr>
          <w:rFonts w:hint="eastAsia" w:ascii="Times New Roman" w:hAnsi="Times New Roman"/>
          <w:color w:val="auto"/>
          <w:sz w:val="24"/>
          <w:szCs w:val="24"/>
          <w:highlight w:val="none"/>
          <w:u w:val="none"/>
          <w:lang w:val="en-US" w:eastAsia="zh-CN"/>
        </w:rPr>
        <w:t>1</w:t>
      </w:r>
      <w:r>
        <w:rPr>
          <w:rFonts w:hint="eastAsia" w:ascii="Times New Roman" w:hAnsi="Times New Roman"/>
          <w:color w:val="auto"/>
          <w:sz w:val="24"/>
          <w:szCs w:val="24"/>
          <w:highlight w:val="none"/>
          <w:u w:val="none"/>
          <w:lang w:val="zh-CN"/>
        </w:rPr>
        <w:t>）</w:t>
      </w:r>
      <w:r>
        <w:rPr>
          <w:rFonts w:hint="eastAsia" w:ascii="Times New Roman" w:hAnsi="Times New Roman"/>
          <w:color w:val="auto"/>
          <w:sz w:val="24"/>
          <w:szCs w:val="24"/>
          <w:highlight w:val="none"/>
          <w:u w:val="none"/>
          <w:lang w:val="en-US" w:eastAsia="zh-CN"/>
        </w:rPr>
        <w:t>本</w:t>
      </w:r>
      <w:r>
        <w:rPr>
          <w:rFonts w:hint="eastAsia" w:ascii="Times New Roman" w:hAnsi="Times New Roman"/>
          <w:color w:val="auto"/>
          <w:sz w:val="24"/>
          <w:szCs w:val="24"/>
          <w:highlight w:val="none"/>
          <w:u w:val="none"/>
          <w:lang w:val="zh-CN"/>
        </w:rPr>
        <w:t>项目属于《产业结构调整指导目录（20</w:t>
      </w:r>
      <w:r>
        <w:rPr>
          <w:rFonts w:hint="eastAsia" w:ascii="Times New Roman" w:hAnsi="Times New Roman"/>
          <w:color w:val="auto"/>
          <w:sz w:val="24"/>
          <w:szCs w:val="24"/>
          <w:highlight w:val="none"/>
          <w:u w:val="none"/>
          <w:lang w:val="en-US" w:eastAsia="zh-CN"/>
        </w:rPr>
        <w:t>24</w:t>
      </w:r>
      <w:r>
        <w:rPr>
          <w:rFonts w:hint="eastAsia" w:ascii="Times New Roman" w:hAnsi="Times New Roman"/>
          <w:color w:val="auto"/>
          <w:sz w:val="24"/>
          <w:szCs w:val="24"/>
          <w:highlight w:val="none"/>
          <w:u w:val="none"/>
          <w:lang w:val="zh-CN"/>
        </w:rPr>
        <w:t>年本）》中鼓励类</w:t>
      </w:r>
      <w:r>
        <w:rPr>
          <w:rFonts w:hint="eastAsia" w:ascii="Times New Roman" w:hAnsi="Times New Roman"/>
          <w:color w:val="auto"/>
          <w:sz w:val="24"/>
          <w:szCs w:val="24"/>
          <w:highlight w:val="none"/>
          <w:u w:val="none"/>
          <w:lang w:val="en-US" w:eastAsia="zh-CN"/>
        </w:rPr>
        <w:t>项目</w:t>
      </w:r>
      <w:r>
        <w:rPr>
          <w:rFonts w:hint="eastAsia" w:ascii="Times New Roman" w:hAnsi="Times New Roman"/>
          <w:color w:val="auto"/>
          <w:sz w:val="24"/>
          <w:szCs w:val="24"/>
          <w:highlight w:val="none"/>
          <w:u w:val="none"/>
          <w:lang w:val="zh-CN"/>
        </w:rPr>
        <w:t>，符合国家产业政策；符合《衡阳市“十四五”生态环境保护规划》</w:t>
      </w:r>
      <w:r>
        <w:rPr>
          <w:rFonts w:hint="eastAsia" w:ascii="Times New Roman" w:hAnsi="Times New Roman"/>
          <w:color w:val="auto"/>
          <w:sz w:val="24"/>
          <w:szCs w:val="24"/>
          <w:highlight w:val="none"/>
          <w:u w:val="none"/>
          <w:lang w:val="en-US" w:eastAsia="zh-CN"/>
        </w:rPr>
        <w:t>相关</w:t>
      </w:r>
      <w:r>
        <w:rPr>
          <w:rFonts w:hint="eastAsia" w:ascii="Times New Roman" w:hAnsi="Times New Roman"/>
          <w:color w:val="auto"/>
          <w:sz w:val="24"/>
          <w:szCs w:val="24"/>
          <w:highlight w:val="none"/>
          <w:u w:val="none"/>
          <w:lang w:val="zh-CN"/>
        </w:rPr>
        <w:t>要求；本</w:t>
      </w:r>
      <w:r>
        <w:rPr>
          <w:rFonts w:hint="eastAsia" w:ascii="Times New Roman" w:hAnsi="Times New Roman"/>
          <w:color w:val="auto"/>
          <w:sz w:val="24"/>
          <w:szCs w:val="24"/>
          <w:highlight w:val="none"/>
          <w:u w:val="none"/>
          <w:lang w:val="en-US" w:eastAsia="zh-CN"/>
        </w:rPr>
        <w:t>入河排污口</w:t>
      </w:r>
      <w:r>
        <w:rPr>
          <w:rFonts w:hint="eastAsia" w:ascii="Times New Roman" w:hAnsi="Times New Roman"/>
          <w:color w:val="auto"/>
          <w:sz w:val="24"/>
          <w:szCs w:val="24"/>
          <w:highlight w:val="none"/>
          <w:u w:val="none"/>
          <w:lang w:val="zh-CN"/>
        </w:rPr>
        <w:t>不涉及生态保护红线范围；本</w:t>
      </w:r>
      <w:r>
        <w:rPr>
          <w:rFonts w:hint="eastAsia" w:ascii="Times New Roman" w:hAnsi="Times New Roman"/>
          <w:color w:val="auto"/>
          <w:sz w:val="24"/>
          <w:szCs w:val="24"/>
          <w:highlight w:val="none"/>
          <w:u w:val="none"/>
          <w:lang w:val="en-US" w:eastAsia="zh-CN"/>
        </w:rPr>
        <w:t>入河排污口尾水能够实现稳定</w:t>
      </w:r>
      <w:r>
        <w:rPr>
          <w:rFonts w:hint="eastAsia" w:ascii="Times New Roman" w:hAnsi="Times New Roman"/>
          <w:color w:val="auto"/>
          <w:sz w:val="24"/>
          <w:szCs w:val="24"/>
          <w:highlight w:val="none"/>
          <w:u w:val="none"/>
          <w:lang w:val="zh-CN"/>
        </w:rPr>
        <w:t>达标排放，不会改变所在区域的水环境功能，符合环境质量底线要求；</w:t>
      </w:r>
      <w:r>
        <w:rPr>
          <w:rFonts w:hint="eastAsia" w:ascii="Times New Roman" w:hAnsi="Times New Roman"/>
          <w:color w:val="auto"/>
          <w:sz w:val="24"/>
          <w:szCs w:val="24"/>
          <w:highlight w:val="none"/>
          <w:u w:val="none"/>
          <w:lang w:val="en-US" w:eastAsia="zh-CN"/>
        </w:rPr>
        <w:t>入河排污口设置</w:t>
      </w:r>
      <w:r>
        <w:rPr>
          <w:rFonts w:hint="eastAsia" w:ascii="Times New Roman" w:hAnsi="Times New Roman"/>
          <w:color w:val="auto"/>
          <w:sz w:val="24"/>
          <w:szCs w:val="24"/>
          <w:highlight w:val="none"/>
          <w:u w:val="none"/>
          <w:lang w:val="zh-CN"/>
        </w:rPr>
        <w:t>与衡阳市“三线一单”生态环境管控基本要求相符，</w:t>
      </w:r>
      <w:r>
        <w:rPr>
          <w:rFonts w:hint="eastAsia"/>
          <w:color w:val="auto"/>
          <w:sz w:val="24"/>
          <w:szCs w:val="24"/>
          <w:highlight w:val="none"/>
          <w:u w:val="none"/>
          <w:lang w:val="en-US" w:eastAsia="zh-CN"/>
        </w:rPr>
        <w:t>与《入河排污口监督管理办法》、《湖南省入河排污口监督管理办法》、《关于规范入河排污口设置审批工作的函》等入河排污口设置基本要求相符。</w:t>
      </w:r>
    </w:p>
    <w:p w14:paraId="1D1EDA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olor w:val="auto"/>
          <w:sz w:val="24"/>
          <w:szCs w:val="24"/>
          <w:highlight w:val="none"/>
          <w:u w:val="none"/>
          <w:lang w:val="zh-CN"/>
        </w:rPr>
      </w:pPr>
      <w:r>
        <w:rPr>
          <w:rFonts w:hint="eastAsia" w:ascii="Times New Roman" w:hAnsi="Times New Roman"/>
          <w:color w:val="auto"/>
          <w:sz w:val="24"/>
          <w:szCs w:val="24"/>
          <w:highlight w:val="none"/>
          <w:u w:val="none"/>
          <w:lang w:val="zh-CN"/>
        </w:rPr>
        <w:t>（</w:t>
      </w:r>
      <w:r>
        <w:rPr>
          <w:rFonts w:hint="eastAsia" w:ascii="Times New Roman" w:hAnsi="Times New Roman"/>
          <w:color w:val="auto"/>
          <w:sz w:val="24"/>
          <w:szCs w:val="24"/>
          <w:highlight w:val="none"/>
          <w:u w:val="none"/>
          <w:lang w:val="en-US" w:eastAsia="zh-CN"/>
        </w:rPr>
        <w:t>2</w:t>
      </w:r>
      <w:r>
        <w:rPr>
          <w:rFonts w:hint="eastAsia" w:ascii="Times New Roman" w:hAnsi="Times New Roman"/>
          <w:color w:val="auto"/>
          <w:sz w:val="24"/>
          <w:szCs w:val="24"/>
          <w:highlight w:val="none"/>
          <w:u w:val="none"/>
          <w:lang w:val="zh-CN"/>
        </w:rPr>
        <w:t>）</w:t>
      </w:r>
      <w:r>
        <w:rPr>
          <w:rFonts w:hint="eastAsia" w:ascii="Times New Roman" w:hAnsi="Times New Roman" w:eastAsia="宋体" w:cs="Times New Roman"/>
          <w:i w:val="0"/>
          <w:caps w:val="0"/>
          <w:color w:val="auto"/>
          <w:spacing w:val="0"/>
          <w:sz w:val="24"/>
          <w:szCs w:val="24"/>
          <w:highlight w:val="none"/>
          <w:u w:val="none"/>
          <w:shd w:val="clear" w:color="auto" w:fill="auto"/>
          <w:lang w:val="en-US" w:eastAsia="zh-CN"/>
        </w:rPr>
        <w:t>本入河排污口</w:t>
      </w:r>
      <w:r>
        <w:rPr>
          <w:rFonts w:hint="eastAsia"/>
          <w:sz w:val="24"/>
          <w:szCs w:val="24"/>
          <w:highlight w:val="none"/>
          <w:u w:val="none"/>
          <w:lang w:val="en-US" w:eastAsia="zh-CN"/>
        </w:rPr>
        <w:t>纳污水体</w:t>
      </w:r>
      <w:r>
        <w:rPr>
          <w:rFonts w:hint="eastAsia" w:ascii="Times New Roman" w:hAnsi="Times New Roman" w:eastAsia="宋体" w:cs="Times New Roman"/>
          <w:color w:val="auto"/>
          <w:sz w:val="24"/>
          <w:szCs w:val="24"/>
          <w:highlight w:val="none"/>
          <w:u w:val="none"/>
          <w:lang w:val="en-US" w:eastAsia="zh-CN"/>
        </w:rPr>
        <w:t>龙荫港暂未划分水环境功能区类别，水体功能主要为农业用水，水质目标参照执行《地表水环境质量标准》（GB3838-2002）中III类标准。龙荫港入湘江段属于湘江衡东～衡山保留区，水质目标为III类。</w:t>
      </w:r>
      <w:r>
        <w:rPr>
          <w:rFonts w:hint="eastAsia"/>
          <w:color w:val="auto"/>
          <w:sz w:val="24"/>
          <w:szCs w:val="24"/>
          <w:highlight w:val="none"/>
          <w:u w:val="none"/>
          <w:lang w:val="en-US" w:eastAsia="zh-CN"/>
        </w:rPr>
        <w:t>根据引用的龙荫港水质现状监测结果，</w:t>
      </w:r>
      <w:r>
        <w:rPr>
          <w:rFonts w:ascii="Times New Roman" w:hAnsi="Times New Roman"/>
          <w:color w:val="auto"/>
          <w:sz w:val="24"/>
          <w:szCs w:val="24"/>
          <w:highlight w:val="none"/>
          <w:u w:val="none"/>
          <w:lang w:val="zh-CN"/>
        </w:rPr>
        <w:t>现状水质符合</w:t>
      </w:r>
      <w:r>
        <w:rPr>
          <w:rFonts w:hint="eastAsia"/>
          <w:color w:val="auto"/>
          <w:sz w:val="24"/>
          <w:szCs w:val="24"/>
          <w:highlight w:val="none"/>
          <w:u w:val="none"/>
          <w:lang w:val="en-US" w:eastAsia="zh-CN"/>
        </w:rPr>
        <w:t>相应</w:t>
      </w:r>
      <w:r>
        <w:rPr>
          <w:rFonts w:ascii="Times New Roman" w:hAnsi="Times New Roman"/>
          <w:color w:val="auto"/>
          <w:sz w:val="24"/>
          <w:szCs w:val="24"/>
          <w:highlight w:val="none"/>
          <w:u w:val="none"/>
          <w:lang w:val="zh-CN"/>
        </w:rPr>
        <w:t>要求。</w:t>
      </w:r>
    </w:p>
    <w:p w14:paraId="077DDDDD">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sz w:val="24"/>
          <w:szCs w:val="24"/>
          <w:highlight w:val="none"/>
          <w:u w:val="none"/>
          <w:lang w:val="en-US" w:eastAsia="zh-CN"/>
        </w:rPr>
      </w:pPr>
      <w:r>
        <w:rPr>
          <w:rFonts w:hint="eastAsia" w:ascii="Times New Roman" w:hAnsi="Times New Roman"/>
          <w:color w:val="000000" w:themeColor="text1"/>
          <w:sz w:val="24"/>
          <w:szCs w:val="24"/>
          <w:highlight w:val="none"/>
          <w:u w:val="none"/>
          <w:lang w:val="zh-CN"/>
          <w14:textFill>
            <w14:solidFill>
              <w14:schemeClr w14:val="tx1"/>
            </w14:solidFill>
          </w14:textFill>
        </w:rPr>
        <w:t>（</w:t>
      </w:r>
      <w:r>
        <w:rPr>
          <w:rFonts w:hint="eastAsia"/>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本</w:t>
      </w:r>
      <w:r>
        <w:rPr>
          <w:rFonts w:ascii="Times New Roman" w:hAnsi="Times New Roman"/>
          <w:color w:val="000000" w:themeColor="text1"/>
          <w:sz w:val="24"/>
          <w:szCs w:val="24"/>
          <w:highlight w:val="none"/>
          <w:u w:val="none"/>
          <w:lang w:val="zh-CN"/>
          <w14:textFill>
            <w14:solidFill>
              <w14:schemeClr w14:val="tx1"/>
            </w14:solidFill>
          </w14:textFill>
        </w:rPr>
        <w:t>入河排污口类型为</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城镇污水处理厂排污口</w:t>
      </w:r>
      <w:r>
        <w:rPr>
          <w:rFonts w:ascii="Times New Roman" w:hAnsi="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尾水</w:t>
      </w:r>
      <w:r>
        <w:rPr>
          <w:rFonts w:ascii="Times New Roman" w:hAnsi="Times New Roman"/>
          <w:color w:val="000000" w:themeColor="text1"/>
          <w:sz w:val="24"/>
          <w:szCs w:val="24"/>
          <w:highlight w:val="none"/>
          <w:u w:val="none"/>
          <w:lang w:val="zh-CN"/>
          <w14:textFill>
            <w14:solidFill>
              <w14:schemeClr w14:val="tx1"/>
            </w14:solidFill>
          </w14:textFill>
        </w:rPr>
        <w:t>排放量</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为</w:t>
      </w:r>
      <w:r>
        <w:rPr>
          <w:rFonts w:hint="eastAsia"/>
          <w:color w:val="000000" w:themeColor="text1"/>
          <w:sz w:val="24"/>
          <w:szCs w:val="24"/>
          <w:highlight w:val="none"/>
          <w:u w:val="none"/>
          <w:lang w:val="en-US" w:eastAsia="zh-CN"/>
          <w14:textFill>
            <w14:solidFill>
              <w14:schemeClr w14:val="tx1"/>
            </w14:solidFill>
          </w14:textFill>
        </w:rPr>
        <w:t>3万</w:t>
      </w:r>
      <w:r>
        <w:rPr>
          <w:rFonts w:ascii="Times New Roman" w:hAnsi="Times New Roman"/>
          <w:color w:val="000000" w:themeColor="text1"/>
          <w:sz w:val="24"/>
          <w:szCs w:val="24"/>
          <w:highlight w:val="none"/>
          <w:u w:val="none"/>
          <w:lang w:val="zh-CN"/>
          <w14:textFill>
            <w14:solidFill>
              <w14:schemeClr w14:val="tx1"/>
            </w14:solidFill>
          </w14:textFill>
        </w:rPr>
        <w:t>m</w:t>
      </w:r>
      <w:r>
        <w:rPr>
          <w:rFonts w:ascii="Times New Roman" w:hAnsi="Times New Roman"/>
          <w:color w:val="000000" w:themeColor="text1"/>
          <w:sz w:val="24"/>
          <w:szCs w:val="24"/>
          <w:highlight w:val="none"/>
          <w:u w:val="none"/>
          <w:vertAlign w:val="superscript"/>
          <w:lang w:val="zh-CN"/>
          <w14:textFill>
            <w14:solidFill>
              <w14:schemeClr w14:val="tx1"/>
            </w14:solidFill>
          </w14:textFill>
        </w:rPr>
        <w:t>3</w:t>
      </w:r>
      <w:r>
        <w:rPr>
          <w:rFonts w:ascii="Times New Roman" w:hAnsi="Times New Roman"/>
          <w:color w:val="000000" w:themeColor="text1"/>
          <w:sz w:val="24"/>
          <w:szCs w:val="24"/>
          <w:highlight w:val="none"/>
          <w:u w:val="none"/>
          <w:lang w:val="zh-CN"/>
          <w14:textFill>
            <w14:solidFill>
              <w14:schemeClr w14:val="tx1"/>
            </w14:solidFill>
          </w14:textFill>
        </w:rPr>
        <w:t>/d，主要污染物为COD、NH</w:t>
      </w:r>
      <w:r>
        <w:rPr>
          <w:rFonts w:ascii="Times New Roman" w:hAnsi="Times New Roman"/>
          <w:color w:val="000000" w:themeColor="text1"/>
          <w:sz w:val="24"/>
          <w:szCs w:val="24"/>
          <w:highlight w:val="none"/>
          <w:u w:val="none"/>
          <w:vertAlign w:val="subscript"/>
          <w:lang w:val="zh-CN"/>
          <w14:textFill>
            <w14:solidFill>
              <w14:schemeClr w14:val="tx1"/>
            </w14:solidFill>
          </w14:textFill>
        </w:rPr>
        <w:t>3</w:t>
      </w:r>
      <w:r>
        <w:rPr>
          <w:rFonts w:ascii="Times New Roman" w:hAnsi="Times New Roman"/>
          <w:color w:val="000000" w:themeColor="text1"/>
          <w:sz w:val="24"/>
          <w:szCs w:val="24"/>
          <w:highlight w:val="none"/>
          <w:u w:val="none"/>
          <w:lang w:val="zh-CN"/>
          <w14:textFill>
            <w14:solidFill>
              <w14:schemeClr w14:val="tx1"/>
            </w14:solidFill>
          </w14:textFill>
        </w:rPr>
        <w:t>-N</w:t>
      </w:r>
      <w:r>
        <w:rPr>
          <w:rFonts w:hint="eastAsia" w:ascii="Times New Roman" w:hAnsi="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TP等</w:t>
      </w:r>
      <w:r>
        <w:rPr>
          <w:rFonts w:ascii="Times New Roman" w:hAnsi="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color w:val="000000" w:themeColor="text1"/>
          <w:sz w:val="24"/>
          <w:szCs w:val="24"/>
          <w:highlight w:val="none"/>
          <w:u w:val="none"/>
          <w:lang w:val="en-US" w:eastAsia="zh-CN"/>
          <w14:textFill>
            <w14:solidFill>
              <w14:schemeClr w14:val="tx1"/>
            </w14:solidFill>
          </w14:textFill>
        </w:rPr>
        <w:t>厂区废水经</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“预处理+活性污泥法（一、二期为改良型氧化沟、三期为A</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O工艺）+二沉池+高效沉淀池+反硝化深床滤池+紫外线消毒”</w:t>
      </w:r>
      <w:r>
        <w:rPr>
          <w:rFonts w:ascii="Times New Roman" w:hAnsi="Times New Roman"/>
          <w:color w:val="000000" w:themeColor="text1"/>
          <w:sz w:val="24"/>
          <w:szCs w:val="24"/>
          <w:highlight w:val="none"/>
          <w:u w:val="none"/>
          <w14:textFill>
            <w14:solidFill>
              <w14:schemeClr w14:val="tx1"/>
            </w14:solidFill>
          </w14:textFill>
        </w:rPr>
        <w:t>处</w:t>
      </w:r>
      <w:r>
        <w:rPr>
          <w:rFonts w:ascii="Times New Roman" w:hAnsi="Times New Roman"/>
          <w:color w:val="auto"/>
          <w:sz w:val="24"/>
          <w:szCs w:val="24"/>
          <w:highlight w:val="none"/>
          <w:u w:val="none"/>
        </w:rPr>
        <w:t>理后</w:t>
      </w:r>
      <w:r>
        <w:rPr>
          <w:rFonts w:hint="eastAsia" w:ascii="Times New Roman" w:hAnsi="Times New Roman"/>
          <w:color w:val="auto"/>
          <w:sz w:val="24"/>
          <w:szCs w:val="24"/>
          <w:highlight w:val="none"/>
          <w:u w:val="none"/>
          <w:lang w:val="en-US" w:eastAsia="zh-CN"/>
        </w:rPr>
        <w:t>尾水排放</w:t>
      </w:r>
      <w:r>
        <w:rPr>
          <w:rFonts w:ascii="Times New Roman" w:hAnsi="Times New Roman"/>
          <w:color w:val="auto"/>
          <w:sz w:val="24"/>
          <w:szCs w:val="24"/>
          <w:highlight w:val="none"/>
          <w:u w:val="none"/>
        </w:rPr>
        <w:t>能够满足</w:t>
      </w:r>
      <w:r>
        <w:rPr>
          <w:rFonts w:hint="default" w:ascii="Times New Roman" w:hAnsi="Times New Roman" w:eastAsia="宋体" w:cs="Times New Roman"/>
          <w:color w:val="auto"/>
          <w:sz w:val="24"/>
          <w:szCs w:val="24"/>
          <w:highlight w:val="none"/>
          <w:u w:val="none"/>
          <w:lang w:val="en-US" w:eastAsia="zh-CN"/>
        </w:rPr>
        <w:t>《湖南省城镇污水处理厂主要水污染物排放标准》（DB43/T1546-2018）一级标准</w:t>
      </w:r>
      <w:r>
        <w:rPr>
          <w:rFonts w:hint="eastAsia"/>
          <w:color w:val="auto"/>
          <w:sz w:val="24"/>
          <w:szCs w:val="24"/>
          <w:highlight w:val="none"/>
          <w:u w:val="none"/>
          <w:lang w:eastAsia="zh-CN"/>
        </w:rPr>
        <w:t>。</w:t>
      </w:r>
      <w:r>
        <w:rPr>
          <w:rFonts w:hint="eastAsia"/>
          <w:sz w:val="24"/>
          <w:szCs w:val="24"/>
          <w:highlight w:val="none"/>
          <w:u w:val="none"/>
          <w:lang w:val="en-US" w:eastAsia="zh-CN"/>
        </w:rPr>
        <w:t>本次论证范围内龙荫港水域的纳污能力为</w:t>
      </w:r>
      <w:r>
        <w:rPr>
          <w:rFonts w:hint="default"/>
          <w:sz w:val="24"/>
          <w:szCs w:val="24"/>
          <w:highlight w:val="none"/>
          <w:u w:val="none"/>
        </w:rPr>
        <w:t>COD</w:t>
      </w:r>
      <w:r>
        <w:rPr>
          <w:rFonts w:hint="eastAsia"/>
          <w:sz w:val="24"/>
          <w:szCs w:val="24"/>
          <w:highlight w:val="none"/>
          <w:u w:val="none"/>
          <w:lang w:val="en-US" w:eastAsia="zh-CN"/>
        </w:rPr>
        <w:t>cr：457.051t/a、</w:t>
      </w:r>
      <w:r>
        <w:rPr>
          <w:rFonts w:hint="default"/>
          <w:sz w:val="24"/>
          <w:szCs w:val="24"/>
          <w:highlight w:val="none"/>
          <w:u w:val="none"/>
          <w:lang w:val="en-US" w:eastAsia="zh-CN"/>
        </w:rPr>
        <w:t>NH</w:t>
      </w:r>
      <w:r>
        <w:rPr>
          <w:rFonts w:hint="default"/>
          <w:sz w:val="24"/>
          <w:szCs w:val="24"/>
          <w:highlight w:val="none"/>
          <w:u w:val="none"/>
          <w:vertAlign w:val="subscript"/>
          <w:lang w:val="en-US" w:eastAsia="zh-CN"/>
        </w:rPr>
        <w:t>3</w:t>
      </w:r>
      <w:r>
        <w:rPr>
          <w:rFonts w:hint="default"/>
          <w:sz w:val="24"/>
          <w:szCs w:val="24"/>
          <w:highlight w:val="none"/>
          <w:u w:val="none"/>
          <w:lang w:val="en-US" w:eastAsia="zh-CN"/>
        </w:rPr>
        <w:t>-N</w:t>
      </w:r>
      <w:r>
        <w:rPr>
          <w:rFonts w:hint="eastAsia"/>
          <w:sz w:val="24"/>
          <w:szCs w:val="24"/>
          <w:highlight w:val="none"/>
          <w:u w:val="none"/>
          <w:lang w:val="en-US" w:eastAsia="zh-CN"/>
        </w:rPr>
        <w:t>：22.852t/a、</w:t>
      </w:r>
      <w:r>
        <w:rPr>
          <w:rFonts w:hint="default"/>
          <w:sz w:val="24"/>
          <w:szCs w:val="24"/>
          <w:highlight w:val="none"/>
          <w:u w:val="none"/>
          <w:lang w:val="en-US" w:eastAsia="zh-CN"/>
        </w:rPr>
        <w:t>TP</w:t>
      </w:r>
      <w:r>
        <w:rPr>
          <w:rFonts w:hint="eastAsia"/>
          <w:sz w:val="24"/>
          <w:szCs w:val="24"/>
          <w:highlight w:val="none"/>
          <w:u w:val="none"/>
          <w:lang w:val="en-US" w:eastAsia="zh-CN"/>
        </w:rPr>
        <w:t>：6.856t/a；</w:t>
      </w:r>
      <w:r>
        <w:rPr>
          <w:rFonts w:hint="eastAsia" w:ascii="Times New Roman" w:hAnsi="Times New Roman"/>
          <w:color w:val="auto"/>
          <w:sz w:val="24"/>
          <w:szCs w:val="24"/>
          <w:highlight w:val="none"/>
          <w:u w:val="none"/>
          <w:lang w:val="en-US" w:eastAsia="zh-CN"/>
        </w:rPr>
        <w:t>本</w:t>
      </w:r>
      <w:r>
        <w:rPr>
          <w:rFonts w:ascii="Times New Roman" w:hAnsi="Times New Roman"/>
          <w:color w:val="auto"/>
          <w:sz w:val="24"/>
          <w:szCs w:val="24"/>
          <w:highlight w:val="none"/>
          <w:u w:val="none"/>
          <w:lang w:val="zh-CN"/>
        </w:rPr>
        <w:t>入河排污口</w:t>
      </w:r>
      <w:r>
        <w:rPr>
          <w:rFonts w:hint="eastAsia"/>
          <w:sz w:val="24"/>
          <w:szCs w:val="24"/>
          <w:highlight w:val="none"/>
          <w:u w:val="none"/>
          <w:lang w:val="en-US" w:eastAsia="zh-CN"/>
        </w:rPr>
        <w:t>污染物排放量为</w:t>
      </w:r>
      <w:r>
        <w:rPr>
          <w:rFonts w:hint="default"/>
          <w:sz w:val="24"/>
          <w:szCs w:val="24"/>
          <w:highlight w:val="none"/>
          <w:u w:val="none"/>
        </w:rPr>
        <w:t>COD</w:t>
      </w:r>
      <w:r>
        <w:rPr>
          <w:rFonts w:hint="eastAsia"/>
          <w:sz w:val="24"/>
          <w:szCs w:val="24"/>
          <w:highlight w:val="none"/>
          <w:u w:val="none"/>
          <w:lang w:val="en-US" w:eastAsia="zh-CN"/>
        </w:rPr>
        <w:t>cr：328.5t/a、</w:t>
      </w:r>
      <w:r>
        <w:rPr>
          <w:rFonts w:hint="default"/>
          <w:sz w:val="24"/>
          <w:szCs w:val="24"/>
          <w:highlight w:val="none"/>
          <w:u w:val="none"/>
          <w:lang w:val="en-US" w:eastAsia="zh-CN"/>
        </w:rPr>
        <w:t>NH</w:t>
      </w:r>
      <w:r>
        <w:rPr>
          <w:rFonts w:hint="default"/>
          <w:sz w:val="24"/>
          <w:szCs w:val="24"/>
          <w:highlight w:val="none"/>
          <w:u w:val="none"/>
          <w:vertAlign w:val="subscript"/>
          <w:lang w:val="en-US" w:eastAsia="zh-CN"/>
        </w:rPr>
        <w:t>3</w:t>
      </w:r>
      <w:r>
        <w:rPr>
          <w:rFonts w:hint="default"/>
          <w:sz w:val="24"/>
          <w:szCs w:val="24"/>
          <w:highlight w:val="none"/>
          <w:u w:val="none"/>
          <w:lang w:val="en-US" w:eastAsia="zh-CN"/>
        </w:rPr>
        <w:t>-N</w:t>
      </w:r>
      <w:r>
        <w:rPr>
          <w:rFonts w:hint="eastAsia"/>
          <w:sz w:val="24"/>
          <w:szCs w:val="24"/>
          <w:highlight w:val="none"/>
          <w:u w:val="none"/>
          <w:lang w:val="en-US" w:eastAsia="zh-CN"/>
        </w:rPr>
        <w:t>：16.425t/a、</w:t>
      </w:r>
      <w:r>
        <w:rPr>
          <w:rFonts w:hint="default"/>
          <w:sz w:val="24"/>
          <w:szCs w:val="24"/>
          <w:highlight w:val="none"/>
          <w:u w:val="none"/>
          <w:lang w:val="en-US" w:eastAsia="zh-CN"/>
        </w:rPr>
        <w:t>TP</w:t>
      </w:r>
      <w:r>
        <w:rPr>
          <w:rFonts w:hint="eastAsia"/>
          <w:sz w:val="24"/>
          <w:szCs w:val="24"/>
          <w:highlight w:val="none"/>
          <w:u w:val="none"/>
          <w:lang w:val="en-US" w:eastAsia="zh-CN"/>
        </w:rPr>
        <w:t>：3.285t/a，小于论证河段的纳污能力。因此，论证范围龙荫港水域的纳污能力能够满足本项目的需求。</w:t>
      </w:r>
    </w:p>
    <w:p w14:paraId="53E7FD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pacing w:val="-1"/>
          <w:sz w:val="24"/>
          <w:szCs w:val="24"/>
          <w:highlight w:val="none"/>
          <w:u w:val="none"/>
          <w:lang w:val="en-US" w:eastAsia="zh-CN" w:bidi="zh-CN"/>
        </w:rPr>
      </w:pPr>
      <w:r>
        <w:rPr>
          <w:rFonts w:hint="eastAsia" w:ascii="Times New Roman" w:hAnsi="Times New Roman"/>
          <w:color w:val="auto"/>
          <w:sz w:val="24"/>
          <w:szCs w:val="24"/>
          <w:highlight w:val="none"/>
          <w:u w:val="none"/>
          <w:lang w:eastAsia="zh-CN"/>
        </w:rPr>
        <w:t>（</w:t>
      </w:r>
      <w:r>
        <w:rPr>
          <w:rFonts w:hint="eastAsia"/>
          <w:color w:val="auto"/>
          <w:sz w:val="24"/>
          <w:szCs w:val="24"/>
          <w:highlight w:val="none"/>
          <w:u w:val="none"/>
          <w:lang w:val="en-US" w:eastAsia="zh-CN"/>
        </w:rPr>
        <w:t>4</w:t>
      </w:r>
      <w:r>
        <w:rPr>
          <w:rFonts w:hint="eastAsia" w:ascii="Times New Roman" w:hAnsi="Times New Roman"/>
          <w:color w:val="auto"/>
          <w:sz w:val="24"/>
          <w:szCs w:val="24"/>
          <w:highlight w:val="none"/>
          <w:u w:val="none"/>
          <w:lang w:eastAsia="zh-CN"/>
        </w:rPr>
        <w:t>）</w:t>
      </w:r>
      <w:r>
        <w:rPr>
          <w:rFonts w:hint="eastAsia" w:ascii="Times New Roman" w:hAnsi="Times New Roman"/>
          <w:color w:val="auto"/>
          <w:sz w:val="24"/>
          <w:szCs w:val="24"/>
          <w:highlight w:val="none"/>
          <w:u w:val="none"/>
          <w:lang w:val="en-US" w:eastAsia="zh-CN"/>
        </w:rPr>
        <w:t>本入河排污口设置于</w:t>
      </w:r>
      <w:r>
        <w:rPr>
          <w:rFonts w:hint="default" w:ascii="Times New Roman" w:hAnsi="Times New Roman" w:eastAsia="宋体" w:cs="Times New Roman"/>
          <w:color w:val="000000"/>
          <w:sz w:val="24"/>
          <w:szCs w:val="24"/>
          <w:highlight w:val="none"/>
          <w:u w:val="none"/>
          <w:lang w:val="en-US" w:eastAsia="zh-CN"/>
        </w:rPr>
        <w:t>南岳区</w:t>
      </w:r>
      <w:r>
        <w:rPr>
          <w:rFonts w:hint="eastAsia" w:ascii="Times New Roman" w:hAnsi="Times New Roman" w:eastAsia="宋体" w:cs="Times New Roman"/>
          <w:color w:val="000000"/>
          <w:sz w:val="24"/>
          <w:szCs w:val="24"/>
          <w:highlight w:val="none"/>
          <w:u w:val="none"/>
          <w:lang w:val="en-US" w:eastAsia="zh-CN"/>
        </w:rPr>
        <w:t>南岳镇</w:t>
      </w:r>
      <w:r>
        <w:rPr>
          <w:rFonts w:hint="default" w:ascii="Times New Roman" w:hAnsi="Times New Roman" w:eastAsia="宋体" w:cs="Times New Roman"/>
          <w:color w:val="000000"/>
          <w:sz w:val="24"/>
          <w:szCs w:val="24"/>
          <w:highlight w:val="none"/>
          <w:u w:val="none"/>
          <w:lang w:val="en-US" w:eastAsia="zh-CN"/>
        </w:rPr>
        <w:t>红星村老屋组</w:t>
      </w:r>
      <w:r>
        <w:rPr>
          <w:rFonts w:hint="eastAsia" w:ascii="Times New Roman" w:hAnsi="Times New Roman" w:eastAsia="宋体" w:cs="Times New Roman"/>
          <w:color w:val="000000"/>
          <w:sz w:val="24"/>
          <w:szCs w:val="24"/>
          <w:highlight w:val="none"/>
          <w:u w:val="none"/>
          <w:lang w:val="en-US" w:eastAsia="zh-CN"/>
        </w:rPr>
        <w:t>（南岳区龙荫港左岸）</w:t>
      </w:r>
      <w:r>
        <w:rPr>
          <w:rFonts w:hint="eastAsia"/>
          <w:color w:val="auto"/>
          <w:sz w:val="24"/>
          <w:szCs w:val="24"/>
          <w:highlight w:val="none"/>
          <w:u w:val="none"/>
          <w:lang w:val="en-US" w:eastAsia="zh-CN"/>
        </w:rPr>
        <w:t>。根据现场勘查，论证范围内</w:t>
      </w:r>
      <w:r>
        <w:rPr>
          <w:rFonts w:hint="eastAsia" w:cs="Times New Roman"/>
          <w:b w:val="0"/>
          <w:bCs/>
          <w:color w:val="auto"/>
          <w:kern w:val="2"/>
          <w:sz w:val="24"/>
          <w:szCs w:val="24"/>
          <w:highlight w:val="none"/>
          <w:u w:val="none"/>
          <w:lang w:val="en-US" w:eastAsia="zh-CN" w:bidi="ar-SA"/>
        </w:rPr>
        <w:t>龙荫港</w:t>
      </w:r>
      <w:r>
        <w:rPr>
          <w:rFonts w:hint="eastAsia"/>
          <w:color w:val="auto"/>
          <w:sz w:val="24"/>
          <w:szCs w:val="24"/>
          <w:highlight w:val="none"/>
          <w:u w:val="none"/>
          <w:lang w:val="en-US" w:eastAsia="zh-CN"/>
        </w:rPr>
        <w:t>主要功能为农业用水。</w:t>
      </w:r>
      <w:r>
        <w:rPr>
          <w:rFonts w:hint="eastAsia" w:cs="Times New Roman"/>
          <w:color w:val="auto"/>
          <w:spacing w:val="-1"/>
          <w:sz w:val="24"/>
          <w:szCs w:val="24"/>
          <w:highlight w:val="none"/>
          <w:u w:val="none"/>
          <w:lang w:val="en-US" w:eastAsia="zh-CN" w:bidi="zh-CN"/>
        </w:rPr>
        <w:t>结合预测结果，入河排污口正常工况下，枯水期龙荫港</w:t>
      </w:r>
      <w:r>
        <w:rPr>
          <w:rFonts w:hint="eastAsia"/>
          <w:sz w:val="24"/>
          <w:szCs w:val="24"/>
          <w:highlight w:val="none"/>
          <w:u w:val="none"/>
          <w:lang w:val="en-US" w:eastAsia="zh-CN"/>
        </w:rPr>
        <w:t>、</w:t>
      </w:r>
      <w:r>
        <w:rPr>
          <w:rFonts w:hint="eastAsia" w:ascii="Times New Roman" w:hAnsi="Times New Roman" w:eastAsia="宋体" w:cs="Times New Roman"/>
          <w:color w:val="000000"/>
          <w:kern w:val="2"/>
          <w:sz w:val="24"/>
          <w:szCs w:val="24"/>
          <w:highlight w:val="none"/>
          <w:lang w:val="en-US" w:eastAsia="zh-CN" w:bidi="ar-SA"/>
        </w:rPr>
        <w:t>龙荫港梅桥村断面</w:t>
      </w:r>
      <w:r>
        <w:rPr>
          <w:rFonts w:hint="default"/>
          <w:sz w:val="24"/>
          <w:szCs w:val="24"/>
          <w:highlight w:val="none"/>
          <w:u w:val="none"/>
        </w:rPr>
        <w:t>COD</w:t>
      </w:r>
      <w:r>
        <w:rPr>
          <w:rFonts w:hint="eastAsia"/>
          <w:sz w:val="24"/>
          <w:szCs w:val="24"/>
          <w:highlight w:val="none"/>
          <w:u w:val="none"/>
          <w:lang w:val="en-US" w:eastAsia="zh-CN"/>
        </w:rPr>
        <w:t>cr、</w:t>
      </w:r>
      <w:r>
        <w:rPr>
          <w:rFonts w:hint="default"/>
          <w:sz w:val="24"/>
          <w:szCs w:val="24"/>
          <w:highlight w:val="none"/>
          <w:u w:val="none"/>
          <w:lang w:val="en-US" w:eastAsia="zh-CN"/>
        </w:rPr>
        <w:t>NH</w:t>
      </w:r>
      <w:r>
        <w:rPr>
          <w:rFonts w:hint="default"/>
          <w:sz w:val="24"/>
          <w:szCs w:val="24"/>
          <w:highlight w:val="none"/>
          <w:u w:val="none"/>
          <w:vertAlign w:val="subscript"/>
          <w:lang w:val="en-US" w:eastAsia="zh-CN"/>
        </w:rPr>
        <w:t>3</w:t>
      </w:r>
      <w:r>
        <w:rPr>
          <w:rFonts w:hint="default"/>
          <w:sz w:val="24"/>
          <w:szCs w:val="24"/>
          <w:highlight w:val="none"/>
          <w:u w:val="none"/>
          <w:lang w:val="en-US" w:eastAsia="zh-CN"/>
        </w:rPr>
        <w:t>-N</w:t>
      </w:r>
      <w:r>
        <w:rPr>
          <w:rFonts w:hint="eastAsia"/>
          <w:sz w:val="24"/>
          <w:szCs w:val="24"/>
          <w:highlight w:val="none"/>
          <w:u w:val="none"/>
          <w:lang w:val="en-US" w:eastAsia="zh-CN"/>
        </w:rPr>
        <w:t>、</w:t>
      </w:r>
      <w:r>
        <w:rPr>
          <w:rFonts w:hint="default"/>
          <w:sz w:val="24"/>
          <w:szCs w:val="24"/>
          <w:highlight w:val="none"/>
          <w:u w:val="none"/>
          <w:lang w:val="en-US" w:eastAsia="zh-CN"/>
        </w:rPr>
        <w:t>TP</w:t>
      </w:r>
      <w:r>
        <w:rPr>
          <w:rFonts w:hint="eastAsia" w:ascii="Times New Roman" w:hAnsi="Times New Roman" w:eastAsia="宋体" w:cs="Times New Roman"/>
          <w:color w:val="000000"/>
          <w:kern w:val="2"/>
          <w:sz w:val="24"/>
          <w:szCs w:val="24"/>
          <w:highlight w:val="none"/>
          <w:lang w:val="en-US" w:eastAsia="zh-CN" w:bidi="ar-SA"/>
        </w:rPr>
        <w:t>预测值</w:t>
      </w:r>
      <w:r>
        <w:rPr>
          <w:rFonts w:hint="eastAsia" w:cs="Times New Roman"/>
          <w:color w:val="auto"/>
          <w:spacing w:val="-1"/>
          <w:sz w:val="24"/>
          <w:szCs w:val="24"/>
          <w:highlight w:val="none"/>
          <w:u w:val="none"/>
          <w:lang w:val="en-US" w:eastAsia="zh-CN" w:bidi="zh-CN"/>
        </w:rPr>
        <w:t>能够满足《</w:t>
      </w:r>
      <w:r>
        <w:rPr>
          <w:rFonts w:hint="eastAsia" w:ascii="Times New Roman" w:hAnsi="Times New Roman" w:eastAsia="宋体" w:cs="Times New Roman"/>
          <w:color w:val="auto"/>
          <w:spacing w:val="-1"/>
          <w:sz w:val="24"/>
          <w:szCs w:val="24"/>
          <w:highlight w:val="none"/>
          <w:u w:val="none"/>
          <w:lang w:val="en-US" w:eastAsia="zh-CN" w:bidi="zh-CN"/>
        </w:rPr>
        <w:t>地表水环境质量标准</w:t>
      </w:r>
      <w:r>
        <w:rPr>
          <w:rFonts w:hint="eastAsia" w:cs="Times New Roman"/>
          <w:color w:val="auto"/>
          <w:spacing w:val="-1"/>
          <w:sz w:val="24"/>
          <w:szCs w:val="24"/>
          <w:highlight w:val="none"/>
          <w:u w:val="none"/>
          <w:lang w:val="en-US" w:eastAsia="zh-CN" w:bidi="zh-CN"/>
        </w:rPr>
        <w:t>》</w:t>
      </w:r>
      <w:r>
        <w:rPr>
          <w:rFonts w:hint="eastAsia" w:ascii="Times New Roman" w:hAnsi="Times New Roman" w:eastAsia="宋体" w:cs="Times New Roman"/>
          <w:color w:val="auto"/>
          <w:spacing w:val="-1"/>
          <w:sz w:val="24"/>
          <w:szCs w:val="24"/>
          <w:highlight w:val="none"/>
          <w:u w:val="none"/>
          <w:lang w:val="en-US" w:eastAsia="zh-CN" w:bidi="zh-CN"/>
        </w:rPr>
        <w:t>（GB3838</w:t>
      </w:r>
      <w:r>
        <w:rPr>
          <w:rFonts w:hint="eastAsia" w:cs="Times New Roman"/>
          <w:color w:val="auto"/>
          <w:spacing w:val="-1"/>
          <w:sz w:val="24"/>
          <w:szCs w:val="24"/>
          <w:highlight w:val="none"/>
          <w:u w:val="none"/>
          <w:lang w:val="en-US" w:eastAsia="zh-CN" w:bidi="zh-CN"/>
        </w:rPr>
        <w:t>-</w:t>
      </w:r>
      <w:r>
        <w:rPr>
          <w:rFonts w:hint="eastAsia" w:ascii="Times New Roman" w:hAnsi="Times New Roman" w:eastAsia="宋体" w:cs="Times New Roman"/>
          <w:color w:val="auto"/>
          <w:spacing w:val="-1"/>
          <w:sz w:val="24"/>
          <w:szCs w:val="24"/>
          <w:highlight w:val="none"/>
          <w:u w:val="none"/>
          <w:lang w:val="en-US" w:eastAsia="zh-CN" w:bidi="zh-CN"/>
        </w:rPr>
        <w:t>2002）</w:t>
      </w:r>
      <w:r>
        <w:rPr>
          <w:rFonts w:hint="eastAsia" w:cs="Times New Roman"/>
          <w:color w:val="auto"/>
          <w:spacing w:val="-1"/>
          <w:sz w:val="24"/>
          <w:szCs w:val="24"/>
          <w:highlight w:val="none"/>
          <w:u w:val="none"/>
          <w:lang w:val="en-US" w:eastAsia="zh-CN" w:bidi="zh-CN"/>
        </w:rPr>
        <w:t>中III类标准要求。</w:t>
      </w:r>
    </w:p>
    <w:p w14:paraId="6D85D5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highlight w:val="none"/>
          <w:u w:val="none"/>
          <w:lang w:eastAsia="zh-CN"/>
        </w:rPr>
      </w:pPr>
      <w:r>
        <w:rPr>
          <w:rFonts w:hint="eastAsia" w:ascii="Times New Roman" w:hAnsi="Times New Roman"/>
          <w:color w:val="auto"/>
          <w:sz w:val="24"/>
          <w:szCs w:val="24"/>
          <w:highlight w:val="none"/>
          <w:u w:val="none"/>
          <w:lang w:val="en-US" w:eastAsia="zh-CN"/>
        </w:rPr>
        <w:t>本入河排污口</w:t>
      </w:r>
      <w:r>
        <w:rPr>
          <w:rFonts w:hint="eastAsia"/>
          <w:color w:val="auto"/>
          <w:sz w:val="24"/>
          <w:szCs w:val="24"/>
          <w:highlight w:val="none"/>
          <w:u w:val="none"/>
          <w:lang w:val="en-US" w:eastAsia="zh-CN"/>
        </w:rPr>
        <w:t>论证范围内无自然保护区、水产种质资源保护区、湿地公园、风景名胜区等敏感区</w:t>
      </w:r>
      <w:r>
        <w:rPr>
          <w:rFonts w:hint="eastAsia"/>
          <w:color w:val="auto"/>
          <w:sz w:val="24"/>
          <w:szCs w:val="24"/>
          <w:highlight w:val="none"/>
          <w:u w:val="none"/>
          <w:lang w:val="zh-CN"/>
        </w:rPr>
        <w:t>。</w:t>
      </w:r>
      <w:r>
        <w:rPr>
          <w:rFonts w:hint="eastAsia" w:ascii="Times New Roman" w:hAnsi="Times New Roman"/>
          <w:color w:val="auto"/>
          <w:sz w:val="24"/>
          <w:szCs w:val="24"/>
          <w:highlight w:val="none"/>
          <w:u w:val="none"/>
          <w:lang w:val="en-US" w:eastAsia="zh-CN"/>
        </w:rPr>
        <w:t>入河方式</w:t>
      </w:r>
      <w:r>
        <w:rPr>
          <w:rFonts w:ascii="Times New Roman" w:hAnsi="Times New Roman"/>
          <w:color w:val="auto"/>
          <w:sz w:val="24"/>
          <w:szCs w:val="24"/>
          <w:highlight w:val="none"/>
          <w:u w:val="none"/>
          <w:lang w:val="zh-CN"/>
        </w:rPr>
        <w:t>采用</w:t>
      </w:r>
      <w:r>
        <w:rPr>
          <w:rFonts w:hint="eastAsia"/>
          <w:color w:val="auto"/>
          <w:sz w:val="24"/>
          <w:szCs w:val="24"/>
          <w:highlight w:val="none"/>
          <w:u w:val="none"/>
          <w:lang w:val="zh-CN"/>
        </w:rPr>
        <w:t>管道</w:t>
      </w:r>
      <w:r>
        <w:rPr>
          <w:rFonts w:hint="eastAsia"/>
          <w:color w:val="auto"/>
          <w:sz w:val="24"/>
          <w:szCs w:val="24"/>
          <w:highlight w:val="none"/>
          <w:u w:val="none"/>
          <w:lang w:val="en-US" w:eastAsia="zh-CN"/>
        </w:rPr>
        <w:t>连续</w:t>
      </w:r>
      <w:r>
        <w:rPr>
          <w:rFonts w:ascii="Times New Roman" w:hAnsi="Times New Roman"/>
          <w:color w:val="auto"/>
          <w:sz w:val="24"/>
          <w:szCs w:val="24"/>
          <w:highlight w:val="none"/>
          <w:u w:val="none"/>
          <w:lang w:val="zh-CN"/>
        </w:rPr>
        <w:t>排放，对第三者的影响轻微。</w:t>
      </w:r>
      <w:r>
        <w:rPr>
          <w:rFonts w:hint="eastAsia" w:ascii="Times New Roman" w:hAnsi="Times New Roman" w:eastAsia="宋体"/>
          <w:color w:val="auto"/>
          <w:sz w:val="24"/>
          <w:szCs w:val="24"/>
          <w:highlight w:val="none"/>
          <w:u w:val="none"/>
          <w:lang w:val="en-US" w:eastAsia="zh-CN"/>
        </w:rPr>
        <w:t>本</w:t>
      </w:r>
      <w:r>
        <w:rPr>
          <w:rFonts w:hint="eastAsia" w:ascii="Times New Roman" w:hAnsi="Times New Roman"/>
          <w:color w:val="auto"/>
          <w:sz w:val="24"/>
          <w:szCs w:val="24"/>
          <w:highlight w:val="none"/>
          <w:u w:val="none"/>
          <w:lang w:val="en-US" w:eastAsia="zh-CN"/>
        </w:rPr>
        <w:t>入河</w:t>
      </w:r>
      <w:r>
        <w:rPr>
          <w:rFonts w:hint="eastAsia" w:ascii="Times New Roman" w:hAnsi="Times New Roman" w:eastAsia="宋体"/>
          <w:color w:val="auto"/>
          <w:sz w:val="24"/>
          <w:szCs w:val="24"/>
          <w:highlight w:val="none"/>
          <w:u w:val="none"/>
          <w:lang w:val="en-US" w:eastAsia="zh-CN"/>
        </w:rPr>
        <w:t>排污口的设置无重大环境制约因素</w:t>
      </w:r>
      <w:r>
        <w:rPr>
          <w:rFonts w:hint="eastAsia"/>
          <w:color w:val="auto"/>
          <w:sz w:val="24"/>
          <w:szCs w:val="24"/>
          <w:highlight w:val="none"/>
          <w:u w:val="none"/>
          <w:lang w:val="en-US" w:eastAsia="zh-CN"/>
        </w:rPr>
        <w:t>，</w:t>
      </w:r>
      <w:r>
        <w:rPr>
          <w:rFonts w:ascii="Times New Roman" w:hAnsi="Times New Roman"/>
          <w:color w:val="auto"/>
          <w:sz w:val="24"/>
          <w:szCs w:val="24"/>
          <w:highlight w:val="none"/>
          <w:u w:val="none"/>
          <w:lang w:val="zh-CN"/>
        </w:rPr>
        <w:t>其排放位置、排放方式合理</w:t>
      </w:r>
      <w:r>
        <w:rPr>
          <w:rFonts w:hint="eastAsia"/>
          <w:color w:val="auto"/>
          <w:sz w:val="24"/>
          <w:szCs w:val="24"/>
          <w:highlight w:val="none"/>
          <w:u w:val="none"/>
          <w:lang w:eastAsia="zh-CN"/>
        </w:rPr>
        <w:t>。</w:t>
      </w:r>
    </w:p>
    <w:p w14:paraId="68A92D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olor w:val="auto"/>
          <w:sz w:val="24"/>
          <w:szCs w:val="24"/>
          <w:highlight w:val="none"/>
          <w:u w:val="none"/>
          <w:lang w:val="zh-CN"/>
        </w:rPr>
      </w:pPr>
      <w:r>
        <w:rPr>
          <w:rFonts w:ascii="Times New Roman" w:hAnsi="Times New Roman"/>
          <w:color w:val="auto"/>
          <w:sz w:val="24"/>
          <w:szCs w:val="24"/>
          <w:highlight w:val="none"/>
          <w:u w:val="none"/>
          <w:lang w:val="zh-CN"/>
        </w:rPr>
        <w:t>综上所述，</w:t>
      </w:r>
      <w:r>
        <w:rPr>
          <w:rFonts w:hint="eastAsia"/>
          <w:color w:val="auto"/>
          <w:sz w:val="24"/>
          <w:szCs w:val="24"/>
          <w:highlight w:val="none"/>
          <w:u w:val="none"/>
          <w:lang w:val="en-US" w:eastAsia="zh-CN"/>
        </w:rPr>
        <w:t>本</w:t>
      </w:r>
      <w:r>
        <w:rPr>
          <w:rFonts w:ascii="Times New Roman" w:hAnsi="Times New Roman"/>
          <w:color w:val="auto"/>
          <w:sz w:val="24"/>
          <w:szCs w:val="24"/>
          <w:highlight w:val="none"/>
          <w:u w:val="none"/>
          <w:lang w:val="zh-CN"/>
        </w:rPr>
        <w:t>入河排污口设置是合理可行的。</w:t>
      </w:r>
    </w:p>
    <w:p w14:paraId="1B8EF55C">
      <w:pPr>
        <w:pStyle w:val="6"/>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9.1.</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入河排污口设置最终结论</w:t>
      </w:r>
    </w:p>
    <w:p w14:paraId="64FC6754">
      <w:pPr>
        <w:spacing w:line="360" w:lineRule="auto"/>
        <w:ind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综上所述，通过对排污口设置论证分析，本入河排污口的建设将显著削减衡阳市南岳区城区生活污水中污染物的排放量，对于减轻水环境污染、改善龙荫港水源环境质量、进而实现湘江流域治理、保护区域内的生态环境、实现水功能区水质目标具有重要的意义。</w:t>
      </w:r>
    </w:p>
    <w:p w14:paraId="26713974">
      <w:pPr>
        <w:spacing w:line="360" w:lineRule="auto"/>
        <w:ind w:firstLine="480" w:firstLineChars="200"/>
        <w:jc w:val="both"/>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南岳区城区生活污水</w:t>
      </w:r>
      <w:r>
        <w:rPr>
          <w:rFonts w:hint="eastAsia" w:cs="Times New Roman"/>
          <w:color w:val="auto"/>
          <w:sz w:val="24"/>
          <w:szCs w:val="24"/>
          <w:highlight w:val="none"/>
          <w:u w:val="none"/>
          <w:lang w:val="en-US" w:eastAsia="zh-CN"/>
        </w:rPr>
        <w:t>经</w:t>
      </w:r>
      <w:r>
        <w:rPr>
          <w:rFonts w:hint="eastAsia" w:ascii="Times New Roman" w:hAnsi="Times New Roman" w:eastAsia="宋体" w:cs="Times New Roman"/>
          <w:color w:val="auto"/>
          <w:sz w:val="24"/>
          <w:szCs w:val="24"/>
          <w:highlight w:val="none"/>
          <w:u w:val="none"/>
          <w:lang w:val="en-US" w:eastAsia="zh-CN"/>
        </w:rPr>
        <w:t>南岳区污水处理厂</w:t>
      </w:r>
      <w:r>
        <w:rPr>
          <w:rFonts w:hint="eastAsia" w:cs="Times New Roman"/>
          <w:color w:val="auto"/>
          <w:sz w:val="24"/>
          <w:szCs w:val="24"/>
          <w:highlight w:val="none"/>
          <w:u w:val="none"/>
          <w:lang w:val="en-US" w:eastAsia="zh-CN"/>
        </w:rPr>
        <w:t>处理后，尾水可稳定达到</w:t>
      </w:r>
      <w:r>
        <w:rPr>
          <w:rFonts w:hint="default" w:ascii="Times New Roman" w:hAnsi="Times New Roman" w:eastAsia="宋体" w:cs="Times New Roman"/>
          <w:color w:val="auto"/>
          <w:sz w:val="24"/>
          <w:szCs w:val="24"/>
          <w:highlight w:val="none"/>
          <w:u w:val="none"/>
          <w:lang w:val="en-US" w:eastAsia="zh-CN"/>
        </w:rPr>
        <w:t>《湖南省城镇污水处理厂主要水污染物排放标准》（DB43/T1546-2018）一级标准</w:t>
      </w:r>
      <w:r>
        <w:rPr>
          <w:rFonts w:hint="eastAsia" w:cs="Times New Roman"/>
          <w:color w:val="auto"/>
          <w:sz w:val="24"/>
          <w:szCs w:val="24"/>
          <w:highlight w:val="none"/>
          <w:u w:val="none"/>
          <w:lang w:val="en-US" w:eastAsia="zh-CN"/>
        </w:rPr>
        <w:t>，经</w:t>
      </w:r>
      <w:r>
        <w:rPr>
          <w:rFonts w:hint="eastAsia" w:ascii="Times New Roman" w:hAnsi="Times New Roman" w:eastAsia="宋体" w:cs="Times New Roman"/>
          <w:color w:val="auto"/>
          <w:sz w:val="24"/>
          <w:szCs w:val="24"/>
          <w:highlight w:val="none"/>
          <w:u w:val="none"/>
          <w:lang w:val="en-US" w:eastAsia="zh-CN"/>
        </w:rPr>
        <w:t>约50m</w:t>
      </w:r>
      <w:r>
        <w:rPr>
          <w:rFonts w:hint="eastAsia" w:cs="Times New Roman"/>
          <w:color w:val="auto"/>
          <w:sz w:val="24"/>
          <w:szCs w:val="24"/>
          <w:highlight w:val="none"/>
          <w:u w:val="none"/>
          <w:lang w:val="en-US" w:eastAsia="zh-CN"/>
        </w:rPr>
        <w:t>专用排污</w:t>
      </w:r>
      <w:r>
        <w:rPr>
          <w:rFonts w:hint="eastAsia" w:ascii="Times New Roman" w:hAnsi="Times New Roman" w:eastAsia="宋体" w:cs="Times New Roman"/>
          <w:color w:val="auto"/>
          <w:sz w:val="24"/>
          <w:szCs w:val="24"/>
          <w:highlight w:val="none"/>
          <w:u w:val="none"/>
          <w:lang w:val="en-US" w:eastAsia="zh-CN"/>
        </w:rPr>
        <w:t>管道</w:t>
      </w:r>
      <w:r>
        <w:rPr>
          <w:rFonts w:hint="eastAsia" w:cs="Times New Roman"/>
          <w:color w:val="auto"/>
          <w:sz w:val="24"/>
          <w:szCs w:val="24"/>
          <w:highlight w:val="none"/>
          <w:u w:val="none"/>
          <w:lang w:val="en-US" w:eastAsia="zh-CN"/>
        </w:rPr>
        <w:t>通过入河排污口排入</w:t>
      </w:r>
      <w:r>
        <w:rPr>
          <w:rFonts w:hint="eastAsia" w:ascii="Times New Roman" w:hAnsi="Times New Roman" w:eastAsia="宋体" w:cs="Times New Roman"/>
          <w:color w:val="auto"/>
          <w:sz w:val="24"/>
          <w:szCs w:val="24"/>
          <w:highlight w:val="none"/>
          <w:u w:val="none"/>
          <w:lang w:val="en-US" w:eastAsia="zh-CN"/>
        </w:rPr>
        <w:t>龙荫港</w:t>
      </w:r>
      <w:r>
        <w:rPr>
          <w:rFonts w:hint="eastAsia" w:cs="Times New Roman"/>
          <w:color w:val="auto"/>
          <w:sz w:val="24"/>
          <w:szCs w:val="24"/>
          <w:highlight w:val="none"/>
          <w:u w:val="none"/>
          <w:lang w:val="en-US" w:eastAsia="zh-CN"/>
        </w:rPr>
        <w:t>，排放量为</w:t>
      </w:r>
      <w:r>
        <w:rPr>
          <w:rFonts w:hint="eastAsia" w:ascii="Times New Roman" w:hAnsi="Times New Roman" w:eastAsia="宋体" w:cs="Times New Roman"/>
          <w:color w:val="auto"/>
          <w:sz w:val="24"/>
          <w:szCs w:val="24"/>
          <w:highlight w:val="none"/>
          <w:u w:val="none"/>
          <w:lang w:val="en-US" w:eastAsia="zh-CN"/>
        </w:rPr>
        <w:t>3万m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/d，</w:t>
      </w:r>
      <w:r>
        <w:rPr>
          <w:rFonts w:hint="eastAsia" w:cs="Times New Roman"/>
          <w:color w:val="auto"/>
          <w:sz w:val="24"/>
          <w:szCs w:val="24"/>
          <w:highlight w:val="none"/>
          <w:u w:val="none"/>
          <w:lang w:val="en-US" w:eastAsia="zh-CN"/>
        </w:rPr>
        <w:t>在正常工况下，</w:t>
      </w:r>
      <w:r>
        <w:rPr>
          <w:rFonts w:hint="eastAsia" w:ascii="Times New Roman" w:hAnsi="Times New Roman" w:eastAsia="宋体" w:cs="Times New Roman"/>
          <w:color w:val="auto"/>
          <w:sz w:val="24"/>
          <w:szCs w:val="24"/>
          <w:highlight w:val="none"/>
          <w:u w:val="none"/>
          <w:lang w:val="en-US" w:eastAsia="zh-CN"/>
        </w:rPr>
        <w:t>入河排污口设置对龙荫港水质目标、水生态环境以及第三者权益不会产生明显不利影响，本</w:t>
      </w:r>
      <w:r>
        <w:rPr>
          <w:rFonts w:hint="eastAsia"/>
          <w:sz w:val="24"/>
          <w:szCs w:val="24"/>
          <w:highlight w:val="none"/>
          <w:lang w:val="en-US" w:eastAsia="zh-CN"/>
        </w:rPr>
        <w:t>入河排污口设置</w:t>
      </w:r>
      <w:r>
        <w:rPr>
          <w:rFonts w:hint="eastAsia" w:ascii="Times New Roman" w:hAnsi="Times New Roman" w:eastAsia="宋体" w:cs="Times New Roman"/>
          <w:color w:val="auto"/>
          <w:sz w:val="24"/>
          <w:szCs w:val="24"/>
          <w:highlight w:val="none"/>
          <w:u w:val="none"/>
          <w:lang w:val="en-US" w:eastAsia="zh-CN"/>
        </w:rPr>
        <w:t>符合国家产业政策及相关法律、法规等文件要求。</w:t>
      </w:r>
    </w:p>
    <w:p w14:paraId="113D4D98">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sz w:val="24"/>
          <w:szCs w:val="24"/>
          <w:highlight w:val="none"/>
          <w:lang w:val="zh-CN" w:eastAsia="zh-CN"/>
        </w:rPr>
      </w:pPr>
      <w:r>
        <w:rPr>
          <w:rFonts w:hint="eastAsia"/>
          <w:sz w:val="24"/>
          <w:szCs w:val="24"/>
          <w:highlight w:val="none"/>
          <w:lang w:val="en-US" w:eastAsia="zh-CN"/>
        </w:rPr>
        <w:t>因此，本入河排污口设置是合理可行的</w:t>
      </w:r>
      <w:r>
        <w:rPr>
          <w:rFonts w:hint="eastAsia"/>
          <w:sz w:val="24"/>
          <w:szCs w:val="24"/>
          <w:highlight w:val="none"/>
          <w:lang w:val="zh-CN" w:eastAsia="zh-CN"/>
        </w:rPr>
        <w:t>。</w:t>
      </w:r>
      <w:bookmarkStart w:id="118" w:name="_Toc25330"/>
      <w:bookmarkStart w:id="119" w:name="_Toc22569"/>
    </w:p>
    <w:p w14:paraId="0DB85C6F">
      <w:pPr>
        <w:pStyle w:val="5"/>
        <w:numPr>
          <w:ilvl w:val="0"/>
          <w:numId w:val="0"/>
        </w:numPr>
        <w:bidi w:val="0"/>
        <w:ind w:leftChars="0"/>
        <w:rPr>
          <w:rFonts w:hint="eastAsia"/>
          <w:highlight w:val="none"/>
          <w:lang w:val="en-US" w:eastAsia="zh-CN"/>
        </w:rPr>
      </w:pPr>
      <w:bookmarkStart w:id="120" w:name="_Toc24766"/>
      <w:r>
        <w:rPr>
          <w:rFonts w:hint="eastAsia"/>
          <w:highlight w:val="none"/>
          <w:lang w:val="en-US" w:eastAsia="zh-CN"/>
        </w:rPr>
        <w:t>9.2 建议</w:t>
      </w:r>
      <w:bookmarkEnd w:id="118"/>
      <w:bookmarkEnd w:id="119"/>
      <w:bookmarkEnd w:id="120"/>
    </w:p>
    <w:p w14:paraId="15AD5BD6">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zh-CN"/>
        </w:rPr>
      </w:pP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为确保入河排污口尾水达标排放，应严格执行污水处理厂进出水的排放标准，定期对污水处理设备检查、维护，发现异常情况应及时检修，并采取应急措施。</w:t>
      </w:r>
    </w:p>
    <w:p w14:paraId="235A5851">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zh-CN"/>
        </w:rPr>
      </w:pP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入河排污口建设和竣工验收必须严格执行“三同时”制度，入河排污口运营期应确保尾水达标排放和限制排污总量，加强对论证范围内的人员排污管理，并采取有效措施防止入河排污口事故排放。</w:t>
      </w:r>
      <w:r>
        <w:rPr>
          <w:rFonts w:ascii="Times New Roman" w:hAnsi="Times New Roman"/>
          <w:color w:val="auto"/>
          <w:sz w:val="24"/>
          <w:szCs w:val="24"/>
          <w:highlight w:val="none"/>
          <w:u w:val="none"/>
          <w:lang w:val="zh-CN"/>
        </w:rPr>
        <w:t>落实入河排污口设置验收管理，进行排污口设置验收</w:t>
      </w:r>
      <w:r>
        <w:rPr>
          <w:rFonts w:hint="eastAsia"/>
          <w:color w:val="auto"/>
          <w:sz w:val="24"/>
          <w:szCs w:val="24"/>
          <w:highlight w:val="none"/>
          <w:u w:val="none"/>
          <w:lang w:val="zh-CN"/>
        </w:rPr>
        <w:t>，</w:t>
      </w:r>
      <w:r>
        <w:rPr>
          <w:rFonts w:ascii="Times New Roman" w:hAnsi="Times New Roman"/>
          <w:color w:val="auto"/>
          <w:sz w:val="24"/>
          <w:szCs w:val="24"/>
          <w:highlight w:val="none"/>
          <w:u w:val="none"/>
          <w:lang w:val="zh-CN"/>
        </w:rPr>
        <w:t>向入河排污口管理单位提出入河排污口设置验收申请，验收合格后方可投入使用。</w:t>
      </w:r>
    </w:p>
    <w:p w14:paraId="121BFB0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（3）对入河排污口尾水进行长期监测，动态掌握排放尾水水质，以便针对尾水中的其他污染物及时采取相应处理措施。</w:t>
      </w:r>
    </w:p>
    <w:p w14:paraId="7019BB95">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zh-CN"/>
        </w:rPr>
      </w:pPr>
      <w:r>
        <w:rPr>
          <w:rFonts w:hint="eastAsia" w:ascii="Times New Roman" w:hAnsi="Times New Roman" w:eastAsia="宋体" w:cs="Times New Roman"/>
          <w:color w:val="auto"/>
          <w:sz w:val="24"/>
          <w:szCs w:val="24"/>
          <w:highlight w:val="none"/>
          <w:u w:val="none"/>
          <w:lang w:val="en-US" w:eastAsia="zh-CN"/>
        </w:rPr>
        <w:t>（4）入河排污口的建设若涉及第三人权益项目，业主单位及建设方应负责协调，落实解决，积极配合相关工作开展并承担相应责任。</w:t>
      </w:r>
    </w:p>
    <w:p w14:paraId="78355CF0">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000000" w:themeColor="text1"/>
          <w:sz w:val="24"/>
          <w:szCs w:val="24"/>
          <w:highlight w:val="none"/>
          <w:u w:val="none"/>
          <w:lang w:val="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u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按照相关规范安装完成入河排污口标示牌并对排污口采取保护措施。排污单位应当在入河排污口处设立明显的标牌，标牌上应注明该入河排污口名称、编号、位置坐标以及排入水功能区、水质保护目标，排污口设置单位、监督单位名称及监督电话等，标牌的设置要符合《入河入海排污口监督管理技术指南 入河排污口规范化建设》（HJ1309-2023）的有关要求。入河排污口设置安装在线计量和监控设施，确保入河排污口</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看得见、可测量、有监控</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，定期对排污口巡检。</w:t>
      </w:r>
    </w:p>
    <w:p w14:paraId="634E678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zh-CN"/>
        </w:rPr>
      </w:pPr>
      <w:r>
        <w:rPr>
          <w:rFonts w:hint="eastAsia" w:ascii="Times New Roman" w:hAnsi="Times New Roman" w:eastAsia="宋体" w:cs="Times New Roman"/>
          <w:color w:val="auto"/>
          <w:sz w:val="24"/>
          <w:szCs w:val="24"/>
          <w:highlight w:val="none"/>
          <w:u w:val="none"/>
          <w:lang w:val="en-US" w:eastAsia="zh-CN"/>
        </w:rPr>
        <w:t>（6）制定详细的污水处理厂事故应急预案，加强地下水保护措施。</w:t>
      </w:r>
    </w:p>
    <w:p w14:paraId="5375AB2B">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color w:val="auto"/>
          <w:sz w:val="24"/>
          <w:szCs w:val="24"/>
          <w:highlight w:val="none"/>
          <w:u w:val="none"/>
          <w:lang w:val="zh-CN"/>
        </w:rPr>
      </w:pPr>
      <w:r>
        <w:rPr>
          <w:rFonts w:hint="eastAsia" w:ascii="Times New Roman" w:hAnsi="Times New Roman" w:eastAsia="宋体" w:cs="Times New Roman"/>
          <w:color w:val="auto"/>
          <w:sz w:val="24"/>
          <w:szCs w:val="24"/>
          <w:highlight w:val="none"/>
          <w:u w:val="none"/>
          <w:lang w:val="en-US" w:eastAsia="zh-CN"/>
        </w:rPr>
        <w:t>（7）规范排污口设置，排污口应按照国家规定设置。加强尾水水质监测，监测结果应报送生态环境主管部门。</w:t>
      </w:r>
    </w:p>
    <w:p w14:paraId="5C7ECEC2">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8</w:t>
      </w:r>
      <w:r>
        <w:rPr>
          <w:rFonts w:hint="eastAsia" w:ascii="Times New Roman" w:hAnsi="Times New Roman" w:eastAsia="宋体" w:cs="Times New Roman"/>
          <w:color w:val="auto"/>
          <w:sz w:val="24"/>
          <w:szCs w:val="24"/>
          <w:highlight w:val="none"/>
          <w:u w:val="none"/>
          <w:lang w:val="zh-CN"/>
        </w:rPr>
        <w:t>）</w:t>
      </w:r>
      <w:r>
        <w:rPr>
          <w:rFonts w:hint="eastAsia" w:ascii="Times New Roman" w:hAnsi="Times New Roman" w:eastAsia="宋体" w:cs="Times New Roman"/>
          <w:color w:val="auto"/>
          <w:sz w:val="24"/>
          <w:szCs w:val="24"/>
          <w:highlight w:val="none"/>
          <w:u w:val="none"/>
          <w:lang w:val="en-US" w:eastAsia="zh-CN"/>
        </w:rPr>
        <w:t>严格执行《排污许可</w:t>
      </w:r>
      <w:bookmarkStart w:id="121" w:name="_GoBack"/>
      <w:bookmarkEnd w:id="121"/>
      <w:r>
        <w:rPr>
          <w:rFonts w:hint="eastAsia" w:ascii="Times New Roman" w:hAnsi="Times New Roman" w:eastAsia="宋体" w:cs="Times New Roman"/>
          <w:color w:val="auto"/>
          <w:sz w:val="24"/>
          <w:szCs w:val="24"/>
          <w:highlight w:val="none"/>
          <w:u w:val="none"/>
          <w:lang w:val="en-US" w:eastAsia="zh-CN"/>
        </w:rPr>
        <w:t>管理条例》，依法排污。</w:t>
      </w:r>
    </w:p>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25458">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B4CA38">
                          <w:pPr>
                            <w:pStyle w:val="20"/>
                          </w:pPr>
                          <w:r>
                            <w:t xml:space="preserve">第 </w:t>
                          </w:r>
                          <w:r>
                            <w:fldChar w:fldCharType="begin"/>
                          </w:r>
                          <w:r>
                            <w:instrText xml:space="preserve"> PAGE  \* MERGEFORMAT </w:instrText>
                          </w:r>
                          <w:r>
                            <w:fldChar w:fldCharType="separate"/>
                          </w:r>
                          <w:r>
                            <w:t>9</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UoQd94BAAC/AwAADgAAAGRycy9lMm9Eb2MueG1srVNBrtMwEN0jcQfL&#10;e5q0Qq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8vOXPC0sQv379dfvy6/PzK&#10;lk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NShB33gEAAL8DAAAOAAAAAAAA&#10;AAEAIAAAAB4BAABkcnMvZTJvRG9jLnhtbFBLBQYAAAAABgAGAFkBAABuBQAAAAA=&#10;">
              <v:fill on="f" focussize="0,0"/>
              <v:stroke on="f"/>
              <v:imagedata o:title=""/>
              <o:lock v:ext="edit" aspectratio="f"/>
              <v:textbox inset="0mm,0mm,0mm,0mm" style="mso-fit-shape-to-text:t;">
                <w:txbxContent>
                  <w:p w14:paraId="47B4CA38">
                    <w:pPr>
                      <w:pStyle w:val="20"/>
                    </w:pPr>
                    <w:r>
                      <w:t xml:space="preserve">第 </w:t>
                    </w:r>
                    <w:r>
                      <w:fldChar w:fldCharType="begin"/>
                    </w:r>
                    <w:r>
                      <w:instrText xml:space="preserve"> PAGE  \* MERGEFORMAT </w:instrText>
                    </w:r>
                    <w:r>
                      <w:fldChar w:fldCharType="separate"/>
                    </w:r>
                    <w:r>
                      <w:t>9</w:t>
                    </w:r>
                    <w:r>
                      <w:fldChar w:fldCharType="end"/>
                    </w:r>
                    <w:r>
                      <w:t xml:space="preserve"> 页</w:t>
                    </w:r>
                  </w:p>
                </w:txbxContent>
              </v:textbox>
            </v:shape>
          </w:pict>
        </mc:Fallback>
      </mc:AlternateContent>
    </w:r>
    <w:r>
      <w:rPr>
        <w:rFonts w:hint="eastAsia"/>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E4CA2"/>
    <w:multiLevelType w:val="singleLevel"/>
    <w:tmpl w:val="A51E4CA2"/>
    <w:lvl w:ilvl="0" w:tentative="0">
      <w:start w:val="1"/>
      <w:numFmt w:val="decimal"/>
      <w:pStyle w:val="56"/>
      <w:suff w:val="nothing"/>
      <w:lvlText w:val="%1、"/>
      <w:lvlJc w:val="left"/>
    </w:lvl>
  </w:abstractNum>
  <w:abstractNum w:abstractNumId="1">
    <w:nsid w:val="DB4BD361"/>
    <w:multiLevelType w:val="singleLevel"/>
    <w:tmpl w:val="DB4BD361"/>
    <w:lvl w:ilvl="0" w:tentative="0">
      <w:start w:val="1"/>
      <w:numFmt w:val="decimal"/>
      <w:pStyle w:val="4"/>
      <w:suff w:val="nothing"/>
      <w:lvlText w:val="%1、"/>
      <w:lvlJc w:val="left"/>
      <w:pPr>
        <w:ind w:left="0" w:firstLine="420"/>
      </w:pPr>
      <w:rPr>
        <w:rFonts w:hint="default"/>
      </w:rPr>
    </w:lvl>
  </w:abstractNum>
  <w:abstractNum w:abstractNumId="2">
    <w:nsid w:val="F656F9B5"/>
    <w:multiLevelType w:val="multilevel"/>
    <w:tmpl w:val="F656F9B5"/>
    <w:lvl w:ilvl="0" w:tentative="0">
      <w:start w:val="1"/>
      <w:numFmt w:val="decimal"/>
      <w:isLgl/>
      <w:suff w:val="space"/>
      <w:lvlText w:val="%1"/>
      <w:lvlJc w:val="left"/>
      <w:pPr>
        <w:ind w:left="200" w:firstLine="0"/>
      </w:pPr>
      <w:rPr>
        <w:rFonts w:hint="eastAsia" w:ascii="Times New Roman" w:hAnsi="Times New Roman" w:eastAsia="宋体" w:cs="Times New Roman"/>
        <w:b/>
        <w:i w:val="0"/>
        <w:sz w:val="36"/>
        <w:szCs w:val="36"/>
      </w:rPr>
    </w:lvl>
    <w:lvl w:ilvl="1" w:tentative="0">
      <w:start w:val="1"/>
      <w:numFmt w:val="decimal"/>
      <w:isLgl/>
      <w:suff w:val="space"/>
      <w:lvlText w:val="%1.%2"/>
      <w:lvlJc w:val="left"/>
      <w:pPr>
        <w:ind w:left="1800" w:firstLine="0"/>
      </w:pPr>
      <w:rPr>
        <w:rFonts w:hint="eastAsia" w:ascii="Times New Roman" w:hAnsi="Times New Roman" w:eastAsia="宋体"/>
        <w:b/>
        <w:i w:val="0"/>
        <w:sz w:val="30"/>
      </w:rPr>
    </w:lvl>
    <w:lvl w:ilvl="2" w:tentative="0">
      <w:start w:val="1"/>
      <w:numFmt w:val="decimal"/>
      <w:isLgl/>
      <w:suff w:val="space"/>
      <w:lvlText w:val="%1.%2.%3"/>
      <w:lvlJc w:val="left"/>
      <w:pPr>
        <w:ind w:left="180" w:firstLine="0"/>
      </w:pPr>
      <w:rPr>
        <w:rFonts w:hint="eastAsia" w:ascii="Times New Roman" w:hAnsi="Times New Roman" w:cs="Times New Roman"/>
        <w:bCs w:val="0"/>
        <w:i w:val="0"/>
        <w:iCs w:val="0"/>
        <w:caps w:val="0"/>
        <w:smallCaps w:val="0"/>
        <w:strike w:val="0"/>
        <w:dstrike w:val="0"/>
        <w:outline w:val="0"/>
        <w:shadow w:val="0"/>
        <w:emboss w:val="0"/>
        <w:imprint w:val="0"/>
        <w:vanish w:val="0"/>
        <w:color w:val="000000"/>
        <w:spacing w:val="0"/>
        <w:kern w:val="0"/>
        <w:position w:val="0"/>
        <w:u w:val="none"/>
        <w:vertAlign w:val="baseline"/>
      </w:rPr>
    </w:lvl>
    <w:lvl w:ilvl="3" w:tentative="0">
      <w:start w:val="1"/>
      <w:numFmt w:val="decimal"/>
      <w:isLgl/>
      <w:suff w:val="space"/>
      <w:lvlText w:val="%1.%2.%3.%4"/>
      <w:lvlJc w:val="left"/>
      <w:pPr>
        <w:ind w:left="360" w:firstLine="0"/>
      </w:pPr>
      <w:rPr>
        <w:rFonts w:hint="eastAsia" w:ascii="Times New Roman" w:hAnsi="Times New Roman" w:eastAsia="宋体"/>
        <w:b/>
        <w:i w:val="0"/>
        <w:sz w:val="24"/>
      </w:rPr>
    </w:lvl>
    <w:lvl w:ilvl="4" w:tentative="0">
      <w:start w:val="1"/>
      <w:numFmt w:val="decimal"/>
      <w:pStyle w:val="8"/>
      <w:suff w:val="space"/>
      <w:lvlText w:val="( %5 )"/>
      <w:lvlJc w:val="left"/>
      <w:pPr>
        <w:ind w:left="540" w:firstLine="0"/>
      </w:pPr>
      <w:rPr>
        <w:rFonts w:hint="eastAsia"/>
        <w:b w:val="0"/>
        <w:i w:val="0"/>
        <w:sz w:val="24"/>
      </w:rPr>
    </w:lvl>
    <w:lvl w:ilvl="5" w:tentative="0">
      <w:start w:val="1"/>
      <w:numFmt w:val="decimalEnclosedCircle"/>
      <w:pStyle w:val="9"/>
      <w:suff w:val="space"/>
      <w:lvlText w:val="%6"/>
      <w:lvlJc w:val="left"/>
      <w:pPr>
        <w:ind w:left="760" w:firstLine="0"/>
      </w:pPr>
      <w:rPr>
        <w:rFonts w:hint="eastAsia"/>
      </w:rPr>
    </w:lvl>
    <w:lvl w:ilvl="6" w:tentative="0">
      <w:start w:val="1"/>
      <w:numFmt w:val="decimal"/>
      <w:lvlText w:val="%1.%2.%3.%4.%5.%6.%7"/>
      <w:lvlJc w:val="left"/>
      <w:pPr>
        <w:tabs>
          <w:tab w:val="left" w:pos="4715"/>
        </w:tabs>
        <w:ind w:left="4715" w:hanging="1276"/>
      </w:pPr>
      <w:rPr>
        <w:rFonts w:hint="eastAsia"/>
      </w:rPr>
    </w:lvl>
    <w:lvl w:ilvl="7" w:tentative="0">
      <w:start w:val="1"/>
      <w:numFmt w:val="decimal"/>
      <w:lvlText w:val="%1.%2.%3.%4.%5.%6.%7.%8"/>
      <w:lvlJc w:val="left"/>
      <w:pPr>
        <w:tabs>
          <w:tab w:val="left" w:pos="5282"/>
        </w:tabs>
        <w:ind w:left="5282" w:hanging="1418"/>
      </w:pPr>
      <w:rPr>
        <w:rFonts w:hint="eastAsia"/>
      </w:rPr>
    </w:lvl>
    <w:lvl w:ilvl="8" w:tentative="0">
      <w:start w:val="1"/>
      <w:numFmt w:val="decimal"/>
      <w:lvlText w:val="%1.%2.%3.%4.%5.%6.%7.%8.%9"/>
      <w:lvlJc w:val="left"/>
      <w:pPr>
        <w:tabs>
          <w:tab w:val="left" w:pos="5990"/>
        </w:tabs>
        <w:ind w:left="5990" w:hanging="1700"/>
      </w:pPr>
      <w:rPr>
        <w:rFonts w:hint="eastAsia"/>
      </w:rPr>
    </w:lvl>
  </w:abstractNum>
  <w:abstractNum w:abstractNumId="3">
    <w:nsid w:val="0000000A"/>
    <w:multiLevelType w:val="multilevel"/>
    <w:tmpl w:val="0000000A"/>
    <w:lvl w:ilvl="0" w:tentative="0">
      <w:start w:val="5"/>
      <w:numFmt w:val="decimal"/>
      <w:pStyle w:val="70"/>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C"/>
    <w:multiLevelType w:val="singleLevel"/>
    <w:tmpl w:val="0000000C"/>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5">
    <w:nsid w:val="1ECBA01E"/>
    <w:multiLevelType w:val="multilevel"/>
    <w:tmpl w:val="1ECBA01E"/>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Restart w:val="1"/>
      <w:lvlText w:val="表%1-%5 "/>
      <w:lvlJc w:val="left"/>
      <w:pPr>
        <w:ind w:left="1008" w:hanging="1008"/>
      </w:pPr>
      <w:rPr>
        <w:rFonts w:hint="default" w:ascii="宋体" w:hAnsi="宋体" w:eastAsia="宋体" w:cs="宋体"/>
      </w:rPr>
    </w:lvl>
    <w:lvl w:ilvl="5" w:tentative="0">
      <w:start w:val="1"/>
      <w:numFmt w:val="decimal"/>
      <w:lvlText w:val="图%1-%6 "/>
      <w:lvlJc w:val="left"/>
      <w:pPr>
        <w:ind w:left="1151" w:hanging="1151"/>
      </w:pPr>
      <w:rPr>
        <w:rFonts w:hint="default" w:ascii="宋体" w:hAnsi="宋体" w:eastAsia="宋体" w:cs="宋体"/>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6">
    <w:nsid w:val="1F6DB01D"/>
    <w:multiLevelType w:val="singleLevel"/>
    <w:tmpl w:val="1F6DB01D"/>
    <w:lvl w:ilvl="0" w:tentative="0">
      <w:start w:val="8"/>
      <w:numFmt w:val="chineseCounting"/>
      <w:suff w:val="space"/>
      <w:lvlText w:val="第%1章"/>
      <w:lvlJc w:val="left"/>
      <w:rPr>
        <w:rFonts w:hint="eastAsia"/>
      </w:rPr>
    </w:lvl>
  </w:abstractNum>
  <w:abstractNum w:abstractNumId="7">
    <w:nsid w:val="2366E663"/>
    <w:multiLevelType w:val="multilevel"/>
    <w:tmpl w:val="2366E663"/>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MjA0YTI3NGM0NDQ5NGRlNmU4NDMwNDUzMGJkY2YifQ=="/>
  </w:docVars>
  <w:rsids>
    <w:rsidRoot w:val="68566179"/>
    <w:rsid w:val="005D2475"/>
    <w:rsid w:val="0091685D"/>
    <w:rsid w:val="0159126E"/>
    <w:rsid w:val="01611180"/>
    <w:rsid w:val="01FF74C5"/>
    <w:rsid w:val="02092C94"/>
    <w:rsid w:val="02271642"/>
    <w:rsid w:val="02480376"/>
    <w:rsid w:val="02613733"/>
    <w:rsid w:val="028A5ADB"/>
    <w:rsid w:val="02C26995"/>
    <w:rsid w:val="02D23722"/>
    <w:rsid w:val="02EA4873"/>
    <w:rsid w:val="03183FDB"/>
    <w:rsid w:val="036C5FC7"/>
    <w:rsid w:val="03D360DA"/>
    <w:rsid w:val="042B5EE3"/>
    <w:rsid w:val="044C3B6A"/>
    <w:rsid w:val="04726FE6"/>
    <w:rsid w:val="04AA5E7A"/>
    <w:rsid w:val="04AB0032"/>
    <w:rsid w:val="04D311E4"/>
    <w:rsid w:val="04EC0126"/>
    <w:rsid w:val="05073CA1"/>
    <w:rsid w:val="057E69FE"/>
    <w:rsid w:val="058F34B0"/>
    <w:rsid w:val="059A06D5"/>
    <w:rsid w:val="05AD7DDA"/>
    <w:rsid w:val="05D830A9"/>
    <w:rsid w:val="066A7A79"/>
    <w:rsid w:val="07854DA3"/>
    <w:rsid w:val="07A16F04"/>
    <w:rsid w:val="07AE0158"/>
    <w:rsid w:val="081326EE"/>
    <w:rsid w:val="08B342A4"/>
    <w:rsid w:val="08D361D9"/>
    <w:rsid w:val="090F64C2"/>
    <w:rsid w:val="09792694"/>
    <w:rsid w:val="0A075AEF"/>
    <w:rsid w:val="0A2E2EE2"/>
    <w:rsid w:val="0A426D43"/>
    <w:rsid w:val="0AC41CF5"/>
    <w:rsid w:val="0ACE4A7B"/>
    <w:rsid w:val="0B093D05"/>
    <w:rsid w:val="0BA80E28"/>
    <w:rsid w:val="0BB602B0"/>
    <w:rsid w:val="0BCB720C"/>
    <w:rsid w:val="0E7510CC"/>
    <w:rsid w:val="0F201DAA"/>
    <w:rsid w:val="0FBA622C"/>
    <w:rsid w:val="100A5B1A"/>
    <w:rsid w:val="104258B0"/>
    <w:rsid w:val="10E80D35"/>
    <w:rsid w:val="111A4BAE"/>
    <w:rsid w:val="117637E0"/>
    <w:rsid w:val="11B250BF"/>
    <w:rsid w:val="11C247D9"/>
    <w:rsid w:val="11EF7A94"/>
    <w:rsid w:val="12C86F91"/>
    <w:rsid w:val="138F3C22"/>
    <w:rsid w:val="13F734A4"/>
    <w:rsid w:val="140D131C"/>
    <w:rsid w:val="142A45C1"/>
    <w:rsid w:val="14352D1B"/>
    <w:rsid w:val="14E22A8F"/>
    <w:rsid w:val="15076FA2"/>
    <w:rsid w:val="15230F36"/>
    <w:rsid w:val="15464B5D"/>
    <w:rsid w:val="157106DF"/>
    <w:rsid w:val="15943CDB"/>
    <w:rsid w:val="15B26C8F"/>
    <w:rsid w:val="16003CC2"/>
    <w:rsid w:val="16216BF3"/>
    <w:rsid w:val="165B081F"/>
    <w:rsid w:val="165D2BD8"/>
    <w:rsid w:val="165F78B1"/>
    <w:rsid w:val="16662CB8"/>
    <w:rsid w:val="168767BC"/>
    <w:rsid w:val="16A04AD5"/>
    <w:rsid w:val="16C60C16"/>
    <w:rsid w:val="173B0822"/>
    <w:rsid w:val="178412FF"/>
    <w:rsid w:val="178766DD"/>
    <w:rsid w:val="17B861B5"/>
    <w:rsid w:val="18055854"/>
    <w:rsid w:val="18746AE1"/>
    <w:rsid w:val="18783494"/>
    <w:rsid w:val="18921F7D"/>
    <w:rsid w:val="18A54D58"/>
    <w:rsid w:val="18E72618"/>
    <w:rsid w:val="191B5434"/>
    <w:rsid w:val="194B54E8"/>
    <w:rsid w:val="19982C3D"/>
    <w:rsid w:val="1A5B5EDA"/>
    <w:rsid w:val="1AC71B4E"/>
    <w:rsid w:val="1B117E61"/>
    <w:rsid w:val="1BCD6688"/>
    <w:rsid w:val="1C787B9A"/>
    <w:rsid w:val="1CAD1C24"/>
    <w:rsid w:val="1CC661A6"/>
    <w:rsid w:val="1D265EFD"/>
    <w:rsid w:val="1D413FB8"/>
    <w:rsid w:val="1D724AFB"/>
    <w:rsid w:val="1DC6338F"/>
    <w:rsid w:val="1E4B1D1F"/>
    <w:rsid w:val="1EC75E73"/>
    <w:rsid w:val="1EC97FFE"/>
    <w:rsid w:val="1EDD385F"/>
    <w:rsid w:val="1F77018E"/>
    <w:rsid w:val="1F83501B"/>
    <w:rsid w:val="1FC106EA"/>
    <w:rsid w:val="20031B14"/>
    <w:rsid w:val="201523AC"/>
    <w:rsid w:val="20336B1C"/>
    <w:rsid w:val="204B3E3F"/>
    <w:rsid w:val="20F83340"/>
    <w:rsid w:val="213845A4"/>
    <w:rsid w:val="2169781D"/>
    <w:rsid w:val="21B068A5"/>
    <w:rsid w:val="21E52AA7"/>
    <w:rsid w:val="22062DEB"/>
    <w:rsid w:val="22141036"/>
    <w:rsid w:val="22160009"/>
    <w:rsid w:val="226C4308"/>
    <w:rsid w:val="226D64CF"/>
    <w:rsid w:val="22915775"/>
    <w:rsid w:val="22C61395"/>
    <w:rsid w:val="236711BD"/>
    <w:rsid w:val="243726FB"/>
    <w:rsid w:val="24B35423"/>
    <w:rsid w:val="25D32927"/>
    <w:rsid w:val="25F175C6"/>
    <w:rsid w:val="262D66A1"/>
    <w:rsid w:val="263F0044"/>
    <w:rsid w:val="2673070F"/>
    <w:rsid w:val="26DE214C"/>
    <w:rsid w:val="26E645BA"/>
    <w:rsid w:val="26FF669F"/>
    <w:rsid w:val="2781616B"/>
    <w:rsid w:val="28136DE6"/>
    <w:rsid w:val="281D6BB7"/>
    <w:rsid w:val="285A1CD4"/>
    <w:rsid w:val="28B136A0"/>
    <w:rsid w:val="29767018"/>
    <w:rsid w:val="2AE13B8B"/>
    <w:rsid w:val="2AF918A1"/>
    <w:rsid w:val="2B132BF6"/>
    <w:rsid w:val="2BEB7E34"/>
    <w:rsid w:val="2C01198A"/>
    <w:rsid w:val="2C42277B"/>
    <w:rsid w:val="2C460B98"/>
    <w:rsid w:val="2C4F6ED9"/>
    <w:rsid w:val="2CCB056A"/>
    <w:rsid w:val="2D5300F9"/>
    <w:rsid w:val="2D933B52"/>
    <w:rsid w:val="2ECF535B"/>
    <w:rsid w:val="2ED55062"/>
    <w:rsid w:val="2F21273E"/>
    <w:rsid w:val="2F4D15C7"/>
    <w:rsid w:val="2F5A378E"/>
    <w:rsid w:val="2F88226A"/>
    <w:rsid w:val="2FBA1E98"/>
    <w:rsid w:val="302C2D3A"/>
    <w:rsid w:val="303107F0"/>
    <w:rsid w:val="30EB0A9B"/>
    <w:rsid w:val="31021D0E"/>
    <w:rsid w:val="312B090A"/>
    <w:rsid w:val="319F2918"/>
    <w:rsid w:val="31B86E56"/>
    <w:rsid w:val="31CA46AE"/>
    <w:rsid w:val="326C2EC7"/>
    <w:rsid w:val="327526D7"/>
    <w:rsid w:val="32AB0377"/>
    <w:rsid w:val="33856E57"/>
    <w:rsid w:val="33CA3782"/>
    <w:rsid w:val="34AC5432"/>
    <w:rsid w:val="34CA2BC1"/>
    <w:rsid w:val="35E56D00"/>
    <w:rsid w:val="3652092A"/>
    <w:rsid w:val="376573E0"/>
    <w:rsid w:val="384C25B1"/>
    <w:rsid w:val="38990A92"/>
    <w:rsid w:val="38B1448B"/>
    <w:rsid w:val="39113C01"/>
    <w:rsid w:val="396E0312"/>
    <w:rsid w:val="398E3FB8"/>
    <w:rsid w:val="39B427AC"/>
    <w:rsid w:val="39B70707"/>
    <w:rsid w:val="3A7D111E"/>
    <w:rsid w:val="3B2D56FF"/>
    <w:rsid w:val="3B3B6D13"/>
    <w:rsid w:val="3B5C4E2E"/>
    <w:rsid w:val="3B5F4162"/>
    <w:rsid w:val="3B7364AD"/>
    <w:rsid w:val="3BAC0CDF"/>
    <w:rsid w:val="3BB313A0"/>
    <w:rsid w:val="3BED5822"/>
    <w:rsid w:val="3C047258"/>
    <w:rsid w:val="3CAB2668"/>
    <w:rsid w:val="3CB95080"/>
    <w:rsid w:val="3CE70D38"/>
    <w:rsid w:val="3D2263DC"/>
    <w:rsid w:val="3D453E79"/>
    <w:rsid w:val="3D89020A"/>
    <w:rsid w:val="3D897F5E"/>
    <w:rsid w:val="3DC53C02"/>
    <w:rsid w:val="3E6D5205"/>
    <w:rsid w:val="3E987477"/>
    <w:rsid w:val="3F980BD8"/>
    <w:rsid w:val="401C35B7"/>
    <w:rsid w:val="40656D37"/>
    <w:rsid w:val="40B14C31"/>
    <w:rsid w:val="40E23261"/>
    <w:rsid w:val="40F215B9"/>
    <w:rsid w:val="414C65A2"/>
    <w:rsid w:val="41C9151C"/>
    <w:rsid w:val="423A1250"/>
    <w:rsid w:val="42403A1A"/>
    <w:rsid w:val="42410707"/>
    <w:rsid w:val="424637D4"/>
    <w:rsid w:val="427B6F25"/>
    <w:rsid w:val="428F582C"/>
    <w:rsid w:val="43034564"/>
    <w:rsid w:val="431060F2"/>
    <w:rsid w:val="43157489"/>
    <w:rsid w:val="43456981"/>
    <w:rsid w:val="4355720A"/>
    <w:rsid w:val="435C6B53"/>
    <w:rsid w:val="439714AA"/>
    <w:rsid w:val="43A37735"/>
    <w:rsid w:val="43CC64A3"/>
    <w:rsid w:val="43FA7F72"/>
    <w:rsid w:val="445B583B"/>
    <w:rsid w:val="44A243DA"/>
    <w:rsid w:val="44D448A5"/>
    <w:rsid w:val="44EE2B8D"/>
    <w:rsid w:val="4532697F"/>
    <w:rsid w:val="45832566"/>
    <w:rsid w:val="45EE2CBC"/>
    <w:rsid w:val="46620BD5"/>
    <w:rsid w:val="466A4B67"/>
    <w:rsid w:val="46CF20C0"/>
    <w:rsid w:val="46E56F2F"/>
    <w:rsid w:val="47A63E71"/>
    <w:rsid w:val="48312C1B"/>
    <w:rsid w:val="4893076E"/>
    <w:rsid w:val="49750143"/>
    <w:rsid w:val="49831D7C"/>
    <w:rsid w:val="49E928CC"/>
    <w:rsid w:val="4A6240A6"/>
    <w:rsid w:val="4AE77175"/>
    <w:rsid w:val="4B772B7B"/>
    <w:rsid w:val="4B85080B"/>
    <w:rsid w:val="4B9B1742"/>
    <w:rsid w:val="4C1A1F9F"/>
    <w:rsid w:val="4DA81502"/>
    <w:rsid w:val="4DA96170"/>
    <w:rsid w:val="4DB11728"/>
    <w:rsid w:val="4E555611"/>
    <w:rsid w:val="4ED62DDB"/>
    <w:rsid w:val="4F694EFF"/>
    <w:rsid w:val="4F824AB9"/>
    <w:rsid w:val="51272EB1"/>
    <w:rsid w:val="519E0B7C"/>
    <w:rsid w:val="52035925"/>
    <w:rsid w:val="52121F4A"/>
    <w:rsid w:val="53061D3D"/>
    <w:rsid w:val="53B340DA"/>
    <w:rsid w:val="53CD35A1"/>
    <w:rsid w:val="53FD7FF4"/>
    <w:rsid w:val="5415239F"/>
    <w:rsid w:val="541579A7"/>
    <w:rsid w:val="54524498"/>
    <w:rsid w:val="54C34D42"/>
    <w:rsid w:val="551C33CB"/>
    <w:rsid w:val="554021F5"/>
    <w:rsid w:val="55F53020"/>
    <w:rsid w:val="560D6F51"/>
    <w:rsid w:val="566A2D08"/>
    <w:rsid w:val="568420E4"/>
    <w:rsid w:val="568C2B42"/>
    <w:rsid w:val="56BA5E8F"/>
    <w:rsid w:val="56F47857"/>
    <w:rsid w:val="56FE6972"/>
    <w:rsid w:val="573362C4"/>
    <w:rsid w:val="576B27C8"/>
    <w:rsid w:val="57D6609F"/>
    <w:rsid w:val="5813068C"/>
    <w:rsid w:val="583B70B6"/>
    <w:rsid w:val="58CD4624"/>
    <w:rsid w:val="58D04A57"/>
    <w:rsid w:val="592A518A"/>
    <w:rsid w:val="596C13DE"/>
    <w:rsid w:val="599E2B54"/>
    <w:rsid w:val="59AC7302"/>
    <w:rsid w:val="5A8D4C95"/>
    <w:rsid w:val="5B565705"/>
    <w:rsid w:val="5BB701E0"/>
    <w:rsid w:val="5C3F1F20"/>
    <w:rsid w:val="5C8204F1"/>
    <w:rsid w:val="5C8D0E32"/>
    <w:rsid w:val="5C990914"/>
    <w:rsid w:val="5CEC7657"/>
    <w:rsid w:val="5D8E4739"/>
    <w:rsid w:val="5D9C0B0D"/>
    <w:rsid w:val="5DBC642D"/>
    <w:rsid w:val="5DD94F99"/>
    <w:rsid w:val="5E116998"/>
    <w:rsid w:val="5E2A30DF"/>
    <w:rsid w:val="5E4562C8"/>
    <w:rsid w:val="5EFE76FF"/>
    <w:rsid w:val="5F4A6EC8"/>
    <w:rsid w:val="5F96578B"/>
    <w:rsid w:val="60297ED4"/>
    <w:rsid w:val="60C94ABF"/>
    <w:rsid w:val="614D1FD4"/>
    <w:rsid w:val="61AA0567"/>
    <w:rsid w:val="61F658B1"/>
    <w:rsid w:val="624F2F20"/>
    <w:rsid w:val="62792BC7"/>
    <w:rsid w:val="62AE4815"/>
    <w:rsid w:val="62DB2A06"/>
    <w:rsid w:val="63143013"/>
    <w:rsid w:val="63EC3F80"/>
    <w:rsid w:val="63F57AF7"/>
    <w:rsid w:val="64402A6C"/>
    <w:rsid w:val="644F5459"/>
    <w:rsid w:val="64A820AA"/>
    <w:rsid w:val="6535569B"/>
    <w:rsid w:val="65CE38FD"/>
    <w:rsid w:val="661D1895"/>
    <w:rsid w:val="662A03F0"/>
    <w:rsid w:val="66C34CD3"/>
    <w:rsid w:val="66C84E1C"/>
    <w:rsid w:val="67096EBA"/>
    <w:rsid w:val="676B2854"/>
    <w:rsid w:val="67ED6B38"/>
    <w:rsid w:val="680E191C"/>
    <w:rsid w:val="6817331C"/>
    <w:rsid w:val="68355053"/>
    <w:rsid w:val="68566179"/>
    <w:rsid w:val="68A02082"/>
    <w:rsid w:val="68CC3929"/>
    <w:rsid w:val="68E8391E"/>
    <w:rsid w:val="6A05599B"/>
    <w:rsid w:val="6A471E9D"/>
    <w:rsid w:val="6A9401DE"/>
    <w:rsid w:val="6AC35253"/>
    <w:rsid w:val="6AD53769"/>
    <w:rsid w:val="6AE30107"/>
    <w:rsid w:val="6B31697A"/>
    <w:rsid w:val="6B98556D"/>
    <w:rsid w:val="6BA8544F"/>
    <w:rsid w:val="6BE272A9"/>
    <w:rsid w:val="6C077497"/>
    <w:rsid w:val="6C4E6DBD"/>
    <w:rsid w:val="6C8E71A5"/>
    <w:rsid w:val="6D0972FD"/>
    <w:rsid w:val="6DBD51C9"/>
    <w:rsid w:val="6E454695"/>
    <w:rsid w:val="6E5B3F4D"/>
    <w:rsid w:val="6F666EAA"/>
    <w:rsid w:val="6F9F1E4D"/>
    <w:rsid w:val="70360C79"/>
    <w:rsid w:val="708B31C3"/>
    <w:rsid w:val="70993299"/>
    <w:rsid w:val="70AC54F2"/>
    <w:rsid w:val="70AF00B4"/>
    <w:rsid w:val="70F44F53"/>
    <w:rsid w:val="72061D6B"/>
    <w:rsid w:val="72395A39"/>
    <w:rsid w:val="725A7588"/>
    <w:rsid w:val="73AC12E7"/>
    <w:rsid w:val="73C43E21"/>
    <w:rsid w:val="744B604E"/>
    <w:rsid w:val="747B587A"/>
    <w:rsid w:val="74B254D4"/>
    <w:rsid w:val="750028CF"/>
    <w:rsid w:val="75973476"/>
    <w:rsid w:val="75DF2FC9"/>
    <w:rsid w:val="761243B6"/>
    <w:rsid w:val="7640715B"/>
    <w:rsid w:val="76720117"/>
    <w:rsid w:val="7697433C"/>
    <w:rsid w:val="76DA2C87"/>
    <w:rsid w:val="78F455E6"/>
    <w:rsid w:val="7A0024FB"/>
    <w:rsid w:val="7B2D3551"/>
    <w:rsid w:val="7B33720C"/>
    <w:rsid w:val="7B8E085C"/>
    <w:rsid w:val="7BA43DEC"/>
    <w:rsid w:val="7BB07224"/>
    <w:rsid w:val="7C05459C"/>
    <w:rsid w:val="7C5A33C6"/>
    <w:rsid w:val="7C691B03"/>
    <w:rsid w:val="7CFE1373"/>
    <w:rsid w:val="7D4E1740"/>
    <w:rsid w:val="7D4E1ECA"/>
    <w:rsid w:val="7D5A6122"/>
    <w:rsid w:val="7DA1763D"/>
    <w:rsid w:val="7DB22BDF"/>
    <w:rsid w:val="7E014698"/>
    <w:rsid w:val="7E094BBC"/>
    <w:rsid w:val="7E236E82"/>
    <w:rsid w:val="7EC243C5"/>
    <w:rsid w:val="7EF72556"/>
    <w:rsid w:val="7F474AEC"/>
    <w:rsid w:val="7F541580"/>
    <w:rsid w:val="7F9C7D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0" w:firstLineChars="0"/>
      <w:jc w:val="center"/>
    </w:pPr>
    <w:rPr>
      <w:rFonts w:ascii="Times New Roman" w:hAnsi="Times New Roman" w:eastAsia="宋体" w:cs="Times New Roman"/>
      <w:kern w:val="2"/>
      <w:sz w:val="21"/>
      <w:szCs w:val="24"/>
      <w:lang w:val="en-US" w:eastAsia="zh-CN" w:bidi="ar-SA"/>
    </w:rPr>
  </w:style>
  <w:style w:type="paragraph" w:styleId="4">
    <w:name w:val="heading 1"/>
    <w:basedOn w:val="1"/>
    <w:next w:val="1"/>
    <w:link w:val="35"/>
    <w:autoRedefine/>
    <w:qFormat/>
    <w:uiPriority w:val="0"/>
    <w:pPr>
      <w:keepNext/>
      <w:numPr>
        <w:ilvl w:val="0"/>
        <w:numId w:val="1"/>
      </w:numPr>
      <w:overflowPunct w:val="0"/>
      <w:snapToGrid w:val="0"/>
      <w:spacing w:line="360" w:lineRule="auto"/>
      <w:ind w:left="0" w:firstLine="0" w:firstLineChars="0"/>
      <w:outlineLvl w:val="0"/>
    </w:pPr>
    <w:rPr>
      <w:rFonts w:ascii="Times New Roman" w:hAnsi="Times New Roman" w:eastAsia="宋体"/>
      <w:b/>
      <w:bCs/>
      <w:color w:val="000000"/>
      <w:kern w:val="44"/>
      <w:sz w:val="32"/>
      <w:szCs w:val="36"/>
    </w:rPr>
  </w:style>
  <w:style w:type="paragraph" w:styleId="5">
    <w:name w:val="heading 2"/>
    <w:basedOn w:val="4"/>
    <w:next w:val="1"/>
    <w:link w:val="42"/>
    <w:autoRedefine/>
    <w:unhideWhenUsed/>
    <w:qFormat/>
    <w:uiPriority w:val="0"/>
    <w:pPr>
      <w:keepNext w:val="0"/>
      <w:keepLines w:val="0"/>
      <w:widowControl/>
      <w:overflowPunct/>
      <w:adjustRightInd w:val="0"/>
      <w:snapToGrid w:val="0"/>
      <w:spacing w:beforeLines="0" w:afterLines="0" w:line="360" w:lineRule="auto"/>
      <w:ind w:left="0" w:firstLine="0" w:firstLineChars="0"/>
      <w:contextualSpacing/>
      <w:jc w:val="left"/>
      <w:outlineLvl w:val="1"/>
    </w:pPr>
    <w:rPr>
      <w:rFonts w:ascii="Times New Roman" w:hAnsi="Times New Roman" w:eastAsia="宋体"/>
      <w:sz w:val="30"/>
    </w:rPr>
  </w:style>
  <w:style w:type="paragraph" w:styleId="6">
    <w:name w:val="heading 3"/>
    <w:basedOn w:val="1"/>
    <w:next w:val="1"/>
    <w:link w:val="45"/>
    <w:autoRedefine/>
    <w:unhideWhenUsed/>
    <w:qFormat/>
    <w:uiPriority w:val="0"/>
    <w:pPr>
      <w:ind w:left="0" w:firstLine="0" w:firstLineChars="0"/>
      <w:jc w:val="left"/>
      <w:outlineLvl w:val="2"/>
    </w:pPr>
    <w:rPr>
      <w:rFonts w:ascii="Times New Roman" w:hAnsi="Times New Roman" w:eastAsia="宋体"/>
      <w:b/>
      <w:bCs/>
      <w:sz w:val="28"/>
    </w:rPr>
  </w:style>
  <w:style w:type="paragraph" w:styleId="7">
    <w:name w:val="heading 4"/>
    <w:basedOn w:val="1"/>
    <w:next w:val="1"/>
    <w:link w:val="57"/>
    <w:autoRedefine/>
    <w:unhideWhenUsed/>
    <w:qFormat/>
    <w:uiPriority w:val="0"/>
    <w:pPr>
      <w:widowControl/>
      <w:adjustRightInd/>
      <w:snapToGrid/>
      <w:spacing w:beforeLines="0" w:afterLines="0" w:line="360" w:lineRule="auto"/>
      <w:ind w:left="0" w:firstLine="0" w:firstLineChars="0"/>
      <w:jc w:val="left"/>
      <w:outlineLvl w:val="3"/>
    </w:pPr>
    <w:rPr>
      <w:rFonts w:ascii="Times New Roman" w:hAnsi="Times New Roman" w:eastAsia="宋体" w:cs="Times New Roman"/>
      <w:b/>
      <w:bCs/>
      <w:color w:val="000000"/>
      <w:kern w:val="0"/>
      <w:sz w:val="24"/>
      <w:szCs w:val="28"/>
    </w:rPr>
  </w:style>
  <w:style w:type="paragraph" w:styleId="8">
    <w:name w:val="heading 5"/>
    <w:basedOn w:val="1"/>
    <w:next w:val="1"/>
    <w:autoRedefine/>
    <w:unhideWhenUsed/>
    <w:qFormat/>
    <w:uiPriority w:val="0"/>
    <w:pPr>
      <w:keepNext/>
      <w:keepLines/>
      <w:numPr>
        <w:ilvl w:val="4"/>
        <w:numId w:val="2"/>
      </w:numPr>
      <w:spacing w:beforeLines="0" w:beforeAutospacing="0" w:afterLines="0" w:afterAutospacing="0" w:line="360" w:lineRule="auto"/>
      <w:ind w:left="540" w:firstLine="0" w:firstLineChars="0"/>
      <w:jc w:val="left"/>
      <w:outlineLvl w:val="4"/>
    </w:pPr>
    <w:rPr>
      <w:rFonts w:ascii="Times New Roman" w:hAnsi="Times New Roman" w:eastAsia="宋体" w:cs="Times New Roman"/>
      <w:b/>
      <w:sz w:val="24"/>
    </w:rPr>
  </w:style>
  <w:style w:type="paragraph" w:styleId="9">
    <w:name w:val="heading 6"/>
    <w:basedOn w:val="1"/>
    <w:next w:val="1"/>
    <w:autoRedefine/>
    <w:unhideWhenUsed/>
    <w:qFormat/>
    <w:uiPriority w:val="0"/>
    <w:pPr>
      <w:keepNext/>
      <w:keepLines/>
      <w:numPr>
        <w:ilvl w:val="5"/>
        <w:numId w:val="2"/>
      </w:numPr>
      <w:spacing w:before="240" w:beforeLines="0" w:beforeAutospacing="0" w:after="64" w:afterLines="0" w:afterAutospacing="0" w:line="317" w:lineRule="auto"/>
      <w:ind w:left="760" w:firstLine="0" w:firstLineChars="0"/>
      <w:outlineLvl w:val="5"/>
    </w:pPr>
    <w:rPr>
      <w:rFonts w:ascii="Arial" w:hAnsi="Arial" w:eastAsia="黑体"/>
      <w:b/>
      <w:sz w:val="24"/>
    </w:rPr>
  </w:style>
  <w:style w:type="paragraph" w:styleId="10">
    <w:name w:val="heading 7"/>
    <w:basedOn w:val="1"/>
    <w:next w:val="1"/>
    <w:autoRedefine/>
    <w:unhideWhenUsed/>
    <w:qFormat/>
    <w:uiPriority w:val="0"/>
    <w:pPr>
      <w:keepNext/>
      <w:keepLines/>
      <w:numPr>
        <w:ilvl w:val="6"/>
        <w:numId w:val="3"/>
      </w:numPr>
      <w:spacing w:before="240" w:beforeLines="0" w:beforeAutospacing="0" w:after="64" w:afterLines="0" w:afterAutospacing="0" w:line="317" w:lineRule="auto"/>
      <w:ind w:left="1296" w:hanging="1296" w:firstLineChars="0"/>
      <w:outlineLvl w:val="6"/>
    </w:pPr>
    <w:rPr>
      <w:b/>
      <w:sz w:val="24"/>
    </w:rPr>
  </w:style>
  <w:style w:type="paragraph" w:styleId="11">
    <w:name w:val="heading 8"/>
    <w:basedOn w:val="1"/>
    <w:next w:val="1"/>
    <w:autoRedefine/>
    <w:unhideWhenUsed/>
    <w:qFormat/>
    <w:uiPriority w:val="0"/>
    <w:pPr>
      <w:keepNext/>
      <w:keepLines/>
      <w:numPr>
        <w:ilvl w:val="7"/>
        <w:numId w:val="3"/>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2">
    <w:name w:val="heading 9"/>
    <w:basedOn w:val="1"/>
    <w:next w:val="1"/>
    <w:autoRedefine/>
    <w:unhideWhenUsed/>
    <w:qFormat/>
    <w:uiPriority w:val="0"/>
    <w:pPr>
      <w:keepNext/>
      <w:keepLines/>
      <w:numPr>
        <w:ilvl w:val="8"/>
        <w:numId w:val="3"/>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link w:val="43"/>
    <w:autoRedefine/>
    <w:qFormat/>
    <w:uiPriority w:val="0"/>
    <w:pPr>
      <w:widowControl/>
      <w:snapToGrid w:val="0"/>
      <w:spacing w:line="260" w:lineRule="auto"/>
      <w:ind w:right="113"/>
    </w:pPr>
    <w:rPr>
      <w:rFonts w:ascii="Times New Roman" w:hAnsi="Times New Roman" w:eastAsia="宋体"/>
      <w:kern w:val="0"/>
      <w:sz w:val="18"/>
      <w:szCs w:val="20"/>
    </w:rPr>
  </w:style>
  <w:style w:type="paragraph" w:customStyle="1" w:styleId="3">
    <w:name w:val="xl27"/>
    <w:basedOn w:val="1"/>
    <w:autoRedefine/>
    <w:qFormat/>
    <w:uiPriority w:val="0"/>
    <w:pPr>
      <w:pBdr>
        <w:top w:val="single" w:color="auto" w:sz="12" w:space="0"/>
        <w:left w:val="single" w:color="auto" w:sz="4" w:space="0"/>
        <w:bottom w:val="single" w:color="auto" w:sz="4" w:space="0"/>
        <w:right w:val="single" w:color="auto" w:sz="4" w:space="0"/>
      </w:pBdr>
      <w:shd w:val="clear" w:color="auto" w:fill="CCCCFF"/>
      <w:spacing w:before="100" w:beforeAutospacing="1" w:after="100" w:afterAutospacing="1"/>
      <w:jc w:val="center"/>
    </w:pPr>
    <w:rPr>
      <w:rFonts w:ascii="宋体" w:hAnsi="宋体"/>
      <w:kern w:val="0"/>
    </w:rPr>
  </w:style>
  <w:style w:type="paragraph" w:styleId="13">
    <w:name w:val="Normal Indent"/>
    <w:basedOn w:val="1"/>
    <w:autoRedefine/>
    <w:qFormat/>
    <w:uiPriority w:val="0"/>
    <w:pPr>
      <w:ind w:firstLine="420" w:firstLineChars="200"/>
    </w:pPr>
  </w:style>
  <w:style w:type="paragraph" w:styleId="14">
    <w:name w:val="caption"/>
    <w:basedOn w:val="4"/>
    <w:next w:val="1"/>
    <w:autoRedefine/>
    <w:qFormat/>
    <w:uiPriority w:val="0"/>
    <w:pPr>
      <w:widowControl/>
      <w:autoSpaceDE/>
      <w:autoSpaceDN/>
      <w:adjustRightInd w:val="0"/>
      <w:snapToGrid w:val="0"/>
      <w:jc w:val="center"/>
    </w:pPr>
    <w:rPr>
      <w:rFonts w:ascii="Times New Roman" w:hAnsi="Times New Roman" w:cs="Arial"/>
      <w:kern w:val="2"/>
      <w:sz w:val="21"/>
      <w:szCs w:val="20"/>
    </w:rPr>
  </w:style>
  <w:style w:type="paragraph" w:styleId="15">
    <w:name w:val="annotation text"/>
    <w:basedOn w:val="1"/>
    <w:autoRedefine/>
    <w:qFormat/>
    <w:uiPriority w:val="0"/>
    <w:pPr>
      <w:jc w:val="left"/>
    </w:pPr>
  </w:style>
  <w:style w:type="paragraph" w:styleId="16">
    <w:name w:val="Body Text Indent"/>
    <w:basedOn w:val="1"/>
    <w:next w:val="1"/>
    <w:autoRedefine/>
    <w:qFormat/>
    <w:uiPriority w:val="0"/>
    <w:pPr>
      <w:spacing w:after="120" w:afterLines="0" w:afterAutospacing="0"/>
      <w:ind w:left="420" w:leftChars="200"/>
    </w:pPr>
  </w:style>
  <w:style w:type="paragraph" w:styleId="17">
    <w:name w:val="toc 5"/>
    <w:basedOn w:val="1"/>
    <w:next w:val="1"/>
    <w:autoRedefine/>
    <w:qFormat/>
    <w:uiPriority w:val="0"/>
    <w:pPr>
      <w:ind w:left="840"/>
      <w:jc w:val="left"/>
    </w:pPr>
    <w:rPr>
      <w:rFonts w:cs="Calibri"/>
      <w:sz w:val="20"/>
      <w:szCs w:val="20"/>
    </w:rPr>
  </w:style>
  <w:style w:type="paragraph" w:styleId="18">
    <w:name w:val="List Bullet 5"/>
    <w:basedOn w:val="1"/>
    <w:autoRedefine/>
    <w:qFormat/>
    <w:uiPriority w:val="0"/>
    <w:pPr>
      <w:numPr>
        <w:ilvl w:val="0"/>
        <w:numId w:val="4"/>
      </w:numPr>
    </w:pPr>
  </w:style>
  <w:style w:type="paragraph" w:styleId="19">
    <w:name w:val="Body Text Indent 2"/>
    <w:basedOn w:val="1"/>
    <w:next w:val="1"/>
    <w:link w:val="47"/>
    <w:autoRedefine/>
    <w:qFormat/>
    <w:uiPriority w:val="0"/>
    <w:pPr>
      <w:tabs>
        <w:tab w:val="left" w:pos="0"/>
      </w:tabs>
      <w:spacing w:line="360" w:lineRule="auto"/>
      <w:ind w:firstLine="0"/>
      <w:jc w:val="center"/>
    </w:pPr>
    <w:rPr>
      <w:rFonts w:ascii="Times New Roman" w:hAnsi="Times New Roman" w:eastAsia="宋体" w:cs="Times New Roman"/>
      <w:b/>
      <w:sz w:val="21"/>
      <w:szCs w:val="22"/>
    </w:rPr>
  </w:style>
  <w:style w:type="paragraph" w:styleId="20">
    <w:name w:val="footer"/>
    <w:basedOn w:val="1"/>
    <w:next w:val="14"/>
    <w:autoRedefine/>
    <w:unhideWhenUsed/>
    <w:qFormat/>
    <w:uiPriority w:val="99"/>
    <w:pPr>
      <w:tabs>
        <w:tab w:val="center" w:pos="4153"/>
        <w:tab w:val="right" w:pos="8306"/>
      </w:tabs>
      <w:snapToGrid w:val="0"/>
    </w:pPr>
    <w:rPr>
      <w:sz w:val="18"/>
      <w:szCs w:val="18"/>
    </w:rPr>
  </w:style>
  <w:style w:type="paragraph" w:styleId="21">
    <w:name w:val="header"/>
    <w:basedOn w:val="1"/>
    <w:link w:val="49"/>
    <w:autoRedefine/>
    <w:qFormat/>
    <w:uiPriority w:val="0"/>
    <w:pPr>
      <w:pBdr>
        <w:bottom w:val="single" w:color="auto" w:sz="6" w:space="1"/>
      </w:pBdr>
      <w:tabs>
        <w:tab w:val="center" w:pos="4153"/>
        <w:tab w:val="right" w:pos="8306"/>
      </w:tabs>
      <w:spacing w:line="240" w:lineRule="auto"/>
      <w:ind w:firstLine="0" w:firstLineChars="0"/>
      <w:jc w:val="center"/>
    </w:pPr>
    <w:rPr>
      <w:rFonts w:ascii="Times New Roman" w:hAnsi="Times New Roman" w:eastAsia="宋体"/>
      <w:sz w:val="18"/>
      <w:szCs w:val="18"/>
    </w:rPr>
  </w:style>
  <w:style w:type="paragraph" w:styleId="22">
    <w:name w:val="toc 1"/>
    <w:basedOn w:val="1"/>
    <w:next w:val="1"/>
    <w:autoRedefine/>
    <w:qFormat/>
    <w:uiPriority w:val="0"/>
  </w:style>
  <w:style w:type="paragraph" w:styleId="23">
    <w:name w:val="table of figures"/>
    <w:basedOn w:val="1"/>
    <w:next w:val="1"/>
    <w:autoRedefine/>
    <w:qFormat/>
    <w:uiPriority w:val="0"/>
    <w:pPr>
      <w:ind w:leftChars="200" w:hanging="200" w:hangingChars="200"/>
    </w:pPr>
  </w:style>
  <w:style w:type="paragraph" w:styleId="24">
    <w:name w:val="toc 2"/>
    <w:basedOn w:val="1"/>
    <w:next w:val="1"/>
    <w:autoRedefine/>
    <w:qFormat/>
    <w:uiPriority w:val="0"/>
    <w:pPr>
      <w:ind w:left="420" w:leftChars="200"/>
    </w:pPr>
  </w:style>
  <w:style w:type="paragraph" w:styleId="25">
    <w:name w:val="Body Text 2"/>
    <w:basedOn w:val="1"/>
    <w:autoRedefine/>
    <w:qFormat/>
    <w:uiPriority w:val="0"/>
    <w:pPr>
      <w:jc w:val="center"/>
    </w:pPr>
    <w:rPr>
      <w:b/>
      <w:bCs/>
      <w:sz w:val="52"/>
    </w:rPr>
  </w:style>
  <w:style w:type="paragraph" w:styleId="26">
    <w:name w:val="Title"/>
    <w:basedOn w:val="1"/>
    <w:next w:val="1"/>
    <w:autoRedefine/>
    <w:qFormat/>
    <w:uiPriority w:val="0"/>
    <w:pPr>
      <w:spacing w:before="240" w:beforeLines="0" w:beforeAutospacing="0" w:after="60" w:afterLines="0" w:afterAutospacing="0"/>
      <w:jc w:val="center"/>
      <w:outlineLvl w:val="0"/>
    </w:pPr>
    <w:rPr>
      <w:rFonts w:ascii="Arial" w:hAnsi="Arial"/>
      <w:b/>
      <w:sz w:val="32"/>
    </w:rPr>
  </w:style>
  <w:style w:type="paragraph" w:styleId="27">
    <w:name w:val="Body Text First Indent"/>
    <w:basedOn w:val="2"/>
    <w:next w:val="28"/>
    <w:autoRedefine/>
    <w:qFormat/>
    <w:uiPriority w:val="0"/>
    <w:pPr>
      <w:ind w:firstLine="420" w:firstLineChars="100"/>
    </w:pPr>
  </w:style>
  <w:style w:type="paragraph" w:styleId="28">
    <w:name w:val="Body Text First Indent 2"/>
    <w:basedOn w:val="16"/>
    <w:next w:val="1"/>
    <w:autoRedefine/>
    <w:qFormat/>
    <w:uiPriority w:val="0"/>
    <w:pPr>
      <w:spacing w:line="360" w:lineRule="auto"/>
      <w:ind w:left="0" w:leftChars="0" w:firstLine="0" w:firstLineChars="0"/>
    </w:pPr>
    <w:rPr>
      <w:rFonts w:ascii="Times New Roman" w:hAnsi="Times New Roman" w:eastAsia="宋体"/>
      <w:szCs w:val="24"/>
    </w:r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Default"/>
    <w:basedOn w:val="33"/>
    <w:next w:val="1"/>
    <w:autoRedefine/>
    <w:qFormat/>
    <w:uiPriority w:val="0"/>
    <w:pPr>
      <w:widowControl w:val="0"/>
      <w:autoSpaceDE w:val="0"/>
      <w:autoSpaceDN w:val="0"/>
      <w:adjustRightInd w:val="0"/>
      <w:spacing w:line="360" w:lineRule="auto"/>
    </w:pPr>
    <w:rPr>
      <w:rFonts w:hint="eastAsia" w:ascii="宋体" w:hAnsi="宋体" w:eastAsia="宋体"/>
      <w:color w:val="000000"/>
      <w:kern w:val="2"/>
      <w:sz w:val="21"/>
      <w:szCs w:val="24"/>
    </w:rPr>
  </w:style>
  <w:style w:type="paragraph" w:customStyle="1" w:styleId="33">
    <w:name w:val="纯文本1"/>
    <w:basedOn w:val="1"/>
    <w:autoRedefine/>
    <w:qFormat/>
    <w:uiPriority w:val="0"/>
    <w:rPr>
      <w:rFonts w:ascii="宋体" w:hAnsi="Courier New"/>
    </w:rPr>
  </w:style>
  <w:style w:type="paragraph" w:customStyle="1" w:styleId="34">
    <w:name w:val="0正文唐"/>
    <w:basedOn w:val="1"/>
    <w:link w:val="50"/>
    <w:autoRedefine/>
    <w:qFormat/>
    <w:uiPriority w:val="0"/>
    <w:pPr>
      <w:spacing w:line="360" w:lineRule="auto"/>
      <w:ind w:firstLine="720" w:firstLineChars="200"/>
      <w:jc w:val="left"/>
    </w:pPr>
    <w:rPr>
      <w:rFonts w:ascii="Times New Roman" w:hAnsi="Times New Roman" w:eastAsia="宋体" w:cs="Times New Roman"/>
      <w:sz w:val="24"/>
    </w:rPr>
  </w:style>
  <w:style w:type="character" w:customStyle="1" w:styleId="35">
    <w:name w:val="标题 1 Char1"/>
    <w:link w:val="4"/>
    <w:autoRedefine/>
    <w:qFormat/>
    <w:uiPriority w:val="99"/>
    <w:rPr>
      <w:rFonts w:ascii="Times New Roman" w:hAnsi="Times New Roman" w:eastAsia="宋体" w:cs="Times New Roman"/>
      <w:b/>
      <w:color w:val="000000"/>
      <w:kern w:val="44"/>
      <w:sz w:val="32"/>
    </w:rPr>
  </w:style>
  <w:style w:type="paragraph" w:customStyle="1" w:styleId="36">
    <w:name w:val="正文5号"/>
    <w:basedOn w:val="1"/>
    <w:autoRedefine/>
    <w:qFormat/>
    <w:uiPriority w:val="0"/>
    <w:pPr>
      <w:spacing w:line="360" w:lineRule="auto"/>
      <w:ind w:firstLine="422" w:firstLineChars="200"/>
    </w:pPr>
    <w:rPr>
      <w:rFonts w:hint="default" w:ascii="Times New Roman" w:hAnsi="Times New Roman"/>
      <w:bCs/>
      <w:kern w:val="24"/>
      <w:sz w:val="21"/>
      <w:szCs w:val="21"/>
    </w:rPr>
  </w:style>
  <w:style w:type="paragraph" w:customStyle="1" w:styleId="37">
    <w:name w:val="正文5号-缩进2"/>
    <w:basedOn w:val="1"/>
    <w:autoRedefine/>
    <w:qFormat/>
    <w:uiPriority w:val="0"/>
    <w:pPr>
      <w:autoSpaceDE w:val="0"/>
      <w:autoSpaceDN w:val="0"/>
      <w:adjustRightInd w:val="0"/>
      <w:snapToGrid w:val="0"/>
      <w:spacing w:line="360" w:lineRule="auto"/>
      <w:ind w:firstLine="420" w:firstLineChars="200"/>
    </w:pPr>
    <w:rPr>
      <w:rFonts w:ascii="Times New Roman" w:hAnsi="Times New Roman" w:cs="宋体"/>
      <w:kern w:val="0"/>
      <w:sz w:val="21"/>
      <w:szCs w:val="21"/>
    </w:rPr>
  </w:style>
  <w:style w:type="paragraph" w:customStyle="1" w:styleId="38">
    <w:name w:val="5号-缩进2"/>
    <w:basedOn w:val="1"/>
    <w:autoRedefine/>
    <w:qFormat/>
    <w:uiPriority w:val="0"/>
    <w:pPr>
      <w:autoSpaceDE w:val="0"/>
      <w:autoSpaceDN w:val="0"/>
      <w:adjustRightInd w:val="0"/>
      <w:snapToGrid w:val="0"/>
      <w:spacing w:line="360" w:lineRule="auto"/>
      <w:ind w:firstLine="420" w:firstLineChars="200"/>
    </w:pPr>
    <w:rPr>
      <w:rFonts w:ascii="Times New Roman" w:hAnsi="Times New Roman" w:eastAsia="宋体" w:cs="宋体"/>
      <w:kern w:val="0"/>
      <w:sz w:val="21"/>
      <w:szCs w:val="21"/>
    </w:rPr>
  </w:style>
  <w:style w:type="paragraph" w:customStyle="1" w:styleId="39">
    <w:name w:val="5号居中"/>
    <w:basedOn w:val="1"/>
    <w:autoRedefine/>
    <w:qFormat/>
    <w:uiPriority w:val="0"/>
    <w:pPr>
      <w:adjustRightInd w:val="0"/>
      <w:snapToGrid w:val="0"/>
      <w:jc w:val="center"/>
    </w:pPr>
    <w:rPr>
      <w:rFonts w:ascii="Times New Roman" w:hAnsi="Times New Roman" w:cs="宋体"/>
      <w:sz w:val="21"/>
      <w:szCs w:val="21"/>
    </w:rPr>
  </w:style>
  <w:style w:type="paragraph" w:customStyle="1" w:styleId="40">
    <w:name w:val="表头"/>
    <w:basedOn w:val="13"/>
    <w:next w:val="1"/>
    <w:autoRedefine/>
    <w:qFormat/>
    <w:uiPriority w:val="0"/>
    <w:pPr>
      <w:autoSpaceDE w:val="0"/>
      <w:autoSpaceDN w:val="0"/>
      <w:adjustRightInd w:val="0"/>
      <w:spacing w:before="50" w:beforeLines="50"/>
      <w:ind w:firstLine="0" w:firstLineChars="0"/>
      <w:jc w:val="center"/>
      <w:textAlignment w:val="baseline"/>
    </w:pPr>
    <w:rPr>
      <w:rFonts w:ascii="Times New Roman" w:hAnsi="Times New Roman" w:eastAsia="宋体" w:cs="Times New Roman"/>
      <w:b/>
      <w:color w:val="000000"/>
      <w:sz w:val="21"/>
      <w:szCs w:val="21"/>
    </w:rPr>
  </w:style>
  <w:style w:type="paragraph" w:customStyle="1" w:styleId="41">
    <w:name w:val="表头5号"/>
    <w:basedOn w:val="1"/>
    <w:autoRedefine/>
    <w:qFormat/>
    <w:uiPriority w:val="0"/>
    <w:pPr>
      <w:spacing w:before="50" w:beforeLines="50"/>
      <w:ind w:firstLine="0" w:firstLineChars="0"/>
      <w:jc w:val="center"/>
    </w:pPr>
    <w:rPr>
      <w:rFonts w:ascii="Times New Roman" w:hAnsi="Times New Roman" w:eastAsia="宋体" w:cs="Times New Roman"/>
      <w:b/>
      <w:bCs/>
      <w:color w:val="auto"/>
      <w:sz w:val="21"/>
      <w:szCs w:val="21"/>
      <w:u w:val="none" w:color="auto"/>
      <w:lang w:bidi="en-US"/>
    </w:rPr>
  </w:style>
  <w:style w:type="character" w:customStyle="1" w:styleId="42">
    <w:name w:val="标题 2 Char"/>
    <w:link w:val="5"/>
    <w:autoRedefine/>
    <w:qFormat/>
    <w:uiPriority w:val="0"/>
    <w:rPr>
      <w:rFonts w:ascii="Times New Roman" w:hAnsi="Times New Roman" w:eastAsia="宋体" w:cs="Times New Roman"/>
      <w:b/>
      <w:bCs/>
      <w:sz w:val="30"/>
      <w:szCs w:val="24"/>
    </w:rPr>
  </w:style>
  <w:style w:type="character" w:customStyle="1" w:styleId="43">
    <w:name w:val="正文文本 字符"/>
    <w:link w:val="2"/>
    <w:autoRedefine/>
    <w:qFormat/>
    <w:locked/>
    <w:uiPriority w:val="0"/>
    <w:rPr>
      <w:rFonts w:ascii="Times New Roman" w:hAnsi="Times New Roman" w:eastAsia="宋体"/>
      <w:sz w:val="18"/>
    </w:rPr>
  </w:style>
  <w:style w:type="paragraph" w:customStyle="1" w:styleId="44">
    <w:name w:val="0正文"/>
    <w:basedOn w:val="1"/>
    <w:autoRedefine/>
    <w:qFormat/>
    <w:uiPriority w:val="0"/>
    <w:pPr>
      <w:spacing w:line="360" w:lineRule="auto"/>
      <w:ind w:firstLine="1040" w:firstLineChars="200"/>
    </w:pPr>
    <w:rPr>
      <w:rFonts w:hint="default" w:ascii="Times New Roman" w:hAnsi="Times New Roman" w:cs="Times New Roman"/>
      <w:sz w:val="24"/>
    </w:rPr>
  </w:style>
  <w:style w:type="character" w:customStyle="1" w:styleId="45">
    <w:name w:val="标题 3 Char"/>
    <w:basedOn w:val="31"/>
    <w:link w:val="6"/>
    <w:autoRedefine/>
    <w:qFormat/>
    <w:uiPriority w:val="0"/>
    <w:rPr>
      <w:rFonts w:ascii="Times New Roman" w:hAnsi="Times New Roman" w:eastAsia="宋体" w:cs="Times New Roman"/>
      <w:b/>
      <w:bCs/>
      <w:sz w:val="28"/>
      <w:szCs w:val="32"/>
    </w:rPr>
  </w:style>
  <w:style w:type="paragraph" w:customStyle="1" w:styleId="46">
    <w:name w:val="表 标题"/>
    <w:basedOn w:val="23"/>
    <w:autoRedefine/>
    <w:qFormat/>
    <w:uiPriority w:val="0"/>
    <w:pPr>
      <w:spacing w:before="50" w:beforeLines="50"/>
      <w:ind w:left="0" w:leftChars="0" w:firstLine="0" w:firstLineChars="0"/>
      <w:jc w:val="center"/>
    </w:pPr>
    <w:rPr>
      <w:rFonts w:ascii="Times New Roman" w:hAnsi="Times New Roman" w:eastAsia="宋体" w:cs="Times New Roman"/>
      <w:b/>
      <w:sz w:val="21"/>
      <w:szCs w:val="20"/>
    </w:rPr>
  </w:style>
  <w:style w:type="character" w:customStyle="1" w:styleId="47">
    <w:name w:val="正文文本缩进 2 Char"/>
    <w:link w:val="19"/>
    <w:autoRedefine/>
    <w:qFormat/>
    <w:uiPriority w:val="0"/>
    <w:rPr>
      <w:rFonts w:ascii="Times New Roman" w:hAnsi="Times New Roman" w:eastAsia="宋体" w:cs="Times New Roman"/>
      <w:b/>
      <w:sz w:val="21"/>
      <w:szCs w:val="22"/>
    </w:rPr>
  </w:style>
  <w:style w:type="paragraph" w:customStyle="1" w:styleId="48">
    <w:name w:val="正  文"/>
    <w:autoRedefine/>
    <w:qFormat/>
    <w:uiPriority w:val="0"/>
    <w:pPr>
      <w:widowControl w:val="0"/>
      <w:spacing w:line="360" w:lineRule="auto"/>
      <w:ind w:firstLine="200" w:firstLineChars="200"/>
    </w:pPr>
    <w:rPr>
      <w:rFonts w:ascii="Times New Roman" w:hAnsi="Times New Roman" w:eastAsia="宋体" w:cs="Times New Roman"/>
      <w:kern w:val="2"/>
      <w:sz w:val="24"/>
      <w:szCs w:val="28"/>
      <w:lang w:val="en-US" w:eastAsia="zh-CN" w:bidi="ar-SA"/>
    </w:rPr>
  </w:style>
  <w:style w:type="character" w:customStyle="1" w:styleId="49">
    <w:name w:val="页眉 Char"/>
    <w:link w:val="21"/>
    <w:autoRedefine/>
    <w:qFormat/>
    <w:uiPriority w:val="99"/>
    <w:rPr>
      <w:rFonts w:ascii="Times New Roman" w:hAnsi="Times New Roman" w:eastAsia="宋体"/>
      <w:kern w:val="2"/>
      <w:sz w:val="18"/>
      <w:szCs w:val="18"/>
    </w:rPr>
  </w:style>
  <w:style w:type="character" w:customStyle="1" w:styleId="50">
    <w:name w:val="0正文唐 Char"/>
    <w:link w:val="34"/>
    <w:autoRedefine/>
    <w:qFormat/>
    <w:uiPriority w:val="0"/>
    <w:rPr>
      <w:rFonts w:ascii="Times New Roman" w:hAnsi="Times New Roman" w:eastAsia="宋体" w:cs="Times New Roman"/>
      <w:sz w:val="24"/>
      <w:szCs w:val="22"/>
    </w:rPr>
  </w:style>
  <w:style w:type="paragraph" w:customStyle="1" w:styleId="51">
    <w:name w:val="正文-唐"/>
    <w:basedOn w:val="2"/>
    <w:autoRedefine/>
    <w:qFormat/>
    <w:uiPriority w:val="0"/>
    <w:pPr>
      <w:spacing w:before="20" w:after="20" w:line="360" w:lineRule="auto"/>
      <w:ind w:right="0" w:firstLine="600" w:firstLineChars="200"/>
      <w:jc w:val="left"/>
    </w:pPr>
    <w:rPr>
      <w:rFonts w:ascii="Times New Roman" w:hAnsi="Times New Roman" w:eastAsia="宋体" w:cs="Times New Roman"/>
      <w:sz w:val="24"/>
    </w:rPr>
  </w:style>
  <w:style w:type="paragraph" w:customStyle="1" w:styleId="52">
    <w:name w:val="自编-正文"/>
    <w:basedOn w:val="1"/>
    <w:autoRedefine/>
    <w:qFormat/>
    <w:uiPriority w:val="0"/>
    <w:pPr>
      <w:spacing w:line="360" w:lineRule="auto"/>
      <w:ind w:firstLine="480" w:firstLineChars="200"/>
      <w:jc w:val="left"/>
    </w:pPr>
    <w:rPr>
      <w:rFonts w:ascii="Times New Roman" w:hAnsi="Times New Roman" w:eastAsia="宋体" w:cs="宋体"/>
      <w:sz w:val="24"/>
    </w:rPr>
  </w:style>
  <w:style w:type="paragraph" w:customStyle="1" w:styleId="53">
    <w:name w:val="报告正文"/>
    <w:basedOn w:val="1"/>
    <w:link w:val="54"/>
    <w:autoRedefine/>
    <w:qFormat/>
    <w:uiPriority w:val="0"/>
    <w:pPr>
      <w:widowControl w:val="0"/>
      <w:snapToGrid/>
      <w:spacing w:afterAutospacing="0" w:line="360" w:lineRule="auto"/>
      <w:ind w:firstLine="0"/>
      <w:jc w:val="both"/>
      <w:textAlignment w:val="baseline"/>
    </w:pPr>
    <w:rPr>
      <w:rFonts w:ascii="Times New Roman" w:hAnsi="Times New Roman" w:eastAsia="宋体"/>
      <w:kern w:val="24"/>
      <w:sz w:val="24"/>
      <w:szCs w:val="24"/>
    </w:rPr>
  </w:style>
  <w:style w:type="character" w:customStyle="1" w:styleId="54">
    <w:name w:val="报告正文 Char"/>
    <w:link w:val="53"/>
    <w:autoRedefine/>
    <w:qFormat/>
    <w:uiPriority w:val="0"/>
    <w:rPr>
      <w:rFonts w:ascii="Times New Roman" w:hAnsi="Times New Roman" w:eastAsia="宋体"/>
      <w:kern w:val="24"/>
      <w:sz w:val="24"/>
      <w:szCs w:val="24"/>
    </w:rPr>
  </w:style>
  <w:style w:type="paragraph" w:customStyle="1" w:styleId="55">
    <w:name w:val="表内文字"/>
    <w:basedOn w:val="1"/>
    <w:autoRedefine/>
    <w:qFormat/>
    <w:uiPriority w:val="0"/>
    <w:pPr>
      <w:spacing w:line="240" w:lineRule="auto"/>
      <w:jc w:val="center"/>
    </w:pPr>
    <w:rPr>
      <w:rFonts w:ascii="Times New Roman" w:hAnsi="Times New Roman" w:eastAsia="宋体" w:cs="Times New Roman"/>
      <w:bCs/>
      <w:sz w:val="21"/>
      <w:szCs w:val="21"/>
    </w:rPr>
  </w:style>
  <w:style w:type="paragraph" w:customStyle="1" w:styleId="56">
    <w:name w:val="0验收正文"/>
    <w:basedOn w:val="34"/>
    <w:next w:val="34"/>
    <w:autoRedefine/>
    <w:qFormat/>
    <w:uiPriority w:val="0"/>
    <w:pPr>
      <w:numPr>
        <w:ilvl w:val="0"/>
        <w:numId w:val="5"/>
      </w:numPr>
      <w:jc w:val="both"/>
    </w:pPr>
    <w:rPr>
      <w:rFonts w:ascii="Times New Roman" w:hAnsi="Times New Roman" w:eastAsia="宋体"/>
      <w:bCs/>
      <w:szCs w:val="24"/>
    </w:rPr>
  </w:style>
  <w:style w:type="character" w:customStyle="1" w:styleId="57">
    <w:name w:val="标题 4四宋 Char Char1"/>
    <w:basedOn w:val="31"/>
    <w:link w:val="7"/>
    <w:autoRedefine/>
    <w:qFormat/>
    <w:uiPriority w:val="0"/>
    <w:rPr>
      <w:rFonts w:ascii="Times New Roman" w:hAnsi="Times New Roman" w:eastAsia="宋体" w:cs="Times New Roman"/>
      <w:b/>
      <w:bCs/>
      <w:color w:val="000000"/>
      <w:kern w:val="0"/>
      <w:sz w:val="24"/>
      <w:szCs w:val="28"/>
      <w:lang w:val="en-US" w:eastAsia="zh-CN" w:bidi="ar-SA"/>
    </w:rPr>
  </w:style>
  <w:style w:type="character" w:customStyle="1" w:styleId="58">
    <w:name w:val="fontstyle01"/>
    <w:autoRedefine/>
    <w:qFormat/>
    <w:uiPriority w:val="0"/>
    <w:rPr>
      <w:rFonts w:ascii="宋体" w:hAnsi="宋体" w:eastAsia="宋体" w:cs="宋体"/>
      <w:color w:val="000000"/>
      <w:sz w:val="24"/>
      <w:szCs w:val="24"/>
    </w:rPr>
  </w:style>
  <w:style w:type="paragraph" w:customStyle="1" w:styleId="59">
    <w:name w:val="1正文"/>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0">
    <w:name w:val="正文，文本"/>
    <w:basedOn w:val="61"/>
    <w:autoRedefine/>
    <w:qFormat/>
    <w:uiPriority w:val="0"/>
    <w:pPr>
      <w:ind w:firstLine="480"/>
    </w:pPr>
    <w:rPr>
      <w:rFonts w:cs="宋体"/>
      <w:szCs w:val="20"/>
    </w:rPr>
  </w:style>
  <w:style w:type="paragraph" w:customStyle="1" w:styleId="61">
    <w:name w:val="文本"/>
    <w:basedOn w:val="1"/>
    <w:next w:val="1"/>
    <w:autoRedefine/>
    <w:semiHidden/>
    <w:qFormat/>
    <w:uiPriority w:val="0"/>
    <w:pPr>
      <w:spacing w:line="360" w:lineRule="auto"/>
      <w:ind w:firstLine="200" w:firstLineChars="200"/>
    </w:pPr>
    <w:rPr>
      <w:sz w:val="24"/>
    </w:rPr>
  </w:style>
  <w:style w:type="paragraph" w:customStyle="1" w:styleId="62">
    <w:name w:val="表格格式"/>
    <w:basedOn w:val="1"/>
    <w:autoRedefine/>
    <w:qFormat/>
    <w:uiPriority w:val="0"/>
    <w:pPr>
      <w:jc w:val="center"/>
    </w:pPr>
    <w:rPr>
      <w:b/>
      <w:kern w:val="0"/>
      <w:szCs w:val="21"/>
    </w:rPr>
  </w:style>
  <w:style w:type="paragraph" w:customStyle="1" w:styleId="63">
    <w:name w:val="WPSOffice手动目录 2"/>
    <w:autoRedefine/>
    <w:qFormat/>
    <w:uiPriority w:val="0"/>
    <w:pPr>
      <w:ind w:leftChars="200"/>
    </w:pPr>
    <w:rPr>
      <w:rFonts w:ascii="Times New Roman" w:hAnsi="Times New Roman" w:eastAsia="宋体" w:cs="Times New Roman"/>
      <w:sz w:val="20"/>
      <w:szCs w:val="20"/>
    </w:rPr>
  </w:style>
  <w:style w:type="paragraph" w:customStyle="1" w:styleId="64">
    <w:name w:val="Default1"/>
    <w:basedOn w:val="65"/>
    <w:autoRedefine/>
    <w:qFormat/>
    <w:uiPriority w:val="0"/>
    <w:pPr>
      <w:widowControl w:val="0"/>
      <w:autoSpaceDE w:val="0"/>
      <w:autoSpaceDN w:val="0"/>
      <w:adjustRightInd w:val="0"/>
    </w:pPr>
    <w:rPr>
      <w:rFonts w:ascii="宋体" w:eastAsia="宋体" w:cs="宋体"/>
      <w:color w:val="000000"/>
      <w:sz w:val="24"/>
      <w:szCs w:val="24"/>
      <w:lang w:val="en-US" w:eastAsia="zh-CN"/>
    </w:rPr>
  </w:style>
  <w:style w:type="paragraph" w:customStyle="1" w:styleId="65">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正文w"/>
    <w:basedOn w:val="1"/>
    <w:autoRedefine/>
    <w:qFormat/>
    <w:uiPriority w:val="0"/>
    <w:pPr>
      <w:ind w:firstLine="480"/>
    </w:pPr>
    <w:rPr>
      <w:rFonts w:eastAsia="宋体"/>
    </w:rPr>
  </w:style>
  <w:style w:type="paragraph" w:customStyle="1" w:styleId="67">
    <w:name w:val="RAINYON的段落"/>
    <w:autoRedefine/>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customStyle="1" w:styleId="68">
    <w:name w:val="表格内文字"/>
    <w:basedOn w:val="1"/>
    <w:autoRedefine/>
    <w:qFormat/>
    <w:uiPriority w:val="0"/>
    <w:pPr>
      <w:widowControl/>
      <w:tabs>
        <w:tab w:val="left" w:pos="-2848"/>
      </w:tabs>
      <w:spacing w:before="0" w:beforeLines="0" w:after="0" w:afterLines="0" w:line="240" w:lineRule="auto"/>
      <w:ind w:firstLine="0" w:firstLineChars="0"/>
      <w:jc w:val="center"/>
    </w:pPr>
    <w:rPr>
      <w:rFonts w:eastAsia="宋体"/>
      <w:position w:val="-10"/>
      <w:sz w:val="21"/>
    </w:rPr>
  </w:style>
  <w:style w:type="paragraph" w:customStyle="1" w:styleId="69">
    <w:name w:val="S表正文"/>
    <w:basedOn w:val="26"/>
    <w:autoRedefine/>
    <w:qFormat/>
    <w:uiPriority w:val="0"/>
    <w:pPr>
      <w:keepNext w:val="0"/>
      <w:keepLines w:val="0"/>
      <w:spacing w:before="0" w:beforeLines="0" w:after="0" w:afterLines="0"/>
    </w:pPr>
    <w:rPr>
      <w:rFonts w:cs="Times New Roman"/>
    </w:rPr>
  </w:style>
  <w:style w:type="paragraph" w:customStyle="1" w:styleId="70">
    <w:name w:val="Body Text First Indent 21"/>
    <w:basedOn w:val="71"/>
    <w:autoRedefine/>
    <w:qFormat/>
    <w:uiPriority w:val="0"/>
    <w:pPr>
      <w:numPr>
        <w:ilvl w:val="0"/>
        <w:numId w:val="6"/>
      </w:numPr>
      <w:spacing w:line="360" w:lineRule="auto"/>
      <w:ind w:left="0" w:firstLine="562" w:firstLineChars="200"/>
      <w:jc w:val="left"/>
    </w:pPr>
    <w:rPr>
      <w:rFonts w:ascii="Times New Roman" w:hAnsi="Times New Roman" w:eastAsia="宋体"/>
    </w:rPr>
  </w:style>
  <w:style w:type="paragraph" w:customStyle="1" w:styleId="71">
    <w:name w:val="Body Text Indent1"/>
    <w:basedOn w:val="1"/>
    <w:autoRedefine/>
    <w:qFormat/>
    <w:uiPriority w:val="0"/>
    <w:pPr>
      <w:spacing w:after="120" w:afterLines="0" w:afterAutospacing="0"/>
      <w:ind w:left="420" w:leftChars="200"/>
    </w:pPr>
  </w:style>
  <w:style w:type="paragraph" w:customStyle="1" w:styleId="72">
    <w:name w:val="表格文字"/>
    <w:basedOn w:val="27"/>
    <w:next w:val="1"/>
    <w:autoRedefine/>
    <w:qFormat/>
    <w:uiPriority w:val="0"/>
    <w:pPr>
      <w:adjustRightInd/>
      <w:snapToGrid/>
      <w:spacing w:line="240" w:lineRule="auto"/>
      <w:ind w:firstLine="0" w:firstLineChars="0"/>
      <w:jc w:val="center"/>
    </w:pPr>
    <w:rPr>
      <w:rFonts w:ascii="Times New Roman" w:hAnsi="Times New Roman"/>
      <w:kern w:val="44"/>
      <w:sz w:val="21"/>
      <w:szCs w:val="21"/>
    </w:rPr>
  </w:style>
  <w:style w:type="paragraph" w:customStyle="1" w:styleId="73">
    <w:name w:val="WPSOffice手动目录 1"/>
    <w:autoRedefine/>
    <w:qFormat/>
    <w:uiPriority w:val="0"/>
    <w:pPr>
      <w:ind w:leftChars="0"/>
    </w:pPr>
    <w:rPr>
      <w:rFonts w:ascii="Times New Roman" w:hAnsi="Times New Roman" w:eastAsia="宋体" w:cs="Times New Roman"/>
      <w:sz w:val="20"/>
      <w:szCs w:val="20"/>
    </w:rPr>
  </w:style>
  <w:style w:type="paragraph" w:customStyle="1" w:styleId="74">
    <w:name w:val="表标题"/>
    <w:basedOn w:val="1"/>
    <w:autoRedefine/>
    <w:qFormat/>
    <w:uiPriority w:val="0"/>
    <w:pPr>
      <w:adjustRightInd w:val="0"/>
      <w:snapToGrid w:val="0"/>
      <w:jc w:val="center"/>
    </w:pPr>
    <w:rPr>
      <w:b/>
    </w:rPr>
  </w:style>
  <w:style w:type="paragraph" w:customStyle="1" w:styleId="75">
    <w:name w:val="BBB"/>
    <w:basedOn w:val="76"/>
    <w:autoRedefine/>
    <w:qFormat/>
    <w:uiPriority w:val="0"/>
    <w:pPr>
      <w:spacing w:line="240" w:lineRule="auto"/>
      <w:ind w:firstLine="0" w:firstLineChars="0"/>
      <w:jc w:val="center"/>
    </w:pPr>
    <w:rPr>
      <w:sz w:val="21"/>
    </w:rPr>
  </w:style>
  <w:style w:type="paragraph" w:customStyle="1" w:styleId="76">
    <w:name w:val="1111"/>
    <w:basedOn w:val="1"/>
    <w:autoRedefine/>
    <w:qFormat/>
    <w:uiPriority w:val="0"/>
    <w:pPr>
      <w:spacing w:line="360" w:lineRule="auto"/>
      <w:ind w:firstLine="200" w:firstLineChars="200"/>
    </w:pPr>
    <w:rPr>
      <w:rFonts w:ascii="Times New Roman" w:hAnsi="Times New Roman"/>
      <w:sz w:val="24"/>
    </w:rPr>
  </w:style>
  <w:style w:type="paragraph" w:customStyle="1" w:styleId="77">
    <w:name w:val="W表文"/>
    <w:basedOn w:val="66"/>
    <w:autoRedefine/>
    <w:qFormat/>
    <w:uiPriority w:val="0"/>
    <w:pPr>
      <w:ind w:firstLine="0"/>
      <w:jc w:val="center"/>
    </w:pPr>
    <w:rPr>
      <w:rFonts w:eastAsia="宋体"/>
      <w:sz w:val="21"/>
      <w:szCs w:val="21"/>
    </w:rPr>
  </w:style>
  <w:style w:type="paragraph" w:customStyle="1" w:styleId="78">
    <w:name w:val="表格正文"/>
    <w:basedOn w:val="62"/>
    <w:next w:val="1"/>
    <w:autoRedefine/>
    <w:qFormat/>
    <w:uiPriority w:val="0"/>
    <w:pPr>
      <w:adjustRightInd w:val="0"/>
      <w:snapToGrid w:val="0"/>
    </w:pPr>
    <w:rPr>
      <w:spacing w:val="6"/>
      <w:sz w:val="21"/>
    </w:rPr>
  </w:style>
  <w:style w:type="paragraph" w:styleId="79">
    <w:name w:val="List Paragraph"/>
    <w:basedOn w:val="1"/>
    <w:autoRedefine/>
    <w:qFormat/>
    <w:uiPriority w:val="1"/>
    <w:pPr>
      <w:ind w:left="2021" w:hanging="632"/>
    </w:pPr>
    <w:rPr>
      <w:rFonts w:ascii="宋体" w:hAnsi="宋体" w:cs="宋体"/>
      <w:lang w:val="zh-CN" w:bidi="zh-CN"/>
    </w:rPr>
  </w:style>
  <w:style w:type="paragraph" w:customStyle="1" w:styleId="80">
    <w:name w:val="表格"/>
    <w:basedOn w:val="68"/>
    <w:autoRedefine/>
    <w:qFormat/>
    <w:uiPriority w:val="0"/>
    <w:rPr>
      <w:rFonts w:eastAsia="宋体"/>
      <w:kern w:val="2"/>
      <w:position w:val="-10"/>
      <w:sz w:val="21"/>
      <w:szCs w:val="24"/>
      <w:lang w:val="en-US" w:eastAsia="zh-CN" w:bidi="ar-SA"/>
    </w:rPr>
  </w:style>
  <w:style w:type="table" w:customStyle="1" w:styleId="81">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wmf"/><Relationship Id="rId43" Type="http://schemas.openxmlformats.org/officeDocument/2006/relationships/oleObject" Target="embeddings/oleObject7.bin"/><Relationship Id="rId42" Type="http://schemas.openxmlformats.org/officeDocument/2006/relationships/image" Target="media/image30.wmf"/><Relationship Id="rId41" Type="http://schemas.openxmlformats.org/officeDocument/2006/relationships/oleObject" Target="embeddings/oleObject6.bin"/><Relationship Id="rId40" Type="http://schemas.openxmlformats.org/officeDocument/2006/relationships/image" Target="media/image29.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8.wmf"/><Relationship Id="rId37" Type="http://schemas.openxmlformats.org/officeDocument/2006/relationships/oleObject" Target="embeddings/oleObject4.bin"/><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oleObject" Target="embeddings/oleObject3.bin"/><Relationship Id="rId33" Type="http://schemas.openxmlformats.org/officeDocument/2006/relationships/image" Target="media/image25.wmf"/><Relationship Id="rId32" Type="http://schemas.openxmlformats.org/officeDocument/2006/relationships/oleObject" Target="embeddings/oleObject2.bin"/><Relationship Id="rId31" Type="http://schemas.openxmlformats.org/officeDocument/2006/relationships/image" Target="media/image24.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9964</Words>
  <Characters>11342</Characters>
  <Lines>0</Lines>
  <Paragraphs>0</Paragraphs>
  <TotalTime>17</TotalTime>
  <ScaleCrop>false</ScaleCrop>
  <LinksUpToDate>false</LinksUpToDate>
  <CharactersWithSpaces>11519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2024-01-10T01:59:00Z</dcterms:created>
  <dc:creator>Administrator</dc:creator>
  <cp:lastModifiedBy>无悔</cp:lastModifiedBy>
  <dcterms:modified xsi:type="dcterms:W3CDTF">2024-12-16T08:59:51Z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935BDE63ED6749F7995CF8E55B080353_13</vt:lpwstr>
  </property>
</Properties>
</file>