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A68B83">
      <w:pPr>
        <w:wordWrap w:val="0"/>
        <w:topLinePunct/>
        <w:ind w:firstLine="720"/>
        <w:rPr>
          <w:color w:val="2F5496"/>
          <w:sz w:val="36"/>
          <w:szCs w:val="36"/>
        </w:rPr>
      </w:pPr>
    </w:p>
    <w:p w14:paraId="7392BB99">
      <w:pPr>
        <w:pStyle w:val="2"/>
        <w:rPr>
          <w:rFonts w:ascii="Times New Roman" w:hAnsi="Times New Roman" w:cs="Times New Roman"/>
        </w:rPr>
      </w:pPr>
    </w:p>
    <w:p w14:paraId="1938E1AC">
      <w:pPr>
        <w:wordWrap w:val="0"/>
        <w:topLinePunct/>
        <w:ind w:firstLine="720"/>
        <w:rPr>
          <w:color w:val="2F5496"/>
          <w:sz w:val="36"/>
          <w:szCs w:val="36"/>
        </w:rPr>
      </w:pPr>
    </w:p>
    <w:p w14:paraId="6D4D9969">
      <w:pPr>
        <w:wordWrap w:val="0"/>
        <w:topLinePunct/>
        <w:ind w:firstLine="720"/>
        <w:rPr>
          <w:color w:val="2F5496"/>
          <w:sz w:val="36"/>
          <w:szCs w:val="36"/>
        </w:rPr>
      </w:pPr>
    </w:p>
    <w:p w14:paraId="7ABECB3D">
      <w:pPr>
        <w:adjustRightInd w:val="0"/>
        <w:snapToGrid w:val="0"/>
        <w:jc w:val="center"/>
        <w:rPr>
          <w:rFonts w:eastAsia="方正小标宋_GBK"/>
          <w:bCs/>
          <w:sz w:val="72"/>
          <w:szCs w:val="72"/>
        </w:rPr>
      </w:pPr>
      <w:r>
        <w:rPr>
          <w:rFonts w:eastAsia="方正小标宋_GBK"/>
          <w:bCs/>
          <w:sz w:val="72"/>
          <w:szCs w:val="72"/>
        </w:rPr>
        <w:t>建设项目环境影响报告表</w:t>
      </w:r>
    </w:p>
    <w:p w14:paraId="170B3DD1">
      <w:pPr>
        <w:adjustRightInd w:val="0"/>
        <w:snapToGrid w:val="0"/>
        <w:spacing w:before="192" w:beforeLines="80"/>
        <w:jc w:val="center"/>
        <w:rPr>
          <w:rFonts w:eastAsia="楷体_GB2312"/>
          <w:bCs/>
          <w:sz w:val="48"/>
          <w:szCs w:val="48"/>
        </w:rPr>
      </w:pPr>
      <w:r>
        <w:rPr>
          <w:rFonts w:eastAsia="楷体_GB2312"/>
          <w:bCs/>
          <w:sz w:val="48"/>
          <w:szCs w:val="48"/>
        </w:rPr>
        <w:t>（污染影响类）</w:t>
      </w:r>
    </w:p>
    <w:p w14:paraId="688387DC">
      <w:pPr>
        <w:wordWrap w:val="0"/>
        <w:topLinePunct/>
        <w:jc w:val="center"/>
        <w:rPr>
          <w:color w:val="000000"/>
          <w:kern w:val="44"/>
          <w:sz w:val="44"/>
          <w:szCs w:val="44"/>
        </w:rPr>
      </w:pPr>
    </w:p>
    <w:p w14:paraId="256B3149">
      <w:pPr>
        <w:wordWrap w:val="0"/>
        <w:topLinePunct/>
        <w:jc w:val="center"/>
        <w:rPr>
          <w:color w:val="000000"/>
          <w:sz w:val="52"/>
          <w:szCs w:val="52"/>
        </w:rPr>
      </w:pPr>
    </w:p>
    <w:p w14:paraId="397A7D96">
      <w:pPr>
        <w:wordWrap w:val="0"/>
        <w:topLinePunct/>
        <w:jc w:val="center"/>
        <w:rPr>
          <w:color w:val="000000"/>
          <w:sz w:val="44"/>
          <w:szCs w:val="44"/>
        </w:rPr>
      </w:pPr>
    </w:p>
    <w:p w14:paraId="526B11D1">
      <w:pPr>
        <w:wordWrap w:val="0"/>
        <w:topLinePunct/>
        <w:jc w:val="center"/>
        <w:rPr>
          <w:color w:val="000000"/>
          <w:sz w:val="44"/>
          <w:szCs w:val="44"/>
        </w:rPr>
      </w:pPr>
    </w:p>
    <w:p w14:paraId="13119924">
      <w:pPr>
        <w:wordWrap w:val="0"/>
        <w:topLinePunct/>
        <w:jc w:val="center"/>
        <w:rPr>
          <w:color w:val="000000"/>
          <w:sz w:val="44"/>
          <w:szCs w:val="44"/>
        </w:rPr>
      </w:pPr>
    </w:p>
    <w:p w14:paraId="7C76112B">
      <w:pPr>
        <w:wordWrap w:val="0"/>
        <w:topLinePunct/>
        <w:jc w:val="center"/>
        <w:rPr>
          <w:color w:val="000000"/>
          <w:sz w:val="44"/>
          <w:szCs w:val="44"/>
        </w:rPr>
      </w:pPr>
    </w:p>
    <w:p w14:paraId="4F8A4EA3">
      <w:pPr>
        <w:wordWrap w:val="0"/>
        <w:topLinePunct/>
        <w:spacing w:line="360" w:lineRule="auto"/>
        <w:ind w:firstLine="640" w:firstLineChars="200"/>
        <w:rPr>
          <w:color w:val="000000"/>
          <w:sz w:val="32"/>
          <w:szCs w:val="32"/>
          <w:u w:val="single"/>
        </w:rPr>
      </w:pPr>
      <w:r>
        <w:rPr>
          <w:color w:val="000000"/>
          <w:sz w:val="32"/>
          <w:szCs w:val="32"/>
        </w:rPr>
        <w:t>项目名称：</w:t>
      </w:r>
      <w:r>
        <w:rPr>
          <w:color w:val="000000"/>
          <w:sz w:val="32"/>
          <w:szCs w:val="32"/>
          <w:u w:val="single"/>
        </w:rPr>
        <w:t xml:space="preserve">   </w:t>
      </w:r>
      <w:r>
        <w:rPr>
          <w:rFonts w:hint="eastAsia"/>
          <w:color w:val="000000"/>
          <w:sz w:val="32"/>
          <w:szCs w:val="32"/>
          <w:u w:val="single"/>
          <w:lang w:eastAsia="zh-CN"/>
        </w:rPr>
        <w:t>年产1.5万吨无卤阻燃材料及功能母粒</w:t>
      </w:r>
      <w:r>
        <w:rPr>
          <w:rFonts w:hint="eastAsia"/>
          <w:color w:val="000000"/>
          <w:sz w:val="32"/>
          <w:szCs w:val="32"/>
          <w:u w:val="single"/>
        </w:rPr>
        <w:t>项目</w:t>
      </w:r>
      <w:r>
        <w:rPr>
          <w:color w:val="000000"/>
          <w:sz w:val="32"/>
          <w:szCs w:val="32"/>
          <w:u w:val="single"/>
        </w:rPr>
        <w:t xml:space="preserve">   </w:t>
      </w:r>
    </w:p>
    <w:p w14:paraId="4E8BD015">
      <w:pPr>
        <w:wordWrap w:val="0"/>
        <w:topLinePunct/>
        <w:spacing w:line="360" w:lineRule="auto"/>
        <w:ind w:firstLine="640" w:firstLineChars="200"/>
        <w:rPr>
          <w:color w:val="000000"/>
          <w:sz w:val="32"/>
          <w:szCs w:val="32"/>
          <w:u w:val="single"/>
        </w:rPr>
      </w:pPr>
      <w:r>
        <w:rPr>
          <w:color w:val="000000"/>
          <w:sz w:val="32"/>
          <w:szCs w:val="32"/>
        </w:rPr>
        <w:t>建设单位（盖章）：</w:t>
      </w:r>
      <w:r>
        <w:rPr>
          <w:color w:val="000000"/>
          <w:sz w:val="32"/>
          <w:szCs w:val="32"/>
          <w:u w:val="single"/>
        </w:rPr>
        <w:t xml:space="preserve">   </w:t>
      </w:r>
      <w:r>
        <w:rPr>
          <w:rFonts w:hint="eastAsia"/>
          <w:color w:val="000000"/>
          <w:sz w:val="32"/>
          <w:szCs w:val="32"/>
          <w:u w:val="single"/>
        </w:rPr>
        <w:t>衡阳丰联精细化工有限公司</w:t>
      </w:r>
      <w:r>
        <w:rPr>
          <w:color w:val="000000"/>
          <w:sz w:val="32"/>
          <w:szCs w:val="32"/>
          <w:u w:val="single"/>
        </w:rPr>
        <w:t xml:space="preserve">   </w:t>
      </w:r>
    </w:p>
    <w:p w14:paraId="653E2324">
      <w:pPr>
        <w:wordWrap w:val="0"/>
        <w:topLinePunct/>
        <w:spacing w:line="360" w:lineRule="auto"/>
        <w:ind w:firstLine="640" w:firstLineChars="200"/>
        <w:rPr>
          <w:color w:val="000000"/>
          <w:sz w:val="32"/>
          <w:szCs w:val="32"/>
        </w:rPr>
      </w:pPr>
      <w:r>
        <w:rPr>
          <w:color w:val="000000"/>
          <w:sz w:val="32"/>
          <w:szCs w:val="32"/>
        </w:rPr>
        <w:t>编制日期：</w:t>
      </w:r>
      <w:r>
        <w:rPr>
          <w:color w:val="000000"/>
          <w:sz w:val="32"/>
          <w:szCs w:val="32"/>
          <w:u w:val="single"/>
        </w:rPr>
        <w:t xml:space="preserve">            二〇二</w:t>
      </w:r>
      <w:r>
        <w:rPr>
          <w:rFonts w:hint="eastAsia"/>
          <w:color w:val="000000"/>
          <w:sz w:val="32"/>
          <w:szCs w:val="32"/>
          <w:u w:val="single"/>
        </w:rPr>
        <w:t>四</w:t>
      </w:r>
      <w:r>
        <w:rPr>
          <w:color w:val="000000"/>
          <w:sz w:val="32"/>
          <w:szCs w:val="32"/>
          <w:u w:val="single"/>
        </w:rPr>
        <w:t>年</w:t>
      </w:r>
      <w:r>
        <w:rPr>
          <w:rFonts w:hint="eastAsia"/>
          <w:color w:val="000000"/>
          <w:sz w:val="32"/>
          <w:szCs w:val="32"/>
          <w:u w:val="single"/>
          <w:lang w:eastAsia="zh-CN"/>
        </w:rPr>
        <w:t>七</w:t>
      </w:r>
      <w:r>
        <w:rPr>
          <w:color w:val="000000"/>
          <w:sz w:val="32"/>
          <w:szCs w:val="32"/>
          <w:u w:val="single"/>
        </w:rPr>
        <w:t xml:space="preserve">月            </w:t>
      </w:r>
    </w:p>
    <w:p w14:paraId="03A91107">
      <w:pPr>
        <w:wordWrap w:val="0"/>
        <w:topLinePunct/>
        <w:adjustRightInd w:val="0"/>
        <w:snapToGrid w:val="0"/>
        <w:spacing w:line="288" w:lineRule="auto"/>
        <w:ind w:firstLine="705" w:firstLineChars="196"/>
        <w:rPr>
          <w:color w:val="000000"/>
          <w:sz w:val="36"/>
          <w:szCs w:val="36"/>
        </w:rPr>
      </w:pPr>
    </w:p>
    <w:p w14:paraId="6CC97147">
      <w:pPr>
        <w:wordWrap w:val="0"/>
        <w:topLinePunct/>
        <w:adjustRightInd w:val="0"/>
        <w:snapToGrid w:val="0"/>
        <w:spacing w:line="288" w:lineRule="auto"/>
        <w:ind w:firstLine="720"/>
        <w:rPr>
          <w:color w:val="000000"/>
          <w:sz w:val="36"/>
          <w:szCs w:val="36"/>
        </w:rPr>
      </w:pPr>
    </w:p>
    <w:p w14:paraId="3100DA72">
      <w:pPr>
        <w:wordWrap w:val="0"/>
        <w:topLinePunct/>
        <w:adjustRightInd w:val="0"/>
        <w:snapToGrid w:val="0"/>
        <w:spacing w:line="288" w:lineRule="auto"/>
        <w:ind w:firstLine="720"/>
        <w:rPr>
          <w:color w:val="000000"/>
          <w:sz w:val="36"/>
          <w:szCs w:val="36"/>
        </w:rPr>
      </w:pPr>
    </w:p>
    <w:p w14:paraId="5FF7D63C">
      <w:pPr>
        <w:wordWrap w:val="0"/>
        <w:topLinePunct/>
        <w:adjustRightInd w:val="0"/>
        <w:snapToGrid w:val="0"/>
        <w:spacing w:line="288" w:lineRule="auto"/>
        <w:ind w:firstLine="720"/>
        <w:rPr>
          <w:color w:val="000000"/>
          <w:sz w:val="36"/>
          <w:szCs w:val="36"/>
        </w:rPr>
      </w:pPr>
    </w:p>
    <w:p w14:paraId="3E3D5BCB">
      <w:pPr>
        <w:pStyle w:val="2"/>
        <w:rPr>
          <w:rFonts w:ascii="Times New Roman" w:hAnsi="Times New Roman" w:cs="Times New Roman"/>
        </w:rPr>
      </w:pPr>
    </w:p>
    <w:p w14:paraId="7DF3C128">
      <w:pPr>
        <w:wordWrap w:val="0"/>
        <w:topLinePunct/>
        <w:adjustRightInd w:val="0"/>
        <w:snapToGrid w:val="0"/>
        <w:jc w:val="center"/>
        <w:rPr>
          <w:color w:val="2F5496"/>
          <w:sz w:val="36"/>
          <w:szCs w:val="36"/>
        </w:rPr>
        <w:sectPr>
          <w:footerReference r:id="rId3" w:type="default"/>
          <w:footerReference r:id="rId4" w:type="even"/>
          <w:pgSz w:w="11906" w:h="16838"/>
          <w:pgMar w:top="1417" w:right="1134" w:bottom="1417" w:left="1417" w:header="851" w:footer="1077" w:gutter="0"/>
          <w:pgBorders>
            <w:top w:val="none" w:sz="0" w:space="0"/>
            <w:left w:val="none" w:sz="0" w:space="0"/>
            <w:bottom w:val="none" w:sz="0" w:space="0"/>
            <w:right w:val="none" w:sz="0" w:space="0"/>
          </w:pgBorders>
          <w:pgNumType w:start="3"/>
          <w:cols w:space="720" w:num="1"/>
          <w:docGrid w:linePitch="312" w:charSpace="0"/>
        </w:sectPr>
      </w:pPr>
      <w:r>
        <w:rPr>
          <w:color w:val="000000"/>
          <w:sz w:val="36"/>
          <w:szCs w:val="36"/>
        </w:rPr>
        <w:t>中华人民共和国生态环境部制</w:t>
      </w:r>
    </w:p>
    <w:p w14:paraId="5A3F6373">
      <w:pPr>
        <w:pStyle w:val="73"/>
        <w:wordWrap w:val="0"/>
        <w:topLinePunct/>
        <w:spacing w:before="0" w:beforeLines="0" w:line="360" w:lineRule="auto"/>
        <w:rPr>
          <w:rFonts w:hint="eastAsia" w:ascii="Times New Roman" w:hAnsi="Times New Roman" w:eastAsia="宋体"/>
          <w:color w:val="000000"/>
          <w:sz w:val="36"/>
          <w:szCs w:val="36"/>
          <w:lang w:eastAsia="zh-CN"/>
        </w:rPr>
        <w:sectPr>
          <w:pgSz w:w="11906" w:h="16838"/>
          <w:pgMar w:top="720" w:right="720" w:bottom="720" w:left="720" w:header="851" w:footer="1077" w:gutter="0"/>
          <w:pgBorders>
            <w:top w:val="none" w:sz="0" w:space="0"/>
            <w:left w:val="none" w:sz="0" w:space="0"/>
            <w:bottom w:val="none" w:sz="0" w:space="0"/>
            <w:right w:val="none" w:sz="0" w:space="0"/>
          </w:pgBorders>
          <w:pgNumType w:start="3"/>
          <w:cols w:space="720" w:num="1"/>
          <w:docGrid w:linePitch="312" w:charSpace="0"/>
        </w:sectPr>
      </w:pPr>
      <w:bookmarkStart w:id="0" w:name="_Toc31099"/>
      <w:r>
        <w:rPr>
          <w:rFonts w:hint="eastAsia" w:ascii="Times New Roman" w:hAnsi="Times New Roman" w:eastAsia="宋体"/>
          <w:color w:val="000000"/>
          <w:sz w:val="36"/>
          <w:szCs w:val="36"/>
          <w:lang w:eastAsia="zh-CN"/>
        </w:rPr>
        <w:drawing>
          <wp:inline distT="0" distB="0" distL="114300" distR="114300">
            <wp:extent cx="6551930" cy="9210675"/>
            <wp:effectExtent l="0" t="0" r="1270" b="9525"/>
            <wp:docPr id="74" name="图片 74" descr="58bc1e461a429aba68685e8890bf0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58bc1e461a429aba68685e8890bf0a7"/>
                    <pic:cNvPicPr>
                      <a:picLocks noChangeAspect="1"/>
                    </pic:cNvPicPr>
                  </pic:nvPicPr>
                  <pic:blipFill>
                    <a:blip r:embed="rId9"/>
                    <a:stretch>
                      <a:fillRect/>
                    </a:stretch>
                  </pic:blipFill>
                  <pic:spPr>
                    <a:xfrm>
                      <a:off x="0" y="0"/>
                      <a:ext cx="6551930" cy="9210675"/>
                    </a:xfrm>
                    <a:prstGeom prst="rect">
                      <a:avLst/>
                    </a:prstGeom>
                  </pic:spPr>
                </pic:pic>
              </a:graphicData>
            </a:graphic>
          </wp:inline>
        </w:drawing>
      </w:r>
      <w:r>
        <w:rPr>
          <w:rFonts w:hint="eastAsia" w:ascii="Times New Roman" w:hAnsi="Times New Roman" w:eastAsia="宋体"/>
          <w:color w:val="000000"/>
          <w:sz w:val="36"/>
          <w:szCs w:val="36"/>
          <w:lang w:eastAsia="zh-CN"/>
        </w:rPr>
        <w:drawing>
          <wp:inline distT="0" distB="0" distL="114300" distR="114300">
            <wp:extent cx="6639560" cy="9385300"/>
            <wp:effectExtent l="9525" t="9525" r="18415" b="15875"/>
            <wp:docPr id="83" name="图片 83" descr="复核意见-年产1.5万吨无卤阻燃材料及功能母粒项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复核意见-年产1.5万吨无卤阻燃材料及功能母粒项目"/>
                    <pic:cNvPicPr>
                      <a:picLocks noChangeAspect="1"/>
                    </pic:cNvPicPr>
                  </pic:nvPicPr>
                  <pic:blipFill>
                    <a:blip r:embed="rId10"/>
                    <a:stretch>
                      <a:fillRect/>
                    </a:stretch>
                  </pic:blipFill>
                  <pic:spPr>
                    <a:xfrm>
                      <a:off x="0" y="0"/>
                      <a:ext cx="6639560" cy="9385300"/>
                    </a:xfrm>
                    <a:prstGeom prst="rect">
                      <a:avLst/>
                    </a:prstGeom>
                    <a:ln>
                      <a:solidFill>
                        <a:schemeClr val="tx1"/>
                      </a:solidFill>
                    </a:ln>
                  </pic:spPr>
                </pic:pic>
              </a:graphicData>
            </a:graphic>
          </wp:inline>
        </w:drawing>
      </w:r>
    </w:p>
    <w:p w14:paraId="2C129234">
      <w:pPr>
        <w:pStyle w:val="73"/>
        <w:wordWrap w:val="0"/>
        <w:topLinePunct/>
        <w:spacing w:before="0" w:beforeLines="0" w:line="360" w:lineRule="auto"/>
        <w:rPr>
          <w:rFonts w:ascii="Times New Roman" w:hAnsi="Times New Roman"/>
          <w:color w:val="000000"/>
          <w:sz w:val="36"/>
          <w:szCs w:val="36"/>
        </w:rPr>
      </w:pPr>
      <w:r>
        <w:rPr>
          <w:rFonts w:ascii="Times New Roman" w:hAnsi="Times New Roman"/>
          <w:color w:val="000000"/>
          <w:sz w:val="36"/>
          <w:szCs w:val="36"/>
        </w:rPr>
        <w:t>目录</w:t>
      </w:r>
      <w:bookmarkEnd w:id="0"/>
    </w:p>
    <w:p w14:paraId="2A1560B8">
      <w:pPr>
        <w:pStyle w:val="26"/>
        <w:tabs>
          <w:tab w:val="right" w:leader="dot" w:pos="8306"/>
        </w:tabs>
        <w:spacing w:line="360" w:lineRule="auto"/>
        <w:rPr>
          <w:sz w:val="28"/>
          <w:szCs w:val="28"/>
        </w:rPr>
      </w:pPr>
      <w:r>
        <w:rPr>
          <w:snapToGrid w:val="0"/>
          <w:sz w:val="28"/>
          <w:szCs w:val="28"/>
        </w:rPr>
        <w:fldChar w:fldCharType="begin"/>
      </w:r>
      <w:r>
        <w:rPr>
          <w:snapToGrid w:val="0"/>
          <w:sz w:val="28"/>
          <w:szCs w:val="28"/>
        </w:rPr>
        <w:instrText xml:space="preserve"> TOC \o "1-3" \h \z \u </w:instrText>
      </w:r>
      <w:r>
        <w:rPr>
          <w:snapToGrid w:val="0"/>
          <w:sz w:val="28"/>
          <w:szCs w:val="28"/>
        </w:rPr>
        <w:fldChar w:fldCharType="separate"/>
      </w:r>
      <w:r>
        <w:fldChar w:fldCharType="begin"/>
      </w:r>
      <w:r>
        <w:instrText xml:space="preserve"> HYPERLINK \l "_Toc1436" </w:instrText>
      </w:r>
      <w:r>
        <w:fldChar w:fldCharType="separate"/>
      </w:r>
      <w:r>
        <w:rPr>
          <w:bCs/>
          <w:sz w:val="28"/>
          <w:szCs w:val="28"/>
        </w:rPr>
        <w:t>一、建设项目基本情况</w:t>
      </w:r>
      <w:r>
        <w:rPr>
          <w:sz w:val="28"/>
          <w:szCs w:val="28"/>
        </w:rPr>
        <w:tab/>
      </w:r>
      <w:r>
        <w:rPr>
          <w:sz w:val="28"/>
          <w:szCs w:val="28"/>
        </w:rPr>
        <w:fldChar w:fldCharType="begin"/>
      </w:r>
      <w:r>
        <w:rPr>
          <w:sz w:val="28"/>
          <w:szCs w:val="28"/>
        </w:rPr>
        <w:instrText xml:space="preserve"> PAGEREF _Toc1436 \h </w:instrText>
      </w:r>
      <w:r>
        <w:rPr>
          <w:sz w:val="28"/>
          <w:szCs w:val="28"/>
        </w:rPr>
        <w:fldChar w:fldCharType="separate"/>
      </w:r>
      <w:r>
        <w:rPr>
          <w:sz w:val="28"/>
          <w:szCs w:val="28"/>
        </w:rPr>
        <w:t>1</w:t>
      </w:r>
      <w:r>
        <w:rPr>
          <w:sz w:val="28"/>
          <w:szCs w:val="28"/>
        </w:rPr>
        <w:fldChar w:fldCharType="end"/>
      </w:r>
      <w:r>
        <w:rPr>
          <w:sz w:val="28"/>
          <w:szCs w:val="28"/>
        </w:rPr>
        <w:fldChar w:fldCharType="end"/>
      </w:r>
    </w:p>
    <w:p w14:paraId="072114AC">
      <w:pPr>
        <w:pStyle w:val="26"/>
        <w:tabs>
          <w:tab w:val="right" w:leader="dot" w:pos="8306"/>
        </w:tabs>
        <w:spacing w:line="360" w:lineRule="auto"/>
        <w:rPr>
          <w:sz w:val="28"/>
          <w:szCs w:val="28"/>
        </w:rPr>
      </w:pPr>
      <w:r>
        <w:fldChar w:fldCharType="begin"/>
      </w:r>
      <w:r>
        <w:instrText xml:space="preserve"> HYPERLINK \l "_Toc15867" </w:instrText>
      </w:r>
      <w:r>
        <w:fldChar w:fldCharType="separate"/>
      </w:r>
      <w:r>
        <w:rPr>
          <w:bCs/>
          <w:sz w:val="28"/>
          <w:szCs w:val="28"/>
        </w:rPr>
        <w:t>二、建设项目工程分析</w:t>
      </w:r>
      <w:r>
        <w:rPr>
          <w:sz w:val="28"/>
          <w:szCs w:val="28"/>
        </w:rPr>
        <w:tab/>
      </w:r>
      <w:r>
        <w:rPr>
          <w:sz w:val="28"/>
          <w:szCs w:val="28"/>
        </w:rPr>
        <w:fldChar w:fldCharType="begin"/>
      </w:r>
      <w:r>
        <w:rPr>
          <w:sz w:val="28"/>
          <w:szCs w:val="28"/>
        </w:rPr>
        <w:instrText xml:space="preserve"> PAGEREF _Toc15867 \h </w:instrText>
      </w:r>
      <w:r>
        <w:rPr>
          <w:sz w:val="28"/>
          <w:szCs w:val="28"/>
        </w:rPr>
        <w:fldChar w:fldCharType="separate"/>
      </w:r>
      <w:r>
        <w:rPr>
          <w:sz w:val="28"/>
          <w:szCs w:val="28"/>
        </w:rPr>
        <w:t>11</w:t>
      </w:r>
      <w:r>
        <w:rPr>
          <w:sz w:val="28"/>
          <w:szCs w:val="28"/>
        </w:rPr>
        <w:fldChar w:fldCharType="end"/>
      </w:r>
      <w:r>
        <w:rPr>
          <w:sz w:val="28"/>
          <w:szCs w:val="28"/>
        </w:rPr>
        <w:fldChar w:fldCharType="end"/>
      </w:r>
    </w:p>
    <w:p w14:paraId="4EA3D58C">
      <w:pPr>
        <w:pStyle w:val="26"/>
        <w:tabs>
          <w:tab w:val="right" w:leader="dot" w:pos="8306"/>
        </w:tabs>
        <w:spacing w:line="360" w:lineRule="auto"/>
        <w:rPr>
          <w:sz w:val="28"/>
          <w:szCs w:val="28"/>
        </w:rPr>
      </w:pPr>
      <w:r>
        <w:fldChar w:fldCharType="begin"/>
      </w:r>
      <w:r>
        <w:instrText xml:space="preserve"> HYPERLINK \l "_Toc4362" </w:instrText>
      </w:r>
      <w:r>
        <w:fldChar w:fldCharType="separate"/>
      </w:r>
      <w:r>
        <w:rPr>
          <w:bCs/>
          <w:sz w:val="28"/>
          <w:szCs w:val="28"/>
        </w:rPr>
        <w:t>三、区域环境质量现状、环境保护目标及评价标准</w:t>
      </w:r>
      <w:r>
        <w:rPr>
          <w:sz w:val="28"/>
          <w:szCs w:val="28"/>
        </w:rPr>
        <w:tab/>
      </w:r>
      <w:r>
        <w:rPr>
          <w:sz w:val="28"/>
          <w:szCs w:val="28"/>
        </w:rPr>
        <w:fldChar w:fldCharType="begin"/>
      </w:r>
      <w:r>
        <w:rPr>
          <w:sz w:val="28"/>
          <w:szCs w:val="28"/>
        </w:rPr>
        <w:instrText xml:space="preserve"> PAGEREF _Toc4362 \h </w:instrText>
      </w:r>
      <w:r>
        <w:rPr>
          <w:sz w:val="28"/>
          <w:szCs w:val="28"/>
        </w:rPr>
        <w:fldChar w:fldCharType="separate"/>
      </w:r>
      <w:r>
        <w:rPr>
          <w:sz w:val="28"/>
          <w:szCs w:val="28"/>
        </w:rPr>
        <w:t>21</w:t>
      </w:r>
      <w:r>
        <w:rPr>
          <w:sz w:val="28"/>
          <w:szCs w:val="28"/>
        </w:rPr>
        <w:fldChar w:fldCharType="end"/>
      </w:r>
      <w:r>
        <w:rPr>
          <w:sz w:val="28"/>
          <w:szCs w:val="28"/>
        </w:rPr>
        <w:fldChar w:fldCharType="end"/>
      </w:r>
    </w:p>
    <w:p w14:paraId="074CF507">
      <w:pPr>
        <w:pStyle w:val="26"/>
        <w:tabs>
          <w:tab w:val="right" w:leader="dot" w:pos="8306"/>
        </w:tabs>
        <w:spacing w:line="360" w:lineRule="auto"/>
        <w:rPr>
          <w:sz w:val="28"/>
          <w:szCs w:val="28"/>
        </w:rPr>
      </w:pPr>
      <w:r>
        <w:fldChar w:fldCharType="begin"/>
      </w:r>
      <w:r>
        <w:instrText xml:space="preserve"> HYPERLINK \l "_Toc11276" </w:instrText>
      </w:r>
      <w:r>
        <w:fldChar w:fldCharType="separate"/>
      </w:r>
      <w:r>
        <w:rPr>
          <w:bCs/>
          <w:sz w:val="28"/>
          <w:szCs w:val="28"/>
        </w:rPr>
        <w:t>四、主要环境影响和保护措施</w:t>
      </w:r>
      <w:r>
        <w:rPr>
          <w:sz w:val="28"/>
          <w:szCs w:val="28"/>
        </w:rPr>
        <w:tab/>
      </w:r>
      <w:r>
        <w:rPr>
          <w:sz w:val="28"/>
          <w:szCs w:val="28"/>
        </w:rPr>
        <w:fldChar w:fldCharType="begin"/>
      </w:r>
      <w:r>
        <w:rPr>
          <w:sz w:val="28"/>
          <w:szCs w:val="28"/>
        </w:rPr>
        <w:instrText xml:space="preserve"> PAGEREF _Toc11276 \h </w:instrText>
      </w:r>
      <w:r>
        <w:rPr>
          <w:sz w:val="28"/>
          <w:szCs w:val="28"/>
        </w:rPr>
        <w:fldChar w:fldCharType="separate"/>
      </w:r>
      <w:r>
        <w:rPr>
          <w:sz w:val="28"/>
          <w:szCs w:val="28"/>
        </w:rPr>
        <w:t>25</w:t>
      </w:r>
      <w:r>
        <w:rPr>
          <w:sz w:val="28"/>
          <w:szCs w:val="28"/>
        </w:rPr>
        <w:fldChar w:fldCharType="end"/>
      </w:r>
      <w:r>
        <w:rPr>
          <w:sz w:val="28"/>
          <w:szCs w:val="28"/>
        </w:rPr>
        <w:fldChar w:fldCharType="end"/>
      </w:r>
    </w:p>
    <w:p w14:paraId="2F7D3D89">
      <w:pPr>
        <w:pStyle w:val="26"/>
        <w:tabs>
          <w:tab w:val="right" w:leader="dot" w:pos="8306"/>
        </w:tabs>
        <w:spacing w:line="360" w:lineRule="auto"/>
        <w:rPr>
          <w:sz w:val="28"/>
          <w:szCs w:val="28"/>
        </w:rPr>
      </w:pPr>
      <w:r>
        <w:fldChar w:fldCharType="begin"/>
      </w:r>
      <w:r>
        <w:instrText xml:space="preserve"> HYPERLINK \l "_Toc17507" </w:instrText>
      </w:r>
      <w:r>
        <w:fldChar w:fldCharType="separate"/>
      </w:r>
      <w:r>
        <w:rPr>
          <w:bCs/>
          <w:sz w:val="28"/>
          <w:szCs w:val="28"/>
        </w:rPr>
        <w:t>五、环境保护措施监督检查清单</w:t>
      </w:r>
      <w:r>
        <w:rPr>
          <w:sz w:val="28"/>
          <w:szCs w:val="28"/>
        </w:rPr>
        <w:tab/>
      </w:r>
      <w:r>
        <w:rPr>
          <w:sz w:val="28"/>
          <w:szCs w:val="28"/>
        </w:rPr>
        <w:fldChar w:fldCharType="begin"/>
      </w:r>
      <w:r>
        <w:rPr>
          <w:sz w:val="28"/>
          <w:szCs w:val="28"/>
        </w:rPr>
        <w:instrText xml:space="preserve"> PAGEREF _Toc17507 \h </w:instrText>
      </w:r>
      <w:r>
        <w:rPr>
          <w:sz w:val="28"/>
          <w:szCs w:val="28"/>
        </w:rPr>
        <w:fldChar w:fldCharType="separate"/>
      </w:r>
      <w:r>
        <w:rPr>
          <w:sz w:val="28"/>
          <w:szCs w:val="28"/>
        </w:rPr>
        <w:t>42</w:t>
      </w:r>
      <w:r>
        <w:rPr>
          <w:sz w:val="28"/>
          <w:szCs w:val="28"/>
        </w:rPr>
        <w:fldChar w:fldCharType="end"/>
      </w:r>
      <w:r>
        <w:rPr>
          <w:sz w:val="28"/>
          <w:szCs w:val="28"/>
        </w:rPr>
        <w:fldChar w:fldCharType="end"/>
      </w:r>
    </w:p>
    <w:p w14:paraId="59225896">
      <w:pPr>
        <w:pStyle w:val="26"/>
        <w:tabs>
          <w:tab w:val="right" w:leader="dot" w:pos="8306"/>
        </w:tabs>
        <w:spacing w:line="360" w:lineRule="auto"/>
        <w:rPr>
          <w:sz w:val="28"/>
          <w:szCs w:val="28"/>
        </w:rPr>
      </w:pPr>
      <w:r>
        <w:fldChar w:fldCharType="begin"/>
      </w:r>
      <w:r>
        <w:instrText xml:space="preserve"> HYPERLINK \l "_Toc3445" </w:instrText>
      </w:r>
      <w:r>
        <w:fldChar w:fldCharType="separate"/>
      </w:r>
      <w:r>
        <w:rPr>
          <w:bCs/>
          <w:sz w:val="28"/>
          <w:szCs w:val="28"/>
        </w:rPr>
        <w:t>六、结论</w:t>
      </w:r>
      <w:r>
        <w:rPr>
          <w:sz w:val="28"/>
          <w:szCs w:val="28"/>
        </w:rPr>
        <w:tab/>
      </w:r>
      <w:r>
        <w:rPr>
          <w:sz w:val="28"/>
          <w:szCs w:val="28"/>
        </w:rPr>
        <w:fldChar w:fldCharType="begin"/>
      </w:r>
      <w:r>
        <w:rPr>
          <w:sz w:val="28"/>
          <w:szCs w:val="28"/>
        </w:rPr>
        <w:instrText xml:space="preserve"> PAGEREF _Toc3445 \h </w:instrText>
      </w:r>
      <w:r>
        <w:rPr>
          <w:sz w:val="28"/>
          <w:szCs w:val="28"/>
        </w:rPr>
        <w:fldChar w:fldCharType="separate"/>
      </w:r>
      <w:r>
        <w:rPr>
          <w:sz w:val="28"/>
          <w:szCs w:val="28"/>
        </w:rPr>
        <w:t>45</w:t>
      </w:r>
      <w:r>
        <w:rPr>
          <w:sz w:val="28"/>
          <w:szCs w:val="28"/>
        </w:rPr>
        <w:fldChar w:fldCharType="end"/>
      </w:r>
      <w:r>
        <w:rPr>
          <w:sz w:val="28"/>
          <w:szCs w:val="28"/>
        </w:rPr>
        <w:fldChar w:fldCharType="end"/>
      </w:r>
    </w:p>
    <w:p w14:paraId="272212B9">
      <w:pPr>
        <w:pStyle w:val="26"/>
        <w:tabs>
          <w:tab w:val="right" w:leader="dot" w:pos="8306"/>
        </w:tabs>
        <w:spacing w:line="360" w:lineRule="auto"/>
        <w:rPr>
          <w:sz w:val="28"/>
          <w:szCs w:val="28"/>
        </w:rPr>
      </w:pPr>
      <w:r>
        <w:fldChar w:fldCharType="begin"/>
      </w:r>
      <w:r>
        <w:instrText xml:space="preserve"> HYPERLINK \l "_Toc20844" </w:instrText>
      </w:r>
      <w:r>
        <w:fldChar w:fldCharType="separate"/>
      </w:r>
      <w:r>
        <w:rPr>
          <w:bCs/>
          <w:snapToGrid w:val="0"/>
          <w:sz w:val="28"/>
          <w:szCs w:val="28"/>
        </w:rPr>
        <w:t>建设项目污染物排放量汇总表</w:t>
      </w:r>
      <w:r>
        <w:rPr>
          <w:sz w:val="28"/>
          <w:szCs w:val="28"/>
        </w:rPr>
        <w:tab/>
      </w:r>
      <w:r>
        <w:rPr>
          <w:sz w:val="28"/>
          <w:szCs w:val="28"/>
        </w:rPr>
        <w:fldChar w:fldCharType="begin"/>
      </w:r>
      <w:r>
        <w:rPr>
          <w:sz w:val="28"/>
          <w:szCs w:val="28"/>
        </w:rPr>
        <w:instrText xml:space="preserve"> PAGEREF _Toc20844 \h </w:instrText>
      </w:r>
      <w:r>
        <w:rPr>
          <w:sz w:val="28"/>
          <w:szCs w:val="28"/>
        </w:rPr>
        <w:fldChar w:fldCharType="separate"/>
      </w:r>
      <w:r>
        <w:rPr>
          <w:sz w:val="28"/>
          <w:szCs w:val="28"/>
        </w:rPr>
        <w:t>46</w:t>
      </w:r>
      <w:r>
        <w:rPr>
          <w:sz w:val="28"/>
          <w:szCs w:val="28"/>
        </w:rPr>
        <w:fldChar w:fldCharType="end"/>
      </w:r>
      <w:r>
        <w:rPr>
          <w:sz w:val="28"/>
          <w:szCs w:val="28"/>
        </w:rPr>
        <w:fldChar w:fldCharType="end"/>
      </w:r>
    </w:p>
    <w:p w14:paraId="0056EEF0">
      <w:pPr>
        <w:pStyle w:val="26"/>
        <w:tabs>
          <w:tab w:val="right" w:leader="dot" w:pos="8306"/>
        </w:tabs>
        <w:spacing w:line="360" w:lineRule="auto"/>
        <w:rPr>
          <w:snapToGrid w:val="0"/>
          <w:sz w:val="28"/>
          <w:szCs w:val="28"/>
        </w:rPr>
        <w:sectPr>
          <w:pgSz w:w="11906" w:h="16838"/>
          <w:pgMar w:top="1440" w:right="1800" w:bottom="1440" w:left="1800" w:header="851" w:footer="1077" w:gutter="0"/>
          <w:pgBorders>
            <w:top w:val="none" w:sz="0" w:space="0"/>
            <w:left w:val="none" w:sz="0" w:space="0"/>
            <w:bottom w:val="none" w:sz="0" w:space="0"/>
            <w:right w:val="none" w:sz="0" w:space="0"/>
          </w:pgBorders>
          <w:pgNumType w:start="3"/>
          <w:cols w:space="720" w:num="1"/>
          <w:docGrid w:linePitch="312" w:charSpace="0"/>
        </w:sectPr>
      </w:pPr>
      <w:r>
        <w:rPr>
          <w:snapToGrid w:val="0"/>
          <w:sz w:val="28"/>
          <w:szCs w:val="28"/>
        </w:rPr>
        <w:fldChar w:fldCharType="end"/>
      </w:r>
    </w:p>
    <w:p w14:paraId="0ABDD369">
      <w:pPr>
        <w:pStyle w:val="26"/>
        <w:tabs>
          <w:tab w:val="right" w:leader="dot" w:pos="8306"/>
        </w:tabs>
        <w:spacing w:line="360" w:lineRule="auto"/>
        <w:rPr>
          <w:b/>
        </w:rPr>
      </w:pPr>
      <w:r>
        <w:rPr>
          <w:b/>
        </w:rPr>
        <w:t>附件：</w:t>
      </w:r>
    </w:p>
    <w:p w14:paraId="4B5E7350">
      <w:pPr>
        <w:topLinePunct/>
        <w:adjustRightInd w:val="0"/>
        <w:snapToGrid w:val="0"/>
        <w:spacing w:line="360" w:lineRule="auto"/>
        <w:ind w:firstLine="732" w:firstLineChars="305"/>
        <w:rPr>
          <w:color w:val="auto"/>
        </w:rPr>
      </w:pPr>
      <w:r>
        <w:rPr>
          <w:color w:val="auto"/>
        </w:rPr>
        <w:t>附件1  环评委托书</w:t>
      </w:r>
    </w:p>
    <w:p w14:paraId="32C77909">
      <w:pPr>
        <w:topLinePunct/>
        <w:adjustRightInd w:val="0"/>
        <w:snapToGrid w:val="0"/>
        <w:spacing w:line="360" w:lineRule="auto"/>
        <w:ind w:firstLine="732" w:firstLineChars="305"/>
        <w:rPr>
          <w:rFonts w:hint="eastAsia" w:eastAsia="宋体"/>
          <w:color w:val="auto"/>
          <w:lang w:eastAsia="zh-CN"/>
        </w:rPr>
      </w:pPr>
      <w:r>
        <w:rPr>
          <w:color w:val="auto"/>
        </w:rPr>
        <w:t xml:space="preserve">附件2  </w:t>
      </w:r>
      <w:r>
        <w:rPr>
          <w:rFonts w:hint="eastAsia"/>
          <w:color w:val="auto"/>
          <w:lang w:eastAsia="zh-CN"/>
        </w:rPr>
        <w:t>项目备案证明</w:t>
      </w:r>
    </w:p>
    <w:p w14:paraId="25D0FE18">
      <w:pPr>
        <w:topLinePunct/>
        <w:adjustRightInd w:val="0"/>
        <w:snapToGrid w:val="0"/>
        <w:spacing w:line="360" w:lineRule="auto"/>
        <w:ind w:firstLine="732" w:firstLineChars="305"/>
        <w:rPr>
          <w:color w:val="auto"/>
        </w:rPr>
      </w:pPr>
      <w:r>
        <w:rPr>
          <w:color w:val="auto"/>
        </w:rPr>
        <w:t>附件3  建设单位营业执照</w:t>
      </w:r>
    </w:p>
    <w:p w14:paraId="3A0906DB">
      <w:pPr>
        <w:topLinePunct/>
        <w:adjustRightInd w:val="0"/>
        <w:snapToGrid w:val="0"/>
        <w:spacing w:line="360" w:lineRule="auto"/>
        <w:ind w:firstLine="732" w:firstLineChars="305"/>
        <w:rPr>
          <w:color w:val="auto"/>
        </w:rPr>
      </w:pPr>
      <w:r>
        <w:rPr>
          <w:color w:val="auto"/>
        </w:rPr>
        <w:t>附件4  项目原环评批复</w:t>
      </w:r>
    </w:p>
    <w:p w14:paraId="3F150C8E">
      <w:pPr>
        <w:topLinePunct/>
        <w:adjustRightInd w:val="0"/>
        <w:snapToGrid w:val="0"/>
        <w:spacing w:line="360" w:lineRule="auto"/>
        <w:ind w:firstLine="732" w:firstLineChars="305"/>
        <w:rPr>
          <w:color w:val="auto"/>
        </w:rPr>
      </w:pPr>
      <w:r>
        <w:rPr>
          <w:color w:val="auto"/>
        </w:rPr>
        <w:t>附件5  企业排污许可证</w:t>
      </w:r>
    </w:p>
    <w:p w14:paraId="3D69537E">
      <w:pPr>
        <w:topLinePunct/>
        <w:adjustRightInd w:val="0"/>
        <w:snapToGrid w:val="0"/>
        <w:spacing w:line="360" w:lineRule="auto"/>
        <w:ind w:firstLine="732" w:firstLineChars="305"/>
        <w:rPr>
          <w:color w:val="auto"/>
        </w:rPr>
      </w:pPr>
      <w:r>
        <w:rPr>
          <w:color w:val="auto"/>
        </w:rPr>
        <w:t>附件6  项目场地租赁协议</w:t>
      </w:r>
    </w:p>
    <w:p w14:paraId="6039A0D2">
      <w:pPr>
        <w:topLinePunct/>
        <w:adjustRightInd w:val="0"/>
        <w:spacing w:line="360" w:lineRule="auto"/>
        <w:ind w:firstLine="732" w:firstLineChars="305"/>
        <w:rPr>
          <w:rFonts w:hint="eastAsia" w:eastAsia="宋体"/>
          <w:color w:val="auto"/>
          <w:szCs w:val="28"/>
          <w:lang w:eastAsia="zh-CN"/>
        </w:rPr>
      </w:pPr>
      <w:r>
        <w:rPr>
          <w:color w:val="auto"/>
        </w:rPr>
        <w:t xml:space="preserve">附件7  </w:t>
      </w:r>
      <w:r>
        <w:rPr>
          <w:rFonts w:hint="eastAsia"/>
          <w:color w:val="auto"/>
          <w:lang w:eastAsia="zh-CN"/>
        </w:rPr>
        <w:t>工业园区规划环评批复</w:t>
      </w:r>
    </w:p>
    <w:p w14:paraId="0B171C02">
      <w:pPr>
        <w:wordWrap w:val="0"/>
        <w:topLinePunct/>
        <w:adjustRightInd w:val="0"/>
        <w:snapToGrid w:val="0"/>
        <w:spacing w:line="360" w:lineRule="auto"/>
        <w:rPr>
          <w:b/>
          <w:color w:val="auto"/>
        </w:rPr>
      </w:pPr>
      <w:r>
        <w:rPr>
          <w:b/>
          <w:color w:val="auto"/>
        </w:rPr>
        <w:t>附图：</w:t>
      </w:r>
    </w:p>
    <w:p w14:paraId="4CA4A2C5">
      <w:pPr>
        <w:topLinePunct/>
        <w:adjustRightInd w:val="0"/>
        <w:snapToGrid w:val="0"/>
        <w:spacing w:line="360" w:lineRule="auto"/>
        <w:ind w:firstLine="732" w:firstLineChars="305"/>
        <w:rPr>
          <w:color w:val="auto"/>
        </w:rPr>
      </w:pPr>
      <w:r>
        <w:rPr>
          <w:color w:val="auto"/>
        </w:rPr>
        <w:t>附图1  项目地理位置图</w:t>
      </w:r>
    </w:p>
    <w:p w14:paraId="7E675751">
      <w:pPr>
        <w:wordWrap w:val="0"/>
        <w:topLinePunct/>
        <w:adjustRightInd w:val="0"/>
        <w:snapToGrid w:val="0"/>
        <w:spacing w:line="360" w:lineRule="auto"/>
        <w:ind w:firstLine="732" w:firstLineChars="305"/>
        <w:rPr>
          <w:color w:val="auto"/>
        </w:rPr>
      </w:pPr>
      <w:r>
        <w:rPr>
          <w:color w:val="auto"/>
        </w:rPr>
        <w:t>附图2  厂区平面布置图及生产厂房平面布置图</w:t>
      </w:r>
    </w:p>
    <w:p w14:paraId="5365AA68">
      <w:pPr>
        <w:wordWrap w:val="0"/>
        <w:topLinePunct/>
        <w:adjustRightInd w:val="0"/>
        <w:snapToGrid w:val="0"/>
        <w:spacing w:line="360" w:lineRule="auto"/>
        <w:ind w:firstLine="732" w:firstLineChars="305"/>
        <w:rPr>
          <w:color w:val="auto"/>
        </w:rPr>
      </w:pPr>
      <w:r>
        <w:rPr>
          <w:color w:val="auto"/>
        </w:rPr>
        <w:t xml:space="preserve">附图3  </w:t>
      </w:r>
      <w:r>
        <w:rPr>
          <w:snapToGrid w:val="0"/>
          <w:color w:val="auto"/>
          <w:szCs w:val="30"/>
        </w:rPr>
        <w:t>周边500m范围环境敏感目标分布图</w:t>
      </w:r>
    </w:p>
    <w:p w14:paraId="544A909B">
      <w:pPr>
        <w:wordWrap w:val="0"/>
        <w:topLinePunct/>
        <w:adjustRightInd w:val="0"/>
        <w:snapToGrid w:val="0"/>
        <w:spacing w:line="360" w:lineRule="auto"/>
        <w:ind w:firstLine="732" w:firstLineChars="305"/>
        <w:rPr>
          <w:rFonts w:hint="eastAsia" w:eastAsia="宋体"/>
          <w:color w:val="auto"/>
          <w:lang w:eastAsia="zh-CN"/>
        </w:rPr>
      </w:pPr>
      <w:r>
        <w:rPr>
          <w:color w:val="auto"/>
        </w:rPr>
        <w:t xml:space="preserve">附图4  </w:t>
      </w:r>
      <w:r>
        <w:rPr>
          <w:rFonts w:hint="eastAsia"/>
          <w:color w:val="auto"/>
          <w:lang w:eastAsia="zh-CN"/>
        </w:rPr>
        <w:t>园区土地利用规划图</w:t>
      </w:r>
    </w:p>
    <w:p w14:paraId="328A2084">
      <w:pPr>
        <w:wordWrap w:val="0"/>
        <w:topLinePunct/>
        <w:adjustRightInd w:val="0"/>
        <w:snapToGrid w:val="0"/>
        <w:spacing w:line="360" w:lineRule="auto"/>
        <w:ind w:firstLine="720" w:firstLineChars="300"/>
        <w:rPr>
          <w:rFonts w:hint="eastAsia" w:eastAsia="宋体"/>
          <w:color w:val="auto"/>
          <w:lang w:eastAsia="zh-CN"/>
        </w:rPr>
      </w:pPr>
      <w:r>
        <w:rPr>
          <w:color w:val="auto"/>
        </w:rPr>
        <w:t xml:space="preserve">附图5  </w:t>
      </w:r>
      <w:r>
        <w:rPr>
          <w:rFonts w:hint="eastAsia"/>
          <w:color w:val="auto"/>
          <w:lang w:eastAsia="zh-CN"/>
        </w:rPr>
        <w:t>园区产业布局分布图</w:t>
      </w:r>
    </w:p>
    <w:p w14:paraId="08E28990">
      <w:pPr>
        <w:wordWrap w:val="0"/>
        <w:topLinePunct/>
        <w:adjustRightInd w:val="0"/>
        <w:snapToGrid w:val="0"/>
        <w:spacing w:line="360" w:lineRule="auto"/>
        <w:ind w:firstLine="720" w:firstLineChars="300"/>
        <w:rPr>
          <w:color w:val="auto"/>
        </w:rPr>
      </w:pPr>
      <w:r>
        <w:rPr>
          <w:color w:val="auto"/>
          <w:szCs w:val="28"/>
        </w:rPr>
        <w:t xml:space="preserve">附图6  </w:t>
      </w:r>
      <w:r>
        <w:rPr>
          <w:snapToGrid w:val="0"/>
          <w:color w:val="auto"/>
          <w:szCs w:val="30"/>
        </w:rPr>
        <w:t>项目现状照片</w:t>
      </w:r>
    </w:p>
    <w:p w14:paraId="4E600077">
      <w:pPr>
        <w:wordWrap w:val="0"/>
        <w:topLinePunct/>
        <w:adjustRightInd w:val="0"/>
        <w:snapToGrid w:val="0"/>
        <w:spacing w:line="360" w:lineRule="auto"/>
        <w:ind w:firstLine="720"/>
        <w:rPr>
          <w:color w:val="FF0000"/>
        </w:rPr>
        <w:sectPr>
          <w:pgSz w:w="11906" w:h="16838"/>
          <w:pgMar w:top="1440" w:right="1800" w:bottom="1440" w:left="1800" w:header="851" w:footer="1077" w:gutter="0"/>
          <w:pgBorders>
            <w:top w:val="none" w:sz="0" w:space="0"/>
            <w:left w:val="none" w:sz="0" w:space="0"/>
            <w:bottom w:val="none" w:sz="0" w:space="0"/>
            <w:right w:val="none" w:sz="0" w:space="0"/>
          </w:pgBorders>
          <w:pgNumType w:start="3"/>
          <w:cols w:space="720" w:num="1"/>
          <w:docGrid w:linePitch="312" w:charSpace="0"/>
        </w:sectPr>
      </w:pPr>
    </w:p>
    <w:p w14:paraId="649BB195">
      <w:pPr>
        <w:pStyle w:val="73"/>
        <w:wordWrap w:val="0"/>
        <w:topLinePunct/>
        <w:rPr>
          <w:rFonts w:ascii="Times New Roman" w:hAnsi="Times New Roman"/>
          <w:b/>
          <w:bCs/>
        </w:rPr>
      </w:pPr>
      <w:bookmarkStart w:id="1" w:name="_Toc1436"/>
      <w:r>
        <w:rPr>
          <w:rFonts w:ascii="Times New Roman" w:hAnsi="Times New Roman"/>
          <w:b/>
          <w:bCs/>
        </w:rPr>
        <w:t>一、建设项目基本情况</w:t>
      </w:r>
      <w:bookmarkEnd w:id="1"/>
    </w:p>
    <w:tbl>
      <w:tblPr>
        <w:tblStyle w:val="36"/>
        <w:tblW w:w="513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034"/>
        <w:gridCol w:w="2323"/>
        <w:gridCol w:w="1946"/>
        <w:gridCol w:w="3327"/>
      </w:tblGrid>
      <w:tr w14:paraId="44F7A5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56" w:type="pct"/>
            <w:tcMar>
              <w:top w:w="16" w:type="dxa"/>
              <w:left w:w="16" w:type="dxa"/>
              <w:right w:w="16" w:type="dxa"/>
            </w:tcMar>
            <w:vAlign w:val="center"/>
          </w:tcPr>
          <w:p w14:paraId="3F1E4401">
            <w:pPr>
              <w:wordWrap w:val="0"/>
              <w:topLinePunct/>
              <w:adjustRightInd w:val="0"/>
              <w:snapToGrid w:val="0"/>
              <w:jc w:val="center"/>
              <w:rPr>
                <w:szCs w:val="21"/>
              </w:rPr>
            </w:pPr>
            <w:r>
              <w:rPr>
                <w:szCs w:val="21"/>
              </w:rPr>
              <w:t>建设项目名称</w:t>
            </w:r>
          </w:p>
        </w:tc>
        <w:tc>
          <w:tcPr>
            <w:tcW w:w="3943" w:type="pct"/>
            <w:gridSpan w:val="3"/>
            <w:vAlign w:val="center"/>
          </w:tcPr>
          <w:p w14:paraId="7E7CA1BD">
            <w:pPr>
              <w:wordWrap w:val="0"/>
              <w:topLinePunct/>
              <w:adjustRightInd w:val="0"/>
              <w:snapToGrid w:val="0"/>
              <w:jc w:val="center"/>
              <w:rPr>
                <w:color w:val="000000"/>
                <w:szCs w:val="21"/>
              </w:rPr>
            </w:pPr>
            <w:r>
              <w:rPr>
                <w:rFonts w:hint="eastAsia"/>
                <w:color w:val="000000"/>
                <w:szCs w:val="21"/>
                <w:lang w:eastAsia="zh-CN"/>
              </w:rPr>
              <w:t>年产1.5万吨无卤阻燃材料及功能母粒</w:t>
            </w:r>
            <w:r>
              <w:rPr>
                <w:rFonts w:hint="eastAsia"/>
                <w:color w:val="000000"/>
                <w:szCs w:val="21"/>
              </w:rPr>
              <w:t>项目</w:t>
            </w:r>
          </w:p>
        </w:tc>
      </w:tr>
      <w:tr w14:paraId="0E4A15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56" w:type="pct"/>
            <w:tcMar>
              <w:top w:w="16" w:type="dxa"/>
              <w:left w:w="16" w:type="dxa"/>
              <w:right w:w="16" w:type="dxa"/>
            </w:tcMar>
            <w:vAlign w:val="center"/>
          </w:tcPr>
          <w:p w14:paraId="2DF01F27">
            <w:pPr>
              <w:wordWrap w:val="0"/>
              <w:topLinePunct/>
              <w:adjustRightInd w:val="0"/>
              <w:snapToGrid w:val="0"/>
              <w:jc w:val="center"/>
              <w:rPr>
                <w:szCs w:val="21"/>
              </w:rPr>
            </w:pPr>
            <w:r>
              <w:rPr>
                <w:szCs w:val="21"/>
              </w:rPr>
              <w:t>项目代码</w:t>
            </w:r>
          </w:p>
        </w:tc>
        <w:tc>
          <w:tcPr>
            <w:tcW w:w="3943" w:type="pct"/>
            <w:gridSpan w:val="3"/>
            <w:vAlign w:val="center"/>
          </w:tcPr>
          <w:p w14:paraId="24956297">
            <w:pPr>
              <w:wordWrap w:val="0"/>
              <w:topLinePunct/>
              <w:adjustRightInd w:val="0"/>
              <w:snapToGrid w:val="0"/>
              <w:jc w:val="center"/>
              <w:rPr>
                <w:rFonts w:hint="default" w:eastAsia="宋体"/>
                <w:color w:val="2F5496"/>
                <w:szCs w:val="21"/>
                <w:lang w:val="en-US" w:eastAsia="zh-CN"/>
              </w:rPr>
            </w:pPr>
            <w:r>
              <w:rPr>
                <w:rFonts w:hint="eastAsia"/>
                <w:szCs w:val="21"/>
                <w:lang w:val="en-US" w:eastAsia="zh-CN"/>
              </w:rPr>
              <w:t>2403-430473-04-01-156793</w:t>
            </w:r>
          </w:p>
        </w:tc>
      </w:tr>
      <w:tr w14:paraId="25535C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56" w:type="pct"/>
            <w:tcMar>
              <w:top w:w="16" w:type="dxa"/>
              <w:left w:w="16" w:type="dxa"/>
              <w:right w:w="16" w:type="dxa"/>
            </w:tcMar>
            <w:vAlign w:val="center"/>
          </w:tcPr>
          <w:p w14:paraId="0C31A9A1">
            <w:pPr>
              <w:wordWrap w:val="0"/>
              <w:topLinePunct/>
              <w:adjustRightInd w:val="0"/>
              <w:snapToGrid w:val="0"/>
              <w:jc w:val="center"/>
              <w:rPr>
                <w:color w:val="000000"/>
                <w:szCs w:val="21"/>
              </w:rPr>
            </w:pPr>
            <w:r>
              <w:rPr>
                <w:color w:val="000000"/>
                <w:szCs w:val="21"/>
              </w:rPr>
              <w:t>建设单位联系人</w:t>
            </w:r>
          </w:p>
        </w:tc>
        <w:tc>
          <w:tcPr>
            <w:tcW w:w="1206" w:type="pct"/>
            <w:vAlign w:val="center"/>
          </w:tcPr>
          <w:p w14:paraId="7AE74A22">
            <w:pPr>
              <w:wordWrap w:val="0"/>
              <w:topLinePunct/>
              <w:adjustRightInd w:val="0"/>
              <w:snapToGrid w:val="0"/>
              <w:jc w:val="center"/>
              <w:rPr>
                <w:rFonts w:hint="default" w:eastAsia="宋体"/>
                <w:color w:val="000000"/>
                <w:szCs w:val="21"/>
                <w:lang w:val="en-US" w:eastAsia="zh-CN"/>
              </w:rPr>
            </w:pPr>
            <w:r>
              <w:rPr>
                <w:rFonts w:hint="eastAsia"/>
                <w:color w:val="000000"/>
                <w:szCs w:val="21"/>
                <w:lang w:val="en-US" w:eastAsia="zh-CN"/>
              </w:rPr>
              <w:t>***</w:t>
            </w:r>
          </w:p>
        </w:tc>
        <w:tc>
          <w:tcPr>
            <w:tcW w:w="1010" w:type="pct"/>
            <w:vAlign w:val="center"/>
          </w:tcPr>
          <w:p w14:paraId="7AF17E99">
            <w:pPr>
              <w:wordWrap w:val="0"/>
              <w:topLinePunct/>
              <w:adjustRightInd w:val="0"/>
              <w:snapToGrid w:val="0"/>
              <w:jc w:val="center"/>
              <w:rPr>
                <w:color w:val="000000"/>
                <w:szCs w:val="21"/>
              </w:rPr>
            </w:pPr>
            <w:r>
              <w:rPr>
                <w:color w:val="000000"/>
                <w:szCs w:val="21"/>
              </w:rPr>
              <w:t>联系方式</w:t>
            </w:r>
          </w:p>
        </w:tc>
        <w:tc>
          <w:tcPr>
            <w:tcW w:w="1726" w:type="pct"/>
            <w:vAlign w:val="center"/>
          </w:tcPr>
          <w:p w14:paraId="596F41D0">
            <w:pPr>
              <w:wordWrap w:val="0"/>
              <w:topLinePunct/>
              <w:adjustRightInd w:val="0"/>
              <w:snapToGrid w:val="0"/>
              <w:jc w:val="center"/>
              <w:rPr>
                <w:rFonts w:hint="default" w:eastAsia="宋体"/>
                <w:color w:val="000000"/>
                <w:szCs w:val="21"/>
                <w:lang w:val="en-US" w:eastAsia="zh-CN"/>
              </w:rPr>
            </w:pPr>
            <w:r>
              <w:rPr>
                <w:rFonts w:hint="eastAsia"/>
                <w:color w:val="000000"/>
                <w:szCs w:val="21"/>
              </w:rPr>
              <w:t>18</w:t>
            </w:r>
            <w:r>
              <w:rPr>
                <w:rFonts w:hint="eastAsia"/>
                <w:color w:val="000000"/>
                <w:szCs w:val="21"/>
                <w:lang w:val="en-US" w:eastAsia="zh-CN"/>
              </w:rPr>
              <w:t>***</w:t>
            </w:r>
          </w:p>
        </w:tc>
      </w:tr>
      <w:tr w14:paraId="6AABE8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56" w:type="pct"/>
            <w:tcMar>
              <w:top w:w="16" w:type="dxa"/>
              <w:left w:w="16" w:type="dxa"/>
              <w:right w:w="16" w:type="dxa"/>
            </w:tcMar>
            <w:vAlign w:val="center"/>
          </w:tcPr>
          <w:p w14:paraId="6DB253D9">
            <w:pPr>
              <w:wordWrap w:val="0"/>
              <w:topLinePunct/>
              <w:adjustRightInd w:val="0"/>
              <w:snapToGrid w:val="0"/>
              <w:jc w:val="center"/>
              <w:rPr>
                <w:color w:val="000000"/>
                <w:szCs w:val="21"/>
              </w:rPr>
            </w:pPr>
            <w:r>
              <w:rPr>
                <w:color w:val="000000"/>
                <w:szCs w:val="21"/>
              </w:rPr>
              <w:t>建设地点</w:t>
            </w:r>
          </w:p>
        </w:tc>
        <w:tc>
          <w:tcPr>
            <w:tcW w:w="3943" w:type="pct"/>
            <w:gridSpan w:val="3"/>
            <w:vAlign w:val="center"/>
          </w:tcPr>
          <w:p w14:paraId="12529E12">
            <w:pPr>
              <w:wordWrap w:val="0"/>
              <w:topLinePunct/>
              <w:adjustRightInd w:val="0"/>
              <w:snapToGrid w:val="0"/>
              <w:ind w:left="120" w:leftChars="50" w:right="120" w:rightChars="50"/>
              <w:jc w:val="center"/>
              <w:rPr>
                <w:color w:val="000000"/>
                <w:szCs w:val="21"/>
              </w:rPr>
            </w:pPr>
            <w:r>
              <w:rPr>
                <w:color w:val="000000"/>
                <w:szCs w:val="21"/>
                <w:u w:val="single"/>
              </w:rPr>
              <w:t xml:space="preserve"> 湖南 </w:t>
            </w:r>
            <w:r>
              <w:rPr>
                <w:color w:val="000000"/>
                <w:szCs w:val="21"/>
              </w:rPr>
              <w:t>省（自治区）</w:t>
            </w:r>
            <w:r>
              <w:rPr>
                <w:color w:val="000000"/>
                <w:szCs w:val="21"/>
                <w:u w:val="single"/>
              </w:rPr>
              <w:t xml:space="preserve"> </w:t>
            </w:r>
            <w:r>
              <w:rPr>
                <w:rFonts w:hint="eastAsia"/>
                <w:color w:val="000000"/>
                <w:szCs w:val="21"/>
                <w:u w:val="single"/>
              </w:rPr>
              <w:t>衡阳</w:t>
            </w:r>
            <w:r>
              <w:rPr>
                <w:color w:val="000000"/>
                <w:szCs w:val="21"/>
                <w:u w:val="single"/>
              </w:rPr>
              <w:t xml:space="preserve"> </w:t>
            </w:r>
            <w:r>
              <w:rPr>
                <w:color w:val="000000"/>
                <w:szCs w:val="21"/>
              </w:rPr>
              <w:t>市</w:t>
            </w:r>
            <w:r>
              <w:rPr>
                <w:color w:val="000000"/>
                <w:szCs w:val="21"/>
                <w:u w:val="single"/>
              </w:rPr>
              <w:t xml:space="preserve"> </w:t>
            </w:r>
            <w:r>
              <w:rPr>
                <w:rFonts w:hint="eastAsia"/>
                <w:color w:val="000000"/>
                <w:szCs w:val="21"/>
                <w:u w:val="single"/>
              </w:rPr>
              <w:t>石鼓</w:t>
            </w:r>
            <w:r>
              <w:rPr>
                <w:color w:val="000000"/>
                <w:szCs w:val="21"/>
                <w:u w:val="single"/>
              </w:rPr>
              <w:t xml:space="preserve"> </w:t>
            </w:r>
            <w:r>
              <w:rPr>
                <w:color w:val="000000"/>
                <w:szCs w:val="21"/>
              </w:rPr>
              <w:t>县（区）/乡（街道）</w:t>
            </w:r>
            <w:r>
              <w:rPr>
                <w:szCs w:val="21"/>
                <w:u w:val="single"/>
              </w:rPr>
              <w:t xml:space="preserve"> </w:t>
            </w:r>
            <w:r>
              <w:rPr>
                <w:rFonts w:hint="eastAsia"/>
                <w:szCs w:val="21"/>
                <w:u w:val="single"/>
              </w:rPr>
              <w:t>松木经开区产业孵化基地四期31#栋标准厂房</w:t>
            </w:r>
            <w:r>
              <w:rPr>
                <w:szCs w:val="21"/>
                <w:u w:val="single"/>
              </w:rPr>
              <w:t xml:space="preserve"> </w:t>
            </w:r>
          </w:p>
        </w:tc>
      </w:tr>
      <w:tr w14:paraId="4F9155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56" w:type="pct"/>
            <w:tcMar>
              <w:top w:w="16" w:type="dxa"/>
              <w:left w:w="16" w:type="dxa"/>
              <w:right w:w="16" w:type="dxa"/>
            </w:tcMar>
            <w:vAlign w:val="center"/>
          </w:tcPr>
          <w:p w14:paraId="19CABB7D">
            <w:pPr>
              <w:wordWrap w:val="0"/>
              <w:topLinePunct/>
              <w:adjustRightInd w:val="0"/>
              <w:snapToGrid w:val="0"/>
              <w:jc w:val="center"/>
              <w:rPr>
                <w:color w:val="000000"/>
                <w:szCs w:val="21"/>
              </w:rPr>
            </w:pPr>
            <w:r>
              <w:rPr>
                <w:color w:val="000000"/>
                <w:szCs w:val="21"/>
              </w:rPr>
              <w:t>地理坐标</w:t>
            </w:r>
          </w:p>
        </w:tc>
        <w:tc>
          <w:tcPr>
            <w:tcW w:w="3943" w:type="pct"/>
            <w:gridSpan w:val="3"/>
            <w:vAlign w:val="center"/>
          </w:tcPr>
          <w:p w14:paraId="5AA0579E">
            <w:pPr>
              <w:wordWrap w:val="0"/>
              <w:topLinePunct/>
              <w:adjustRightInd w:val="0"/>
              <w:snapToGrid w:val="0"/>
              <w:jc w:val="center"/>
              <w:rPr>
                <w:color w:val="000000"/>
                <w:szCs w:val="21"/>
              </w:rPr>
            </w:pPr>
            <w:r>
              <w:rPr>
                <w:color w:val="000000"/>
                <w:szCs w:val="21"/>
              </w:rPr>
              <w:t>（ 11</w:t>
            </w:r>
            <w:r>
              <w:rPr>
                <w:rFonts w:hint="eastAsia"/>
                <w:color w:val="000000"/>
                <w:szCs w:val="21"/>
              </w:rPr>
              <w:t>2</w:t>
            </w:r>
            <w:r>
              <w:rPr>
                <w:color w:val="000000"/>
                <w:szCs w:val="21"/>
              </w:rPr>
              <w:t xml:space="preserve"> 度 </w:t>
            </w:r>
            <w:r>
              <w:rPr>
                <w:rFonts w:hint="eastAsia"/>
                <w:color w:val="000000"/>
                <w:szCs w:val="21"/>
              </w:rPr>
              <w:t>37</w:t>
            </w:r>
            <w:r>
              <w:rPr>
                <w:color w:val="000000"/>
                <w:szCs w:val="21"/>
              </w:rPr>
              <w:t xml:space="preserve"> 分 </w:t>
            </w:r>
            <w:r>
              <w:rPr>
                <w:rFonts w:hint="eastAsia"/>
                <w:color w:val="000000"/>
                <w:szCs w:val="21"/>
              </w:rPr>
              <w:t>39.522</w:t>
            </w:r>
            <w:r>
              <w:rPr>
                <w:color w:val="000000"/>
                <w:szCs w:val="21"/>
              </w:rPr>
              <w:t xml:space="preserve"> 秒， 2</w:t>
            </w:r>
            <w:r>
              <w:rPr>
                <w:rFonts w:hint="eastAsia"/>
                <w:color w:val="000000"/>
                <w:szCs w:val="21"/>
              </w:rPr>
              <w:t>6</w:t>
            </w:r>
            <w:r>
              <w:rPr>
                <w:color w:val="000000"/>
                <w:szCs w:val="21"/>
              </w:rPr>
              <w:t xml:space="preserve"> 度 </w:t>
            </w:r>
            <w:r>
              <w:rPr>
                <w:rFonts w:hint="eastAsia"/>
                <w:color w:val="000000"/>
                <w:szCs w:val="21"/>
              </w:rPr>
              <w:t>58</w:t>
            </w:r>
            <w:r>
              <w:rPr>
                <w:color w:val="000000"/>
                <w:szCs w:val="21"/>
              </w:rPr>
              <w:t xml:space="preserve"> 分 </w:t>
            </w:r>
            <w:r>
              <w:rPr>
                <w:rFonts w:hint="eastAsia"/>
                <w:color w:val="000000"/>
                <w:szCs w:val="21"/>
              </w:rPr>
              <w:t>17.214</w:t>
            </w:r>
            <w:r>
              <w:rPr>
                <w:color w:val="000000"/>
                <w:szCs w:val="21"/>
              </w:rPr>
              <w:t xml:space="preserve"> 秒）</w:t>
            </w:r>
          </w:p>
        </w:tc>
      </w:tr>
      <w:tr w14:paraId="48658C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56" w:type="pct"/>
            <w:tcMar>
              <w:top w:w="16" w:type="dxa"/>
              <w:left w:w="16" w:type="dxa"/>
              <w:right w:w="16" w:type="dxa"/>
            </w:tcMar>
            <w:vAlign w:val="center"/>
          </w:tcPr>
          <w:p w14:paraId="1A4C9FC5">
            <w:pPr>
              <w:wordWrap w:val="0"/>
              <w:topLinePunct/>
              <w:adjustRightInd w:val="0"/>
              <w:snapToGrid w:val="0"/>
              <w:jc w:val="center"/>
              <w:rPr>
                <w:szCs w:val="21"/>
              </w:rPr>
            </w:pPr>
            <w:r>
              <w:rPr>
                <w:szCs w:val="21"/>
              </w:rPr>
              <w:t>国民经济</w:t>
            </w:r>
          </w:p>
          <w:p w14:paraId="7466EF34">
            <w:pPr>
              <w:wordWrap w:val="0"/>
              <w:topLinePunct/>
              <w:adjustRightInd w:val="0"/>
              <w:snapToGrid w:val="0"/>
              <w:jc w:val="center"/>
              <w:rPr>
                <w:szCs w:val="21"/>
              </w:rPr>
            </w:pPr>
            <w:r>
              <w:rPr>
                <w:szCs w:val="21"/>
              </w:rPr>
              <w:t>行业类别</w:t>
            </w:r>
          </w:p>
        </w:tc>
        <w:tc>
          <w:tcPr>
            <w:tcW w:w="2323" w:type="dxa"/>
            <w:vAlign w:val="center"/>
          </w:tcPr>
          <w:p w14:paraId="17385201">
            <w:pPr>
              <w:wordWrap w:val="0"/>
              <w:topLinePunct/>
              <w:adjustRightInd w:val="0"/>
              <w:snapToGrid w:val="0"/>
              <w:jc w:val="center"/>
              <w:rPr>
                <w:rFonts w:hint="eastAsia" w:eastAsia="宋体"/>
                <w:szCs w:val="21"/>
                <w:highlight w:val="none"/>
                <w:lang w:eastAsia="zh-CN"/>
              </w:rPr>
            </w:pPr>
            <w:r>
              <w:rPr>
                <w:rFonts w:hint="eastAsia"/>
                <w:szCs w:val="21"/>
                <w:highlight w:val="none"/>
                <w:lang w:eastAsia="zh-CN"/>
              </w:rPr>
              <w:t>C2662专项化学用品制造</w:t>
            </w:r>
          </w:p>
        </w:tc>
        <w:tc>
          <w:tcPr>
            <w:tcW w:w="1946" w:type="dxa"/>
            <w:vAlign w:val="center"/>
          </w:tcPr>
          <w:p w14:paraId="2523BBB5">
            <w:pPr>
              <w:wordWrap w:val="0"/>
              <w:topLinePunct/>
              <w:adjustRightInd w:val="0"/>
              <w:snapToGrid w:val="0"/>
              <w:jc w:val="center"/>
              <w:rPr>
                <w:szCs w:val="21"/>
                <w:highlight w:val="none"/>
              </w:rPr>
            </w:pPr>
            <w:r>
              <w:rPr>
                <w:szCs w:val="21"/>
                <w:highlight w:val="none"/>
              </w:rPr>
              <w:t>建设项目</w:t>
            </w:r>
          </w:p>
          <w:p w14:paraId="52A4A3CD">
            <w:pPr>
              <w:wordWrap w:val="0"/>
              <w:topLinePunct/>
              <w:adjustRightInd w:val="0"/>
              <w:snapToGrid w:val="0"/>
              <w:jc w:val="center"/>
              <w:rPr>
                <w:szCs w:val="21"/>
                <w:highlight w:val="none"/>
              </w:rPr>
            </w:pPr>
            <w:r>
              <w:rPr>
                <w:szCs w:val="21"/>
                <w:highlight w:val="none"/>
              </w:rPr>
              <w:t>行业类别</w:t>
            </w:r>
          </w:p>
        </w:tc>
        <w:tc>
          <w:tcPr>
            <w:tcW w:w="3327" w:type="dxa"/>
            <w:vAlign w:val="center"/>
          </w:tcPr>
          <w:p w14:paraId="1A35AF40">
            <w:pPr>
              <w:wordWrap w:val="0"/>
              <w:topLinePunct/>
              <w:adjustRightInd w:val="0"/>
              <w:snapToGrid w:val="0"/>
              <w:jc w:val="center"/>
              <w:rPr>
                <w:rFonts w:hint="eastAsia" w:eastAsia="宋体"/>
                <w:szCs w:val="21"/>
                <w:highlight w:val="none"/>
                <w:lang w:eastAsia="zh-CN"/>
              </w:rPr>
            </w:pPr>
            <w:r>
              <w:rPr>
                <w:rFonts w:hint="eastAsia"/>
                <w:szCs w:val="21"/>
                <w:highlight w:val="none"/>
                <w:lang w:eastAsia="zh-CN"/>
              </w:rPr>
              <w:t>二十三、化学原料和化学制品制造业-专用化学产品制造266-单纯物理提纯、混合、分装的（不产生废水或挥发性有机物的除外）</w:t>
            </w:r>
          </w:p>
        </w:tc>
      </w:tr>
      <w:tr w14:paraId="5E524B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56" w:type="pct"/>
            <w:tcMar>
              <w:top w:w="16" w:type="dxa"/>
              <w:left w:w="16" w:type="dxa"/>
              <w:right w:w="16" w:type="dxa"/>
            </w:tcMar>
            <w:vAlign w:val="center"/>
          </w:tcPr>
          <w:p w14:paraId="12D1C935">
            <w:pPr>
              <w:wordWrap w:val="0"/>
              <w:topLinePunct/>
              <w:adjustRightInd w:val="0"/>
              <w:snapToGrid w:val="0"/>
              <w:jc w:val="center"/>
              <w:rPr>
                <w:color w:val="000000"/>
                <w:szCs w:val="21"/>
              </w:rPr>
            </w:pPr>
            <w:r>
              <w:rPr>
                <w:color w:val="000000"/>
                <w:szCs w:val="21"/>
              </w:rPr>
              <w:t>建设性质</w:t>
            </w:r>
          </w:p>
        </w:tc>
        <w:tc>
          <w:tcPr>
            <w:tcW w:w="1206" w:type="pct"/>
            <w:vAlign w:val="center"/>
          </w:tcPr>
          <w:p w14:paraId="07C97C89">
            <w:pPr>
              <w:wordWrap w:val="0"/>
              <w:topLinePunct/>
              <w:adjustRightInd w:val="0"/>
              <w:snapToGrid w:val="0"/>
              <w:jc w:val="left"/>
              <w:rPr>
                <w:color w:val="000000"/>
                <w:szCs w:val="21"/>
              </w:rPr>
            </w:pPr>
            <w:r>
              <w:rPr>
                <w:color w:val="000000"/>
                <w:szCs w:val="21"/>
              </w:rPr>
              <w:sym w:font="Wingdings 2" w:char="0052"/>
            </w:r>
            <w:r>
              <w:rPr>
                <w:color w:val="000000"/>
                <w:szCs w:val="21"/>
              </w:rPr>
              <w:t>新建（迁建）</w:t>
            </w:r>
          </w:p>
          <w:p w14:paraId="5252B08F">
            <w:pPr>
              <w:wordWrap w:val="0"/>
              <w:topLinePunct/>
              <w:adjustRightInd w:val="0"/>
              <w:snapToGrid w:val="0"/>
              <w:jc w:val="left"/>
              <w:rPr>
                <w:color w:val="000000"/>
                <w:szCs w:val="21"/>
              </w:rPr>
            </w:pPr>
            <w:r>
              <w:rPr>
                <w:color w:val="000000"/>
                <w:szCs w:val="21"/>
              </w:rPr>
              <w:sym w:font="Wingdings 2" w:char="00A3"/>
            </w:r>
            <w:r>
              <w:rPr>
                <w:color w:val="000000"/>
                <w:szCs w:val="21"/>
              </w:rPr>
              <w:t>改建</w:t>
            </w:r>
          </w:p>
          <w:p w14:paraId="1B975ABF">
            <w:pPr>
              <w:wordWrap w:val="0"/>
              <w:topLinePunct/>
              <w:adjustRightInd w:val="0"/>
              <w:snapToGrid w:val="0"/>
              <w:jc w:val="left"/>
              <w:rPr>
                <w:color w:val="000000"/>
                <w:szCs w:val="21"/>
              </w:rPr>
            </w:pPr>
            <w:r>
              <w:rPr>
                <w:color w:val="000000"/>
                <w:szCs w:val="21"/>
              </w:rPr>
              <w:sym w:font="Wingdings 2" w:char="00A3"/>
            </w:r>
            <w:r>
              <w:rPr>
                <w:color w:val="000000"/>
                <w:szCs w:val="21"/>
              </w:rPr>
              <w:t>扩建</w:t>
            </w:r>
          </w:p>
          <w:p w14:paraId="5089F248">
            <w:pPr>
              <w:wordWrap w:val="0"/>
              <w:topLinePunct/>
              <w:adjustRightInd w:val="0"/>
              <w:snapToGrid w:val="0"/>
              <w:jc w:val="left"/>
              <w:rPr>
                <w:color w:val="000000"/>
                <w:szCs w:val="21"/>
              </w:rPr>
            </w:pPr>
            <w:r>
              <w:rPr>
                <w:color w:val="000000"/>
                <w:szCs w:val="21"/>
              </w:rPr>
              <w:sym w:font="Wingdings 2" w:char="00A3"/>
            </w:r>
            <w:r>
              <w:rPr>
                <w:color w:val="000000"/>
                <w:szCs w:val="21"/>
              </w:rPr>
              <w:t>技术改造</w:t>
            </w:r>
          </w:p>
        </w:tc>
        <w:tc>
          <w:tcPr>
            <w:tcW w:w="1010" w:type="pct"/>
            <w:vAlign w:val="center"/>
          </w:tcPr>
          <w:p w14:paraId="56FD1B90">
            <w:pPr>
              <w:wordWrap w:val="0"/>
              <w:topLinePunct/>
              <w:adjustRightInd w:val="0"/>
              <w:snapToGrid w:val="0"/>
              <w:jc w:val="center"/>
              <w:rPr>
                <w:color w:val="000000"/>
                <w:szCs w:val="21"/>
              </w:rPr>
            </w:pPr>
            <w:r>
              <w:rPr>
                <w:color w:val="000000"/>
                <w:szCs w:val="21"/>
              </w:rPr>
              <w:t>建设项目</w:t>
            </w:r>
          </w:p>
          <w:p w14:paraId="43ADEE49">
            <w:pPr>
              <w:wordWrap w:val="0"/>
              <w:topLinePunct/>
              <w:adjustRightInd w:val="0"/>
              <w:snapToGrid w:val="0"/>
              <w:jc w:val="center"/>
              <w:rPr>
                <w:color w:val="000000"/>
                <w:szCs w:val="21"/>
              </w:rPr>
            </w:pPr>
            <w:r>
              <w:rPr>
                <w:color w:val="000000"/>
                <w:szCs w:val="21"/>
              </w:rPr>
              <w:t>申报情形</w:t>
            </w:r>
          </w:p>
        </w:tc>
        <w:tc>
          <w:tcPr>
            <w:tcW w:w="1726" w:type="pct"/>
            <w:vAlign w:val="center"/>
          </w:tcPr>
          <w:p w14:paraId="378AD116">
            <w:pPr>
              <w:wordWrap w:val="0"/>
              <w:topLinePunct/>
              <w:adjustRightInd w:val="0"/>
              <w:snapToGrid w:val="0"/>
              <w:jc w:val="left"/>
              <w:rPr>
                <w:color w:val="000000"/>
                <w:szCs w:val="21"/>
              </w:rPr>
            </w:pPr>
            <w:r>
              <w:rPr>
                <w:color w:val="000000"/>
                <w:szCs w:val="21"/>
              </w:rPr>
              <w:sym w:font="Wingdings 2" w:char="0052"/>
            </w:r>
            <w:r>
              <w:rPr>
                <w:color w:val="000000"/>
                <w:szCs w:val="21"/>
              </w:rPr>
              <w:t>首次申报项目</w:t>
            </w:r>
          </w:p>
          <w:p w14:paraId="58C75C10">
            <w:pPr>
              <w:wordWrap w:val="0"/>
              <w:topLinePunct/>
              <w:adjustRightInd w:val="0"/>
              <w:snapToGrid w:val="0"/>
              <w:jc w:val="left"/>
              <w:rPr>
                <w:color w:val="000000"/>
                <w:szCs w:val="21"/>
              </w:rPr>
            </w:pPr>
            <w:r>
              <w:rPr>
                <w:color w:val="000000"/>
                <w:szCs w:val="21"/>
              </w:rPr>
              <w:sym w:font="Wingdings 2" w:char="00A3"/>
            </w:r>
            <w:r>
              <w:rPr>
                <w:color w:val="000000"/>
                <w:szCs w:val="21"/>
              </w:rPr>
              <w:t>不予批准后再次申报项目</w:t>
            </w:r>
          </w:p>
          <w:p w14:paraId="716FB405">
            <w:pPr>
              <w:wordWrap w:val="0"/>
              <w:topLinePunct/>
              <w:adjustRightInd w:val="0"/>
              <w:snapToGrid w:val="0"/>
              <w:jc w:val="left"/>
              <w:rPr>
                <w:color w:val="000000"/>
                <w:szCs w:val="21"/>
              </w:rPr>
            </w:pPr>
            <w:r>
              <w:rPr>
                <w:color w:val="000000"/>
                <w:szCs w:val="21"/>
              </w:rPr>
              <w:sym w:font="Wingdings 2" w:char="00A3"/>
            </w:r>
            <w:r>
              <w:rPr>
                <w:color w:val="000000"/>
                <w:szCs w:val="21"/>
              </w:rPr>
              <w:t>超五年重新审核项目</w:t>
            </w:r>
          </w:p>
          <w:p w14:paraId="6ED10238">
            <w:pPr>
              <w:wordWrap w:val="0"/>
              <w:topLinePunct/>
              <w:adjustRightInd w:val="0"/>
              <w:snapToGrid w:val="0"/>
              <w:jc w:val="left"/>
              <w:rPr>
                <w:color w:val="000000"/>
                <w:szCs w:val="21"/>
              </w:rPr>
            </w:pPr>
            <w:r>
              <w:rPr>
                <w:color w:val="000000"/>
                <w:szCs w:val="21"/>
              </w:rPr>
              <w:sym w:font="Wingdings 2" w:char="00A3"/>
            </w:r>
            <w:r>
              <w:rPr>
                <w:color w:val="000000"/>
                <w:szCs w:val="21"/>
              </w:rPr>
              <w:t>重大变动重新报批项目</w:t>
            </w:r>
          </w:p>
        </w:tc>
      </w:tr>
      <w:tr w14:paraId="4601C9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56" w:type="pct"/>
            <w:tcMar>
              <w:top w:w="16" w:type="dxa"/>
              <w:left w:w="16" w:type="dxa"/>
              <w:right w:w="16" w:type="dxa"/>
            </w:tcMar>
            <w:vAlign w:val="center"/>
          </w:tcPr>
          <w:p w14:paraId="3B4A828E">
            <w:pPr>
              <w:wordWrap w:val="0"/>
              <w:topLinePunct/>
              <w:adjustRightInd w:val="0"/>
              <w:snapToGrid w:val="0"/>
              <w:jc w:val="center"/>
              <w:rPr>
                <w:color w:val="000000"/>
                <w:szCs w:val="21"/>
              </w:rPr>
            </w:pPr>
            <w:r>
              <w:rPr>
                <w:color w:val="000000"/>
                <w:szCs w:val="21"/>
              </w:rPr>
              <w:t>项目审批（核准/备案）部门（选填）</w:t>
            </w:r>
          </w:p>
        </w:tc>
        <w:tc>
          <w:tcPr>
            <w:tcW w:w="1206" w:type="pct"/>
            <w:vAlign w:val="center"/>
          </w:tcPr>
          <w:p w14:paraId="75BCA846">
            <w:pPr>
              <w:wordWrap w:val="0"/>
              <w:topLinePunct/>
              <w:adjustRightInd w:val="0"/>
              <w:snapToGrid w:val="0"/>
              <w:jc w:val="center"/>
              <w:rPr>
                <w:color w:val="000000"/>
                <w:szCs w:val="21"/>
              </w:rPr>
            </w:pPr>
            <w:r>
              <w:rPr>
                <w:rFonts w:hint="eastAsia" w:ascii="Times New Roman" w:cs="Times New Roman"/>
                <w:szCs w:val="21"/>
                <w:lang w:val="en-US" w:eastAsia="zh-CN"/>
              </w:rPr>
              <w:t>湖南衡阳松木经济开发区管理委员会产业发展与经济合作局</w:t>
            </w:r>
          </w:p>
        </w:tc>
        <w:tc>
          <w:tcPr>
            <w:tcW w:w="1010" w:type="pct"/>
            <w:vAlign w:val="center"/>
          </w:tcPr>
          <w:p w14:paraId="44AF73D5">
            <w:pPr>
              <w:wordWrap w:val="0"/>
              <w:topLinePunct/>
              <w:adjustRightInd w:val="0"/>
              <w:snapToGrid w:val="0"/>
              <w:jc w:val="center"/>
              <w:rPr>
                <w:szCs w:val="21"/>
              </w:rPr>
            </w:pPr>
            <w:r>
              <w:rPr>
                <w:szCs w:val="21"/>
              </w:rPr>
              <w:t>项目审批（核准/备案）文号（选填）</w:t>
            </w:r>
          </w:p>
        </w:tc>
        <w:tc>
          <w:tcPr>
            <w:tcW w:w="1726" w:type="pct"/>
            <w:vAlign w:val="center"/>
          </w:tcPr>
          <w:p w14:paraId="12076918">
            <w:pPr>
              <w:wordWrap w:val="0"/>
              <w:topLinePunct/>
              <w:adjustRightInd w:val="0"/>
              <w:snapToGrid w:val="0"/>
              <w:jc w:val="center"/>
              <w:rPr>
                <w:rFonts w:hint="default" w:eastAsia="宋体"/>
                <w:szCs w:val="21"/>
                <w:lang w:val="en-US" w:eastAsia="zh-CN"/>
              </w:rPr>
            </w:pPr>
            <w:r>
              <w:rPr>
                <w:rFonts w:hint="eastAsia"/>
                <w:szCs w:val="21"/>
                <w:lang w:eastAsia="zh-CN"/>
              </w:rPr>
              <w:t>衡松备案</w:t>
            </w:r>
            <w:r>
              <w:rPr>
                <w:rFonts w:hint="eastAsia"/>
                <w:szCs w:val="21"/>
                <w:lang w:val="en-US" w:eastAsia="zh-CN"/>
              </w:rPr>
              <w:t>[2024]17号</w:t>
            </w:r>
          </w:p>
        </w:tc>
      </w:tr>
      <w:tr w14:paraId="537E88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56" w:type="pct"/>
            <w:tcMar>
              <w:top w:w="16" w:type="dxa"/>
              <w:left w:w="16" w:type="dxa"/>
              <w:right w:w="16" w:type="dxa"/>
            </w:tcMar>
            <w:vAlign w:val="center"/>
          </w:tcPr>
          <w:p w14:paraId="04794E6D">
            <w:pPr>
              <w:wordWrap w:val="0"/>
              <w:topLinePunct/>
              <w:adjustRightInd w:val="0"/>
              <w:snapToGrid w:val="0"/>
              <w:jc w:val="center"/>
              <w:rPr>
                <w:szCs w:val="21"/>
              </w:rPr>
            </w:pPr>
            <w:r>
              <w:rPr>
                <w:szCs w:val="21"/>
              </w:rPr>
              <w:t>总投资（万元）</w:t>
            </w:r>
          </w:p>
        </w:tc>
        <w:tc>
          <w:tcPr>
            <w:tcW w:w="1206" w:type="pct"/>
            <w:vAlign w:val="center"/>
          </w:tcPr>
          <w:p w14:paraId="35255AFA">
            <w:pPr>
              <w:wordWrap w:val="0"/>
              <w:topLinePunct/>
              <w:adjustRightInd w:val="0"/>
              <w:snapToGrid w:val="0"/>
              <w:jc w:val="center"/>
              <w:rPr>
                <w:rFonts w:hint="default" w:eastAsia="宋体"/>
                <w:szCs w:val="21"/>
                <w:highlight w:val="none"/>
                <w:lang w:val="en-US" w:eastAsia="zh-CN"/>
              </w:rPr>
            </w:pPr>
            <w:r>
              <w:rPr>
                <w:rFonts w:hint="eastAsia"/>
                <w:szCs w:val="21"/>
                <w:highlight w:val="none"/>
                <w:lang w:val="en-US" w:eastAsia="zh-CN"/>
              </w:rPr>
              <w:t>***</w:t>
            </w:r>
          </w:p>
        </w:tc>
        <w:tc>
          <w:tcPr>
            <w:tcW w:w="1010" w:type="pct"/>
            <w:tcMar>
              <w:top w:w="16" w:type="dxa"/>
              <w:left w:w="16" w:type="dxa"/>
              <w:right w:w="16" w:type="dxa"/>
            </w:tcMar>
            <w:vAlign w:val="center"/>
          </w:tcPr>
          <w:p w14:paraId="231CB626">
            <w:pPr>
              <w:wordWrap w:val="0"/>
              <w:topLinePunct/>
              <w:adjustRightInd w:val="0"/>
              <w:snapToGrid w:val="0"/>
              <w:jc w:val="center"/>
              <w:rPr>
                <w:szCs w:val="21"/>
                <w:highlight w:val="none"/>
              </w:rPr>
            </w:pPr>
            <w:r>
              <w:rPr>
                <w:szCs w:val="21"/>
                <w:highlight w:val="none"/>
              </w:rPr>
              <w:t>环保投资（万元）</w:t>
            </w:r>
          </w:p>
        </w:tc>
        <w:tc>
          <w:tcPr>
            <w:tcW w:w="1726" w:type="pct"/>
            <w:vAlign w:val="center"/>
          </w:tcPr>
          <w:p w14:paraId="0AB56650">
            <w:pPr>
              <w:wordWrap w:val="0"/>
              <w:topLinePunct/>
              <w:adjustRightInd w:val="0"/>
              <w:snapToGrid w:val="0"/>
              <w:jc w:val="center"/>
              <w:rPr>
                <w:rFonts w:hint="default" w:eastAsia="宋体"/>
                <w:szCs w:val="21"/>
                <w:highlight w:val="none"/>
                <w:lang w:val="en-US" w:eastAsia="zh-CN"/>
              </w:rPr>
            </w:pPr>
            <w:r>
              <w:rPr>
                <w:rFonts w:hint="eastAsia"/>
                <w:szCs w:val="21"/>
                <w:highlight w:val="none"/>
                <w:lang w:val="en-US" w:eastAsia="zh-CN"/>
              </w:rPr>
              <w:t>***</w:t>
            </w:r>
          </w:p>
        </w:tc>
      </w:tr>
      <w:tr w14:paraId="3A3B05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56" w:type="pct"/>
            <w:tcMar>
              <w:top w:w="16" w:type="dxa"/>
              <w:left w:w="16" w:type="dxa"/>
              <w:right w:w="16" w:type="dxa"/>
            </w:tcMar>
            <w:vAlign w:val="center"/>
          </w:tcPr>
          <w:p w14:paraId="37962A0A">
            <w:pPr>
              <w:wordWrap w:val="0"/>
              <w:topLinePunct/>
              <w:adjustRightInd w:val="0"/>
              <w:snapToGrid w:val="0"/>
              <w:jc w:val="center"/>
              <w:rPr>
                <w:szCs w:val="21"/>
              </w:rPr>
            </w:pPr>
            <w:r>
              <w:rPr>
                <w:szCs w:val="21"/>
              </w:rPr>
              <w:t>环保投资占比（%）</w:t>
            </w:r>
          </w:p>
        </w:tc>
        <w:tc>
          <w:tcPr>
            <w:tcW w:w="1206" w:type="pct"/>
            <w:vAlign w:val="center"/>
          </w:tcPr>
          <w:p w14:paraId="08944848">
            <w:pPr>
              <w:wordWrap w:val="0"/>
              <w:topLinePunct/>
              <w:adjustRightInd w:val="0"/>
              <w:snapToGrid w:val="0"/>
              <w:jc w:val="center"/>
              <w:rPr>
                <w:rFonts w:hint="default" w:eastAsia="宋体"/>
                <w:szCs w:val="21"/>
                <w:highlight w:val="none"/>
                <w:lang w:val="en-US" w:eastAsia="zh-CN"/>
              </w:rPr>
            </w:pPr>
            <w:r>
              <w:rPr>
                <w:rFonts w:hint="eastAsia"/>
                <w:szCs w:val="21"/>
                <w:highlight w:val="none"/>
                <w:lang w:val="en-US" w:eastAsia="zh-CN"/>
              </w:rPr>
              <w:t>***</w:t>
            </w:r>
          </w:p>
        </w:tc>
        <w:tc>
          <w:tcPr>
            <w:tcW w:w="1010" w:type="pct"/>
            <w:tcMar>
              <w:top w:w="16" w:type="dxa"/>
              <w:left w:w="16" w:type="dxa"/>
              <w:right w:w="16" w:type="dxa"/>
            </w:tcMar>
            <w:vAlign w:val="center"/>
          </w:tcPr>
          <w:p w14:paraId="7BEC4E11">
            <w:pPr>
              <w:wordWrap w:val="0"/>
              <w:topLinePunct/>
              <w:adjustRightInd w:val="0"/>
              <w:snapToGrid w:val="0"/>
              <w:jc w:val="center"/>
              <w:rPr>
                <w:szCs w:val="21"/>
                <w:highlight w:val="none"/>
              </w:rPr>
            </w:pPr>
            <w:r>
              <w:rPr>
                <w:szCs w:val="21"/>
                <w:highlight w:val="none"/>
              </w:rPr>
              <w:t>施工工期</w:t>
            </w:r>
          </w:p>
        </w:tc>
        <w:tc>
          <w:tcPr>
            <w:tcW w:w="1726" w:type="pct"/>
            <w:vAlign w:val="center"/>
          </w:tcPr>
          <w:p w14:paraId="49F6A251">
            <w:pPr>
              <w:wordWrap w:val="0"/>
              <w:topLinePunct/>
              <w:adjustRightInd w:val="0"/>
              <w:snapToGrid w:val="0"/>
              <w:jc w:val="center"/>
              <w:rPr>
                <w:szCs w:val="21"/>
                <w:highlight w:val="none"/>
              </w:rPr>
            </w:pPr>
            <w:r>
              <w:rPr>
                <w:rFonts w:hint="eastAsia"/>
                <w:szCs w:val="21"/>
                <w:highlight w:val="none"/>
              </w:rPr>
              <w:t>3</w:t>
            </w:r>
            <w:r>
              <w:rPr>
                <w:szCs w:val="21"/>
                <w:highlight w:val="none"/>
              </w:rPr>
              <w:t>个月</w:t>
            </w:r>
          </w:p>
        </w:tc>
      </w:tr>
      <w:tr w14:paraId="0DAD3E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56" w:type="pct"/>
            <w:tcMar>
              <w:top w:w="16" w:type="dxa"/>
              <w:left w:w="16" w:type="dxa"/>
              <w:right w:w="16" w:type="dxa"/>
            </w:tcMar>
            <w:vAlign w:val="center"/>
          </w:tcPr>
          <w:p w14:paraId="4FBB1A89">
            <w:pPr>
              <w:wordWrap w:val="0"/>
              <w:topLinePunct/>
              <w:adjustRightInd w:val="0"/>
              <w:snapToGrid w:val="0"/>
              <w:jc w:val="center"/>
              <w:rPr>
                <w:szCs w:val="21"/>
              </w:rPr>
            </w:pPr>
            <w:r>
              <w:rPr>
                <w:szCs w:val="21"/>
              </w:rPr>
              <w:t>是否开工建设</w:t>
            </w:r>
          </w:p>
        </w:tc>
        <w:tc>
          <w:tcPr>
            <w:tcW w:w="1206" w:type="pct"/>
            <w:vAlign w:val="center"/>
          </w:tcPr>
          <w:p w14:paraId="73B9C8DC">
            <w:pPr>
              <w:wordWrap w:val="0"/>
              <w:topLinePunct/>
              <w:adjustRightInd w:val="0"/>
              <w:snapToGrid w:val="0"/>
              <w:rPr>
                <w:szCs w:val="21"/>
              </w:rPr>
            </w:pPr>
            <w:r>
              <w:rPr>
                <w:szCs w:val="21"/>
              </w:rPr>
              <w:sym w:font="Wingdings 2" w:char="0052"/>
            </w:r>
            <w:r>
              <w:rPr>
                <w:szCs w:val="21"/>
              </w:rPr>
              <w:t>否</w:t>
            </w:r>
          </w:p>
          <w:p w14:paraId="1DBF2BAB">
            <w:pPr>
              <w:wordWrap w:val="0"/>
              <w:topLinePunct/>
              <w:adjustRightInd w:val="0"/>
              <w:snapToGrid w:val="0"/>
              <w:rPr>
                <w:szCs w:val="21"/>
              </w:rPr>
            </w:pPr>
            <w:r>
              <w:rPr>
                <w:szCs w:val="21"/>
              </w:rPr>
              <w:sym w:font="Wingdings 2" w:char="00A3"/>
            </w:r>
            <w:r>
              <w:rPr>
                <w:szCs w:val="21"/>
              </w:rPr>
              <w:t>是：</w:t>
            </w:r>
            <w:r>
              <w:rPr>
                <w:szCs w:val="21"/>
                <w:u w:val="single"/>
              </w:rPr>
              <w:t xml:space="preserve">          </w:t>
            </w:r>
          </w:p>
        </w:tc>
        <w:tc>
          <w:tcPr>
            <w:tcW w:w="1010" w:type="pct"/>
            <w:tcMar>
              <w:top w:w="16" w:type="dxa"/>
              <w:left w:w="16" w:type="dxa"/>
              <w:right w:w="16" w:type="dxa"/>
            </w:tcMar>
            <w:vAlign w:val="center"/>
          </w:tcPr>
          <w:p w14:paraId="424B0629">
            <w:pPr>
              <w:wordWrap w:val="0"/>
              <w:topLinePunct/>
              <w:adjustRightInd w:val="0"/>
              <w:snapToGrid w:val="0"/>
              <w:jc w:val="center"/>
              <w:rPr>
                <w:szCs w:val="21"/>
              </w:rPr>
            </w:pPr>
            <w:r>
              <w:rPr>
                <w:spacing w:val="-6"/>
                <w:szCs w:val="21"/>
              </w:rPr>
              <w:t>用地面积（m</w:t>
            </w:r>
            <w:r>
              <w:rPr>
                <w:spacing w:val="-6"/>
                <w:szCs w:val="21"/>
                <w:vertAlign w:val="superscript"/>
              </w:rPr>
              <w:t>2</w:t>
            </w:r>
            <w:r>
              <w:rPr>
                <w:spacing w:val="-6"/>
                <w:szCs w:val="21"/>
              </w:rPr>
              <w:t>）</w:t>
            </w:r>
          </w:p>
        </w:tc>
        <w:tc>
          <w:tcPr>
            <w:tcW w:w="1726" w:type="pct"/>
            <w:vAlign w:val="center"/>
          </w:tcPr>
          <w:p w14:paraId="05F45046">
            <w:pPr>
              <w:wordWrap w:val="0"/>
              <w:topLinePunct/>
              <w:adjustRightInd w:val="0"/>
              <w:snapToGrid w:val="0"/>
              <w:jc w:val="center"/>
              <w:rPr>
                <w:rFonts w:hint="eastAsia" w:eastAsia="宋体"/>
                <w:szCs w:val="21"/>
                <w:lang w:eastAsia="zh-CN"/>
              </w:rPr>
            </w:pPr>
            <w:r>
              <w:rPr>
                <w:rFonts w:hint="eastAsia"/>
                <w:szCs w:val="32"/>
                <w:lang w:eastAsia="zh-CN"/>
              </w:rPr>
              <w:t>3610</w:t>
            </w:r>
          </w:p>
        </w:tc>
      </w:tr>
      <w:tr w14:paraId="0E2937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056" w:type="pct"/>
            <w:vAlign w:val="center"/>
          </w:tcPr>
          <w:p w14:paraId="00C6B74A">
            <w:pPr>
              <w:wordWrap w:val="0"/>
              <w:topLinePunct/>
              <w:adjustRightInd w:val="0"/>
              <w:snapToGrid w:val="0"/>
              <w:jc w:val="center"/>
              <w:rPr>
                <w:kern w:val="0"/>
                <w:szCs w:val="21"/>
              </w:rPr>
            </w:pPr>
            <w:r>
              <w:rPr>
                <w:kern w:val="0"/>
                <w:szCs w:val="21"/>
              </w:rPr>
              <w:t>专项评价</w:t>
            </w:r>
          </w:p>
          <w:p w14:paraId="11E42FED">
            <w:pPr>
              <w:wordWrap w:val="0"/>
              <w:topLinePunct/>
              <w:adjustRightInd w:val="0"/>
              <w:snapToGrid w:val="0"/>
              <w:jc w:val="center"/>
              <w:rPr>
                <w:color w:val="2F5496"/>
                <w:kern w:val="0"/>
                <w:szCs w:val="21"/>
              </w:rPr>
            </w:pPr>
            <w:r>
              <w:rPr>
                <w:kern w:val="0"/>
                <w:szCs w:val="21"/>
              </w:rPr>
              <w:t>设置情况</w:t>
            </w:r>
          </w:p>
        </w:tc>
        <w:tc>
          <w:tcPr>
            <w:tcW w:w="3943" w:type="pct"/>
            <w:gridSpan w:val="3"/>
            <w:vAlign w:val="center"/>
          </w:tcPr>
          <w:p w14:paraId="5E12F9A2">
            <w:pPr>
              <w:wordWrap w:val="0"/>
              <w:topLinePunct/>
              <w:spacing w:line="360" w:lineRule="auto"/>
              <w:ind w:firstLine="480" w:firstLineChars="200"/>
              <w:rPr>
                <w:rFonts w:hint="eastAsia" w:eastAsia="宋体"/>
                <w:kern w:val="0"/>
                <w:szCs w:val="21"/>
                <w:u w:val="single"/>
                <w:lang w:eastAsia="zh-CN"/>
              </w:rPr>
            </w:pPr>
            <w:r>
              <w:rPr>
                <w:rFonts w:hint="eastAsia"/>
                <w:kern w:val="0"/>
                <w:szCs w:val="21"/>
                <w:u w:val="single"/>
                <w:lang w:eastAsia="zh-CN"/>
              </w:rPr>
              <w:t>项目专项设置判定依据如下：</w:t>
            </w:r>
          </w:p>
          <w:tbl>
            <w:tblPr>
              <w:tblStyle w:val="36"/>
              <w:tblW w:w="4997"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942"/>
              <w:gridCol w:w="3612"/>
              <w:gridCol w:w="1923"/>
              <w:gridCol w:w="879"/>
            </w:tblGrid>
            <w:tr w14:paraId="5A6B62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 w:hRule="atLeast"/>
              </w:trPr>
              <w:tc>
                <w:tcPr>
                  <w:tcW w:w="640" w:type="pct"/>
                  <w:tcBorders>
                    <w:bottom w:val="single" w:color="000000" w:sz="4" w:space="0"/>
                    <w:right w:val="single" w:color="000000" w:sz="4" w:space="0"/>
                  </w:tcBorders>
                  <w:noWrap w:val="0"/>
                  <w:vAlign w:val="center"/>
                </w:tcPr>
                <w:p w14:paraId="23CC51A1">
                  <w:pPr>
                    <w:keepNext w:val="0"/>
                    <w:keepLines w:val="0"/>
                    <w:pageBreakBefore w:val="0"/>
                    <w:widowControl w:val="0"/>
                    <w:kinsoku/>
                    <w:wordWrap/>
                    <w:overflowPunct/>
                    <w:topLinePunct w:val="0"/>
                    <w:autoSpaceDE w:val="0"/>
                    <w:autoSpaceDN w:val="0"/>
                    <w:bidi w:val="0"/>
                    <w:adjustRightInd w:val="0"/>
                    <w:snapToGrid w:val="0"/>
                    <w:jc w:val="center"/>
                    <w:textAlignment w:val="auto"/>
                    <w:rPr>
                      <w:rFonts w:ascii="Times New Roman" w:hAnsi="Times New Roman"/>
                      <w:kern w:val="21"/>
                      <w:sz w:val="21"/>
                      <w:szCs w:val="21"/>
                      <w:u w:val="single"/>
                    </w:rPr>
                  </w:pPr>
                  <w:r>
                    <w:rPr>
                      <w:rFonts w:ascii="Times New Roman" w:hAnsi="Times New Roman"/>
                      <w:kern w:val="21"/>
                      <w:sz w:val="21"/>
                      <w:szCs w:val="21"/>
                      <w:u w:val="single"/>
                    </w:rPr>
                    <w:t>专项评价的类别</w:t>
                  </w:r>
                </w:p>
              </w:tc>
              <w:tc>
                <w:tcPr>
                  <w:tcW w:w="2455" w:type="pct"/>
                  <w:tcBorders>
                    <w:left w:val="single" w:color="000000" w:sz="4" w:space="0"/>
                    <w:bottom w:val="single" w:color="000000" w:sz="4" w:space="0"/>
                  </w:tcBorders>
                  <w:noWrap w:val="0"/>
                  <w:vAlign w:val="center"/>
                </w:tcPr>
                <w:p w14:paraId="29327F39">
                  <w:pPr>
                    <w:keepNext w:val="0"/>
                    <w:keepLines w:val="0"/>
                    <w:pageBreakBefore w:val="0"/>
                    <w:widowControl w:val="0"/>
                    <w:kinsoku/>
                    <w:wordWrap/>
                    <w:overflowPunct/>
                    <w:topLinePunct w:val="0"/>
                    <w:autoSpaceDE w:val="0"/>
                    <w:autoSpaceDN w:val="0"/>
                    <w:bidi w:val="0"/>
                    <w:adjustRightInd w:val="0"/>
                    <w:snapToGrid w:val="0"/>
                    <w:jc w:val="center"/>
                    <w:textAlignment w:val="auto"/>
                    <w:rPr>
                      <w:rFonts w:ascii="Times New Roman" w:hAnsi="Times New Roman"/>
                      <w:kern w:val="21"/>
                      <w:sz w:val="21"/>
                      <w:szCs w:val="21"/>
                      <w:u w:val="single"/>
                    </w:rPr>
                  </w:pPr>
                  <w:r>
                    <w:rPr>
                      <w:rFonts w:ascii="Times New Roman" w:hAnsi="Times New Roman"/>
                      <w:kern w:val="21"/>
                      <w:sz w:val="21"/>
                      <w:szCs w:val="21"/>
                      <w:u w:val="single"/>
                    </w:rPr>
                    <w:t>设置原则</w:t>
                  </w:r>
                </w:p>
              </w:tc>
              <w:tc>
                <w:tcPr>
                  <w:tcW w:w="1307" w:type="pct"/>
                  <w:tcBorders>
                    <w:left w:val="single" w:color="000000" w:sz="4" w:space="0"/>
                    <w:bottom w:val="single" w:color="000000" w:sz="4" w:space="0"/>
                  </w:tcBorders>
                  <w:noWrap w:val="0"/>
                  <w:vAlign w:val="center"/>
                </w:tcPr>
                <w:p w14:paraId="6653CAA7">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Times New Roman" w:hAnsi="Times New Roman" w:eastAsia="宋体"/>
                      <w:kern w:val="21"/>
                      <w:sz w:val="21"/>
                      <w:szCs w:val="21"/>
                      <w:u w:val="single"/>
                      <w:lang w:eastAsia="zh-CN"/>
                    </w:rPr>
                  </w:pPr>
                  <w:r>
                    <w:rPr>
                      <w:rFonts w:hint="eastAsia" w:ascii="Times New Roman" w:hAnsi="Times New Roman"/>
                      <w:kern w:val="21"/>
                      <w:sz w:val="21"/>
                      <w:szCs w:val="21"/>
                      <w:u w:val="single"/>
                      <w:lang w:eastAsia="zh-CN"/>
                    </w:rPr>
                    <w:t>本项目情况</w:t>
                  </w:r>
                </w:p>
              </w:tc>
              <w:tc>
                <w:tcPr>
                  <w:tcW w:w="597" w:type="pct"/>
                  <w:tcBorders>
                    <w:left w:val="single" w:color="000000" w:sz="4" w:space="0"/>
                    <w:bottom w:val="single" w:color="000000" w:sz="4" w:space="0"/>
                  </w:tcBorders>
                  <w:noWrap w:val="0"/>
                  <w:vAlign w:val="center"/>
                </w:tcPr>
                <w:p w14:paraId="0247EDBA">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Times New Roman" w:hAnsi="Times New Roman"/>
                      <w:kern w:val="21"/>
                      <w:sz w:val="21"/>
                      <w:szCs w:val="21"/>
                      <w:u w:val="single"/>
                      <w:lang w:eastAsia="zh-CN"/>
                    </w:rPr>
                  </w:pPr>
                  <w:r>
                    <w:rPr>
                      <w:rFonts w:hint="eastAsia" w:ascii="Times New Roman" w:hAnsi="Times New Roman"/>
                      <w:kern w:val="21"/>
                      <w:sz w:val="21"/>
                      <w:szCs w:val="21"/>
                      <w:u w:val="single"/>
                      <w:lang w:eastAsia="zh-CN"/>
                    </w:rPr>
                    <w:t>是否需设置专项</w:t>
                  </w:r>
                </w:p>
              </w:tc>
            </w:tr>
            <w:tr w14:paraId="0CCD63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 w:hRule="atLeast"/>
              </w:trPr>
              <w:tc>
                <w:tcPr>
                  <w:tcW w:w="640" w:type="pct"/>
                  <w:tcBorders>
                    <w:top w:val="single" w:color="000000" w:sz="4" w:space="0"/>
                    <w:bottom w:val="single" w:color="000000" w:sz="4" w:space="0"/>
                    <w:right w:val="single" w:color="000000" w:sz="4" w:space="0"/>
                  </w:tcBorders>
                  <w:noWrap w:val="0"/>
                  <w:vAlign w:val="center"/>
                </w:tcPr>
                <w:p w14:paraId="478D4D9F">
                  <w:pPr>
                    <w:keepNext w:val="0"/>
                    <w:keepLines w:val="0"/>
                    <w:pageBreakBefore w:val="0"/>
                    <w:widowControl w:val="0"/>
                    <w:kinsoku/>
                    <w:wordWrap/>
                    <w:overflowPunct/>
                    <w:topLinePunct w:val="0"/>
                    <w:autoSpaceDE w:val="0"/>
                    <w:autoSpaceDN w:val="0"/>
                    <w:bidi w:val="0"/>
                    <w:adjustRightInd w:val="0"/>
                    <w:snapToGrid w:val="0"/>
                    <w:jc w:val="center"/>
                    <w:textAlignment w:val="auto"/>
                    <w:rPr>
                      <w:rFonts w:ascii="Times New Roman" w:hAnsi="Times New Roman"/>
                      <w:kern w:val="21"/>
                      <w:sz w:val="21"/>
                      <w:szCs w:val="21"/>
                      <w:u w:val="single"/>
                    </w:rPr>
                  </w:pPr>
                  <w:r>
                    <w:rPr>
                      <w:rFonts w:ascii="Times New Roman" w:hAnsi="Times New Roman"/>
                      <w:kern w:val="21"/>
                      <w:sz w:val="21"/>
                      <w:szCs w:val="21"/>
                      <w:u w:val="single"/>
                    </w:rPr>
                    <w:t>大气</w:t>
                  </w:r>
                </w:p>
              </w:tc>
              <w:tc>
                <w:tcPr>
                  <w:tcW w:w="2455" w:type="pct"/>
                  <w:tcBorders>
                    <w:top w:val="single" w:color="000000" w:sz="4" w:space="0"/>
                    <w:left w:val="single" w:color="000000" w:sz="4" w:space="0"/>
                    <w:bottom w:val="single" w:color="000000" w:sz="4" w:space="0"/>
                  </w:tcBorders>
                  <w:noWrap w:val="0"/>
                  <w:vAlign w:val="center"/>
                </w:tcPr>
                <w:p w14:paraId="65A18F3A">
                  <w:pPr>
                    <w:keepNext w:val="0"/>
                    <w:keepLines w:val="0"/>
                    <w:pageBreakBefore w:val="0"/>
                    <w:widowControl w:val="0"/>
                    <w:kinsoku/>
                    <w:wordWrap/>
                    <w:overflowPunct/>
                    <w:topLinePunct w:val="0"/>
                    <w:autoSpaceDE w:val="0"/>
                    <w:autoSpaceDN w:val="0"/>
                    <w:bidi w:val="0"/>
                    <w:adjustRightInd w:val="0"/>
                    <w:snapToGrid w:val="0"/>
                    <w:jc w:val="center"/>
                    <w:textAlignment w:val="auto"/>
                    <w:rPr>
                      <w:rFonts w:ascii="Times New Roman" w:hAnsi="Times New Roman"/>
                      <w:kern w:val="21"/>
                      <w:sz w:val="21"/>
                      <w:szCs w:val="21"/>
                      <w:u w:val="single"/>
                    </w:rPr>
                  </w:pPr>
                  <w:r>
                    <w:rPr>
                      <w:rFonts w:ascii="Times New Roman" w:hAnsi="Times New Roman"/>
                      <w:kern w:val="21"/>
                      <w:sz w:val="21"/>
                      <w:szCs w:val="21"/>
                      <w:u w:val="single"/>
                    </w:rPr>
                    <w:t>排放废气含有毒有害污染物、二噁英、苯并[a]芘、氰化物、氯气且厂界外500 米范围内有环境空气保护目标的建设项目</w:t>
                  </w:r>
                </w:p>
              </w:tc>
              <w:tc>
                <w:tcPr>
                  <w:tcW w:w="1307" w:type="pct"/>
                  <w:tcBorders>
                    <w:top w:val="single" w:color="000000" w:sz="4" w:space="0"/>
                    <w:left w:val="single" w:color="000000" w:sz="4" w:space="0"/>
                    <w:bottom w:val="single" w:color="000000" w:sz="4" w:space="0"/>
                  </w:tcBorders>
                  <w:noWrap w:val="0"/>
                  <w:vAlign w:val="center"/>
                </w:tcPr>
                <w:p w14:paraId="0AD18F97">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Times New Roman" w:hAnsi="Times New Roman" w:eastAsia="宋体"/>
                      <w:kern w:val="21"/>
                      <w:sz w:val="21"/>
                      <w:szCs w:val="21"/>
                      <w:u w:val="single"/>
                      <w:lang w:eastAsia="zh-CN"/>
                    </w:rPr>
                  </w:pPr>
                  <w:r>
                    <w:rPr>
                      <w:rFonts w:hint="eastAsia" w:ascii="Times New Roman" w:hAnsi="Times New Roman"/>
                      <w:kern w:val="21"/>
                      <w:sz w:val="21"/>
                      <w:szCs w:val="21"/>
                      <w:u w:val="single"/>
                      <w:lang w:eastAsia="zh-CN"/>
                    </w:rPr>
                    <w:t>本项目不涉及有毒有害污染物</w:t>
                  </w:r>
                </w:p>
              </w:tc>
              <w:tc>
                <w:tcPr>
                  <w:tcW w:w="597" w:type="pct"/>
                  <w:tcBorders>
                    <w:top w:val="single" w:color="000000" w:sz="4" w:space="0"/>
                    <w:left w:val="single" w:color="000000" w:sz="4" w:space="0"/>
                    <w:bottom w:val="single" w:color="000000" w:sz="4" w:space="0"/>
                  </w:tcBorders>
                  <w:noWrap w:val="0"/>
                  <w:vAlign w:val="center"/>
                </w:tcPr>
                <w:p w14:paraId="00E2B147">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Times New Roman" w:hAnsi="Times New Roman"/>
                      <w:kern w:val="21"/>
                      <w:sz w:val="21"/>
                      <w:szCs w:val="21"/>
                      <w:u w:val="single"/>
                      <w:lang w:eastAsia="zh-CN"/>
                    </w:rPr>
                  </w:pPr>
                  <w:r>
                    <w:rPr>
                      <w:rFonts w:hint="eastAsia" w:ascii="Times New Roman" w:hAnsi="Times New Roman"/>
                      <w:kern w:val="21"/>
                      <w:sz w:val="21"/>
                      <w:szCs w:val="21"/>
                      <w:u w:val="single"/>
                      <w:lang w:eastAsia="zh-CN"/>
                    </w:rPr>
                    <w:t>否</w:t>
                  </w:r>
                </w:p>
              </w:tc>
            </w:tr>
            <w:tr w14:paraId="679E20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 w:hRule="atLeast"/>
              </w:trPr>
              <w:tc>
                <w:tcPr>
                  <w:tcW w:w="640" w:type="pct"/>
                  <w:tcBorders>
                    <w:top w:val="single" w:color="000000" w:sz="4" w:space="0"/>
                    <w:bottom w:val="single" w:color="000000" w:sz="4" w:space="0"/>
                    <w:right w:val="single" w:color="000000" w:sz="4" w:space="0"/>
                  </w:tcBorders>
                  <w:noWrap w:val="0"/>
                  <w:vAlign w:val="center"/>
                </w:tcPr>
                <w:p w14:paraId="10152BEA">
                  <w:pPr>
                    <w:keepNext w:val="0"/>
                    <w:keepLines w:val="0"/>
                    <w:pageBreakBefore w:val="0"/>
                    <w:widowControl w:val="0"/>
                    <w:kinsoku/>
                    <w:wordWrap/>
                    <w:overflowPunct/>
                    <w:topLinePunct w:val="0"/>
                    <w:autoSpaceDE w:val="0"/>
                    <w:autoSpaceDN w:val="0"/>
                    <w:bidi w:val="0"/>
                    <w:adjustRightInd w:val="0"/>
                    <w:snapToGrid w:val="0"/>
                    <w:jc w:val="center"/>
                    <w:textAlignment w:val="auto"/>
                    <w:rPr>
                      <w:rFonts w:ascii="Times New Roman" w:hAnsi="Times New Roman"/>
                      <w:kern w:val="21"/>
                      <w:sz w:val="21"/>
                      <w:szCs w:val="21"/>
                      <w:u w:val="single"/>
                    </w:rPr>
                  </w:pPr>
                  <w:r>
                    <w:rPr>
                      <w:rFonts w:ascii="Times New Roman" w:hAnsi="Times New Roman"/>
                      <w:kern w:val="21"/>
                      <w:sz w:val="21"/>
                      <w:szCs w:val="21"/>
                      <w:u w:val="single"/>
                    </w:rPr>
                    <w:t>地表水</w:t>
                  </w:r>
                </w:p>
              </w:tc>
              <w:tc>
                <w:tcPr>
                  <w:tcW w:w="2455" w:type="pct"/>
                  <w:tcBorders>
                    <w:top w:val="single" w:color="000000" w:sz="4" w:space="0"/>
                    <w:left w:val="single" w:color="000000" w:sz="4" w:space="0"/>
                    <w:bottom w:val="single" w:color="000000" w:sz="4" w:space="0"/>
                  </w:tcBorders>
                  <w:noWrap w:val="0"/>
                  <w:vAlign w:val="center"/>
                </w:tcPr>
                <w:p w14:paraId="650B95B9">
                  <w:pPr>
                    <w:keepNext w:val="0"/>
                    <w:keepLines w:val="0"/>
                    <w:pageBreakBefore w:val="0"/>
                    <w:widowControl w:val="0"/>
                    <w:kinsoku/>
                    <w:wordWrap/>
                    <w:overflowPunct/>
                    <w:topLinePunct w:val="0"/>
                    <w:autoSpaceDE w:val="0"/>
                    <w:autoSpaceDN w:val="0"/>
                    <w:bidi w:val="0"/>
                    <w:adjustRightInd w:val="0"/>
                    <w:snapToGrid w:val="0"/>
                    <w:jc w:val="center"/>
                    <w:textAlignment w:val="auto"/>
                    <w:rPr>
                      <w:rFonts w:ascii="Times New Roman" w:hAnsi="Times New Roman"/>
                      <w:kern w:val="21"/>
                      <w:sz w:val="21"/>
                      <w:szCs w:val="21"/>
                      <w:u w:val="single"/>
                    </w:rPr>
                  </w:pPr>
                  <w:r>
                    <w:rPr>
                      <w:rFonts w:ascii="Times New Roman" w:hAnsi="Times New Roman"/>
                      <w:kern w:val="21"/>
                      <w:sz w:val="21"/>
                      <w:szCs w:val="21"/>
                      <w:u w:val="single"/>
                    </w:rPr>
                    <w:t>新增工业废水直排建设项目（槽罐车外送污水处理厂的除外）； 新增废水直排的污水集中处理厂</w:t>
                  </w:r>
                </w:p>
              </w:tc>
              <w:tc>
                <w:tcPr>
                  <w:tcW w:w="1307" w:type="pct"/>
                  <w:tcBorders>
                    <w:top w:val="single" w:color="000000" w:sz="4" w:space="0"/>
                    <w:left w:val="single" w:color="000000" w:sz="4" w:space="0"/>
                    <w:bottom w:val="single" w:color="000000" w:sz="4" w:space="0"/>
                  </w:tcBorders>
                  <w:noWrap w:val="0"/>
                  <w:vAlign w:val="center"/>
                </w:tcPr>
                <w:p w14:paraId="3179782F">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Times New Roman" w:hAnsi="Times New Roman" w:eastAsia="宋体"/>
                      <w:kern w:val="21"/>
                      <w:sz w:val="21"/>
                      <w:szCs w:val="21"/>
                      <w:u w:val="single"/>
                      <w:lang w:eastAsia="zh-CN"/>
                    </w:rPr>
                  </w:pPr>
                  <w:r>
                    <w:rPr>
                      <w:rFonts w:hint="eastAsia" w:ascii="Times New Roman" w:hAnsi="Times New Roman"/>
                      <w:kern w:val="21"/>
                      <w:sz w:val="21"/>
                      <w:szCs w:val="21"/>
                      <w:u w:val="single"/>
                      <w:lang w:eastAsia="zh-CN"/>
                    </w:rPr>
                    <w:t>本项目废水间接排放</w:t>
                  </w:r>
                </w:p>
              </w:tc>
              <w:tc>
                <w:tcPr>
                  <w:tcW w:w="597" w:type="pct"/>
                  <w:tcBorders>
                    <w:top w:val="single" w:color="000000" w:sz="4" w:space="0"/>
                    <w:left w:val="single" w:color="000000" w:sz="4" w:space="0"/>
                    <w:bottom w:val="single" w:color="000000" w:sz="4" w:space="0"/>
                  </w:tcBorders>
                  <w:noWrap w:val="0"/>
                  <w:vAlign w:val="center"/>
                </w:tcPr>
                <w:p w14:paraId="4F477A31">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Times New Roman" w:hAnsi="Times New Roman"/>
                      <w:kern w:val="21"/>
                      <w:sz w:val="21"/>
                      <w:szCs w:val="21"/>
                      <w:u w:val="single"/>
                      <w:lang w:eastAsia="zh-CN"/>
                    </w:rPr>
                  </w:pPr>
                  <w:r>
                    <w:rPr>
                      <w:rFonts w:hint="eastAsia" w:ascii="Times New Roman" w:hAnsi="Times New Roman"/>
                      <w:kern w:val="21"/>
                      <w:sz w:val="21"/>
                      <w:szCs w:val="21"/>
                      <w:u w:val="single"/>
                      <w:lang w:eastAsia="zh-CN"/>
                    </w:rPr>
                    <w:t>否</w:t>
                  </w:r>
                </w:p>
              </w:tc>
            </w:tr>
            <w:tr w14:paraId="474CC8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 w:hRule="atLeast"/>
              </w:trPr>
              <w:tc>
                <w:tcPr>
                  <w:tcW w:w="640" w:type="pct"/>
                  <w:tcBorders>
                    <w:top w:val="single" w:color="000000" w:sz="4" w:space="0"/>
                    <w:bottom w:val="single" w:color="000000" w:sz="4" w:space="0"/>
                    <w:right w:val="single" w:color="000000" w:sz="4" w:space="0"/>
                  </w:tcBorders>
                  <w:noWrap w:val="0"/>
                  <w:vAlign w:val="center"/>
                </w:tcPr>
                <w:p w14:paraId="3630A01D">
                  <w:pPr>
                    <w:keepNext w:val="0"/>
                    <w:keepLines w:val="0"/>
                    <w:pageBreakBefore w:val="0"/>
                    <w:widowControl w:val="0"/>
                    <w:kinsoku/>
                    <w:wordWrap/>
                    <w:overflowPunct/>
                    <w:topLinePunct w:val="0"/>
                    <w:autoSpaceDE w:val="0"/>
                    <w:autoSpaceDN w:val="0"/>
                    <w:bidi w:val="0"/>
                    <w:adjustRightInd w:val="0"/>
                    <w:snapToGrid w:val="0"/>
                    <w:jc w:val="center"/>
                    <w:textAlignment w:val="auto"/>
                    <w:rPr>
                      <w:rFonts w:ascii="Times New Roman" w:hAnsi="Times New Roman"/>
                      <w:kern w:val="21"/>
                      <w:sz w:val="21"/>
                      <w:szCs w:val="21"/>
                      <w:u w:val="single"/>
                    </w:rPr>
                  </w:pPr>
                  <w:r>
                    <w:rPr>
                      <w:rFonts w:ascii="Times New Roman" w:hAnsi="Times New Roman"/>
                      <w:kern w:val="21"/>
                      <w:sz w:val="21"/>
                      <w:szCs w:val="21"/>
                      <w:u w:val="single"/>
                    </w:rPr>
                    <w:t>环境风险</w:t>
                  </w:r>
                </w:p>
              </w:tc>
              <w:tc>
                <w:tcPr>
                  <w:tcW w:w="2455" w:type="pct"/>
                  <w:tcBorders>
                    <w:top w:val="single" w:color="000000" w:sz="4" w:space="0"/>
                    <w:left w:val="single" w:color="000000" w:sz="4" w:space="0"/>
                    <w:bottom w:val="single" w:color="000000" w:sz="4" w:space="0"/>
                  </w:tcBorders>
                  <w:noWrap w:val="0"/>
                  <w:vAlign w:val="center"/>
                </w:tcPr>
                <w:p w14:paraId="167E4FF2">
                  <w:pPr>
                    <w:keepNext w:val="0"/>
                    <w:keepLines w:val="0"/>
                    <w:pageBreakBefore w:val="0"/>
                    <w:widowControl w:val="0"/>
                    <w:kinsoku/>
                    <w:wordWrap/>
                    <w:overflowPunct/>
                    <w:topLinePunct w:val="0"/>
                    <w:autoSpaceDE w:val="0"/>
                    <w:autoSpaceDN w:val="0"/>
                    <w:bidi w:val="0"/>
                    <w:adjustRightInd w:val="0"/>
                    <w:snapToGrid w:val="0"/>
                    <w:jc w:val="center"/>
                    <w:textAlignment w:val="auto"/>
                    <w:rPr>
                      <w:rFonts w:ascii="Times New Roman" w:hAnsi="Times New Roman"/>
                      <w:kern w:val="21"/>
                      <w:sz w:val="21"/>
                      <w:szCs w:val="21"/>
                      <w:u w:val="single"/>
                    </w:rPr>
                  </w:pPr>
                  <w:r>
                    <w:rPr>
                      <w:rFonts w:ascii="Times New Roman" w:hAnsi="Times New Roman"/>
                      <w:kern w:val="21"/>
                      <w:sz w:val="21"/>
                      <w:szCs w:val="21"/>
                      <w:u w:val="single"/>
                    </w:rPr>
                    <w:t>有毒有害和易燃易爆危险物质存储量超过临界量</w:t>
                  </w:r>
                  <w:r>
                    <w:rPr>
                      <w:rFonts w:ascii="Times New Roman" w:hAnsi="Times New Roman"/>
                      <w:kern w:val="21"/>
                      <w:sz w:val="21"/>
                      <w:szCs w:val="21"/>
                      <w:u w:val="single"/>
                      <w:vertAlign w:val="superscript"/>
                    </w:rPr>
                    <w:t>3</w:t>
                  </w:r>
                  <w:r>
                    <w:rPr>
                      <w:rFonts w:ascii="Times New Roman" w:hAnsi="Times New Roman"/>
                      <w:kern w:val="21"/>
                      <w:sz w:val="21"/>
                      <w:szCs w:val="21"/>
                      <w:u w:val="single"/>
                    </w:rPr>
                    <w:t xml:space="preserve"> 的建设项目</w:t>
                  </w:r>
                </w:p>
              </w:tc>
              <w:tc>
                <w:tcPr>
                  <w:tcW w:w="1307" w:type="pct"/>
                  <w:tcBorders>
                    <w:top w:val="single" w:color="000000" w:sz="4" w:space="0"/>
                    <w:left w:val="single" w:color="000000" w:sz="4" w:space="0"/>
                    <w:bottom w:val="single" w:color="000000" w:sz="4" w:space="0"/>
                  </w:tcBorders>
                  <w:noWrap w:val="0"/>
                  <w:vAlign w:val="center"/>
                </w:tcPr>
                <w:p w14:paraId="5DA25FFD">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Times New Roman" w:hAnsi="Times New Roman" w:eastAsia="宋体"/>
                      <w:kern w:val="21"/>
                      <w:sz w:val="21"/>
                      <w:szCs w:val="21"/>
                      <w:u w:val="single"/>
                      <w:lang w:eastAsia="zh-CN"/>
                    </w:rPr>
                  </w:pPr>
                  <w:r>
                    <w:rPr>
                      <w:rFonts w:hint="eastAsia" w:ascii="Times New Roman" w:hAnsi="Times New Roman"/>
                      <w:kern w:val="21"/>
                      <w:sz w:val="21"/>
                      <w:szCs w:val="21"/>
                      <w:u w:val="single"/>
                      <w:lang w:eastAsia="zh-CN"/>
                    </w:rPr>
                    <w:t>本项目</w:t>
                  </w:r>
                  <w:r>
                    <w:rPr>
                      <w:rFonts w:ascii="Times New Roman" w:hAnsi="Times New Roman"/>
                      <w:kern w:val="21"/>
                      <w:sz w:val="21"/>
                      <w:szCs w:val="21"/>
                      <w:u w:val="single"/>
                    </w:rPr>
                    <w:t>有毒有害和易燃易爆危险物质存储量</w:t>
                  </w:r>
                  <w:r>
                    <w:rPr>
                      <w:rFonts w:hint="eastAsia"/>
                      <w:kern w:val="21"/>
                      <w:sz w:val="21"/>
                      <w:szCs w:val="21"/>
                      <w:u w:val="single"/>
                      <w:lang w:eastAsia="zh-CN"/>
                    </w:rPr>
                    <w:t>未</w:t>
                  </w:r>
                  <w:r>
                    <w:rPr>
                      <w:rFonts w:ascii="Times New Roman" w:hAnsi="Times New Roman"/>
                      <w:kern w:val="21"/>
                      <w:sz w:val="21"/>
                      <w:szCs w:val="21"/>
                      <w:u w:val="single"/>
                    </w:rPr>
                    <w:t>超过临界量</w:t>
                  </w:r>
                </w:p>
              </w:tc>
              <w:tc>
                <w:tcPr>
                  <w:tcW w:w="597" w:type="pct"/>
                  <w:tcBorders>
                    <w:top w:val="single" w:color="000000" w:sz="4" w:space="0"/>
                    <w:left w:val="single" w:color="000000" w:sz="4" w:space="0"/>
                    <w:bottom w:val="single" w:color="000000" w:sz="4" w:space="0"/>
                  </w:tcBorders>
                  <w:noWrap w:val="0"/>
                  <w:vAlign w:val="center"/>
                </w:tcPr>
                <w:p w14:paraId="6C22DA2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ascii="Times New Roman" w:hAnsi="Times New Roman"/>
                      <w:kern w:val="21"/>
                      <w:sz w:val="21"/>
                      <w:szCs w:val="21"/>
                      <w:u w:val="single"/>
                    </w:rPr>
                  </w:pPr>
                  <w:r>
                    <w:rPr>
                      <w:rFonts w:hint="eastAsia" w:ascii="Times New Roman" w:hAnsi="Times New Roman"/>
                      <w:kern w:val="21"/>
                      <w:sz w:val="21"/>
                      <w:szCs w:val="21"/>
                      <w:u w:val="single"/>
                      <w:lang w:eastAsia="zh-CN"/>
                    </w:rPr>
                    <w:t>否</w:t>
                  </w:r>
                </w:p>
              </w:tc>
            </w:tr>
            <w:tr w14:paraId="0E79B9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 w:hRule="atLeast"/>
              </w:trPr>
              <w:tc>
                <w:tcPr>
                  <w:tcW w:w="640" w:type="pct"/>
                  <w:tcBorders>
                    <w:top w:val="single" w:color="000000" w:sz="4" w:space="0"/>
                    <w:bottom w:val="single" w:color="000000" w:sz="4" w:space="0"/>
                    <w:right w:val="single" w:color="000000" w:sz="4" w:space="0"/>
                  </w:tcBorders>
                  <w:noWrap w:val="0"/>
                  <w:vAlign w:val="center"/>
                </w:tcPr>
                <w:p w14:paraId="7225304B">
                  <w:pPr>
                    <w:keepNext w:val="0"/>
                    <w:keepLines w:val="0"/>
                    <w:pageBreakBefore w:val="0"/>
                    <w:widowControl w:val="0"/>
                    <w:kinsoku/>
                    <w:wordWrap/>
                    <w:overflowPunct/>
                    <w:topLinePunct w:val="0"/>
                    <w:autoSpaceDE w:val="0"/>
                    <w:autoSpaceDN w:val="0"/>
                    <w:bidi w:val="0"/>
                    <w:adjustRightInd w:val="0"/>
                    <w:snapToGrid w:val="0"/>
                    <w:jc w:val="center"/>
                    <w:textAlignment w:val="auto"/>
                    <w:rPr>
                      <w:rFonts w:ascii="Times New Roman" w:hAnsi="Times New Roman"/>
                      <w:kern w:val="21"/>
                      <w:sz w:val="21"/>
                      <w:szCs w:val="21"/>
                      <w:u w:val="single"/>
                    </w:rPr>
                  </w:pPr>
                  <w:r>
                    <w:rPr>
                      <w:rFonts w:ascii="Times New Roman" w:hAnsi="Times New Roman"/>
                      <w:kern w:val="21"/>
                      <w:sz w:val="21"/>
                      <w:szCs w:val="21"/>
                      <w:u w:val="single"/>
                    </w:rPr>
                    <w:t>生态</w:t>
                  </w:r>
                </w:p>
              </w:tc>
              <w:tc>
                <w:tcPr>
                  <w:tcW w:w="2455" w:type="pct"/>
                  <w:tcBorders>
                    <w:top w:val="single" w:color="000000" w:sz="4" w:space="0"/>
                    <w:left w:val="single" w:color="000000" w:sz="4" w:space="0"/>
                    <w:bottom w:val="single" w:color="000000" w:sz="4" w:space="0"/>
                  </w:tcBorders>
                  <w:noWrap w:val="0"/>
                  <w:vAlign w:val="center"/>
                </w:tcPr>
                <w:p w14:paraId="11497C36">
                  <w:pPr>
                    <w:keepNext w:val="0"/>
                    <w:keepLines w:val="0"/>
                    <w:pageBreakBefore w:val="0"/>
                    <w:widowControl w:val="0"/>
                    <w:kinsoku/>
                    <w:wordWrap/>
                    <w:overflowPunct/>
                    <w:topLinePunct w:val="0"/>
                    <w:autoSpaceDE w:val="0"/>
                    <w:autoSpaceDN w:val="0"/>
                    <w:bidi w:val="0"/>
                    <w:adjustRightInd w:val="0"/>
                    <w:snapToGrid w:val="0"/>
                    <w:jc w:val="center"/>
                    <w:textAlignment w:val="auto"/>
                    <w:rPr>
                      <w:rFonts w:ascii="Times New Roman" w:hAnsi="Times New Roman"/>
                      <w:kern w:val="21"/>
                      <w:sz w:val="21"/>
                      <w:szCs w:val="21"/>
                      <w:u w:val="single"/>
                    </w:rPr>
                  </w:pPr>
                  <w:r>
                    <w:rPr>
                      <w:rFonts w:ascii="Times New Roman" w:hAnsi="Times New Roman"/>
                      <w:kern w:val="21"/>
                      <w:sz w:val="21"/>
                      <w:szCs w:val="21"/>
                      <w:u w:val="single"/>
                    </w:rPr>
                    <w:t>取水口下游500米范围内有重要水生生物的自然产卵场、索饵场、越冬场和洄游通道的新增河道取水的污染类建设项目</w:t>
                  </w:r>
                </w:p>
              </w:tc>
              <w:tc>
                <w:tcPr>
                  <w:tcW w:w="1307" w:type="pct"/>
                  <w:tcBorders>
                    <w:top w:val="single" w:color="000000" w:sz="4" w:space="0"/>
                    <w:left w:val="single" w:color="000000" w:sz="4" w:space="0"/>
                    <w:bottom w:val="single" w:color="000000" w:sz="4" w:space="0"/>
                  </w:tcBorders>
                  <w:noWrap w:val="0"/>
                  <w:vAlign w:val="center"/>
                </w:tcPr>
                <w:p w14:paraId="47D3F0F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Times New Roman" w:hAnsi="Times New Roman" w:eastAsia="宋体"/>
                      <w:kern w:val="21"/>
                      <w:sz w:val="21"/>
                      <w:szCs w:val="21"/>
                      <w:u w:val="single"/>
                      <w:lang w:eastAsia="zh-CN"/>
                    </w:rPr>
                  </w:pPr>
                  <w:r>
                    <w:rPr>
                      <w:rFonts w:hint="eastAsia" w:ascii="Times New Roman" w:hAnsi="Times New Roman"/>
                      <w:kern w:val="21"/>
                      <w:sz w:val="21"/>
                      <w:szCs w:val="21"/>
                      <w:u w:val="single"/>
                      <w:lang w:eastAsia="zh-CN"/>
                    </w:rPr>
                    <w:t>本项目不属于河道取水项目</w:t>
                  </w:r>
                </w:p>
              </w:tc>
              <w:tc>
                <w:tcPr>
                  <w:tcW w:w="597" w:type="pct"/>
                  <w:tcBorders>
                    <w:top w:val="single" w:color="000000" w:sz="4" w:space="0"/>
                    <w:left w:val="single" w:color="000000" w:sz="4" w:space="0"/>
                    <w:bottom w:val="single" w:color="000000" w:sz="4" w:space="0"/>
                  </w:tcBorders>
                  <w:noWrap w:val="0"/>
                  <w:vAlign w:val="center"/>
                </w:tcPr>
                <w:p w14:paraId="2D069092">
                  <w:pPr>
                    <w:keepNext w:val="0"/>
                    <w:keepLines w:val="0"/>
                    <w:pageBreakBefore w:val="0"/>
                    <w:widowControl w:val="0"/>
                    <w:kinsoku/>
                    <w:wordWrap/>
                    <w:overflowPunct/>
                    <w:topLinePunct w:val="0"/>
                    <w:autoSpaceDE w:val="0"/>
                    <w:autoSpaceDN w:val="0"/>
                    <w:bidi w:val="0"/>
                    <w:adjustRightInd w:val="0"/>
                    <w:snapToGrid w:val="0"/>
                    <w:jc w:val="center"/>
                    <w:textAlignment w:val="auto"/>
                    <w:rPr>
                      <w:rFonts w:ascii="Times New Roman" w:hAnsi="Times New Roman"/>
                      <w:kern w:val="21"/>
                      <w:sz w:val="21"/>
                      <w:szCs w:val="21"/>
                      <w:u w:val="single"/>
                    </w:rPr>
                  </w:pPr>
                  <w:r>
                    <w:rPr>
                      <w:rFonts w:hint="eastAsia" w:ascii="Times New Roman" w:hAnsi="Times New Roman"/>
                      <w:kern w:val="21"/>
                      <w:sz w:val="21"/>
                      <w:szCs w:val="21"/>
                      <w:u w:val="single"/>
                      <w:lang w:eastAsia="zh-CN"/>
                    </w:rPr>
                    <w:t>否</w:t>
                  </w:r>
                </w:p>
              </w:tc>
            </w:tr>
            <w:tr w14:paraId="661E51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 w:hRule="atLeast"/>
              </w:trPr>
              <w:tc>
                <w:tcPr>
                  <w:tcW w:w="640" w:type="pct"/>
                  <w:tcBorders>
                    <w:top w:val="single" w:color="000000" w:sz="4" w:space="0"/>
                    <w:bottom w:val="single" w:color="000000" w:sz="4" w:space="0"/>
                    <w:right w:val="single" w:color="000000" w:sz="4" w:space="0"/>
                  </w:tcBorders>
                  <w:noWrap w:val="0"/>
                  <w:vAlign w:val="center"/>
                </w:tcPr>
                <w:p w14:paraId="36CE8BE8">
                  <w:pPr>
                    <w:keepNext w:val="0"/>
                    <w:keepLines w:val="0"/>
                    <w:pageBreakBefore w:val="0"/>
                    <w:widowControl w:val="0"/>
                    <w:kinsoku/>
                    <w:wordWrap/>
                    <w:overflowPunct/>
                    <w:topLinePunct w:val="0"/>
                    <w:autoSpaceDE w:val="0"/>
                    <w:autoSpaceDN w:val="0"/>
                    <w:bidi w:val="0"/>
                    <w:adjustRightInd w:val="0"/>
                    <w:snapToGrid w:val="0"/>
                    <w:jc w:val="center"/>
                    <w:textAlignment w:val="auto"/>
                    <w:rPr>
                      <w:rFonts w:ascii="Times New Roman" w:hAnsi="Times New Roman"/>
                      <w:kern w:val="21"/>
                      <w:sz w:val="21"/>
                      <w:szCs w:val="21"/>
                      <w:u w:val="single"/>
                    </w:rPr>
                  </w:pPr>
                  <w:r>
                    <w:rPr>
                      <w:rFonts w:ascii="Times New Roman" w:hAnsi="Times New Roman"/>
                      <w:kern w:val="21"/>
                      <w:sz w:val="21"/>
                      <w:szCs w:val="21"/>
                      <w:u w:val="single"/>
                    </w:rPr>
                    <w:t>海洋</w:t>
                  </w:r>
                </w:p>
              </w:tc>
              <w:tc>
                <w:tcPr>
                  <w:tcW w:w="2455" w:type="pct"/>
                  <w:tcBorders>
                    <w:top w:val="single" w:color="000000" w:sz="4" w:space="0"/>
                    <w:left w:val="single" w:color="000000" w:sz="4" w:space="0"/>
                    <w:bottom w:val="single" w:color="000000" w:sz="4" w:space="0"/>
                  </w:tcBorders>
                  <w:noWrap w:val="0"/>
                  <w:vAlign w:val="center"/>
                </w:tcPr>
                <w:p w14:paraId="352CBB14">
                  <w:pPr>
                    <w:keepNext w:val="0"/>
                    <w:keepLines w:val="0"/>
                    <w:pageBreakBefore w:val="0"/>
                    <w:widowControl w:val="0"/>
                    <w:kinsoku/>
                    <w:wordWrap/>
                    <w:overflowPunct/>
                    <w:topLinePunct w:val="0"/>
                    <w:autoSpaceDE w:val="0"/>
                    <w:autoSpaceDN w:val="0"/>
                    <w:bidi w:val="0"/>
                    <w:adjustRightInd w:val="0"/>
                    <w:snapToGrid w:val="0"/>
                    <w:jc w:val="center"/>
                    <w:textAlignment w:val="auto"/>
                    <w:rPr>
                      <w:rFonts w:ascii="Times New Roman" w:hAnsi="Times New Roman"/>
                      <w:kern w:val="21"/>
                      <w:sz w:val="21"/>
                      <w:szCs w:val="21"/>
                      <w:u w:val="single"/>
                    </w:rPr>
                  </w:pPr>
                  <w:r>
                    <w:rPr>
                      <w:rFonts w:ascii="Times New Roman" w:hAnsi="Times New Roman"/>
                      <w:kern w:val="21"/>
                      <w:sz w:val="21"/>
                      <w:szCs w:val="21"/>
                      <w:u w:val="single"/>
                    </w:rPr>
                    <w:t>直接向海排放污染物的海洋工程建设项目</w:t>
                  </w:r>
                </w:p>
              </w:tc>
              <w:tc>
                <w:tcPr>
                  <w:tcW w:w="1307" w:type="pct"/>
                  <w:tcBorders>
                    <w:top w:val="single" w:color="000000" w:sz="4" w:space="0"/>
                    <w:left w:val="single" w:color="000000" w:sz="4" w:space="0"/>
                    <w:bottom w:val="single" w:color="000000" w:sz="4" w:space="0"/>
                  </w:tcBorders>
                  <w:noWrap w:val="0"/>
                  <w:vAlign w:val="center"/>
                </w:tcPr>
                <w:p w14:paraId="2811C70D">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Times New Roman" w:hAnsi="Times New Roman" w:eastAsia="宋体"/>
                      <w:kern w:val="21"/>
                      <w:sz w:val="21"/>
                      <w:szCs w:val="21"/>
                      <w:u w:val="single"/>
                      <w:lang w:eastAsia="zh-CN"/>
                    </w:rPr>
                  </w:pPr>
                  <w:r>
                    <w:rPr>
                      <w:rFonts w:hint="eastAsia" w:ascii="Times New Roman" w:hAnsi="Times New Roman"/>
                      <w:kern w:val="21"/>
                      <w:sz w:val="21"/>
                      <w:szCs w:val="21"/>
                      <w:u w:val="single"/>
                      <w:lang w:eastAsia="zh-CN"/>
                    </w:rPr>
                    <w:t>本项目不涉及海洋</w:t>
                  </w:r>
                </w:p>
              </w:tc>
              <w:tc>
                <w:tcPr>
                  <w:tcW w:w="597" w:type="pct"/>
                  <w:tcBorders>
                    <w:top w:val="single" w:color="000000" w:sz="4" w:space="0"/>
                    <w:left w:val="single" w:color="000000" w:sz="4" w:space="0"/>
                    <w:bottom w:val="single" w:color="000000" w:sz="4" w:space="0"/>
                  </w:tcBorders>
                  <w:noWrap w:val="0"/>
                  <w:vAlign w:val="center"/>
                </w:tcPr>
                <w:p w14:paraId="7CA316AC">
                  <w:pPr>
                    <w:keepNext w:val="0"/>
                    <w:keepLines w:val="0"/>
                    <w:pageBreakBefore w:val="0"/>
                    <w:widowControl w:val="0"/>
                    <w:kinsoku/>
                    <w:wordWrap/>
                    <w:overflowPunct/>
                    <w:topLinePunct w:val="0"/>
                    <w:autoSpaceDE w:val="0"/>
                    <w:autoSpaceDN w:val="0"/>
                    <w:bidi w:val="0"/>
                    <w:adjustRightInd w:val="0"/>
                    <w:snapToGrid w:val="0"/>
                    <w:jc w:val="center"/>
                    <w:textAlignment w:val="auto"/>
                    <w:rPr>
                      <w:rFonts w:ascii="Times New Roman" w:hAnsi="Times New Roman"/>
                      <w:kern w:val="21"/>
                      <w:sz w:val="21"/>
                      <w:szCs w:val="21"/>
                      <w:u w:val="single"/>
                    </w:rPr>
                  </w:pPr>
                  <w:r>
                    <w:rPr>
                      <w:rFonts w:hint="eastAsia" w:ascii="Times New Roman" w:hAnsi="Times New Roman"/>
                      <w:kern w:val="21"/>
                      <w:sz w:val="21"/>
                      <w:szCs w:val="21"/>
                      <w:u w:val="single"/>
                      <w:lang w:eastAsia="zh-CN"/>
                    </w:rPr>
                    <w:t>否</w:t>
                  </w:r>
                </w:p>
              </w:tc>
            </w:tr>
          </w:tbl>
          <w:p w14:paraId="75912135">
            <w:pPr>
              <w:wordWrap w:val="0"/>
              <w:topLinePunct/>
              <w:spacing w:line="360" w:lineRule="auto"/>
              <w:ind w:firstLine="480" w:firstLineChars="200"/>
              <w:rPr>
                <w:color w:val="2F5496"/>
                <w:kern w:val="0"/>
                <w:szCs w:val="21"/>
              </w:rPr>
            </w:pPr>
            <w:r>
              <w:rPr>
                <w:rFonts w:hint="eastAsia"/>
                <w:kern w:val="0"/>
                <w:szCs w:val="21"/>
                <w:u w:val="single"/>
                <w:lang w:eastAsia="zh-CN"/>
              </w:rPr>
              <w:t>综上，本项目无需设置专项。</w:t>
            </w:r>
          </w:p>
        </w:tc>
      </w:tr>
      <w:tr w14:paraId="0660EE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1056" w:type="pct"/>
            <w:vAlign w:val="center"/>
          </w:tcPr>
          <w:p w14:paraId="0898290A">
            <w:pPr>
              <w:wordWrap w:val="0"/>
              <w:topLinePunct/>
              <w:adjustRightInd w:val="0"/>
              <w:snapToGrid w:val="0"/>
              <w:jc w:val="center"/>
              <w:rPr>
                <w:kern w:val="0"/>
                <w:szCs w:val="21"/>
              </w:rPr>
            </w:pPr>
            <w:r>
              <w:rPr>
                <w:kern w:val="0"/>
                <w:szCs w:val="21"/>
              </w:rPr>
              <w:t>规划情况</w:t>
            </w:r>
          </w:p>
        </w:tc>
        <w:tc>
          <w:tcPr>
            <w:tcW w:w="3943" w:type="pct"/>
            <w:gridSpan w:val="3"/>
            <w:vAlign w:val="center"/>
          </w:tcPr>
          <w:p w14:paraId="5EDDBE4C">
            <w:pPr>
              <w:wordWrap w:val="0"/>
              <w:topLinePunct/>
              <w:spacing w:line="360" w:lineRule="auto"/>
              <w:ind w:firstLine="480" w:firstLineChars="200"/>
              <w:rPr>
                <w:kern w:val="0"/>
                <w:szCs w:val="21"/>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湖南省生态环境厅关于湖南衡阳松木经济开发区调区扩区规划环境影响报告书</w:t>
            </w:r>
            <w:r>
              <w:rPr>
                <w:color w:val="000000" w:themeColor="text1"/>
                <w14:textFill>
                  <w14:solidFill>
                    <w14:schemeClr w14:val="tx1"/>
                  </w14:solidFill>
                </w14:textFill>
              </w:rPr>
              <w:t>审查意见的函》（</w:t>
            </w:r>
            <w:r>
              <w:rPr>
                <w:rFonts w:hint="eastAsia"/>
                <w:color w:val="000000" w:themeColor="text1"/>
                <w14:textFill>
                  <w14:solidFill>
                    <w14:schemeClr w14:val="tx1"/>
                  </w14:solidFill>
                </w14:textFill>
              </w:rPr>
              <w:t>湘环评函〔2024〕20号</w:t>
            </w:r>
            <w:r>
              <w:rPr>
                <w:color w:val="000000" w:themeColor="text1"/>
                <w14:textFill>
                  <w14:solidFill>
                    <w14:schemeClr w14:val="tx1"/>
                  </w14:solidFill>
                </w14:textFill>
              </w:rPr>
              <w:t>）</w:t>
            </w:r>
            <w:r>
              <w:rPr>
                <w:kern w:val="0"/>
                <w:szCs w:val="21"/>
              </w:rPr>
              <w:t>。</w:t>
            </w:r>
          </w:p>
        </w:tc>
      </w:tr>
      <w:tr w14:paraId="0C95F0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49" w:hRule="atLeast"/>
          <w:jc w:val="center"/>
        </w:trPr>
        <w:tc>
          <w:tcPr>
            <w:tcW w:w="1056" w:type="pct"/>
            <w:vAlign w:val="center"/>
          </w:tcPr>
          <w:p w14:paraId="4358809E">
            <w:pPr>
              <w:wordWrap w:val="0"/>
              <w:topLinePunct/>
              <w:adjustRightInd w:val="0"/>
              <w:snapToGrid w:val="0"/>
              <w:jc w:val="center"/>
              <w:rPr>
                <w:color w:val="2F5496"/>
                <w:kern w:val="0"/>
                <w:szCs w:val="21"/>
              </w:rPr>
            </w:pPr>
            <w:r>
              <w:rPr>
                <w:szCs w:val="21"/>
              </w:rPr>
              <w:t>规划环境影响评价情况</w:t>
            </w:r>
          </w:p>
        </w:tc>
        <w:tc>
          <w:tcPr>
            <w:tcW w:w="3943" w:type="pct"/>
            <w:gridSpan w:val="3"/>
            <w:vAlign w:val="center"/>
          </w:tcPr>
          <w:p w14:paraId="6E04A1DC">
            <w:pPr>
              <w:wordWrap w:val="0"/>
              <w:topLinePunct/>
              <w:spacing w:line="360" w:lineRule="auto"/>
              <w:ind w:firstLine="480" w:firstLineChars="200"/>
              <w:rPr>
                <w:color w:val="000000" w:themeColor="text1"/>
                <w14:textFill>
                  <w14:solidFill>
                    <w14:schemeClr w14:val="tx1"/>
                  </w14:solidFill>
                </w14:textFill>
              </w:rPr>
            </w:pPr>
            <w:r>
              <w:rPr>
                <w:kern w:val="0"/>
                <w:szCs w:val="21"/>
              </w:rPr>
              <w:t>规划环境影响评价文件名称</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湖南衡阳松木经济开发区调区扩区规划环境影响报告书</w:t>
            </w:r>
            <w:r>
              <w:rPr>
                <w:color w:val="000000" w:themeColor="text1"/>
                <w14:textFill>
                  <w14:solidFill>
                    <w14:schemeClr w14:val="tx1"/>
                  </w14:solidFill>
                </w14:textFill>
              </w:rPr>
              <w:t>》</w:t>
            </w:r>
          </w:p>
          <w:p w14:paraId="3D1FE64B">
            <w:pPr>
              <w:wordWrap w:val="0"/>
              <w:topLinePunct/>
              <w:spacing w:line="360" w:lineRule="auto"/>
              <w:ind w:firstLine="480" w:firstLineChars="200"/>
              <w:rPr>
                <w:kern w:val="0"/>
                <w:szCs w:val="21"/>
              </w:rPr>
            </w:pPr>
            <w:r>
              <w:rPr>
                <w:kern w:val="0"/>
                <w:szCs w:val="21"/>
              </w:rPr>
              <w:t>召集审查机关：湖南省生态环境厅</w:t>
            </w:r>
          </w:p>
          <w:p w14:paraId="6F72A5F7">
            <w:pPr>
              <w:wordWrap w:val="0"/>
              <w:topLinePunct/>
              <w:spacing w:line="360" w:lineRule="auto"/>
              <w:ind w:firstLine="480" w:firstLineChars="200"/>
              <w:rPr>
                <w:kern w:val="0"/>
                <w:szCs w:val="21"/>
              </w:rPr>
            </w:pPr>
            <w:r>
              <w:rPr>
                <w:kern w:val="0"/>
                <w:szCs w:val="21"/>
              </w:rPr>
              <w:t>审查文件名称及文号：</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湖南省生态环境厅关于湖南衡阳松木经济开发区调区扩区规划环境影响报告书</w:t>
            </w:r>
            <w:r>
              <w:rPr>
                <w:color w:val="000000" w:themeColor="text1"/>
                <w14:textFill>
                  <w14:solidFill>
                    <w14:schemeClr w14:val="tx1"/>
                  </w14:solidFill>
                </w14:textFill>
              </w:rPr>
              <w:t>审查意见的函》（</w:t>
            </w:r>
            <w:r>
              <w:rPr>
                <w:rFonts w:hint="eastAsia"/>
                <w:color w:val="000000" w:themeColor="text1"/>
                <w14:textFill>
                  <w14:solidFill>
                    <w14:schemeClr w14:val="tx1"/>
                  </w14:solidFill>
                </w14:textFill>
              </w:rPr>
              <w:t>湘环评函〔2024〕20号</w:t>
            </w:r>
            <w:r>
              <w:rPr>
                <w:color w:val="000000" w:themeColor="text1"/>
                <w14:textFill>
                  <w14:solidFill>
                    <w14:schemeClr w14:val="tx1"/>
                  </w14:solidFill>
                </w14:textFill>
              </w:rPr>
              <w:t>）</w:t>
            </w:r>
          </w:p>
        </w:tc>
      </w:tr>
      <w:tr w14:paraId="260421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6" w:type="pct"/>
            <w:vAlign w:val="center"/>
          </w:tcPr>
          <w:p w14:paraId="6F5CCAB4">
            <w:pPr>
              <w:wordWrap w:val="0"/>
              <w:topLinePunct/>
              <w:adjustRightInd w:val="0"/>
              <w:snapToGrid w:val="0"/>
              <w:jc w:val="center"/>
              <w:rPr>
                <w:color w:val="FF0000"/>
                <w:kern w:val="0"/>
                <w:szCs w:val="21"/>
              </w:rPr>
            </w:pPr>
            <w:r>
              <w:rPr>
                <w:kern w:val="0"/>
                <w:szCs w:val="21"/>
              </w:rPr>
              <w:t>规划及规划环境影响评价符合性分析</w:t>
            </w:r>
          </w:p>
        </w:tc>
        <w:tc>
          <w:tcPr>
            <w:tcW w:w="3943" w:type="pct"/>
            <w:gridSpan w:val="3"/>
            <w:vAlign w:val="center"/>
          </w:tcPr>
          <w:p w14:paraId="0398FD67">
            <w:pPr>
              <w:spacing w:line="360" w:lineRule="auto"/>
              <w:ind w:firstLine="482" w:firstLineChars="200"/>
              <w:rPr>
                <w:b/>
                <w:bCs/>
                <w:u w:val="single"/>
              </w:rPr>
            </w:pPr>
            <w:r>
              <w:rPr>
                <w:b/>
                <w:bCs/>
                <w:u w:val="single"/>
              </w:rPr>
              <w:t>1、规划符合性分析</w:t>
            </w:r>
          </w:p>
          <w:p w14:paraId="3CEF1910">
            <w:pPr>
              <w:spacing w:line="360" w:lineRule="auto"/>
              <w:ind w:firstLine="480" w:firstLineChars="200"/>
              <w:rPr>
                <w:rFonts w:hint="eastAsia" w:eastAsia="宋体"/>
                <w:u w:val="single"/>
                <w:lang w:val="en-US" w:eastAsia="zh-CN"/>
              </w:rPr>
            </w:pPr>
            <w:r>
              <w:rPr>
                <w:u w:val="single"/>
              </w:rPr>
              <w:t>湖南衡阳松木经济开发区（以下简称经开区）原名湖南衡阳松木工业园，位于湖南省衡阳市北部石鼓区（江西片区）和珠晖区（江东片区，目前未开发建设），于2003年衡阳市人民政府批准成立，2006年经湖南省人民政府批准并报国家发改委审核通过成为省级经济开发区（湖南省人民政府湘政函[2006]79号、</w:t>
            </w:r>
            <w:bookmarkStart w:id="2" w:name="OLE_LINK13"/>
            <w:bookmarkStart w:id="3" w:name="OLE_LINK14"/>
            <w:r>
              <w:rPr>
                <w:u w:val="single"/>
              </w:rPr>
              <w:t>中华人民共和国国家发展和改革委员会公告[2006]41号</w:t>
            </w:r>
            <w:bookmarkEnd w:id="2"/>
            <w:bookmarkEnd w:id="3"/>
            <w:r>
              <w:rPr>
                <w:u w:val="single"/>
              </w:rPr>
              <w:t>）。2008年，《湖南衡阳松木工业园总体规划》获得湖南省人民政府批复（湘政函[2008]135号）</w:t>
            </w:r>
            <w:r>
              <w:rPr>
                <w:rFonts w:hint="eastAsia"/>
                <w:u w:val="single"/>
                <w:lang w:eastAsia="zh-CN"/>
              </w:rPr>
              <w:t>；</w:t>
            </w:r>
            <w:r>
              <w:rPr>
                <w:u w:val="single"/>
              </w:rPr>
              <w:t>2009年，《湖南衡阳松木工业园总体规划环境影响报告书》获得湖南省环境保护厅批复（湘环评[2009]40号）</w:t>
            </w:r>
            <w:r>
              <w:rPr>
                <w:rFonts w:hint="eastAsia"/>
                <w:u w:val="single"/>
                <w:lang w:eastAsia="zh-CN"/>
              </w:rPr>
              <w:t>；</w:t>
            </w:r>
            <w:r>
              <w:rPr>
                <w:u w:val="single"/>
              </w:rPr>
              <w:t>2012年3月5日，根据《湖南省人民政府关于部分省级开发区更名的通知》（湘政函[2012]88号）精神，湖南衡阳松木工业园更名为湖南衡阳松木经济开发区</w:t>
            </w:r>
            <w:r>
              <w:rPr>
                <w:rFonts w:hint="eastAsia"/>
                <w:u w:val="single"/>
                <w:lang w:eastAsia="zh-CN"/>
              </w:rPr>
              <w:t>；</w:t>
            </w:r>
            <w:r>
              <w:rPr>
                <w:u w:val="single"/>
              </w:rPr>
              <w:t>2013年，《湖南衡阳松木经济开发区扩区环境影响评价报告书》获得湖南省环境保护厅批复（湘环评[2013]213号）</w:t>
            </w:r>
            <w:r>
              <w:rPr>
                <w:rFonts w:hint="eastAsia"/>
                <w:u w:val="single"/>
                <w:lang w:eastAsia="zh-CN"/>
              </w:rPr>
              <w:t>；</w:t>
            </w:r>
            <w:r>
              <w:rPr>
                <w:u w:val="single"/>
              </w:rPr>
              <w:t>2020年2月，湖南衡阳松木经济开发区开发区启动调扩区</w:t>
            </w:r>
            <w:r>
              <w:rPr>
                <w:rFonts w:hint="eastAsia"/>
                <w:u w:val="single"/>
              </w:rPr>
              <w:t>，编制了《湖南衡阳松木经济开发区扩区规划（2020-2030）环境影响报告书》，2021年10月取得湖南省生态环境厅关于《湖南衡阳松木经济开发区扩区规划（2020-2030）环境影响报告书》审查意见的函（湘环评函〔2021〕30号）</w:t>
            </w:r>
            <w:r>
              <w:rPr>
                <w:rFonts w:hint="eastAsia"/>
                <w:u w:val="single"/>
                <w:lang w:eastAsia="zh-CN"/>
              </w:rPr>
              <w:t>；</w:t>
            </w:r>
            <w:r>
              <w:rPr>
                <w:rFonts w:hint="eastAsia"/>
                <w:u w:val="single"/>
                <w:lang w:val="en-US" w:eastAsia="zh-CN"/>
              </w:rPr>
              <w:t>2023年8月，</w:t>
            </w:r>
            <w:r>
              <w:rPr>
                <w:u w:val="single"/>
              </w:rPr>
              <w:t>湖南衡阳松木经济开发区开发区启动调扩区</w:t>
            </w:r>
            <w:r>
              <w:rPr>
                <w:rFonts w:hint="eastAsia"/>
                <w:u w:val="single"/>
              </w:rPr>
              <w:t>，编制了《</w:t>
            </w:r>
            <w:r>
              <w:rPr>
                <w:rFonts w:hint="eastAsia"/>
                <w:color w:val="000000" w:themeColor="text1"/>
                <w:u w:val="single"/>
                <w14:textFill>
                  <w14:solidFill>
                    <w14:schemeClr w14:val="tx1"/>
                  </w14:solidFill>
                </w14:textFill>
              </w:rPr>
              <w:t>湖南衡阳松木经济开发区调区扩区规划环境影响报告书</w:t>
            </w:r>
            <w:r>
              <w:rPr>
                <w:rFonts w:hint="eastAsia"/>
                <w:u w:val="single"/>
              </w:rPr>
              <w:t>》</w:t>
            </w:r>
            <w:r>
              <w:rPr>
                <w:rFonts w:hint="eastAsia"/>
                <w:u w:val="single"/>
                <w:lang w:eastAsia="zh-CN"/>
              </w:rPr>
              <w:t>，</w:t>
            </w:r>
            <w:r>
              <w:rPr>
                <w:rFonts w:hint="eastAsia"/>
                <w:u w:val="single"/>
                <w:lang w:val="en-US" w:eastAsia="zh-CN"/>
              </w:rPr>
              <w:t>2024年4月10日取得</w:t>
            </w:r>
            <w:r>
              <w:rPr>
                <w:color w:val="000000" w:themeColor="text1"/>
                <w:u w:val="single"/>
                <w14:textFill>
                  <w14:solidFill>
                    <w14:schemeClr w14:val="tx1"/>
                  </w14:solidFill>
                </w14:textFill>
              </w:rPr>
              <w:t>《</w:t>
            </w:r>
            <w:r>
              <w:rPr>
                <w:rFonts w:hint="eastAsia"/>
                <w:color w:val="000000" w:themeColor="text1"/>
                <w:u w:val="single"/>
                <w14:textFill>
                  <w14:solidFill>
                    <w14:schemeClr w14:val="tx1"/>
                  </w14:solidFill>
                </w14:textFill>
              </w:rPr>
              <w:t>湖南省生态环境厅关于湖南衡阳松木经济开发区调区扩区规划环境影响报告书</w:t>
            </w:r>
            <w:r>
              <w:rPr>
                <w:color w:val="000000" w:themeColor="text1"/>
                <w:u w:val="single"/>
                <w14:textFill>
                  <w14:solidFill>
                    <w14:schemeClr w14:val="tx1"/>
                  </w14:solidFill>
                </w14:textFill>
              </w:rPr>
              <w:t>审查意见的函》（</w:t>
            </w:r>
            <w:r>
              <w:rPr>
                <w:rFonts w:hint="eastAsia"/>
                <w:color w:val="000000" w:themeColor="text1"/>
                <w:u w:val="single"/>
                <w14:textFill>
                  <w14:solidFill>
                    <w14:schemeClr w14:val="tx1"/>
                  </w14:solidFill>
                </w14:textFill>
              </w:rPr>
              <w:t>湘环评函〔2024〕20号</w:t>
            </w:r>
            <w:r>
              <w:rPr>
                <w:color w:val="000000" w:themeColor="text1"/>
                <w:u w:val="single"/>
                <w14:textFill>
                  <w14:solidFill>
                    <w14:schemeClr w14:val="tx1"/>
                  </w14:solidFill>
                </w14:textFill>
              </w:rPr>
              <w:t>）</w:t>
            </w:r>
            <w:r>
              <w:rPr>
                <w:rFonts w:hint="eastAsia"/>
                <w:color w:val="000000" w:themeColor="text1"/>
                <w:u w:val="single"/>
                <w:lang w:eastAsia="zh-CN"/>
                <w14:textFill>
                  <w14:solidFill>
                    <w14:schemeClr w14:val="tx1"/>
                  </w14:solidFill>
                </w14:textFill>
              </w:rPr>
              <w:t>。</w:t>
            </w:r>
          </w:p>
          <w:p w14:paraId="66EF48F2">
            <w:pPr>
              <w:spacing w:line="360" w:lineRule="auto"/>
              <w:ind w:firstLine="480" w:firstLineChars="200"/>
              <w:rPr>
                <w:u w:val="single"/>
              </w:rPr>
            </w:pPr>
            <w:r>
              <w:rPr>
                <w:rFonts w:hint="eastAsia"/>
                <w:u w:val="single"/>
                <w:lang w:eastAsia="zh-CN"/>
              </w:rPr>
              <w:t>松木经开区为一园三区，一园即松木经济开发区产业园区，三区为松木片区、江东片区、樟木片区</w:t>
            </w:r>
            <w:r>
              <w:rPr>
                <w:u w:val="single"/>
              </w:rPr>
              <w:t>。</w:t>
            </w:r>
          </w:p>
          <w:p w14:paraId="2217FFBC">
            <w:pPr>
              <w:autoSpaceDE w:val="0"/>
              <w:autoSpaceDN w:val="0"/>
              <w:adjustRightInd w:val="0"/>
              <w:snapToGrid w:val="0"/>
              <w:spacing w:line="360" w:lineRule="auto"/>
              <w:ind w:firstLine="480" w:firstLineChars="200"/>
              <w:rPr>
                <w:rFonts w:hint="eastAsia"/>
                <w:u w:val="single"/>
                <w:lang w:eastAsia="zh-CN"/>
              </w:rPr>
            </w:pPr>
            <w:r>
              <w:rPr>
                <w:rFonts w:hint="eastAsia"/>
                <w:u w:val="single"/>
                <w:lang w:eastAsia="zh-CN"/>
              </w:rPr>
              <w:t>松木片区：以盐卤精细化工及新材料产业为核心产业，先进装备制造、现代物流、新材料、新能源、综合服务为产业的高新技术产业园区。</w:t>
            </w:r>
          </w:p>
          <w:p w14:paraId="2BB9167F">
            <w:pPr>
              <w:autoSpaceDE w:val="0"/>
              <w:autoSpaceDN w:val="0"/>
              <w:adjustRightInd w:val="0"/>
              <w:snapToGrid w:val="0"/>
              <w:spacing w:line="360" w:lineRule="auto"/>
              <w:ind w:firstLine="480" w:firstLineChars="200"/>
              <w:rPr>
                <w:rFonts w:hint="eastAsia" w:eastAsia="宋体"/>
                <w:u w:val="single"/>
                <w:lang w:eastAsia="zh-CN"/>
              </w:rPr>
            </w:pPr>
            <w:r>
              <w:rPr>
                <w:rFonts w:hint="eastAsia"/>
                <w:u w:val="single"/>
                <w:lang w:eastAsia="zh-CN"/>
              </w:rPr>
              <w:t>江东片区：为精细化工下游延伸新材料产业区</w:t>
            </w:r>
          </w:p>
          <w:p w14:paraId="0B37F615">
            <w:pPr>
              <w:autoSpaceDE w:val="0"/>
              <w:autoSpaceDN w:val="0"/>
              <w:adjustRightInd w:val="0"/>
              <w:snapToGrid w:val="0"/>
              <w:spacing w:line="360" w:lineRule="auto"/>
              <w:ind w:firstLine="480" w:firstLineChars="200"/>
              <w:rPr>
                <w:rFonts w:hint="eastAsia" w:eastAsia="宋体"/>
                <w:u w:val="single"/>
                <w:lang w:eastAsia="zh-CN"/>
              </w:rPr>
            </w:pPr>
            <w:r>
              <w:rPr>
                <w:rFonts w:hint="eastAsia"/>
                <w:u w:val="single"/>
                <w:lang w:eastAsia="zh-CN"/>
              </w:rPr>
              <w:t>樟木片区：主导产业为盐卤化工、新材料。在松木经开区现有产业基础上，重新梳理主特产业，积极承接产业转移，形成以化工带动其他产业协同发展的新格局，充分发挥衡阳得天独厚的盐卤资源优势，依托建滔等龙头企业，通过建链、延链、强链、补链方式打造千亿产业集群。</w:t>
            </w:r>
          </w:p>
          <w:p w14:paraId="455D871E">
            <w:pPr>
              <w:spacing w:line="360" w:lineRule="auto"/>
              <w:ind w:firstLine="480" w:firstLineChars="200"/>
              <w:rPr>
                <w:rFonts w:hint="eastAsia" w:eastAsia="宋体"/>
                <w:color w:val="000000" w:themeColor="text1"/>
                <w:u w:val="single"/>
                <w:lang w:eastAsia="zh-CN"/>
                <w14:textFill>
                  <w14:solidFill>
                    <w14:schemeClr w14:val="tx1"/>
                  </w14:solidFill>
                </w14:textFill>
              </w:rPr>
            </w:pPr>
            <w:r>
              <w:rPr>
                <w:color w:val="000000" w:themeColor="text1"/>
                <w:u w:val="single"/>
                <w14:textFill>
                  <w14:solidFill>
                    <w14:schemeClr w14:val="tx1"/>
                  </w14:solidFill>
                </w14:textFill>
              </w:rPr>
              <w:t>本项目位于松木经济开发区</w:t>
            </w:r>
            <w:r>
              <w:rPr>
                <w:rFonts w:hint="eastAsia"/>
                <w:color w:val="000000" w:themeColor="text1"/>
                <w:u w:val="single"/>
                <w:lang w:eastAsia="zh-CN"/>
                <w14:textFill>
                  <w14:solidFill>
                    <w14:schemeClr w14:val="tx1"/>
                  </w14:solidFill>
                </w14:textFill>
              </w:rPr>
              <w:t>松木片区</w:t>
            </w:r>
            <w:r>
              <w:rPr>
                <w:color w:val="000000" w:themeColor="text1"/>
                <w:u w:val="single"/>
                <w14:textFill>
                  <w14:solidFill>
                    <w14:schemeClr w14:val="tx1"/>
                  </w14:solidFill>
                </w14:textFill>
              </w:rPr>
              <w:t>，</w:t>
            </w:r>
            <w:r>
              <w:rPr>
                <w:rFonts w:hint="eastAsia"/>
                <w:color w:val="000000" w:themeColor="text1"/>
                <w:u w:val="single"/>
                <w:lang w:eastAsia="zh-CN"/>
                <w14:textFill>
                  <w14:solidFill>
                    <w14:schemeClr w14:val="tx1"/>
                  </w14:solidFill>
                </w14:textFill>
              </w:rPr>
              <w:t>属于园区主导产业，符合园区规划要求。</w:t>
            </w:r>
          </w:p>
          <w:p w14:paraId="735A235E">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本项目与《</w:t>
            </w:r>
            <w:r>
              <w:rPr>
                <w:rFonts w:hint="eastAsia"/>
                <w:color w:val="000000" w:themeColor="text1"/>
                <w14:textFill>
                  <w14:solidFill>
                    <w14:schemeClr w14:val="tx1"/>
                  </w14:solidFill>
                </w14:textFill>
              </w:rPr>
              <w:t>湖南省生态环境厅关于湖南衡阳松木经济开发区调区扩区规划环境影响报告书</w:t>
            </w:r>
            <w:r>
              <w:rPr>
                <w:color w:val="000000" w:themeColor="text1"/>
                <w14:textFill>
                  <w14:solidFill>
                    <w14:schemeClr w14:val="tx1"/>
                  </w14:solidFill>
                </w14:textFill>
              </w:rPr>
              <w:t>审查意见的函》（</w:t>
            </w:r>
            <w:r>
              <w:rPr>
                <w:rFonts w:hint="eastAsia"/>
                <w:color w:val="000000" w:themeColor="text1"/>
                <w14:textFill>
                  <w14:solidFill>
                    <w14:schemeClr w14:val="tx1"/>
                  </w14:solidFill>
                </w14:textFill>
              </w:rPr>
              <w:t>湘环评函〔2024〕20号</w:t>
            </w:r>
            <w:r>
              <w:rPr>
                <w:color w:val="000000" w:themeColor="text1"/>
                <w14:textFill>
                  <w14:solidFill>
                    <w14:schemeClr w14:val="tx1"/>
                  </w14:solidFill>
                </w14:textFill>
              </w:rPr>
              <w:t>）的符合性分析见下表。</w:t>
            </w:r>
          </w:p>
          <w:p w14:paraId="09956E3D">
            <w:pPr>
              <w:jc w:val="center"/>
              <w:outlineLvl w:val="5"/>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表1-1  本项目与</w:t>
            </w:r>
            <w:r>
              <w:rPr>
                <w:rFonts w:hint="eastAsia"/>
                <w:b/>
                <w:color w:val="000000" w:themeColor="text1"/>
                <w:sz w:val="21"/>
                <w:szCs w:val="21"/>
                <w14:textFill>
                  <w14:solidFill>
                    <w14:schemeClr w14:val="tx1"/>
                  </w14:solidFill>
                </w14:textFill>
              </w:rPr>
              <w:t>湖南衡阳松木经济开发区调区扩区规划环境影响报告书审查意见</w:t>
            </w:r>
            <w:r>
              <w:rPr>
                <w:b/>
                <w:color w:val="000000" w:themeColor="text1"/>
                <w:sz w:val="21"/>
                <w:szCs w:val="21"/>
                <w14:textFill>
                  <w14:solidFill>
                    <w14:schemeClr w14:val="tx1"/>
                  </w14:solidFill>
                </w14:textFill>
              </w:rPr>
              <w:t>相符性分析一览表</w:t>
            </w:r>
          </w:p>
          <w:tbl>
            <w:tblPr>
              <w:tblStyle w:val="3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373"/>
              <w:gridCol w:w="1326"/>
              <w:gridCol w:w="651"/>
            </w:tblGrid>
            <w:tr w14:paraId="73EA01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31" w:type="dxa"/>
                  <w:tcBorders>
                    <w:top w:val="single" w:color="auto" w:sz="12" w:space="0"/>
                    <w:left w:val="single" w:color="auto" w:sz="12" w:space="0"/>
                    <w:bottom w:val="single" w:color="auto" w:sz="4" w:space="0"/>
                    <w:right w:val="single" w:color="auto" w:sz="4" w:space="0"/>
                  </w:tcBorders>
                  <w:vAlign w:val="center"/>
                </w:tcPr>
                <w:p w14:paraId="2619D136">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规划环评及审查意见要求</w:t>
                  </w:r>
                </w:p>
              </w:tc>
              <w:tc>
                <w:tcPr>
                  <w:tcW w:w="1334" w:type="dxa"/>
                  <w:tcBorders>
                    <w:top w:val="single" w:color="auto" w:sz="12" w:space="0"/>
                    <w:left w:val="single" w:color="auto" w:sz="4" w:space="0"/>
                    <w:bottom w:val="single" w:color="auto" w:sz="4" w:space="0"/>
                    <w:right w:val="single" w:color="auto" w:sz="4" w:space="0"/>
                  </w:tcBorders>
                  <w:vAlign w:val="center"/>
                </w:tcPr>
                <w:p w14:paraId="61438E38">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项目具体情况</w:t>
                  </w:r>
                </w:p>
              </w:tc>
              <w:tc>
                <w:tcPr>
                  <w:tcW w:w="654" w:type="dxa"/>
                  <w:tcBorders>
                    <w:top w:val="single" w:color="auto" w:sz="12" w:space="0"/>
                    <w:left w:val="single" w:color="auto" w:sz="4" w:space="0"/>
                    <w:bottom w:val="single" w:color="auto" w:sz="4" w:space="0"/>
                    <w:right w:val="single" w:color="auto" w:sz="12" w:space="0"/>
                  </w:tcBorders>
                  <w:vAlign w:val="center"/>
                </w:tcPr>
                <w:p w14:paraId="724BF9FD">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符合与否</w:t>
                  </w:r>
                </w:p>
              </w:tc>
            </w:tr>
            <w:tr w14:paraId="300007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31" w:type="dxa"/>
                  <w:tcBorders>
                    <w:top w:val="single" w:color="auto" w:sz="4" w:space="0"/>
                    <w:left w:val="single" w:color="auto" w:sz="12" w:space="0"/>
                    <w:bottom w:val="single" w:color="auto" w:sz="4" w:space="0"/>
                    <w:right w:val="single" w:color="auto" w:sz="4" w:space="0"/>
                  </w:tcBorders>
                  <w:vAlign w:val="center"/>
                </w:tcPr>
                <w:p w14:paraId="703065D8">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严格依规开发，做好功能分区布局。园区在下一步开发建设过程中应严格执行《长江保护法》对沿江1公里范围内新建、扩建化工园区和化工项目的禁止性要求。园区化工片区应对照我省最新的建设标准和管理办法，以及生态环境部门的具体要求高标准建设。松木化工片区应做好边界管控，并与西侧、南侧区域相互协调形成合理布局，减少对松木片区西部安置区、公租房、职业学院等环境敏感目标的影响及对主导风向下风向城区的影响；重点处理好新扩樟木片区与边界四侧环境敏感目标、樟木乡集镇的相互关系，充分利用规划的二类工业用地及自然地形，形成与周边环境敏感目标的相对隔离，控制生态环境影响</w:t>
                  </w:r>
                  <w:r>
                    <w:rPr>
                      <w:color w:val="000000" w:themeColor="text1"/>
                      <w:sz w:val="21"/>
                      <w:szCs w:val="21"/>
                      <w14:textFill>
                        <w14:solidFill>
                          <w14:schemeClr w14:val="tx1"/>
                        </w14:solidFill>
                      </w14:textFill>
                    </w:rPr>
                    <w:t>。</w:t>
                  </w:r>
                </w:p>
              </w:tc>
              <w:tc>
                <w:tcPr>
                  <w:tcW w:w="1334" w:type="dxa"/>
                  <w:tcBorders>
                    <w:top w:val="single" w:color="auto" w:sz="4" w:space="0"/>
                    <w:left w:val="single" w:color="auto" w:sz="4" w:space="0"/>
                    <w:bottom w:val="single" w:color="auto" w:sz="4" w:space="0"/>
                    <w:right w:val="single" w:color="auto" w:sz="4" w:space="0"/>
                  </w:tcBorders>
                  <w:vAlign w:val="center"/>
                </w:tcPr>
                <w:p w14:paraId="0E9D40C4">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本项目距离湘江约</w:t>
                  </w:r>
                  <w:r>
                    <w:rPr>
                      <w:rFonts w:hint="eastAsia"/>
                      <w:color w:val="000000" w:themeColor="text1"/>
                      <w:sz w:val="21"/>
                      <w:szCs w:val="21"/>
                      <w14:textFill>
                        <w14:solidFill>
                          <w14:schemeClr w14:val="tx1"/>
                        </w14:solidFill>
                      </w14:textFill>
                    </w:rPr>
                    <w:t>2.5</w:t>
                  </w:r>
                  <w:r>
                    <w:rPr>
                      <w:color w:val="000000" w:themeColor="text1"/>
                      <w:sz w:val="21"/>
                      <w:szCs w:val="21"/>
                      <w14:textFill>
                        <w14:solidFill>
                          <w14:schemeClr w14:val="tx1"/>
                        </w14:solidFill>
                      </w14:textFill>
                    </w:rPr>
                    <w:t>公里</w:t>
                  </w:r>
                </w:p>
              </w:tc>
              <w:tc>
                <w:tcPr>
                  <w:tcW w:w="654" w:type="dxa"/>
                  <w:tcBorders>
                    <w:top w:val="single" w:color="auto" w:sz="4" w:space="0"/>
                    <w:left w:val="single" w:color="auto" w:sz="4" w:space="0"/>
                    <w:bottom w:val="single" w:color="auto" w:sz="4" w:space="0"/>
                    <w:right w:val="single" w:color="auto" w:sz="12" w:space="0"/>
                  </w:tcBorders>
                  <w:vAlign w:val="center"/>
                </w:tcPr>
                <w:p w14:paraId="54C6609C">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2C0F50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31" w:type="dxa"/>
                  <w:tcBorders>
                    <w:top w:val="single" w:color="auto" w:sz="4" w:space="0"/>
                    <w:left w:val="single" w:color="auto" w:sz="12" w:space="0"/>
                    <w:bottom w:val="single" w:color="auto" w:sz="4" w:space="0"/>
                    <w:right w:val="single" w:color="auto" w:sz="4" w:space="0"/>
                  </w:tcBorders>
                  <w:vAlign w:val="center"/>
                </w:tcPr>
                <w:p w14:paraId="3FF26107">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完善监测体系，监控环境质量变化状况。结合园区规划的功能分区、产业布局、重点企业分布、特征污染物的排放种类和状况、环境敏感目标分布等，建立健全环境空气、地表水、地下水、土壤等环境要素的监控体系。按要求做好生态环境监测自动站布点、建设，加强对园区周边环境空气的跟踪监测，特别是涉氯排放企业的监测，加强园区周边地表水环境的跟踪监测，重点关注涉铊排放企业监测，加强地下水污染源头防控与监测，进一步完善环境管理监管信息平台数据对接工作。加强对园区重点排污企业的监督性监测，防止偷排漏排。按规定要求督促相关主体开展污染地块的土壤污染状况调查，根据地块用地性质规划要求开展土壤修复，在土壤修复完成之前，禁止将污染地块用于相应的规划功能开发</w:t>
                  </w:r>
                  <w:r>
                    <w:rPr>
                      <w:color w:val="000000" w:themeColor="text1"/>
                      <w:sz w:val="21"/>
                      <w:szCs w:val="21"/>
                      <w14:textFill>
                        <w14:solidFill>
                          <w14:schemeClr w14:val="tx1"/>
                        </w14:solidFill>
                      </w14:textFill>
                    </w:rPr>
                    <w:t>。</w:t>
                  </w:r>
                </w:p>
              </w:tc>
              <w:tc>
                <w:tcPr>
                  <w:tcW w:w="1334" w:type="dxa"/>
                  <w:tcBorders>
                    <w:top w:val="single" w:color="auto" w:sz="4" w:space="0"/>
                    <w:left w:val="single" w:color="auto" w:sz="4" w:space="0"/>
                    <w:bottom w:val="single" w:color="auto" w:sz="4" w:space="0"/>
                    <w:right w:val="single" w:color="auto" w:sz="4" w:space="0"/>
                  </w:tcBorders>
                  <w:vAlign w:val="center"/>
                </w:tcPr>
                <w:p w14:paraId="2A239D1E">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本项目废气、废水均能达标排放，固废得到合理处置</w:t>
                  </w:r>
                </w:p>
              </w:tc>
              <w:tc>
                <w:tcPr>
                  <w:tcW w:w="654" w:type="dxa"/>
                  <w:tcBorders>
                    <w:top w:val="single" w:color="auto" w:sz="4" w:space="0"/>
                    <w:left w:val="single" w:color="auto" w:sz="4" w:space="0"/>
                    <w:bottom w:val="single" w:color="auto" w:sz="4" w:space="0"/>
                    <w:right w:val="single" w:color="auto" w:sz="12" w:space="0"/>
                  </w:tcBorders>
                  <w:vAlign w:val="center"/>
                </w:tcPr>
                <w:p w14:paraId="6CBF5EA2">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046F54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31" w:type="dxa"/>
                  <w:tcBorders>
                    <w:top w:val="single" w:color="auto" w:sz="4" w:space="0"/>
                    <w:left w:val="single" w:color="auto" w:sz="12" w:space="0"/>
                    <w:bottom w:val="single" w:color="auto" w:sz="12" w:space="0"/>
                    <w:right w:val="single" w:color="auto" w:sz="4" w:space="0"/>
                  </w:tcBorders>
                  <w:vAlign w:val="center"/>
                </w:tcPr>
                <w:p w14:paraId="70EB0F26">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强化风险管控，严防园区环境事故。建立健全园区环境风险管理工作长效机制，加强园区环境风险防控、预警和应急体系建设。落实环境风险防控措施，及时完成园区环境应急预案的修订和备案工作，推动重点污染企业环境应急预案编制和备案工作，加强应急救援队伍、装备和设施建设，储备必要的应急物资，有计划地组织应急培训和演练，全面提升园区环境风险防控和环境事故应急处置能力。化工片区应建设公共的事故水池、应急截流沟等环境风险设施，完善环境风险应急体系管控要求，强化湘江岸线1公里内保留类化工企业的环境风险防控，加强日常监管，杜绝污水及尾水管网的泄漏，确保湘江水质安全</w:t>
                  </w:r>
                  <w:r>
                    <w:rPr>
                      <w:color w:val="000000" w:themeColor="text1"/>
                      <w:sz w:val="21"/>
                      <w:szCs w:val="21"/>
                      <w14:textFill>
                        <w14:solidFill>
                          <w14:schemeClr w14:val="tx1"/>
                        </w14:solidFill>
                      </w14:textFill>
                    </w:rPr>
                    <w:t>。</w:t>
                  </w:r>
                </w:p>
              </w:tc>
              <w:tc>
                <w:tcPr>
                  <w:tcW w:w="1334" w:type="dxa"/>
                  <w:tcBorders>
                    <w:top w:val="single" w:color="auto" w:sz="4" w:space="0"/>
                    <w:left w:val="single" w:color="auto" w:sz="4" w:space="0"/>
                    <w:bottom w:val="single" w:color="auto" w:sz="12" w:space="0"/>
                    <w:right w:val="single" w:color="auto" w:sz="4" w:space="0"/>
                  </w:tcBorders>
                  <w:vAlign w:val="center"/>
                </w:tcPr>
                <w:p w14:paraId="4E475DA6">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园区重点企业和园区已编制了突发环境应急预案，园区建立应急污染源监测预警系统，建立三级联动应急响应体系，实行联防联控。</w:t>
                  </w:r>
                </w:p>
              </w:tc>
              <w:tc>
                <w:tcPr>
                  <w:tcW w:w="654" w:type="dxa"/>
                  <w:tcBorders>
                    <w:top w:val="single" w:color="auto" w:sz="4" w:space="0"/>
                    <w:left w:val="single" w:color="auto" w:sz="4" w:space="0"/>
                    <w:bottom w:val="single" w:color="auto" w:sz="12" w:space="0"/>
                    <w:right w:val="single" w:color="auto" w:sz="12" w:space="0"/>
                  </w:tcBorders>
                  <w:vAlign w:val="center"/>
                </w:tcPr>
                <w:p w14:paraId="65B5AA54">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bl>
          <w:p w14:paraId="370B585E">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本项目属于</w:t>
            </w:r>
            <w:r>
              <w:rPr>
                <w:rFonts w:hint="eastAsia"/>
                <w:color w:val="000000" w:themeColor="text1"/>
                <w14:textFill>
                  <w14:solidFill>
                    <w14:schemeClr w14:val="tx1"/>
                  </w14:solidFill>
                </w14:textFill>
              </w:rPr>
              <w:t>阻燃剂混配</w:t>
            </w: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项目选址</w:t>
            </w:r>
            <w:r>
              <w:rPr>
                <w:color w:val="000000" w:themeColor="text1"/>
                <w14:textFill>
                  <w14:solidFill>
                    <w14:schemeClr w14:val="tx1"/>
                  </w14:solidFill>
                </w14:textFill>
              </w:rPr>
              <w:t>位于</w:t>
            </w:r>
            <w:r>
              <w:rPr>
                <w:rFonts w:hint="eastAsia"/>
                <w:color w:val="000000" w:themeColor="text1"/>
                <w:lang w:eastAsia="zh-CN"/>
                <w14:textFill>
                  <w14:solidFill>
                    <w14:schemeClr w14:val="tx1"/>
                  </w14:solidFill>
                </w14:textFill>
              </w:rPr>
              <w:t>松木</w:t>
            </w:r>
            <w:r>
              <w:rPr>
                <w:rFonts w:hint="eastAsia"/>
                <w:color w:val="000000" w:themeColor="text1"/>
                <w14:textFill>
                  <w14:solidFill>
                    <w14:schemeClr w14:val="tx1"/>
                  </w14:solidFill>
                </w14:textFill>
              </w:rPr>
              <w:t>片区</w:t>
            </w:r>
            <w:r>
              <w:rPr>
                <w:color w:val="000000" w:themeColor="text1"/>
                <w14:textFill>
                  <w14:solidFill>
                    <w14:schemeClr w14:val="tx1"/>
                  </w14:solidFill>
                </w14:textFill>
              </w:rPr>
              <w:t>，符合园区产业定位。</w:t>
            </w:r>
          </w:p>
          <w:p w14:paraId="5E3392FD">
            <w:pPr>
              <w:spacing w:line="360" w:lineRule="auto"/>
              <w:ind w:firstLine="480" w:firstLineChars="200"/>
            </w:pPr>
            <w:r>
              <w:t>与</w:t>
            </w:r>
            <w:r>
              <w:rPr>
                <w:rFonts w:hint="eastAsia"/>
              </w:rPr>
              <w:t>松木</w:t>
            </w:r>
            <w:r>
              <w:t>经开区准入及限制行业要求符合性分析见下表。</w:t>
            </w:r>
          </w:p>
          <w:p w14:paraId="0D7F4A6E">
            <w:pPr>
              <w:pStyle w:val="35"/>
              <w:ind w:left="0" w:leftChars="0" w:right="0" w:rightChars="0" w:firstLine="0" w:firstLineChars="0"/>
              <w:jc w:val="center"/>
              <w:rPr>
                <w:b/>
                <w:bCs/>
                <w:u w:val="single"/>
              </w:rPr>
            </w:pPr>
            <w:r>
              <w:rPr>
                <w:b/>
                <w:bCs/>
              </w:rPr>
              <w:t>表1-2 项目与</w:t>
            </w:r>
            <w:r>
              <w:rPr>
                <w:rFonts w:hint="eastAsia"/>
                <w:b/>
                <w:bCs/>
                <w:lang w:eastAsia="zh-CN"/>
              </w:rPr>
              <w:t>松木片区</w:t>
            </w:r>
            <w:r>
              <w:rPr>
                <w:b/>
                <w:bCs/>
              </w:rPr>
              <w:t>准入及限制行业要求符合性分析</w:t>
            </w:r>
          </w:p>
          <w:tbl>
            <w:tblPr>
              <w:tblStyle w:val="3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5101"/>
              <w:gridCol w:w="1113"/>
              <w:gridCol w:w="482"/>
            </w:tblGrid>
            <w:tr w14:paraId="1C2251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dxa"/>
                  <w:vAlign w:val="center"/>
                </w:tcPr>
                <w:p w14:paraId="737CEC6B">
                  <w:pPr>
                    <w:pStyle w:val="2"/>
                    <w:adjustRightInd/>
                    <w:jc w:val="center"/>
                    <w:rPr>
                      <w:rFonts w:ascii="Times New Roman" w:hAnsi="Times New Roman" w:cs="Times New Roman"/>
                      <w:b/>
                      <w:bCs/>
                      <w:color w:val="auto"/>
                      <w:sz w:val="21"/>
                      <w:szCs w:val="21"/>
                      <w:u w:val="none"/>
                    </w:rPr>
                  </w:pPr>
                  <w:r>
                    <w:rPr>
                      <w:rFonts w:hint="eastAsia" w:ascii="Times New Roman" w:hAnsi="Times New Roman" w:cs="Times New Roman"/>
                      <w:b/>
                      <w:bCs/>
                      <w:color w:val="auto"/>
                      <w:sz w:val="21"/>
                      <w:szCs w:val="21"/>
                      <w:u w:val="none"/>
                    </w:rPr>
                    <w:t>类别</w:t>
                  </w:r>
                </w:p>
              </w:tc>
              <w:tc>
                <w:tcPr>
                  <w:tcW w:w="5101" w:type="dxa"/>
                  <w:vAlign w:val="center"/>
                </w:tcPr>
                <w:p w14:paraId="1849CC9B">
                  <w:pPr>
                    <w:pStyle w:val="2"/>
                    <w:adjustRightInd/>
                    <w:jc w:val="center"/>
                    <w:rPr>
                      <w:rFonts w:ascii="Times New Roman" w:hAnsi="Times New Roman" w:cs="Times New Roman"/>
                      <w:b/>
                      <w:bCs/>
                      <w:color w:val="auto"/>
                      <w:sz w:val="21"/>
                      <w:szCs w:val="21"/>
                      <w:u w:val="none"/>
                    </w:rPr>
                  </w:pPr>
                  <w:r>
                    <w:rPr>
                      <w:rFonts w:hint="eastAsia" w:ascii="Times New Roman" w:hAnsi="Times New Roman" w:cs="Times New Roman"/>
                      <w:b/>
                      <w:bCs/>
                      <w:color w:val="auto"/>
                      <w:sz w:val="21"/>
                      <w:szCs w:val="21"/>
                      <w:u w:val="none"/>
                    </w:rPr>
                    <w:t>规划环评准入要求</w:t>
                  </w:r>
                </w:p>
              </w:tc>
              <w:tc>
                <w:tcPr>
                  <w:tcW w:w="1113" w:type="dxa"/>
                  <w:vAlign w:val="center"/>
                </w:tcPr>
                <w:p w14:paraId="5587D925">
                  <w:pPr>
                    <w:pStyle w:val="2"/>
                    <w:adjustRightInd/>
                    <w:jc w:val="center"/>
                    <w:rPr>
                      <w:rFonts w:ascii="Times New Roman" w:hAnsi="Times New Roman" w:cs="Times New Roman"/>
                      <w:b/>
                      <w:bCs/>
                      <w:color w:val="auto"/>
                      <w:sz w:val="21"/>
                      <w:szCs w:val="21"/>
                      <w:u w:val="none"/>
                    </w:rPr>
                  </w:pPr>
                  <w:r>
                    <w:rPr>
                      <w:rFonts w:hint="eastAsia" w:ascii="Times New Roman" w:hAnsi="Times New Roman" w:cs="Times New Roman"/>
                      <w:b/>
                      <w:bCs/>
                      <w:color w:val="auto"/>
                      <w:sz w:val="21"/>
                      <w:szCs w:val="21"/>
                      <w:u w:val="none"/>
                    </w:rPr>
                    <w:t>项目情况</w:t>
                  </w:r>
                </w:p>
              </w:tc>
              <w:tc>
                <w:tcPr>
                  <w:tcW w:w="0" w:type="auto"/>
                  <w:vAlign w:val="center"/>
                </w:tcPr>
                <w:p w14:paraId="6C708E7A">
                  <w:pPr>
                    <w:pStyle w:val="2"/>
                    <w:adjustRightInd/>
                    <w:jc w:val="center"/>
                    <w:rPr>
                      <w:rFonts w:ascii="Times New Roman" w:hAnsi="Times New Roman" w:cs="Times New Roman"/>
                      <w:b/>
                      <w:bCs/>
                      <w:color w:val="auto"/>
                      <w:sz w:val="21"/>
                      <w:szCs w:val="21"/>
                      <w:u w:val="none"/>
                    </w:rPr>
                  </w:pPr>
                  <w:r>
                    <w:rPr>
                      <w:rFonts w:hint="eastAsia" w:ascii="Times New Roman" w:hAnsi="Times New Roman" w:cs="Times New Roman"/>
                      <w:b/>
                      <w:bCs/>
                      <w:color w:val="auto"/>
                      <w:sz w:val="21"/>
                      <w:szCs w:val="21"/>
                      <w:u w:val="none"/>
                    </w:rPr>
                    <w:t>符合性</w:t>
                  </w:r>
                </w:p>
              </w:tc>
            </w:tr>
            <w:tr w14:paraId="647085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dxa"/>
                  <w:vAlign w:val="center"/>
                </w:tcPr>
                <w:p w14:paraId="42D42963">
                  <w:pPr>
                    <w:widowControl/>
                    <w:jc w:val="center"/>
                    <w:rPr>
                      <w:rFonts w:hint="eastAsia" w:eastAsia="宋体"/>
                      <w:sz w:val="21"/>
                      <w:szCs w:val="21"/>
                      <w:u w:val="none"/>
                      <w:lang w:eastAsia="zh-CN"/>
                    </w:rPr>
                  </w:pPr>
                  <w:r>
                    <w:rPr>
                      <w:rFonts w:hint="eastAsia"/>
                      <w:sz w:val="21"/>
                      <w:szCs w:val="21"/>
                      <w:u w:val="none"/>
                      <w:lang w:eastAsia="zh-CN"/>
                    </w:rPr>
                    <w:t>主导类</w:t>
                  </w:r>
                </w:p>
              </w:tc>
              <w:tc>
                <w:tcPr>
                  <w:tcW w:w="5101" w:type="dxa"/>
                  <w:vAlign w:val="center"/>
                </w:tcPr>
                <w:p w14:paraId="0487242D">
                  <w:pPr>
                    <w:jc w:val="left"/>
                    <w:rPr>
                      <w:sz w:val="21"/>
                      <w:szCs w:val="21"/>
                      <w:u w:val="none"/>
                    </w:rPr>
                  </w:pPr>
                  <w:r>
                    <w:rPr>
                      <w:rFonts w:hint="eastAsia" w:ascii="Calibri" w:hAnsi="Arial" w:cs="Arial"/>
                      <w:kern w:val="0"/>
                      <w:sz w:val="21"/>
                      <w:szCs w:val="21"/>
                      <w:u w:val="none"/>
                      <w:lang w:val="en-US" w:eastAsia="zh-CN"/>
                    </w:rPr>
                    <w:t xml:space="preserve">发展新材料、现代物流产业。重点发展 </w:t>
                  </w:r>
                  <w:r>
                    <w:rPr>
                      <w:rFonts w:hint="default" w:ascii="Calibri" w:hAnsi="Arial" w:cs="Arial"/>
                      <w:kern w:val="0"/>
                      <w:sz w:val="21"/>
                      <w:szCs w:val="21"/>
                      <w:u w:val="none"/>
                      <w:lang w:val="en-US" w:eastAsia="zh-CN"/>
                    </w:rPr>
                    <w:t xml:space="preserve">C306 </w:t>
                  </w:r>
                  <w:r>
                    <w:rPr>
                      <w:rFonts w:hint="eastAsia" w:ascii="Calibri" w:hAnsi="Arial" w:cs="Arial"/>
                      <w:kern w:val="0"/>
                      <w:sz w:val="21"/>
                      <w:szCs w:val="21"/>
                      <w:u w:val="none"/>
                      <w:lang w:val="en-US" w:eastAsia="zh-CN"/>
                    </w:rPr>
                    <w:t>玻璃纤维和玻璃纤维增强塑料制品制造、</w:t>
                  </w:r>
                  <w:r>
                    <w:rPr>
                      <w:rFonts w:hint="default" w:ascii="Calibri" w:hAnsi="Arial" w:cs="Arial"/>
                      <w:kern w:val="0"/>
                      <w:sz w:val="21"/>
                      <w:szCs w:val="21"/>
                      <w:u w:val="none"/>
                      <w:lang w:val="en-US" w:eastAsia="zh-CN"/>
                    </w:rPr>
                    <w:t xml:space="preserve">C3240 </w:t>
                  </w:r>
                  <w:r>
                    <w:rPr>
                      <w:rFonts w:hint="eastAsia" w:ascii="Calibri" w:hAnsi="Arial" w:cs="Arial"/>
                      <w:kern w:val="0"/>
                      <w:sz w:val="21"/>
                      <w:szCs w:val="21"/>
                      <w:u w:val="none"/>
                      <w:lang w:val="en-US" w:eastAsia="zh-CN"/>
                    </w:rPr>
                    <w:t>有色金属合金制造、</w:t>
                  </w:r>
                  <w:r>
                    <w:rPr>
                      <w:rFonts w:hint="default" w:ascii="Calibri" w:hAnsi="Arial" w:cs="Arial"/>
                      <w:kern w:val="0"/>
                      <w:sz w:val="21"/>
                      <w:szCs w:val="21"/>
                      <w:u w:val="none"/>
                      <w:lang w:val="en-US" w:eastAsia="zh-CN"/>
                    </w:rPr>
                    <w:t>C384</w:t>
                  </w:r>
                  <w:r>
                    <w:rPr>
                      <w:rFonts w:hint="eastAsia" w:ascii="Calibri" w:hAnsi="Arial" w:cs="Arial"/>
                      <w:kern w:val="0"/>
                      <w:sz w:val="21"/>
                      <w:szCs w:val="21"/>
                      <w:u w:val="none"/>
                      <w:lang w:val="en-US" w:eastAsia="zh-CN"/>
                    </w:rPr>
                    <w:t>电池制造、</w:t>
                  </w:r>
                  <w:r>
                    <w:rPr>
                      <w:rFonts w:hint="default" w:ascii="Calibri" w:hAnsi="Arial" w:cs="Arial"/>
                      <w:kern w:val="0"/>
                      <w:sz w:val="21"/>
                      <w:szCs w:val="21"/>
                      <w:u w:val="none"/>
                      <w:lang w:val="en-US" w:eastAsia="zh-CN"/>
                    </w:rPr>
                    <w:t>C398</w:t>
                  </w:r>
                  <w:r>
                    <w:rPr>
                      <w:rFonts w:hint="eastAsia" w:ascii="Calibri" w:hAnsi="Arial" w:cs="Arial"/>
                      <w:kern w:val="0"/>
                      <w:sz w:val="21"/>
                      <w:szCs w:val="21"/>
                      <w:u w:val="none"/>
                      <w:lang w:val="en-US" w:eastAsia="zh-CN"/>
                    </w:rPr>
                    <w:t>电子元件及电子专用材料制造及按国家和省相关政策不需要进入化工园区的新材料产业</w:t>
                  </w:r>
                  <w:r>
                    <w:rPr>
                      <w:rFonts w:ascii="Calibri" w:hAnsi="Arial" w:cs="Arial"/>
                      <w:kern w:val="0"/>
                      <w:sz w:val="21"/>
                      <w:szCs w:val="21"/>
                      <w:u w:val="none"/>
                    </w:rPr>
                    <w:t>。</w:t>
                  </w:r>
                </w:p>
              </w:tc>
              <w:tc>
                <w:tcPr>
                  <w:tcW w:w="1113" w:type="dxa"/>
                  <w:vMerge w:val="restart"/>
                  <w:vAlign w:val="center"/>
                </w:tcPr>
                <w:p w14:paraId="6DE7A5B6">
                  <w:pPr>
                    <w:widowControl/>
                    <w:rPr>
                      <w:sz w:val="21"/>
                      <w:szCs w:val="21"/>
                      <w:u w:val="none"/>
                    </w:rPr>
                  </w:pPr>
                  <w:r>
                    <w:rPr>
                      <w:sz w:val="21"/>
                      <w:szCs w:val="21"/>
                      <w:u w:val="none"/>
                    </w:rPr>
                    <w:t>本项目不属于</w:t>
                  </w:r>
                  <w:r>
                    <w:rPr>
                      <w:rFonts w:hint="eastAsia"/>
                      <w:sz w:val="21"/>
                      <w:szCs w:val="21"/>
                      <w:u w:val="none"/>
                    </w:rPr>
                    <w:t>鼓励类、</w:t>
                  </w:r>
                  <w:r>
                    <w:rPr>
                      <w:sz w:val="21"/>
                      <w:szCs w:val="21"/>
                      <w:u w:val="none"/>
                    </w:rPr>
                    <w:t>限制类、禁止类，属于允许类。</w:t>
                  </w:r>
                </w:p>
              </w:tc>
              <w:tc>
                <w:tcPr>
                  <w:tcW w:w="0" w:type="auto"/>
                  <w:vMerge w:val="restart"/>
                  <w:vAlign w:val="center"/>
                </w:tcPr>
                <w:p w14:paraId="0C8C8D00">
                  <w:pPr>
                    <w:jc w:val="center"/>
                    <w:rPr>
                      <w:sz w:val="21"/>
                      <w:szCs w:val="21"/>
                      <w:u w:val="none"/>
                    </w:rPr>
                  </w:pPr>
                  <w:r>
                    <w:rPr>
                      <w:rFonts w:hint="eastAsia"/>
                      <w:sz w:val="21"/>
                      <w:szCs w:val="21"/>
                      <w:u w:val="none"/>
                    </w:rPr>
                    <w:t>符合</w:t>
                  </w:r>
                </w:p>
              </w:tc>
            </w:tr>
            <w:tr w14:paraId="5C00BC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dxa"/>
                  <w:vAlign w:val="center"/>
                </w:tcPr>
                <w:p w14:paraId="4284D01E">
                  <w:pPr>
                    <w:widowControl/>
                    <w:jc w:val="center"/>
                    <w:rPr>
                      <w:sz w:val="21"/>
                      <w:szCs w:val="21"/>
                      <w:u w:val="none"/>
                    </w:rPr>
                  </w:pPr>
                  <w:r>
                    <w:rPr>
                      <w:rFonts w:hint="eastAsia"/>
                      <w:sz w:val="21"/>
                      <w:szCs w:val="21"/>
                      <w:u w:val="none"/>
                    </w:rPr>
                    <w:t>限制类</w:t>
                  </w:r>
                </w:p>
              </w:tc>
              <w:tc>
                <w:tcPr>
                  <w:tcW w:w="5101" w:type="dxa"/>
                </w:tcPr>
                <w:p w14:paraId="01DB6298">
                  <w:pPr>
                    <w:jc w:val="left"/>
                    <w:rPr>
                      <w:rFonts w:ascii="Arial" w:hAnsi="Arial" w:cs="Arial"/>
                      <w:kern w:val="0"/>
                      <w:sz w:val="21"/>
                      <w:szCs w:val="21"/>
                      <w:u w:val="none"/>
                    </w:rPr>
                  </w:pPr>
                  <w:r>
                    <w:rPr>
                      <w:rFonts w:hint="eastAsia" w:ascii="Calibri" w:hAnsi="Arial" w:cs="Arial"/>
                      <w:kern w:val="0"/>
                      <w:sz w:val="21"/>
                      <w:szCs w:val="21"/>
                      <w:u w:val="none"/>
                    </w:rPr>
                    <w:t>属于《产业结构调整指导目录（2024 年本）》限制类工艺和设备的项目</w:t>
                  </w:r>
                  <w:r>
                    <w:rPr>
                      <w:rFonts w:ascii="Calibri" w:hAnsi="Arial" w:cs="Arial"/>
                      <w:kern w:val="0"/>
                      <w:sz w:val="21"/>
                      <w:szCs w:val="21"/>
                      <w:u w:val="none"/>
                    </w:rPr>
                    <w:t>。</w:t>
                  </w:r>
                </w:p>
              </w:tc>
              <w:tc>
                <w:tcPr>
                  <w:tcW w:w="1113" w:type="dxa"/>
                  <w:vMerge w:val="continue"/>
                  <w:vAlign w:val="center"/>
                </w:tcPr>
                <w:p w14:paraId="42CF37F2">
                  <w:pPr>
                    <w:rPr>
                      <w:sz w:val="21"/>
                      <w:szCs w:val="21"/>
                      <w:u w:val="none"/>
                    </w:rPr>
                  </w:pPr>
                </w:p>
              </w:tc>
              <w:tc>
                <w:tcPr>
                  <w:tcW w:w="0" w:type="auto"/>
                  <w:vMerge w:val="continue"/>
                  <w:vAlign w:val="center"/>
                </w:tcPr>
                <w:p w14:paraId="37E0C49F">
                  <w:pPr>
                    <w:jc w:val="center"/>
                    <w:rPr>
                      <w:sz w:val="21"/>
                      <w:szCs w:val="21"/>
                      <w:u w:val="none"/>
                    </w:rPr>
                  </w:pPr>
                </w:p>
              </w:tc>
            </w:tr>
            <w:tr w14:paraId="29098B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dxa"/>
                  <w:vAlign w:val="center"/>
                </w:tcPr>
                <w:p w14:paraId="494A23C5">
                  <w:pPr>
                    <w:widowControl/>
                    <w:jc w:val="center"/>
                    <w:rPr>
                      <w:sz w:val="21"/>
                      <w:szCs w:val="21"/>
                      <w:u w:val="none"/>
                    </w:rPr>
                  </w:pPr>
                  <w:r>
                    <w:rPr>
                      <w:rFonts w:hint="eastAsia"/>
                      <w:sz w:val="21"/>
                      <w:szCs w:val="21"/>
                      <w:u w:val="none"/>
                    </w:rPr>
                    <w:t>禁止类</w:t>
                  </w:r>
                </w:p>
              </w:tc>
              <w:tc>
                <w:tcPr>
                  <w:tcW w:w="5101" w:type="dxa"/>
                </w:tcPr>
                <w:p w14:paraId="0F8084C9">
                  <w:pPr>
                    <w:jc w:val="left"/>
                    <w:rPr>
                      <w:rFonts w:hint="eastAsia" w:ascii="Calibri" w:hAnsi="Arial" w:cs="Arial"/>
                      <w:kern w:val="0"/>
                      <w:sz w:val="21"/>
                      <w:szCs w:val="21"/>
                      <w:u w:val="none"/>
                    </w:rPr>
                  </w:pPr>
                  <w:r>
                    <w:rPr>
                      <w:rFonts w:hint="eastAsia" w:ascii="Calibri" w:hAnsi="Arial" w:cs="Arial"/>
                      <w:kern w:val="0"/>
                      <w:sz w:val="21"/>
                      <w:szCs w:val="21"/>
                      <w:u w:val="none"/>
                    </w:rPr>
                    <w:t>1、禁止引进《限期淘汰产生严重污染环境的工业固体废物的落后生产工艺设备名录》及《产业结构调整指导目录（2024 年本）》淘汰类工艺和设备的项目。</w:t>
                  </w:r>
                </w:p>
                <w:p w14:paraId="2CFDBD71">
                  <w:pPr>
                    <w:jc w:val="left"/>
                    <w:rPr>
                      <w:rFonts w:ascii="Arial" w:hAnsi="Arial" w:cs="Arial"/>
                      <w:kern w:val="0"/>
                      <w:sz w:val="21"/>
                      <w:szCs w:val="21"/>
                      <w:u w:val="none"/>
                    </w:rPr>
                  </w:pPr>
                  <w:r>
                    <w:rPr>
                      <w:rFonts w:hint="eastAsia" w:ascii="Calibri" w:hAnsi="Arial" w:cs="Arial"/>
                      <w:kern w:val="0"/>
                      <w:sz w:val="21"/>
                      <w:szCs w:val="21"/>
                      <w:u w:val="none"/>
                    </w:rPr>
                    <w:t>2、C26 化学原料和化学制品制造业(不包括 C267 炸药、火工及焰火产品制造、C268 日用化学产品制造和单纯物理分离、混合、提纯及分装的项目)、C3041 平板玻璃制造（光伏玻璃除外）、以矿石为原料黑色金属冶炼和有色金属冶炼项目。</w:t>
                  </w:r>
                </w:p>
              </w:tc>
              <w:tc>
                <w:tcPr>
                  <w:tcW w:w="1113" w:type="dxa"/>
                  <w:vMerge w:val="continue"/>
                  <w:vAlign w:val="center"/>
                </w:tcPr>
                <w:p w14:paraId="051B2278">
                  <w:pPr>
                    <w:rPr>
                      <w:sz w:val="21"/>
                      <w:szCs w:val="21"/>
                      <w:u w:val="none"/>
                    </w:rPr>
                  </w:pPr>
                </w:p>
              </w:tc>
              <w:tc>
                <w:tcPr>
                  <w:tcW w:w="0" w:type="auto"/>
                  <w:vMerge w:val="continue"/>
                  <w:vAlign w:val="center"/>
                </w:tcPr>
                <w:p w14:paraId="2C68C001">
                  <w:pPr>
                    <w:jc w:val="center"/>
                    <w:rPr>
                      <w:sz w:val="21"/>
                      <w:szCs w:val="21"/>
                      <w:u w:val="none"/>
                    </w:rPr>
                  </w:pPr>
                </w:p>
              </w:tc>
            </w:tr>
          </w:tbl>
          <w:p w14:paraId="77D56418">
            <w:pPr>
              <w:pStyle w:val="111"/>
              <w:snapToGrid w:val="0"/>
              <w:rPr>
                <w:color w:val="FF0000"/>
                <w:u w:val="single"/>
              </w:rPr>
            </w:pPr>
            <w:r>
              <w:rPr>
                <w:rFonts w:hint="eastAsia"/>
                <w:snapToGrid w:val="0"/>
                <w:szCs w:val="24"/>
                <w:lang w:val="en-US"/>
              </w:rPr>
              <w:t>本项目从事阻燃剂生产，</w:t>
            </w:r>
            <w:r>
              <w:rPr>
                <w:rFonts w:hint="eastAsia"/>
                <w:snapToGrid w:val="0"/>
                <w:szCs w:val="24"/>
                <w:lang w:val="en-US" w:eastAsia="zh-CN"/>
              </w:rPr>
              <w:t>属于</w:t>
            </w:r>
            <w:r>
              <w:rPr>
                <w:rFonts w:hint="eastAsia"/>
                <w:szCs w:val="21"/>
                <w:highlight w:val="none"/>
                <w:lang w:eastAsia="zh-CN"/>
              </w:rPr>
              <w:t>C2662专项化学用品制造（单纯物理提纯、混合、分装的），</w:t>
            </w:r>
            <w:r>
              <w:rPr>
                <w:rFonts w:hint="eastAsia"/>
                <w:snapToGrid w:val="0"/>
                <w:szCs w:val="24"/>
                <w:lang w:val="en-US"/>
              </w:rPr>
              <w:t>为允许类。本项目不属于能耗物耗、环境污染严重项目，符合产业政策。因此，项目符合规划环评审查意见的要求和经开区企业准入原则。</w:t>
            </w:r>
          </w:p>
        </w:tc>
      </w:tr>
      <w:tr w14:paraId="4463F0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56" w:type="pct"/>
            <w:vAlign w:val="center"/>
          </w:tcPr>
          <w:p w14:paraId="6BBC106A">
            <w:pPr>
              <w:wordWrap w:val="0"/>
              <w:topLinePunct/>
              <w:adjustRightInd w:val="0"/>
              <w:snapToGrid w:val="0"/>
              <w:jc w:val="center"/>
              <w:rPr>
                <w:color w:val="000000"/>
                <w:kern w:val="0"/>
                <w:szCs w:val="21"/>
              </w:rPr>
            </w:pPr>
            <w:r>
              <w:rPr>
                <w:color w:val="000000"/>
                <w:kern w:val="0"/>
                <w:szCs w:val="21"/>
              </w:rPr>
              <w:t>其他符合性</w:t>
            </w:r>
          </w:p>
          <w:p w14:paraId="70802EBD">
            <w:pPr>
              <w:wordWrap w:val="0"/>
              <w:topLinePunct/>
              <w:adjustRightInd w:val="0"/>
              <w:snapToGrid w:val="0"/>
              <w:jc w:val="center"/>
              <w:rPr>
                <w:color w:val="000000"/>
                <w:kern w:val="0"/>
                <w:szCs w:val="21"/>
              </w:rPr>
            </w:pPr>
            <w:r>
              <w:rPr>
                <w:color w:val="000000"/>
                <w:kern w:val="0"/>
                <w:szCs w:val="21"/>
              </w:rPr>
              <w:t>分析</w:t>
            </w:r>
          </w:p>
        </w:tc>
        <w:tc>
          <w:tcPr>
            <w:tcW w:w="3943" w:type="pct"/>
            <w:gridSpan w:val="3"/>
            <w:vAlign w:val="center"/>
          </w:tcPr>
          <w:p w14:paraId="459C2E61">
            <w:pPr>
              <w:pStyle w:val="111"/>
              <w:snapToGrid w:val="0"/>
              <w:ind w:firstLine="482"/>
              <w:rPr>
                <w:b/>
                <w:snapToGrid w:val="0"/>
                <w:szCs w:val="24"/>
                <w:lang w:val="en-US"/>
              </w:rPr>
            </w:pPr>
            <w:r>
              <w:rPr>
                <w:b/>
                <w:bCs/>
                <w:snapToGrid w:val="0"/>
                <w:szCs w:val="24"/>
                <w:lang w:val="en-US"/>
              </w:rPr>
              <w:t>1、</w:t>
            </w:r>
            <w:r>
              <w:rPr>
                <w:b/>
                <w:snapToGrid w:val="0"/>
                <w:szCs w:val="24"/>
                <w:lang w:val="en-US"/>
              </w:rPr>
              <w:t>产业政策相符性</w:t>
            </w:r>
          </w:p>
          <w:p w14:paraId="6A8DAABF">
            <w:pPr>
              <w:pStyle w:val="111"/>
              <w:snapToGrid w:val="0"/>
              <w:rPr>
                <w:snapToGrid w:val="0"/>
                <w:szCs w:val="24"/>
              </w:rPr>
            </w:pPr>
            <w:r>
              <w:rPr>
                <w:snapToGrid w:val="0"/>
                <w:szCs w:val="24"/>
                <w:lang w:val="en-US"/>
              </w:rPr>
              <w:t>根据《产业结构调整指导目录》（</w:t>
            </w:r>
            <w:r>
              <w:rPr>
                <w:rFonts w:hint="eastAsia"/>
                <w:snapToGrid w:val="0"/>
                <w:szCs w:val="24"/>
                <w:lang w:val="en-US"/>
              </w:rPr>
              <w:t>2024年</w:t>
            </w:r>
            <w:r>
              <w:rPr>
                <w:snapToGrid w:val="0"/>
                <w:szCs w:val="24"/>
                <w:lang w:val="en-US"/>
              </w:rPr>
              <w:t>），</w:t>
            </w:r>
            <w:r>
              <w:rPr>
                <w:rFonts w:hint="eastAsia"/>
                <w:snapToGrid w:val="0"/>
                <w:szCs w:val="24"/>
                <w:lang w:val="en-US"/>
              </w:rPr>
              <w:t>本</w:t>
            </w:r>
            <w:r>
              <w:rPr>
                <w:snapToGrid w:val="0"/>
                <w:szCs w:val="24"/>
                <w:lang w:val="en-US"/>
              </w:rPr>
              <w:t>项目</w:t>
            </w:r>
            <w:r>
              <w:rPr>
                <w:rFonts w:hint="eastAsia"/>
                <w:snapToGrid w:val="0"/>
                <w:szCs w:val="24"/>
                <w:lang w:val="en-US"/>
              </w:rPr>
              <w:t>不</w:t>
            </w:r>
            <w:r>
              <w:rPr>
                <w:snapToGrid w:val="0"/>
                <w:szCs w:val="24"/>
                <w:lang w:val="en-US"/>
              </w:rPr>
              <w:t>属于</w:t>
            </w:r>
            <w:r>
              <w:rPr>
                <w:rFonts w:hint="eastAsia"/>
                <w:snapToGrid w:val="0"/>
                <w:szCs w:val="24"/>
                <w:lang w:val="en-US"/>
              </w:rPr>
              <w:t>其中鼓励类、限制类、淘汰类项目，因此属于允许类，</w:t>
            </w:r>
            <w:r>
              <w:rPr>
                <w:snapToGrid w:val="0"/>
                <w:szCs w:val="24"/>
                <w:lang w:val="en-US"/>
              </w:rPr>
              <w:t>符合国家产业政策要求。</w:t>
            </w:r>
          </w:p>
          <w:p w14:paraId="381231BC">
            <w:pPr>
              <w:pStyle w:val="111"/>
              <w:snapToGrid w:val="0"/>
              <w:ind w:firstLine="482"/>
              <w:rPr>
                <w:b/>
                <w:snapToGrid w:val="0"/>
                <w:szCs w:val="24"/>
                <w:lang w:val="en-US"/>
              </w:rPr>
            </w:pPr>
            <w:r>
              <w:rPr>
                <w:b/>
                <w:snapToGrid w:val="0"/>
                <w:szCs w:val="24"/>
                <w:lang w:val="en-US"/>
              </w:rPr>
              <w:t>2、《国务院关于印发大气污染防治行动计划的通知》（国发〔2013〕37号）符合性分析</w:t>
            </w:r>
          </w:p>
          <w:p w14:paraId="21E309F1">
            <w:pPr>
              <w:pStyle w:val="111"/>
              <w:snapToGrid w:val="0"/>
              <w:rPr>
                <w:bCs/>
                <w:snapToGrid w:val="0"/>
                <w:szCs w:val="24"/>
                <w:lang w:val="en-US"/>
              </w:rPr>
            </w:pPr>
            <w:r>
              <w:rPr>
                <w:bCs/>
                <w:snapToGrid w:val="0"/>
                <w:szCs w:val="24"/>
                <w:lang w:val="en-US"/>
              </w:rPr>
              <w:t>《国务院关于印发大气污染防治行动计划的通知》（国发〔2013〕37号），提出：“对钢铁、水泥、化工、石化、有色金属冶炼等重点行业进行清洁生产审核，针对节能减排关键领域和薄弱环节，采用先进适用的技术、工艺和装备，实施清洁生产技术改造；到2019年，重点行业排污强度比2012年下降30%以上。”</w:t>
            </w:r>
          </w:p>
          <w:p w14:paraId="28BFE186">
            <w:pPr>
              <w:pStyle w:val="111"/>
              <w:snapToGrid w:val="0"/>
              <w:rPr>
                <w:snapToGrid w:val="0"/>
                <w:szCs w:val="24"/>
                <w:u w:val="single"/>
                <w:lang w:val="en-US"/>
              </w:rPr>
            </w:pPr>
            <w:r>
              <w:rPr>
                <w:bCs/>
                <w:snapToGrid w:val="0"/>
                <w:szCs w:val="24"/>
                <w:lang w:val="en-US"/>
              </w:rPr>
              <w:t>本项目生产装置从工程设计上选用先进的技术、工艺和设备，</w:t>
            </w:r>
            <w:r>
              <w:rPr>
                <w:rFonts w:hint="eastAsia"/>
                <w:bCs/>
                <w:snapToGrid w:val="0"/>
                <w:szCs w:val="24"/>
                <w:lang w:val="en-US"/>
              </w:rPr>
              <w:t>粉碎及包装工序生产设备均自带除尘器</w:t>
            </w:r>
            <w:r>
              <w:rPr>
                <w:bCs/>
                <w:snapToGrid w:val="0"/>
                <w:szCs w:val="24"/>
                <w:lang w:val="en-US"/>
              </w:rPr>
              <w:t>；能显著减少</w:t>
            </w:r>
            <w:r>
              <w:rPr>
                <w:rFonts w:hint="eastAsia"/>
                <w:bCs/>
                <w:snapToGrid w:val="0"/>
                <w:szCs w:val="24"/>
                <w:lang w:val="en-US"/>
              </w:rPr>
              <w:t>颗粒物的产生</w:t>
            </w:r>
            <w:r>
              <w:rPr>
                <w:bCs/>
                <w:snapToGrid w:val="0"/>
                <w:szCs w:val="24"/>
                <w:lang w:val="en-US"/>
              </w:rPr>
              <w:t>。与《国务院关于印发大气污染防治行动计划的通知》（国发〔2013〕37号）相符。</w:t>
            </w:r>
          </w:p>
          <w:p w14:paraId="1D21B333">
            <w:pPr>
              <w:keepLines/>
              <w:adjustRightInd w:val="0"/>
              <w:snapToGrid w:val="0"/>
              <w:spacing w:line="360" w:lineRule="auto"/>
              <w:ind w:firstLine="482" w:firstLineChars="200"/>
              <w:outlineLvl w:val="2"/>
              <w:rPr>
                <w:rFonts w:eastAsia="黑体"/>
                <w:b/>
                <w:bCs/>
                <w:color w:val="000000" w:themeColor="text1"/>
                <w14:textFill>
                  <w14:solidFill>
                    <w14:schemeClr w14:val="tx1"/>
                  </w14:solidFill>
                </w14:textFill>
              </w:rPr>
            </w:pPr>
            <w:r>
              <w:rPr>
                <w:b/>
                <w:bCs/>
                <w:snapToGrid w:val="0"/>
              </w:rPr>
              <w:t>3、</w:t>
            </w:r>
            <w:r>
              <w:rPr>
                <w:rFonts w:hint="eastAsia" w:ascii="宋体" w:hAnsi="宋体" w:cs="宋体"/>
                <w:b/>
                <w:bCs/>
                <w:color w:val="000000" w:themeColor="text1"/>
                <w14:textFill>
                  <w14:solidFill>
                    <w14:schemeClr w14:val="tx1"/>
                  </w14:solidFill>
                </w14:textFill>
              </w:rPr>
              <w:t>与《中华人民共和国长江保护法》符合性分析</w:t>
            </w:r>
          </w:p>
          <w:p w14:paraId="027B4A26">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2020年12月26日第十三届全国人民代表大会常务委员会第二十四次会议通过《中华人民共和国长江保护法》（自2021年3月1日实施），其中“第二十六条  禁止在长江干支流岸线一公里范围内新建、扩建化工园区和化工项目。禁止在长江干流岸线三公里范围内和重要支流岸线一公里范围内新建、改建、扩建尾矿库；但是以提升安全、生态环境保护水平为目的的改建除外。</w:t>
            </w:r>
          </w:p>
          <w:p w14:paraId="1A66F078">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第九十五条 本法下列用语的含义：</w:t>
            </w:r>
          </w:p>
          <w:p w14:paraId="36A73C62">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（一）本法所称长江干流，是指长江源头至长江河口，流经青海省、四川省、西藏自治区、云南省、重庆市、湖北省、湖南省、江西省、安徽省、江苏省、上海市的长江主河段；</w:t>
            </w:r>
          </w:p>
          <w:p w14:paraId="67D08ECE">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（二）本法所称长江支流，是指直接或者间接流入长江干流的河流，支流可以分为一级支流、二级支流等；</w:t>
            </w:r>
          </w:p>
          <w:p w14:paraId="0B8BC6ED">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（三）本法所称长江重要支流，是指流域面积一万平方公里以上的支流，其中流域面积八万平方公里以上的一级支流包括雅砻江、岷江、嘉陵江、乌江、湘江、沅江、汉江和赣江等。</w:t>
            </w:r>
          </w:p>
          <w:p w14:paraId="2793F3DA">
            <w:pPr>
              <w:pStyle w:val="111"/>
              <w:snapToGrid w:val="0"/>
              <w:rPr>
                <w:color w:val="000000" w:themeColor="text1"/>
                <w14:textFill>
                  <w14:solidFill>
                    <w14:schemeClr w14:val="tx1"/>
                  </w14:solidFill>
                </w14:textFill>
              </w:rPr>
            </w:pPr>
            <w:r>
              <w:rPr>
                <w:color w:val="000000" w:themeColor="text1"/>
                <w14:textFill>
                  <w14:solidFill>
                    <w14:schemeClr w14:val="tx1"/>
                  </w14:solidFill>
                </w14:textFill>
              </w:rPr>
              <w:t>本项目位于松木经济开发区内，属于</w:t>
            </w:r>
            <w:r>
              <w:rPr>
                <w:rFonts w:hint="eastAsia"/>
                <w:color w:val="000000" w:themeColor="text1"/>
                <w14:textFill>
                  <w14:solidFill>
                    <w14:schemeClr w14:val="tx1"/>
                  </w14:solidFill>
                </w14:textFill>
              </w:rPr>
              <w:t>新建</w:t>
            </w:r>
            <w:r>
              <w:rPr>
                <w:color w:val="000000" w:themeColor="text1"/>
                <w14:textFill>
                  <w14:solidFill>
                    <w14:schemeClr w14:val="tx1"/>
                  </w14:solidFill>
                </w14:textFill>
              </w:rPr>
              <w:t>项目，根据产业政策属于允许类项目。本项目距离长江支流湘江约</w:t>
            </w:r>
            <w:r>
              <w:rPr>
                <w:rFonts w:hint="eastAsia"/>
                <w:color w:val="000000" w:themeColor="text1"/>
                <w:lang w:val="en-US"/>
                <w14:textFill>
                  <w14:solidFill>
                    <w14:schemeClr w14:val="tx1"/>
                  </w14:solidFill>
                </w14:textFill>
              </w:rPr>
              <w:t>2</w:t>
            </w:r>
            <w:r>
              <w:rPr>
                <w:color w:val="000000" w:themeColor="text1"/>
                <w14:textFill>
                  <w14:solidFill>
                    <w14:schemeClr w14:val="tx1"/>
                  </w14:solidFill>
                </w14:textFill>
              </w:rPr>
              <w:t>.5km，项目各类污染物均得到有效治理，与《中华人民共和国长江保护法》相符</w:t>
            </w:r>
            <w:r>
              <w:rPr>
                <w:rFonts w:hint="eastAsia"/>
                <w:color w:val="000000" w:themeColor="text1"/>
                <w14:textFill>
                  <w14:solidFill>
                    <w14:schemeClr w14:val="tx1"/>
                  </w14:solidFill>
                </w14:textFill>
              </w:rPr>
              <w:t>。</w:t>
            </w:r>
          </w:p>
          <w:p w14:paraId="6B993631">
            <w:pPr>
              <w:keepLines/>
              <w:adjustRightInd w:val="0"/>
              <w:snapToGrid w:val="0"/>
              <w:spacing w:line="360" w:lineRule="auto"/>
              <w:ind w:firstLine="482" w:firstLineChars="200"/>
              <w:outlineLvl w:val="2"/>
              <w:rPr>
                <w:b/>
                <w:bCs/>
                <w:snapToGrid w:val="0"/>
              </w:rPr>
            </w:pPr>
            <w:r>
              <w:rPr>
                <w:rFonts w:hint="eastAsia"/>
                <w:b/>
                <w:bCs/>
                <w:snapToGrid w:val="0"/>
              </w:rPr>
              <w:t>4、</w:t>
            </w:r>
            <w:r>
              <w:rPr>
                <w:b/>
                <w:bCs/>
                <w:snapToGrid w:val="0"/>
              </w:rPr>
              <w:t>与《长江经济带生态环境保护规划》符合性分析</w:t>
            </w:r>
          </w:p>
          <w:p w14:paraId="2D178093">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长江经济带生态环境保护规划》（环规财[2017]88号），以资源利用底线、环境质量底线为导向，在水资源利用、生态保护红线、水污染防治以及大气、土壤污染治理、环境风险管控等方面提出规划要求，具体详见下表。</w:t>
            </w:r>
          </w:p>
          <w:p w14:paraId="080AEC41">
            <w:pPr>
              <w:adjustRightInd w:val="0"/>
              <w:snapToGrid w:val="0"/>
              <w:jc w:val="center"/>
              <w:outlineLvl w:val="5"/>
              <w:rPr>
                <w:b/>
                <w:color w:val="000000" w:themeColor="text1"/>
                <w14:textFill>
                  <w14:solidFill>
                    <w14:schemeClr w14:val="tx1"/>
                  </w14:solidFill>
                </w14:textFill>
              </w:rPr>
            </w:pPr>
            <w:r>
              <w:rPr>
                <w:b/>
                <w:color w:val="000000" w:themeColor="text1"/>
                <w14:textFill>
                  <w14:solidFill>
                    <w14:schemeClr w14:val="tx1"/>
                  </w14:solidFill>
                </w14:textFill>
              </w:rPr>
              <w:t>表1-</w:t>
            </w:r>
            <w:r>
              <w:rPr>
                <w:rFonts w:hint="eastAsia"/>
                <w:b/>
                <w:color w:val="000000" w:themeColor="text1"/>
                <w14:textFill>
                  <w14:solidFill>
                    <w14:schemeClr w14:val="tx1"/>
                  </w14:solidFill>
                </w14:textFill>
              </w:rPr>
              <w:t>3</w:t>
            </w:r>
            <w:r>
              <w:rPr>
                <w:b/>
                <w:color w:val="000000" w:themeColor="text1"/>
                <w14:textFill>
                  <w14:solidFill>
                    <w14:schemeClr w14:val="tx1"/>
                  </w14:solidFill>
                </w14:textFill>
              </w:rPr>
              <w:t xml:space="preserve">  与长江经济带生态环境保护规划相符性分析</w:t>
            </w:r>
          </w:p>
          <w:tbl>
            <w:tblPr>
              <w:tblStyle w:val="3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3251"/>
              <w:gridCol w:w="2591"/>
              <w:gridCol w:w="747"/>
            </w:tblGrid>
            <w:tr w14:paraId="2274D4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0" w:type="dxa"/>
                  <w:gridSpan w:val="2"/>
                  <w:tcBorders>
                    <w:top w:val="single" w:color="auto" w:sz="12" w:space="0"/>
                    <w:left w:val="single" w:color="auto" w:sz="12" w:space="0"/>
                    <w:bottom w:val="single" w:color="auto" w:sz="4" w:space="0"/>
                    <w:right w:val="single" w:color="auto" w:sz="4" w:space="0"/>
                  </w:tcBorders>
                  <w:vAlign w:val="center"/>
                </w:tcPr>
                <w:p w14:paraId="7FD8FC75">
                  <w:pPr>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长江经济带生态环境保护规划</w:t>
                  </w:r>
                </w:p>
              </w:tc>
              <w:tc>
                <w:tcPr>
                  <w:tcW w:w="2640" w:type="dxa"/>
                  <w:tcBorders>
                    <w:top w:val="single" w:color="auto" w:sz="12" w:space="0"/>
                    <w:left w:val="single" w:color="auto" w:sz="4" w:space="0"/>
                    <w:bottom w:val="single" w:color="auto" w:sz="4" w:space="0"/>
                    <w:right w:val="single" w:color="auto" w:sz="4" w:space="0"/>
                  </w:tcBorders>
                  <w:vAlign w:val="center"/>
                </w:tcPr>
                <w:p w14:paraId="71FD6E85">
                  <w:pPr>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本项目符合性分析</w:t>
                  </w:r>
                </w:p>
              </w:tc>
              <w:tc>
                <w:tcPr>
                  <w:tcW w:w="765" w:type="dxa"/>
                  <w:tcBorders>
                    <w:top w:val="single" w:color="auto" w:sz="12" w:space="0"/>
                    <w:left w:val="single" w:color="auto" w:sz="4" w:space="0"/>
                    <w:bottom w:val="single" w:color="auto" w:sz="4" w:space="0"/>
                    <w:right w:val="single" w:color="auto" w:sz="12" w:space="0"/>
                  </w:tcBorders>
                  <w:vAlign w:val="center"/>
                </w:tcPr>
                <w:p w14:paraId="55E23DF6">
                  <w:pPr>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是否符合</w:t>
                  </w:r>
                </w:p>
              </w:tc>
            </w:tr>
            <w:tr w14:paraId="37AEC3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0" w:type="dxa"/>
                  <w:tcBorders>
                    <w:top w:val="single" w:color="auto" w:sz="4" w:space="0"/>
                    <w:left w:val="single" w:color="auto" w:sz="12" w:space="0"/>
                    <w:bottom w:val="single" w:color="auto" w:sz="4" w:space="0"/>
                    <w:right w:val="single" w:color="auto" w:sz="4" w:space="0"/>
                  </w:tcBorders>
                  <w:vAlign w:val="center"/>
                </w:tcPr>
                <w:p w14:paraId="47C3B2B0">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水资源利用</w:t>
                  </w:r>
                </w:p>
              </w:tc>
              <w:tc>
                <w:tcPr>
                  <w:tcW w:w="3390" w:type="dxa"/>
                  <w:tcBorders>
                    <w:top w:val="single" w:color="auto" w:sz="4" w:space="0"/>
                    <w:left w:val="single" w:color="auto" w:sz="4" w:space="0"/>
                    <w:bottom w:val="single" w:color="auto" w:sz="4" w:space="0"/>
                    <w:right w:val="single" w:color="auto" w:sz="4" w:space="0"/>
                  </w:tcBorders>
                  <w:vAlign w:val="center"/>
                </w:tcPr>
                <w:p w14:paraId="3B686622">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建立重点用水单位监控名录，对纳入取水许可管理的单位和其他用水大户实行计划用水管理。</w:t>
                  </w:r>
                </w:p>
              </w:tc>
              <w:tc>
                <w:tcPr>
                  <w:tcW w:w="2640" w:type="dxa"/>
                  <w:tcBorders>
                    <w:top w:val="single" w:color="auto" w:sz="4" w:space="0"/>
                    <w:left w:val="single" w:color="auto" w:sz="4" w:space="0"/>
                    <w:bottom w:val="single" w:color="auto" w:sz="4" w:space="0"/>
                    <w:right w:val="single" w:color="auto" w:sz="4" w:space="0"/>
                  </w:tcBorders>
                  <w:vAlign w:val="center"/>
                </w:tcPr>
                <w:p w14:paraId="14FC1179">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园区已建立重点用水单位监控名录，加强用水管理。本项目</w:t>
                  </w:r>
                  <w:r>
                    <w:rPr>
                      <w:rFonts w:hint="eastAsia"/>
                      <w:color w:val="000000" w:themeColor="text1"/>
                      <w:sz w:val="21"/>
                      <w:szCs w:val="21"/>
                      <w:lang w:eastAsia="zh-CN"/>
                      <w14:textFill>
                        <w14:solidFill>
                          <w14:schemeClr w14:val="tx1"/>
                        </w14:solidFill>
                      </w14:textFill>
                    </w:rPr>
                    <w:t>不属于用水大户</w:t>
                  </w:r>
                  <w:r>
                    <w:rPr>
                      <w:color w:val="000000" w:themeColor="text1"/>
                      <w:sz w:val="21"/>
                      <w:szCs w:val="21"/>
                      <w14:textFill>
                        <w14:solidFill>
                          <w14:schemeClr w14:val="tx1"/>
                        </w14:solidFill>
                      </w14:textFill>
                    </w:rPr>
                    <w:t>。</w:t>
                  </w:r>
                </w:p>
              </w:tc>
              <w:tc>
                <w:tcPr>
                  <w:tcW w:w="765" w:type="dxa"/>
                  <w:tcBorders>
                    <w:top w:val="single" w:color="auto" w:sz="4" w:space="0"/>
                    <w:left w:val="single" w:color="auto" w:sz="4" w:space="0"/>
                    <w:bottom w:val="single" w:color="auto" w:sz="4" w:space="0"/>
                    <w:right w:val="single" w:color="auto" w:sz="12" w:space="0"/>
                  </w:tcBorders>
                  <w:vAlign w:val="center"/>
                </w:tcPr>
                <w:p w14:paraId="3D2A67F9">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6AC435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0" w:type="dxa"/>
                  <w:tcBorders>
                    <w:top w:val="single" w:color="auto" w:sz="4" w:space="0"/>
                    <w:left w:val="single" w:color="auto" w:sz="12" w:space="0"/>
                    <w:bottom w:val="single" w:color="auto" w:sz="4" w:space="0"/>
                    <w:right w:val="single" w:color="auto" w:sz="4" w:space="0"/>
                  </w:tcBorders>
                  <w:vAlign w:val="center"/>
                </w:tcPr>
                <w:p w14:paraId="49BE10D0">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生态保护红线</w:t>
                  </w:r>
                </w:p>
              </w:tc>
              <w:tc>
                <w:tcPr>
                  <w:tcW w:w="3390" w:type="dxa"/>
                  <w:tcBorders>
                    <w:top w:val="single" w:color="auto" w:sz="4" w:space="0"/>
                    <w:left w:val="single" w:color="auto" w:sz="4" w:space="0"/>
                    <w:bottom w:val="single" w:color="auto" w:sz="4" w:space="0"/>
                    <w:right w:val="single" w:color="auto" w:sz="4" w:space="0"/>
                  </w:tcBorders>
                  <w:vAlign w:val="center"/>
                </w:tcPr>
                <w:p w14:paraId="0A878108">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划定生态保护红线，2017年底前，11省市要完成生态保护红线划定，加快勘界定标，严守生态保护红线。</w:t>
                  </w:r>
                </w:p>
              </w:tc>
              <w:tc>
                <w:tcPr>
                  <w:tcW w:w="2640" w:type="dxa"/>
                  <w:tcBorders>
                    <w:top w:val="single" w:color="auto" w:sz="4" w:space="0"/>
                    <w:left w:val="single" w:color="auto" w:sz="4" w:space="0"/>
                    <w:bottom w:val="single" w:color="auto" w:sz="4" w:space="0"/>
                    <w:right w:val="single" w:color="auto" w:sz="4" w:space="0"/>
                  </w:tcBorders>
                  <w:vAlign w:val="center"/>
                </w:tcPr>
                <w:p w14:paraId="2404FB57">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本项目不属于生态保护红线范围内。</w:t>
                  </w:r>
                </w:p>
              </w:tc>
              <w:tc>
                <w:tcPr>
                  <w:tcW w:w="765" w:type="dxa"/>
                  <w:tcBorders>
                    <w:top w:val="single" w:color="auto" w:sz="4" w:space="0"/>
                    <w:left w:val="single" w:color="auto" w:sz="4" w:space="0"/>
                    <w:bottom w:val="single" w:color="auto" w:sz="4" w:space="0"/>
                    <w:right w:val="single" w:color="auto" w:sz="12" w:space="0"/>
                  </w:tcBorders>
                  <w:vAlign w:val="center"/>
                </w:tcPr>
                <w:p w14:paraId="44F76C73">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7EB042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0" w:type="dxa"/>
                  <w:tcBorders>
                    <w:top w:val="single" w:color="auto" w:sz="4" w:space="0"/>
                    <w:left w:val="single" w:color="auto" w:sz="12" w:space="0"/>
                    <w:bottom w:val="single" w:color="auto" w:sz="4" w:space="0"/>
                    <w:right w:val="single" w:color="auto" w:sz="4" w:space="0"/>
                  </w:tcBorders>
                  <w:vAlign w:val="center"/>
                </w:tcPr>
                <w:p w14:paraId="718F1DA4">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水污染防治</w:t>
                  </w:r>
                </w:p>
              </w:tc>
              <w:tc>
                <w:tcPr>
                  <w:tcW w:w="3390" w:type="dxa"/>
                  <w:tcBorders>
                    <w:top w:val="single" w:color="auto" w:sz="4" w:space="0"/>
                    <w:left w:val="single" w:color="auto" w:sz="4" w:space="0"/>
                    <w:bottom w:val="single" w:color="auto" w:sz="4" w:space="0"/>
                    <w:right w:val="single" w:color="auto" w:sz="4" w:space="0"/>
                  </w:tcBorders>
                  <w:vAlign w:val="center"/>
                </w:tcPr>
                <w:p w14:paraId="721D9D53">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2020年，长江经济带所有县城和建制镇具备污水收集处理能力，县城、城市污水处理率分别达到85%、95%左右，地级及以上城市污泥无害化处理处置率达到 90%以上，加快推进流域垃圾收集、转运及处理处置设施建设。实现沿江城镇污水和垃圾全收集全处理。2017 年底前，省级及以上工业集聚区应按规定建成污水集中处理设施，安装在线监控装置并与环保部在线监控平台联网，其中，长三角地区于2016年底前完成，2017年重点开展后督查。</w:t>
                  </w:r>
                </w:p>
              </w:tc>
              <w:tc>
                <w:tcPr>
                  <w:tcW w:w="2640" w:type="dxa"/>
                  <w:tcBorders>
                    <w:top w:val="single" w:color="auto" w:sz="4" w:space="0"/>
                    <w:left w:val="single" w:color="auto" w:sz="4" w:space="0"/>
                    <w:bottom w:val="single" w:color="auto" w:sz="4" w:space="0"/>
                    <w:right w:val="single" w:color="auto" w:sz="4" w:space="0"/>
                  </w:tcBorders>
                  <w:vAlign w:val="center"/>
                </w:tcPr>
                <w:p w14:paraId="6B0B02C5">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本项目生活污水经化粪池处理</w:t>
                  </w:r>
                  <w:r>
                    <w:rPr>
                      <w:rFonts w:hint="eastAsia"/>
                      <w:color w:val="000000" w:themeColor="text1"/>
                      <w:sz w:val="21"/>
                      <w:szCs w:val="21"/>
                      <w14:textFill>
                        <w14:solidFill>
                          <w14:schemeClr w14:val="tx1"/>
                        </w14:solidFill>
                      </w14:textFill>
                    </w:rPr>
                    <w:t>后</w:t>
                  </w:r>
                  <w:r>
                    <w:rPr>
                      <w:color w:val="000000" w:themeColor="text1"/>
                      <w:sz w:val="21"/>
                      <w:szCs w:val="21"/>
                      <w14:textFill>
                        <w14:solidFill>
                          <w14:schemeClr w14:val="tx1"/>
                        </w14:solidFill>
                      </w14:textFill>
                    </w:rPr>
                    <w:t>进入</w:t>
                  </w:r>
                  <w:r>
                    <w:rPr>
                      <w:rFonts w:hint="eastAsia"/>
                      <w:color w:val="000000" w:themeColor="text1"/>
                      <w:sz w:val="21"/>
                      <w:szCs w:val="21"/>
                      <w14:textFill>
                        <w14:solidFill>
                          <w14:schemeClr w14:val="tx1"/>
                        </w14:solidFill>
                      </w14:textFill>
                    </w:rPr>
                    <w:t>松木</w:t>
                  </w:r>
                  <w:r>
                    <w:rPr>
                      <w:color w:val="000000" w:themeColor="text1"/>
                      <w:sz w:val="21"/>
                      <w:szCs w:val="21"/>
                      <w14:textFill>
                        <w14:solidFill>
                          <w14:schemeClr w14:val="tx1"/>
                        </w14:solidFill>
                      </w14:textFill>
                    </w:rPr>
                    <w:t>污水处理厂</w:t>
                  </w:r>
                  <w:r>
                    <w:rPr>
                      <w:rFonts w:hint="eastAsia"/>
                      <w:color w:val="000000" w:themeColor="text1"/>
                      <w:sz w:val="21"/>
                      <w:szCs w:val="21"/>
                      <w:lang w:eastAsia="zh-CN"/>
                      <w14:textFill>
                        <w14:solidFill>
                          <w14:schemeClr w14:val="tx1"/>
                        </w14:solidFill>
                      </w14:textFill>
                    </w:rPr>
                    <w:t>，生产废水经丰联公司污水处理设施处理后进入松木污水处理厂，</w:t>
                  </w:r>
                  <w:r>
                    <w:rPr>
                      <w:color w:val="000000" w:themeColor="text1"/>
                      <w:sz w:val="21"/>
                      <w:szCs w:val="21"/>
                      <w14:textFill>
                        <w14:solidFill>
                          <w14:schemeClr w14:val="tx1"/>
                        </w14:solidFill>
                      </w14:textFill>
                    </w:rPr>
                    <w:t>处理后达到《城镇污水处理厂污染物排放标准》（GB18918-2002及其修改单）一级A标准后排入湘江。</w:t>
                  </w:r>
                </w:p>
              </w:tc>
              <w:tc>
                <w:tcPr>
                  <w:tcW w:w="765" w:type="dxa"/>
                  <w:tcBorders>
                    <w:top w:val="single" w:color="auto" w:sz="4" w:space="0"/>
                    <w:left w:val="single" w:color="auto" w:sz="4" w:space="0"/>
                    <w:bottom w:val="single" w:color="auto" w:sz="4" w:space="0"/>
                    <w:right w:val="single" w:color="auto" w:sz="12" w:space="0"/>
                  </w:tcBorders>
                  <w:vAlign w:val="center"/>
                </w:tcPr>
                <w:p w14:paraId="7C884CCC">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0BAD21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0" w:type="dxa"/>
                  <w:tcBorders>
                    <w:top w:val="single" w:color="auto" w:sz="4" w:space="0"/>
                    <w:left w:val="single" w:color="auto" w:sz="12" w:space="0"/>
                    <w:bottom w:val="single" w:color="auto" w:sz="4" w:space="0"/>
                    <w:right w:val="single" w:color="auto" w:sz="4" w:space="0"/>
                  </w:tcBorders>
                  <w:vAlign w:val="center"/>
                </w:tcPr>
                <w:p w14:paraId="6D3B4A3F">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大气污染防治</w:t>
                  </w:r>
                </w:p>
              </w:tc>
              <w:tc>
                <w:tcPr>
                  <w:tcW w:w="3390" w:type="dxa"/>
                  <w:tcBorders>
                    <w:top w:val="single" w:color="auto" w:sz="4" w:space="0"/>
                    <w:left w:val="single" w:color="auto" w:sz="4" w:space="0"/>
                    <w:bottom w:val="single" w:color="auto" w:sz="4" w:space="0"/>
                    <w:right w:val="single" w:color="auto" w:sz="4" w:space="0"/>
                  </w:tcBorders>
                  <w:vAlign w:val="center"/>
                </w:tcPr>
                <w:p w14:paraId="119D25C3">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完善大气污染物排放总量控制制度，加强二氧化硫、氮氧化物、烟粉尘、挥发性有机物等主要污染物综合防治。地级及以上城市建成区基本淘汰10蒸吨以下燃煤锅炉，完成35蒸吨及以上燃煤锅炉脱硫脱硝除尘改造。</w:t>
                  </w:r>
                </w:p>
              </w:tc>
              <w:tc>
                <w:tcPr>
                  <w:tcW w:w="2640" w:type="dxa"/>
                  <w:tcBorders>
                    <w:top w:val="single" w:color="auto" w:sz="4" w:space="0"/>
                    <w:left w:val="single" w:color="auto" w:sz="4" w:space="0"/>
                    <w:bottom w:val="single" w:color="auto" w:sz="4" w:space="0"/>
                    <w:right w:val="single" w:color="auto" w:sz="4" w:space="0"/>
                  </w:tcBorders>
                  <w:vAlign w:val="center"/>
                </w:tcPr>
                <w:p w14:paraId="5C9E9E80">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本项目工艺废气均合理处置后达标排放</w:t>
                  </w:r>
                </w:p>
              </w:tc>
              <w:tc>
                <w:tcPr>
                  <w:tcW w:w="765" w:type="dxa"/>
                  <w:tcBorders>
                    <w:top w:val="single" w:color="auto" w:sz="4" w:space="0"/>
                    <w:left w:val="single" w:color="auto" w:sz="4" w:space="0"/>
                    <w:bottom w:val="single" w:color="auto" w:sz="4" w:space="0"/>
                    <w:right w:val="single" w:color="auto" w:sz="12" w:space="0"/>
                  </w:tcBorders>
                  <w:vAlign w:val="center"/>
                </w:tcPr>
                <w:p w14:paraId="76AF3874">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411941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0" w:type="dxa"/>
                  <w:tcBorders>
                    <w:top w:val="single" w:color="auto" w:sz="4" w:space="0"/>
                    <w:left w:val="single" w:color="auto" w:sz="12" w:space="0"/>
                    <w:bottom w:val="single" w:color="auto" w:sz="4" w:space="0"/>
                    <w:right w:val="single" w:color="auto" w:sz="4" w:space="0"/>
                  </w:tcBorders>
                  <w:vAlign w:val="center"/>
                </w:tcPr>
                <w:p w14:paraId="50399B99">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土壤污染防治</w:t>
                  </w:r>
                </w:p>
              </w:tc>
              <w:tc>
                <w:tcPr>
                  <w:tcW w:w="3390" w:type="dxa"/>
                  <w:tcBorders>
                    <w:top w:val="single" w:color="auto" w:sz="4" w:space="0"/>
                    <w:left w:val="single" w:color="auto" w:sz="4" w:space="0"/>
                    <w:bottom w:val="single" w:color="auto" w:sz="4" w:space="0"/>
                    <w:right w:val="single" w:color="auto" w:sz="4" w:space="0"/>
                  </w:tcBorders>
                  <w:vAlign w:val="center"/>
                </w:tcPr>
                <w:p w14:paraId="4E9D22BE">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湖南等省份逐步将涉重金属行业的重金属排放纳入排污许可证管理。</w:t>
                  </w:r>
                </w:p>
              </w:tc>
              <w:tc>
                <w:tcPr>
                  <w:tcW w:w="2640" w:type="dxa"/>
                  <w:tcBorders>
                    <w:top w:val="single" w:color="auto" w:sz="4" w:space="0"/>
                    <w:left w:val="single" w:color="auto" w:sz="4" w:space="0"/>
                    <w:bottom w:val="single" w:color="auto" w:sz="4" w:space="0"/>
                    <w:right w:val="single" w:color="auto" w:sz="4" w:space="0"/>
                  </w:tcBorders>
                  <w:vAlign w:val="center"/>
                </w:tcPr>
                <w:p w14:paraId="2DC4E786">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本项目不涉及重金属</w:t>
                  </w:r>
                </w:p>
              </w:tc>
              <w:tc>
                <w:tcPr>
                  <w:tcW w:w="765" w:type="dxa"/>
                  <w:tcBorders>
                    <w:top w:val="single" w:color="auto" w:sz="4" w:space="0"/>
                    <w:left w:val="single" w:color="auto" w:sz="4" w:space="0"/>
                    <w:bottom w:val="single" w:color="auto" w:sz="4" w:space="0"/>
                    <w:right w:val="single" w:color="auto" w:sz="12" w:space="0"/>
                  </w:tcBorders>
                  <w:vAlign w:val="center"/>
                </w:tcPr>
                <w:p w14:paraId="07A7CF3D">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70B888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0" w:type="dxa"/>
                  <w:tcBorders>
                    <w:top w:val="single" w:color="auto" w:sz="4" w:space="0"/>
                    <w:left w:val="single" w:color="auto" w:sz="12" w:space="0"/>
                    <w:bottom w:val="single" w:color="auto" w:sz="12" w:space="0"/>
                    <w:right w:val="single" w:color="auto" w:sz="4" w:space="0"/>
                  </w:tcBorders>
                  <w:vAlign w:val="center"/>
                </w:tcPr>
                <w:p w14:paraId="6518FCED">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环境风险</w:t>
                  </w:r>
                </w:p>
              </w:tc>
              <w:tc>
                <w:tcPr>
                  <w:tcW w:w="3390" w:type="dxa"/>
                  <w:tcBorders>
                    <w:top w:val="single" w:color="auto" w:sz="4" w:space="0"/>
                    <w:left w:val="single" w:color="auto" w:sz="4" w:space="0"/>
                    <w:bottom w:val="single" w:color="auto" w:sz="12" w:space="0"/>
                    <w:right w:val="single" w:color="auto" w:sz="4" w:space="0"/>
                  </w:tcBorders>
                  <w:vAlign w:val="center"/>
                </w:tcPr>
                <w:p w14:paraId="2F0BD227">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坚持预防为主，构建以企业为主体的环境风险防控体系，优化产业布局，加强协调联动，提升应急救援能力，实施全过程管控，有效应对重点领域重大环境风险。</w:t>
                  </w:r>
                </w:p>
              </w:tc>
              <w:tc>
                <w:tcPr>
                  <w:tcW w:w="2640" w:type="dxa"/>
                  <w:tcBorders>
                    <w:top w:val="single" w:color="auto" w:sz="4" w:space="0"/>
                    <w:left w:val="single" w:color="auto" w:sz="4" w:space="0"/>
                    <w:bottom w:val="single" w:color="auto" w:sz="12" w:space="0"/>
                    <w:right w:val="single" w:color="auto" w:sz="4" w:space="0"/>
                  </w:tcBorders>
                  <w:vAlign w:val="center"/>
                </w:tcPr>
                <w:p w14:paraId="693D885D">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园区重点企业和园区已编制了突发环境应急预案，园区建立应急污染源监测预警系统，建立三级联动应急响应体系，实行联防联控。</w:t>
                  </w:r>
                </w:p>
              </w:tc>
              <w:tc>
                <w:tcPr>
                  <w:tcW w:w="765" w:type="dxa"/>
                  <w:tcBorders>
                    <w:top w:val="single" w:color="auto" w:sz="4" w:space="0"/>
                    <w:left w:val="single" w:color="auto" w:sz="4" w:space="0"/>
                    <w:bottom w:val="single" w:color="auto" w:sz="12" w:space="0"/>
                    <w:right w:val="single" w:color="auto" w:sz="12" w:space="0"/>
                  </w:tcBorders>
                  <w:vAlign w:val="center"/>
                </w:tcPr>
                <w:p w14:paraId="734929A5">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bl>
          <w:p w14:paraId="2D3DCD72">
            <w:pPr>
              <w:keepLines/>
              <w:adjustRightInd w:val="0"/>
              <w:snapToGrid w:val="0"/>
              <w:spacing w:line="360" w:lineRule="auto"/>
              <w:ind w:firstLine="482" w:firstLineChars="200"/>
              <w:outlineLvl w:val="2"/>
              <w:rPr>
                <w:b/>
                <w:bCs/>
                <w:snapToGrid w:val="0"/>
              </w:rPr>
            </w:pPr>
            <w:r>
              <w:rPr>
                <w:rFonts w:hint="eastAsia"/>
                <w:b/>
                <w:bCs/>
                <w:snapToGrid w:val="0"/>
              </w:rPr>
              <w:t>5、</w:t>
            </w:r>
            <w:r>
              <w:rPr>
                <w:b/>
                <w:bCs/>
                <w:snapToGrid w:val="0"/>
              </w:rPr>
              <w:t>与《湖南省长江经济带发展负面清单指南》（试行，2022年版）符合性分析</w:t>
            </w:r>
          </w:p>
          <w:p w14:paraId="767903D9">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根据《湖南省长江经济带发展负面清单实施细则（试行）》，本项目与该负面清单实施细则相关的主要内容如下：</w:t>
            </w:r>
          </w:p>
          <w:p w14:paraId="2FB2D148">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（1）禁止在自然保护区核心区、缓冲区的岸线和河段范围内投资建设旅游和生产经营项目。禁止在风景名胜区核心景区的岸线和河段范围内投资建设与风景名胜区保护无关的项目。</w:t>
            </w:r>
          </w:p>
          <w:p w14:paraId="7002CE63">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本项目选址位于衡阳松木经济开发区内，不涉及风景名胜区。因此，本项目与《湖南省长江经济带发展负面清单实施细则（试行）》中与风景名胜区相关的内容不冲突。</w:t>
            </w:r>
          </w:p>
          <w:p w14:paraId="06C56879">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（2）禁止新建、扩建法律法规和相关政策明令禁止的落后产能项目。禁止新建、扩建不符合国家产能置换要求的严重过剩产能行业的项目，禁止新建、扩建不符合要求的高耗能高排放项目。</w:t>
            </w:r>
          </w:p>
          <w:p w14:paraId="139850D9">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本项目产品不属于《产业结构调整指导目录（2024年本）》中限制类和淘汰类，为允许类产品。本项目产品市场需求旺盛，不属于产能过剩行业。</w:t>
            </w:r>
            <w:r>
              <w:rPr>
                <w:color w:val="000000" w:themeColor="text1"/>
                <w:spacing w:val="-3"/>
                <w14:textFill>
                  <w14:solidFill>
                    <w14:schemeClr w14:val="tx1"/>
                  </w14:solidFill>
                </w14:textFill>
              </w:rPr>
              <w:t>本项目涉及主要产品及工序均不在</w:t>
            </w:r>
            <w:r>
              <w:rPr>
                <w:color w:val="000000" w:themeColor="text1"/>
                <w14:textFill>
                  <w14:solidFill>
                    <w14:schemeClr w14:val="tx1"/>
                  </w14:solidFill>
                </w14:textFill>
              </w:rPr>
              <w:t>《湖南省“两高”项目管理目录》内。因此，本项目不属于“两高”项目。</w:t>
            </w:r>
          </w:p>
          <w:p w14:paraId="16EB85D7">
            <w:pPr>
              <w:pStyle w:val="111"/>
              <w:snapToGrid w:val="0"/>
              <w:rPr>
                <w:color w:val="000000" w:themeColor="text1"/>
                <w14:textFill>
                  <w14:solidFill>
                    <w14:schemeClr w14:val="tx1"/>
                  </w14:solidFill>
                </w14:textFill>
              </w:rPr>
            </w:pPr>
            <w:r>
              <w:rPr>
                <w:color w:val="000000" w:themeColor="text1"/>
                <w14:textFill>
                  <w14:solidFill>
                    <w14:schemeClr w14:val="tx1"/>
                  </w14:solidFill>
                </w14:textFill>
              </w:rPr>
              <w:t>综上所述，本项目符合《湖南省长江经济带发展负面清单指南》（试行，2022年版）。</w:t>
            </w:r>
          </w:p>
          <w:p w14:paraId="236C909A">
            <w:pPr>
              <w:keepLines/>
              <w:adjustRightInd w:val="0"/>
              <w:snapToGrid w:val="0"/>
              <w:spacing w:line="360" w:lineRule="auto"/>
              <w:ind w:firstLine="482" w:firstLineChars="200"/>
              <w:outlineLvl w:val="2"/>
              <w:rPr>
                <w:b/>
                <w:bCs/>
                <w:snapToGrid w:val="0"/>
                <w:u w:val="single"/>
              </w:rPr>
            </w:pPr>
            <w:r>
              <w:rPr>
                <w:rFonts w:hint="eastAsia"/>
                <w:b/>
                <w:bCs/>
                <w:snapToGrid w:val="0"/>
                <w:u w:val="single"/>
              </w:rPr>
              <w:t>6、</w:t>
            </w:r>
            <w:r>
              <w:rPr>
                <w:b/>
                <w:bCs/>
                <w:snapToGrid w:val="0"/>
                <w:u w:val="single"/>
              </w:rPr>
              <w:t>与《湖南省湘江保护条例》的符合性</w:t>
            </w:r>
          </w:p>
          <w:p w14:paraId="55845F78">
            <w:pPr>
              <w:snapToGrid w:val="0"/>
              <w:spacing w:line="360" w:lineRule="auto"/>
              <w:ind w:firstLine="480" w:firstLineChars="200"/>
              <w:rPr>
                <w:color w:val="000000" w:themeColor="text1"/>
                <w:u w:val="single"/>
                <w14:textFill>
                  <w14:solidFill>
                    <w14:schemeClr w14:val="tx1"/>
                  </w14:solidFill>
                </w14:textFill>
              </w:rPr>
            </w:pPr>
            <w:r>
              <w:rPr>
                <w:color w:val="000000" w:themeColor="text1"/>
                <w:u w:val="single"/>
                <w14:textFill>
                  <w14:solidFill>
                    <w14:schemeClr w14:val="tx1"/>
                  </w14:solidFill>
                </w14:textFill>
              </w:rPr>
              <w:t>根据《湖南省湘江保护条例》中：“第三十二条 对湘江流域内化学需氧量、氨氮、石油类、汞、镉、铅、砷、铬、锑等重点水污染物排放实行总量控制。第四十八条 湘江流域县级以上人民政府应当按照统筹规划、防治结合、综合治理的原则，加强化工、有色金属、造纸、制革、采矿等行业污染治理，确保湘江流域污染源得到全面治理和控制。</w:t>
            </w:r>
            <w:r>
              <w:rPr>
                <w:rFonts w:hint="eastAsia"/>
                <w:color w:val="000000" w:themeColor="text1"/>
                <w:u w:val="single"/>
                <w:lang w:eastAsia="zh-CN"/>
                <w14:textFill>
                  <w14:solidFill>
                    <w14:schemeClr w14:val="tx1"/>
                  </w14:solidFill>
                </w14:textFill>
              </w:rPr>
              <w:t>第四十九条禁止在湘江干流岸线一公里范围内新建、扩建化工园区和化工项目。禁止在湘江干流岸线一公里范围内新建、改建、扩建尾矿库；但是以提升安全、生态环境保护水平为目的的改建除外。</w:t>
            </w:r>
            <w:r>
              <w:rPr>
                <w:color w:val="000000" w:themeColor="text1"/>
                <w:u w:val="single"/>
                <w14:textFill>
                  <w14:solidFill>
                    <w14:schemeClr w14:val="tx1"/>
                  </w14:solidFill>
                </w14:textFill>
              </w:rPr>
              <w:t>”</w:t>
            </w:r>
          </w:p>
          <w:p w14:paraId="1D5A97C2">
            <w:pPr>
              <w:snapToGrid w:val="0"/>
              <w:spacing w:line="360" w:lineRule="auto"/>
              <w:ind w:firstLine="480" w:firstLineChars="200"/>
              <w:rPr>
                <w:color w:val="000000" w:themeColor="text1"/>
                <w:u w:val="single"/>
                <w14:textFill>
                  <w14:solidFill>
                    <w14:schemeClr w14:val="tx1"/>
                  </w14:solidFill>
                </w14:textFill>
              </w:rPr>
            </w:pPr>
            <w:r>
              <w:rPr>
                <w:color w:val="000000" w:themeColor="text1"/>
                <w:u w:val="single"/>
                <w14:textFill>
                  <w14:solidFill>
                    <w14:schemeClr w14:val="tx1"/>
                  </w14:solidFill>
                </w14:textFill>
              </w:rPr>
              <w:t>本工程位于衡阳市松木经开区内，属于湘江流域保护范围，本工程</w:t>
            </w:r>
            <w:r>
              <w:rPr>
                <w:rFonts w:hint="eastAsia"/>
                <w:color w:val="000000" w:themeColor="text1"/>
                <w:u w:val="single"/>
                <w:lang w:eastAsia="zh-CN"/>
                <w14:textFill>
                  <w14:solidFill>
                    <w14:schemeClr w14:val="tx1"/>
                  </w14:solidFill>
                </w14:textFill>
              </w:rPr>
              <w:t>距离湘江</w:t>
            </w:r>
            <w:r>
              <w:rPr>
                <w:rFonts w:hint="eastAsia"/>
                <w:color w:val="000000" w:themeColor="text1"/>
                <w:u w:val="single"/>
                <w:lang w:val="en-US" w:eastAsia="zh-CN"/>
                <w14:textFill>
                  <w14:solidFill>
                    <w14:schemeClr w14:val="tx1"/>
                  </w14:solidFill>
                </w14:textFill>
              </w:rPr>
              <w:t>2.5km，化验废水经丰联废水处理站处理后排入市政管网，生活污水经化粪池预处理后排入市政管网，由园区污水处理厂深度处理</w:t>
            </w:r>
            <w:r>
              <w:rPr>
                <w:color w:val="000000" w:themeColor="text1"/>
                <w:u w:val="single"/>
                <w14:textFill>
                  <w14:solidFill>
                    <w14:schemeClr w14:val="tx1"/>
                  </w14:solidFill>
                </w14:textFill>
              </w:rPr>
              <w:t>。</w:t>
            </w:r>
          </w:p>
          <w:p w14:paraId="0F1503C6">
            <w:pPr>
              <w:keepLines/>
              <w:adjustRightInd w:val="0"/>
              <w:snapToGrid w:val="0"/>
              <w:spacing w:line="360" w:lineRule="auto"/>
              <w:ind w:firstLine="480" w:firstLineChars="200"/>
              <w:outlineLvl w:val="2"/>
              <w:rPr>
                <w:b/>
                <w:bCs/>
                <w:snapToGrid w:val="0"/>
                <w:u w:val="single"/>
              </w:rPr>
            </w:pPr>
            <w:r>
              <w:rPr>
                <w:color w:val="000000" w:themeColor="text1"/>
                <w:u w:val="single"/>
                <w14:textFill>
                  <w14:solidFill>
                    <w14:schemeClr w14:val="tx1"/>
                  </w14:solidFill>
                </w14:textFill>
              </w:rPr>
              <w:t>因此，本工程符合《湖南省湘江保护条例》要求</w:t>
            </w:r>
          </w:p>
          <w:p w14:paraId="48D203EF">
            <w:pPr>
              <w:keepLines/>
              <w:adjustRightInd w:val="0"/>
              <w:snapToGrid w:val="0"/>
              <w:spacing w:line="360" w:lineRule="auto"/>
              <w:ind w:firstLine="482" w:firstLineChars="200"/>
              <w:outlineLvl w:val="2"/>
              <w:rPr>
                <w:b/>
                <w:bCs/>
                <w:snapToGrid w:val="0"/>
              </w:rPr>
            </w:pPr>
            <w:r>
              <w:rPr>
                <w:rFonts w:hint="eastAsia"/>
                <w:b/>
                <w:bCs/>
                <w:snapToGrid w:val="0"/>
              </w:rPr>
              <w:t>7、</w:t>
            </w:r>
            <w:r>
              <w:rPr>
                <w:b/>
                <w:bCs/>
                <w:snapToGrid w:val="0"/>
              </w:rPr>
              <w:t>与《湖南省大气污染防治“守护蓝天”攻坚行动计划（2023-2025）》符合性分析</w:t>
            </w:r>
          </w:p>
          <w:p w14:paraId="57C26109">
            <w:pPr>
              <w:snapToGrid w:val="0"/>
              <w:spacing w:line="360" w:lineRule="auto"/>
              <w:ind w:firstLine="480" w:firstLineChars="200"/>
              <w:rPr>
                <w:color w:val="000000" w:themeColor="text1"/>
                <w:lang w:val="zh-CN"/>
                <w14:textFill>
                  <w14:solidFill>
                    <w14:schemeClr w14:val="tx1"/>
                  </w14:solidFill>
                </w14:textFill>
              </w:rPr>
            </w:pPr>
            <w:r>
              <w:rPr>
                <w:color w:val="000000" w:themeColor="text1"/>
                <w:lang w:val="zh-CN"/>
                <w14:textFill>
                  <w14:solidFill>
                    <w14:schemeClr w14:val="tx1"/>
                  </w14:solidFill>
                </w14:textFill>
              </w:rPr>
              <w:t>202</w:t>
            </w:r>
            <w:r>
              <w:rPr>
                <w:color w:val="000000" w:themeColor="text1"/>
                <w14:textFill>
                  <w14:solidFill>
                    <w14:schemeClr w14:val="tx1"/>
                  </w14:solidFill>
                </w14:textFill>
              </w:rPr>
              <w:t>3</w:t>
            </w:r>
            <w:r>
              <w:rPr>
                <w:color w:val="000000" w:themeColor="text1"/>
                <w:lang w:val="zh-CN"/>
                <w14:textFill>
                  <w14:solidFill>
                    <w14:schemeClr w14:val="tx1"/>
                  </w14:solidFill>
                </w14:textFill>
              </w:rPr>
              <w:t>年</w:t>
            </w:r>
            <w:r>
              <w:rPr>
                <w:color w:val="000000" w:themeColor="text1"/>
                <w14:textFill>
                  <w14:solidFill>
                    <w14:schemeClr w14:val="tx1"/>
                  </w14:solidFill>
                </w14:textFill>
              </w:rPr>
              <w:t>9</w:t>
            </w:r>
            <w:r>
              <w:rPr>
                <w:color w:val="000000" w:themeColor="text1"/>
                <w:lang w:val="zh-CN"/>
                <w14:textFill>
                  <w14:solidFill>
                    <w14:schemeClr w14:val="tx1"/>
                  </w14:solidFill>
                </w14:textFill>
              </w:rPr>
              <w:t>月</w:t>
            </w:r>
            <w:r>
              <w:rPr>
                <w:color w:val="000000" w:themeColor="text1"/>
                <w14:textFill>
                  <w14:solidFill>
                    <w14:schemeClr w14:val="tx1"/>
                  </w14:solidFill>
                </w14:textFill>
              </w:rPr>
              <w:t>1日</w:t>
            </w:r>
            <w:r>
              <w:rPr>
                <w:color w:val="000000" w:themeColor="text1"/>
                <w:lang w:val="zh-CN"/>
                <w14:textFill>
                  <w14:solidFill>
                    <w14:schemeClr w14:val="tx1"/>
                  </w14:solidFill>
                </w14:textFill>
              </w:rPr>
              <w:t>，湖南省人民政府办公厅印发关于《湖南省大气污染防治“守护蓝天”攻坚行动计划（2023-2025）》的通知（湘政办发</w:t>
            </w:r>
            <w:r>
              <w:rPr>
                <w:color w:val="000000" w:themeColor="text1"/>
                <w14:textFill>
                  <w14:solidFill>
                    <w14:schemeClr w14:val="tx1"/>
                  </w14:solidFill>
                </w14:textFill>
              </w:rPr>
              <w:t>[2023]34号</w:t>
            </w:r>
            <w:r>
              <w:rPr>
                <w:color w:val="000000" w:themeColor="text1"/>
                <w:lang w:val="zh-CN"/>
                <w14:textFill>
                  <w14:solidFill>
                    <w14:schemeClr w14:val="tx1"/>
                  </w14:solidFill>
                </w14:textFill>
              </w:rPr>
              <w:t>）。该通知中提出：</w:t>
            </w:r>
          </w:p>
          <w:p w14:paraId="50BBD118">
            <w:pPr>
              <w:snapToGrid w:val="0"/>
              <w:spacing w:line="360" w:lineRule="auto"/>
              <w:ind w:firstLine="480" w:firstLineChars="200"/>
              <w:rPr>
                <w:color w:val="000000" w:themeColor="text1"/>
                <w:lang w:val="zh-CN"/>
                <w14:textFill>
                  <w14:solidFill>
                    <w14:schemeClr w14:val="tx1"/>
                  </w14:solidFill>
                </w14:textFill>
              </w:rPr>
            </w:pPr>
            <w:r>
              <w:rPr>
                <w:color w:val="000000" w:themeColor="text1"/>
                <w:lang w:val="zh-CN"/>
                <w14:textFill>
                  <w14:solidFill>
                    <w14:schemeClr w14:val="tx1"/>
                  </w14:solidFill>
                </w14:textFill>
              </w:rPr>
              <w:t>优化产业结构和布局。严格项目准入，遏制“两高一低”项目盲目发展。落实产业规划及产业政策，严格执行重点行业产能置换办法，依法依规淘汰落后产能。</w:t>
            </w:r>
          </w:p>
          <w:p w14:paraId="66844332">
            <w:pPr>
              <w:snapToGrid w:val="0"/>
              <w:spacing w:line="360" w:lineRule="auto"/>
              <w:ind w:firstLine="480" w:firstLineChars="200"/>
              <w:rPr>
                <w:color w:val="000000" w:themeColor="text1"/>
                <w:lang w:val="zh-CN"/>
                <w14:textFill>
                  <w14:solidFill>
                    <w14:schemeClr w14:val="tx1"/>
                  </w14:solidFill>
                </w14:textFill>
              </w:rPr>
            </w:pPr>
            <w:r>
              <w:rPr>
                <w:color w:val="000000" w:themeColor="text1"/>
                <w:lang w:val="zh-CN"/>
                <w14:textFill>
                  <w14:solidFill>
                    <w14:schemeClr w14:val="tx1"/>
                  </w14:solidFill>
                </w14:textFill>
              </w:rPr>
              <w:t>加大低VOCs原辅材料替代力度。建立多部门联合执法机制，加大监督检查力度，确保生产、销售、使用符合VOCs含量限值标准的产品。</w:t>
            </w:r>
          </w:p>
          <w:p w14:paraId="024ED55C">
            <w:pPr>
              <w:snapToGrid w:val="0"/>
              <w:spacing w:line="360" w:lineRule="auto"/>
              <w:ind w:firstLine="480" w:firstLineChars="200"/>
              <w:rPr>
                <w:color w:val="000000" w:themeColor="text1"/>
                <w:lang w:val="zh-CN"/>
                <w14:textFill>
                  <w14:solidFill>
                    <w14:schemeClr w14:val="tx1"/>
                  </w14:solidFill>
                </w14:textFill>
              </w:rPr>
            </w:pPr>
            <w:r>
              <w:rPr>
                <w:color w:val="000000" w:themeColor="text1"/>
                <w:lang w:val="zh-CN"/>
                <w14:textFill>
                  <w14:solidFill>
                    <w14:schemeClr w14:val="tx1"/>
                  </w14:solidFill>
                </w14:textFill>
              </w:rPr>
              <w:t>开展涉VOCs重点行业全流程整治。持续开展VOCs治理突出问题排查，清理整顿简易低效、不合规定治理设施，强化无组织和非正常工况废气排放管控。</w:t>
            </w:r>
          </w:p>
          <w:p w14:paraId="2089E938">
            <w:pPr>
              <w:adjustRightInd w:val="0"/>
              <w:snapToGrid w:val="0"/>
              <w:spacing w:line="360" w:lineRule="auto"/>
              <w:ind w:firstLine="480" w:firstLineChars="200"/>
              <w:rPr>
                <w:color w:val="000000" w:themeColor="text1"/>
                <w:lang w:val="zh-CN"/>
                <w14:textFill>
                  <w14:solidFill>
                    <w14:schemeClr w14:val="tx1"/>
                  </w14:solidFill>
                </w14:textFill>
              </w:rPr>
            </w:pPr>
            <w:r>
              <w:rPr>
                <w:color w:val="000000" w:themeColor="text1"/>
                <w:lang w:val="zh-CN"/>
                <w14:textFill>
                  <w14:solidFill>
                    <w14:schemeClr w14:val="tx1"/>
                  </w14:solidFill>
                </w14:textFill>
              </w:rPr>
              <w:t>项目选址位于</w:t>
            </w:r>
            <w:r>
              <w:rPr>
                <w:color w:val="000000" w:themeColor="text1"/>
                <w14:textFill>
                  <w14:solidFill>
                    <w14:schemeClr w14:val="tx1"/>
                  </w14:solidFill>
                </w14:textFill>
              </w:rPr>
              <w:t>湖南衡阳松木经济开发区内</w:t>
            </w:r>
            <w:r>
              <w:rPr>
                <w:color w:val="000000" w:themeColor="text1"/>
                <w:lang w:val="zh-CN"/>
                <w14:textFill>
                  <w14:solidFill>
                    <w14:schemeClr w14:val="tx1"/>
                  </w14:solidFill>
                </w14:textFill>
              </w:rPr>
              <w:t>，符合国家相关产业政策要求。项目生产、销售、使用均符合VOCs含量限值标准的产品。</w:t>
            </w:r>
            <w:r>
              <w:rPr>
                <w:color w:val="000000" w:themeColor="text1"/>
                <w14:textFill>
                  <w14:solidFill>
                    <w14:schemeClr w14:val="tx1"/>
                  </w14:solidFill>
                </w14:textFill>
              </w:rPr>
              <w:t>建设单位应加强日常管理，非正常</w:t>
            </w:r>
            <w:r>
              <w:rPr>
                <w:color w:val="000000" w:themeColor="text1"/>
                <w:lang w:val="zh-CN"/>
                <w14:textFill>
                  <w14:solidFill>
                    <w14:schemeClr w14:val="tx1"/>
                  </w14:solidFill>
                </w14:textFill>
              </w:rPr>
              <w:t>工况废气及时处置。</w:t>
            </w:r>
          </w:p>
          <w:p w14:paraId="3C7633A7">
            <w:pPr>
              <w:pStyle w:val="111"/>
              <w:snapToGrid w:val="0"/>
              <w:rPr>
                <w:b/>
                <w:bCs/>
                <w:snapToGrid w:val="0"/>
                <w:szCs w:val="24"/>
                <w:lang w:val="en-US"/>
              </w:rPr>
            </w:pPr>
            <w:r>
              <w:rPr>
                <w:color w:val="000000" w:themeColor="text1"/>
                <w14:textFill>
                  <w14:solidFill>
                    <w14:schemeClr w14:val="tx1"/>
                  </w14:solidFill>
                </w14:textFill>
              </w:rPr>
              <w:t>因此本项目建设符合《湖南省大气污染防治“守护蓝天”攻坚行动计划（2023-2025）》要求。</w:t>
            </w:r>
          </w:p>
          <w:p w14:paraId="0C09ED3D">
            <w:pPr>
              <w:pStyle w:val="111"/>
              <w:spacing w:line="460" w:lineRule="exact"/>
              <w:ind w:firstLine="482"/>
              <w:outlineLvl w:val="3"/>
              <w:rPr>
                <w:b/>
                <w:bCs/>
                <w:snapToGrid w:val="0"/>
                <w:color w:val="auto"/>
                <w:szCs w:val="24"/>
                <w:highlight w:val="none"/>
                <w:u w:val="single"/>
                <w:lang w:val="en-US"/>
              </w:rPr>
            </w:pPr>
            <w:r>
              <w:rPr>
                <w:rFonts w:hint="eastAsia"/>
                <w:b/>
                <w:bCs/>
                <w:snapToGrid w:val="0"/>
                <w:color w:val="auto"/>
                <w:szCs w:val="24"/>
                <w:highlight w:val="none"/>
                <w:u w:val="none"/>
                <w:lang w:val="en-US" w:eastAsia="zh-CN"/>
              </w:rPr>
              <w:t>8、</w:t>
            </w:r>
            <w:r>
              <w:rPr>
                <w:rFonts w:hint="eastAsia"/>
                <w:b/>
                <w:bCs/>
                <w:snapToGrid w:val="0"/>
                <w:color w:val="auto"/>
                <w:szCs w:val="24"/>
                <w:highlight w:val="none"/>
                <w:u w:val="single"/>
                <w:lang w:val="en-US"/>
              </w:rPr>
              <w:t>与《挥发性有机物（VOCs）污染防治技术政策》符合性分析</w:t>
            </w:r>
          </w:p>
          <w:p w14:paraId="5A5A66B0">
            <w:pPr>
              <w:pStyle w:val="111"/>
              <w:spacing w:line="460" w:lineRule="exact"/>
              <w:rPr>
                <w:snapToGrid w:val="0"/>
                <w:color w:val="auto"/>
                <w:szCs w:val="24"/>
                <w:highlight w:val="none"/>
                <w:u w:val="single"/>
                <w:lang w:val="en-US"/>
              </w:rPr>
            </w:pPr>
            <w:r>
              <w:rPr>
                <w:rFonts w:hint="eastAsia"/>
                <w:snapToGrid w:val="0"/>
                <w:color w:val="auto"/>
                <w:szCs w:val="24"/>
                <w:highlight w:val="none"/>
                <w:u w:val="single"/>
                <w:lang w:val="en-US"/>
              </w:rPr>
              <w:t>本项目与《挥发性有机物（VOCs）污染防治技术政策》符合性分析见表</w:t>
            </w:r>
            <w:r>
              <w:rPr>
                <w:rFonts w:hint="eastAsia"/>
                <w:snapToGrid w:val="0"/>
                <w:color w:val="auto"/>
                <w:szCs w:val="24"/>
                <w:highlight w:val="none"/>
                <w:u w:val="single"/>
                <w:lang w:val="en-US" w:eastAsia="zh-CN"/>
              </w:rPr>
              <w:t>1.4</w:t>
            </w:r>
            <w:r>
              <w:rPr>
                <w:rFonts w:hint="eastAsia"/>
                <w:snapToGrid w:val="0"/>
                <w:color w:val="auto"/>
                <w:szCs w:val="24"/>
                <w:highlight w:val="none"/>
                <w:u w:val="single"/>
                <w:lang w:val="en-US"/>
              </w:rPr>
              <w:t>。</w:t>
            </w:r>
          </w:p>
          <w:p w14:paraId="2485D9D2">
            <w:pPr>
              <w:pStyle w:val="111"/>
              <w:spacing w:line="460" w:lineRule="exact"/>
              <w:rPr>
                <w:rFonts w:hint="eastAsia"/>
                <w:snapToGrid w:val="0"/>
                <w:color w:val="auto"/>
                <w:szCs w:val="24"/>
                <w:highlight w:val="none"/>
                <w:u w:val="single"/>
                <w:lang w:val="en-US"/>
              </w:rPr>
            </w:pPr>
            <w:r>
              <w:rPr>
                <w:rFonts w:hint="eastAsia"/>
                <w:snapToGrid w:val="0"/>
                <w:color w:val="auto"/>
                <w:szCs w:val="24"/>
                <w:highlight w:val="none"/>
                <w:u w:val="single"/>
                <w:lang w:val="en-US"/>
              </w:rPr>
              <w:t>由表</w:t>
            </w:r>
            <w:r>
              <w:rPr>
                <w:rFonts w:hint="eastAsia"/>
                <w:snapToGrid w:val="0"/>
                <w:color w:val="auto"/>
                <w:szCs w:val="24"/>
                <w:highlight w:val="none"/>
                <w:u w:val="single"/>
                <w:lang w:val="en-US" w:eastAsia="zh-CN"/>
              </w:rPr>
              <w:t>1.4</w:t>
            </w:r>
            <w:r>
              <w:rPr>
                <w:rFonts w:hint="eastAsia"/>
                <w:snapToGrid w:val="0"/>
                <w:color w:val="auto"/>
                <w:szCs w:val="24"/>
                <w:highlight w:val="none"/>
                <w:u w:val="single"/>
                <w:lang w:val="en-US"/>
              </w:rPr>
              <w:t>可知，本项目的建设符合《挥发性有机物（VOCs）污染防治技术政策》的相关要求。</w:t>
            </w:r>
          </w:p>
          <w:p w14:paraId="04DB352C">
            <w:pPr>
              <w:pStyle w:val="111"/>
              <w:spacing w:line="460" w:lineRule="exact"/>
              <w:rPr>
                <w:rFonts w:hint="eastAsia"/>
                <w:snapToGrid w:val="0"/>
                <w:color w:val="auto"/>
                <w:szCs w:val="24"/>
                <w:highlight w:val="none"/>
                <w:u w:val="single"/>
                <w:lang w:val="en-US"/>
              </w:rPr>
            </w:pPr>
          </w:p>
          <w:p w14:paraId="4A90063F">
            <w:pPr>
              <w:pStyle w:val="111"/>
              <w:spacing w:line="460" w:lineRule="exact"/>
              <w:rPr>
                <w:rFonts w:hint="eastAsia"/>
                <w:snapToGrid w:val="0"/>
                <w:color w:val="auto"/>
                <w:szCs w:val="24"/>
                <w:highlight w:val="none"/>
                <w:u w:val="single"/>
                <w:lang w:val="en-US"/>
              </w:rPr>
            </w:pPr>
          </w:p>
          <w:p w14:paraId="34E682C4">
            <w:pPr>
              <w:pStyle w:val="111"/>
              <w:spacing w:line="460" w:lineRule="exact"/>
              <w:rPr>
                <w:rFonts w:hint="eastAsia"/>
                <w:snapToGrid w:val="0"/>
                <w:color w:val="auto"/>
                <w:szCs w:val="24"/>
                <w:highlight w:val="none"/>
                <w:u w:val="single"/>
                <w:lang w:val="en-US"/>
              </w:rPr>
            </w:pPr>
          </w:p>
          <w:p w14:paraId="47AFABE9">
            <w:pPr>
              <w:pageBreakBefore w:val="0"/>
              <w:widowControl w:val="0"/>
              <w:numPr>
                <w:ilvl w:val="0"/>
                <w:numId w:val="0"/>
              </w:numPr>
              <w:wordWrap/>
              <w:topLinePunct w:val="0"/>
              <w:autoSpaceDE/>
              <w:autoSpaceDN/>
              <w:bidi w:val="0"/>
              <w:spacing w:line="460" w:lineRule="exact"/>
              <w:ind w:left="0" w:leftChars="0" w:right="0" w:rightChars="0" w:firstLine="0" w:firstLineChars="0"/>
              <w:jc w:val="center"/>
              <w:textAlignment w:val="auto"/>
              <w:outlineLvl w:val="9"/>
              <w:rPr>
                <w:rFonts w:hint="default" w:ascii="Times New Roman" w:hAnsi="Times New Roman" w:cs="Times New Roman" w:eastAsiaTheme="minorEastAsia"/>
                <w:b/>
                <w:bCs w:val="0"/>
                <w:color w:val="auto"/>
                <w:kern w:val="2"/>
                <w:sz w:val="24"/>
                <w:szCs w:val="24"/>
                <w:highlight w:val="none"/>
                <w:u w:val="single"/>
                <w:lang w:val="en-US" w:eastAsia="zh-CN" w:bidi="ar-SA"/>
              </w:rPr>
            </w:pPr>
            <w:r>
              <w:rPr>
                <w:rFonts w:hint="eastAsia" w:ascii="Times New Roman" w:hAnsi="Times New Roman" w:cs="Times New Roman" w:eastAsiaTheme="minorEastAsia"/>
                <w:b/>
                <w:bCs w:val="0"/>
                <w:color w:val="auto"/>
                <w:kern w:val="2"/>
                <w:sz w:val="24"/>
                <w:szCs w:val="24"/>
                <w:highlight w:val="none"/>
                <w:u w:val="single"/>
                <w:lang w:val="en-US" w:eastAsia="zh-CN" w:bidi="ar-SA"/>
              </w:rPr>
              <w:t>表1-4  与《挥发性有机物（VOCs）污染防治技术政策》符合性分析</w:t>
            </w:r>
          </w:p>
          <w:tbl>
            <w:tblPr>
              <w:tblStyle w:val="37"/>
              <w:tblW w:w="499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29"/>
              <w:gridCol w:w="3591"/>
              <w:gridCol w:w="2538"/>
              <w:gridCol w:w="685"/>
            </w:tblGrid>
            <w:tr w14:paraId="337D9B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0" w:type="pct"/>
                  <w:tcBorders>
                    <w:tl2br w:val="nil"/>
                    <w:tr2bl w:val="nil"/>
                  </w:tcBorders>
                  <w:vAlign w:val="center"/>
                </w:tcPr>
                <w:p w14:paraId="45B369FF">
                  <w:pPr>
                    <w:ind w:left="0" w:leftChars="0" w:right="0" w:rightChars="0" w:firstLine="0" w:firstLineChars="0"/>
                    <w:jc w:val="center"/>
                    <w:rPr>
                      <w:rFonts w:hint="eastAsia" w:eastAsia="Times New Roman" w:cs="Times New Roman"/>
                      <w:b/>
                      <w:bCs/>
                      <w:color w:val="auto"/>
                      <w:kern w:val="0"/>
                      <w:szCs w:val="21"/>
                      <w:highlight w:val="none"/>
                      <w:u w:val="single"/>
                    </w:rPr>
                  </w:pPr>
                  <w:r>
                    <w:rPr>
                      <w:rFonts w:hint="eastAsia" w:eastAsia="Times New Roman" w:cs="Times New Roman"/>
                      <w:b/>
                      <w:bCs/>
                      <w:color w:val="auto"/>
                      <w:kern w:val="0"/>
                      <w:szCs w:val="21"/>
                      <w:highlight w:val="none"/>
                      <w:u w:val="single"/>
                    </w:rPr>
                    <w:t>序号</w:t>
                  </w:r>
                </w:p>
              </w:tc>
              <w:tc>
                <w:tcPr>
                  <w:tcW w:w="2445" w:type="pct"/>
                  <w:tcBorders>
                    <w:tl2br w:val="nil"/>
                    <w:tr2bl w:val="nil"/>
                  </w:tcBorders>
                  <w:vAlign w:val="center"/>
                </w:tcPr>
                <w:p w14:paraId="4B92859D">
                  <w:pPr>
                    <w:ind w:left="0" w:leftChars="0" w:right="0" w:rightChars="0" w:firstLine="0" w:firstLineChars="0"/>
                    <w:jc w:val="center"/>
                    <w:rPr>
                      <w:rFonts w:hint="eastAsia" w:eastAsia="Times New Roman" w:cs="Times New Roman"/>
                      <w:b/>
                      <w:bCs/>
                      <w:color w:val="auto"/>
                      <w:kern w:val="0"/>
                      <w:szCs w:val="21"/>
                      <w:highlight w:val="none"/>
                      <w:u w:val="single"/>
                    </w:rPr>
                  </w:pPr>
                  <w:r>
                    <w:rPr>
                      <w:rFonts w:hint="eastAsia" w:eastAsia="Times New Roman" w:cs="Times New Roman"/>
                      <w:b/>
                      <w:bCs/>
                      <w:color w:val="auto"/>
                      <w:kern w:val="0"/>
                      <w:szCs w:val="21"/>
                      <w:highlight w:val="none"/>
                      <w:u w:val="single"/>
                    </w:rPr>
                    <w:t>相关要求</w:t>
                  </w:r>
                </w:p>
              </w:tc>
              <w:tc>
                <w:tcPr>
                  <w:tcW w:w="1728" w:type="pct"/>
                  <w:tcBorders>
                    <w:tl2br w:val="nil"/>
                    <w:tr2bl w:val="nil"/>
                  </w:tcBorders>
                  <w:vAlign w:val="center"/>
                </w:tcPr>
                <w:p w14:paraId="78A3042B">
                  <w:pPr>
                    <w:ind w:left="0" w:leftChars="0" w:right="0" w:rightChars="0" w:firstLine="0" w:firstLineChars="0"/>
                    <w:jc w:val="center"/>
                    <w:rPr>
                      <w:rFonts w:hint="eastAsia" w:eastAsia="Times New Roman" w:cs="Times New Roman"/>
                      <w:b/>
                      <w:bCs/>
                      <w:color w:val="auto"/>
                      <w:kern w:val="0"/>
                      <w:szCs w:val="21"/>
                      <w:highlight w:val="none"/>
                      <w:u w:val="single"/>
                    </w:rPr>
                  </w:pPr>
                  <w:r>
                    <w:rPr>
                      <w:rFonts w:hint="eastAsia" w:eastAsia="Times New Roman" w:cs="Times New Roman"/>
                      <w:b/>
                      <w:bCs/>
                      <w:color w:val="auto"/>
                      <w:kern w:val="0"/>
                      <w:szCs w:val="21"/>
                      <w:highlight w:val="none"/>
                      <w:u w:val="single"/>
                    </w:rPr>
                    <w:t>项目情况</w:t>
                  </w:r>
                </w:p>
              </w:tc>
              <w:tc>
                <w:tcPr>
                  <w:tcW w:w="466" w:type="pct"/>
                  <w:tcBorders>
                    <w:tl2br w:val="nil"/>
                    <w:tr2bl w:val="nil"/>
                  </w:tcBorders>
                  <w:vAlign w:val="center"/>
                </w:tcPr>
                <w:p w14:paraId="0C121D78">
                  <w:pPr>
                    <w:ind w:left="0" w:leftChars="0" w:right="0" w:rightChars="0" w:firstLine="0" w:firstLineChars="0"/>
                    <w:jc w:val="center"/>
                    <w:rPr>
                      <w:rFonts w:hint="eastAsia" w:eastAsia="Times New Roman" w:cs="Times New Roman"/>
                      <w:b/>
                      <w:bCs/>
                      <w:color w:val="auto"/>
                      <w:kern w:val="0"/>
                      <w:szCs w:val="21"/>
                      <w:highlight w:val="none"/>
                      <w:u w:val="single"/>
                    </w:rPr>
                  </w:pPr>
                  <w:r>
                    <w:rPr>
                      <w:rFonts w:hint="eastAsia" w:eastAsia="Times New Roman" w:cs="Times New Roman"/>
                      <w:b/>
                      <w:bCs/>
                      <w:color w:val="auto"/>
                      <w:kern w:val="0"/>
                      <w:szCs w:val="21"/>
                      <w:highlight w:val="none"/>
                      <w:u w:val="single"/>
                    </w:rPr>
                    <w:t>相符性</w:t>
                  </w:r>
                </w:p>
              </w:tc>
            </w:tr>
            <w:tr w14:paraId="467521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0" w:type="pct"/>
                  <w:tcBorders>
                    <w:tl2br w:val="nil"/>
                    <w:tr2bl w:val="nil"/>
                  </w:tcBorders>
                  <w:vAlign w:val="center"/>
                </w:tcPr>
                <w:p w14:paraId="32B64EEE">
                  <w:pPr>
                    <w:ind w:left="0" w:leftChars="0" w:right="0" w:rightChars="0" w:firstLine="0" w:firstLineChars="0"/>
                    <w:jc w:val="center"/>
                    <w:rPr>
                      <w:rFonts w:hint="eastAsia" w:eastAsia="宋体" w:cs="Times New Roman"/>
                      <w:color w:val="auto"/>
                      <w:kern w:val="0"/>
                      <w:szCs w:val="21"/>
                      <w:highlight w:val="none"/>
                      <w:u w:val="single"/>
                      <w:lang w:val="en-US" w:eastAsia="zh-CN"/>
                    </w:rPr>
                  </w:pPr>
                  <w:r>
                    <w:rPr>
                      <w:rFonts w:hint="eastAsia" w:eastAsia="宋体" w:cs="Times New Roman"/>
                      <w:color w:val="auto"/>
                      <w:kern w:val="0"/>
                      <w:szCs w:val="21"/>
                      <w:highlight w:val="none"/>
                      <w:u w:val="single"/>
                      <w:lang w:val="en-US" w:eastAsia="zh-CN"/>
                    </w:rPr>
                    <w:t>1</w:t>
                  </w:r>
                </w:p>
              </w:tc>
              <w:tc>
                <w:tcPr>
                  <w:tcW w:w="2445" w:type="pct"/>
                  <w:tcBorders>
                    <w:tl2br w:val="nil"/>
                    <w:tr2bl w:val="nil"/>
                  </w:tcBorders>
                  <w:vAlign w:val="center"/>
                </w:tcPr>
                <w:p w14:paraId="1E0ED4FB">
                  <w:pPr>
                    <w:rPr>
                      <w:rFonts w:hint="eastAsia" w:eastAsia="Times New Roman" w:cs="Times New Roman"/>
                      <w:color w:val="auto"/>
                      <w:kern w:val="0"/>
                      <w:szCs w:val="21"/>
                      <w:highlight w:val="none"/>
                      <w:u w:val="single"/>
                    </w:rPr>
                  </w:pPr>
                  <w:r>
                    <w:rPr>
                      <w:rFonts w:hint="eastAsia" w:eastAsia="Times New Roman" w:cs="Times New Roman"/>
                      <w:color w:val="auto"/>
                      <w:kern w:val="0"/>
                      <w:szCs w:val="21"/>
                      <w:highlight w:val="none"/>
                      <w:u w:val="single"/>
                    </w:rPr>
                    <w:t>对生产装置排放的含VOCs工艺排气宜优先回收利用，不能（或不能完全）回收利用的经处理后达标排放。</w:t>
                  </w:r>
                </w:p>
              </w:tc>
              <w:tc>
                <w:tcPr>
                  <w:tcW w:w="1728" w:type="pct"/>
                  <w:tcBorders>
                    <w:tl2br w:val="nil"/>
                    <w:tr2bl w:val="nil"/>
                  </w:tcBorders>
                  <w:vAlign w:val="center"/>
                </w:tcPr>
                <w:p w14:paraId="64D72D0E">
                  <w:pPr>
                    <w:rPr>
                      <w:rFonts w:hint="default" w:eastAsia="宋体" w:cs="Times New Roman"/>
                      <w:color w:val="auto"/>
                      <w:kern w:val="0"/>
                      <w:szCs w:val="21"/>
                      <w:highlight w:val="none"/>
                      <w:u w:val="single"/>
                      <w:lang w:val="en-US" w:eastAsia="zh-CN"/>
                    </w:rPr>
                  </w:pPr>
                  <w:r>
                    <w:rPr>
                      <w:rFonts w:hint="eastAsia" w:eastAsia="Times New Roman" w:cs="Times New Roman"/>
                      <w:color w:val="auto"/>
                      <w:kern w:val="0"/>
                      <w:szCs w:val="21"/>
                      <w:highlight w:val="none"/>
                      <w:u w:val="single"/>
                    </w:rPr>
                    <w:t>本项目生产装置产生的</w:t>
                  </w:r>
                  <w:r>
                    <w:rPr>
                      <w:rFonts w:hint="eastAsia" w:eastAsia="宋体" w:cs="Times New Roman"/>
                      <w:color w:val="auto"/>
                      <w:kern w:val="0"/>
                      <w:szCs w:val="21"/>
                      <w:highlight w:val="none"/>
                      <w:u w:val="single"/>
                      <w:lang w:val="en-US" w:eastAsia="zh-CN"/>
                    </w:rPr>
                    <w:t>VOCs经移动式VOCs处理设备处理后达标排放。</w:t>
                  </w:r>
                </w:p>
              </w:tc>
              <w:tc>
                <w:tcPr>
                  <w:tcW w:w="466" w:type="pct"/>
                  <w:tcBorders>
                    <w:tl2br w:val="nil"/>
                    <w:tr2bl w:val="nil"/>
                  </w:tcBorders>
                  <w:vAlign w:val="center"/>
                </w:tcPr>
                <w:p w14:paraId="4AF1896F">
                  <w:pPr>
                    <w:ind w:left="0" w:leftChars="0" w:right="0" w:rightChars="0" w:firstLine="0" w:firstLineChars="0"/>
                    <w:jc w:val="center"/>
                    <w:rPr>
                      <w:rFonts w:hint="eastAsia" w:eastAsia="Times New Roman" w:cs="Times New Roman"/>
                      <w:color w:val="auto"/>
                      <w:kern w:val="0"/>
                      <w:szCs w:val="21"/>
                      <w:highlight w:val="none"/>
                      <w:u w:val="single"/>
                    </w:rPr>
                  </w:pPr>
                  <w:r>
                    <w:rPr>
                      <w:rFonts w:hint="eastAsia" w:eastAsia="Times New Roman" w:cs="Times New Roman"/>
                      <w:color w:val="auto"/>
                      <w:kern w:val="0"/>
                      <w:szCs w:val="21"/>
                      <w:highlight w:val="none"/>
                      <w:u w:val="single"/>
                    </w:rPr>
                    <w:t>相符</w:t>
                  </w:r>
                </w:p>
              </w:tc>
            </w:tr>
            <w:tr w14:paraId="6C5353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0" w:type="pct"/>
                  <w:tcBorders>
                    <w:tl2br w:val="nil"/>
                    <w:tr2bl w:val="nil"/>
                  </w:tcBorders>
                  <w:vAlign w:val="center"/>
                </w:tcPr>
                <w:p w14:paraId="7A9E0BF9">
                  <w:pPr>
                    <w:ind w:left="0" w:leftChars="0" w:right="0" w:rightChars="0" w:firstLine="0" w:firstLineChars="0"/>
                    <w:jc w:val="center"/>
                    <w:rPr>
                      <w:rFonts w:hint="eastAsia" w:eastAsia="宋体" w:cs="Times New Roman"/>
                      <w:color w:val="auto"/>
                      <w:kern w:val="0"/>
                      <w:szCs w:val="21"/>
                      <w:highlight w:val="none"/>
                      <w:u w:val="single"/>
                      <w:lang w:val="en-US" w:eastAsia="zh-CN"/>
                    </w:rPr>
                  </w:pPr>
                  <w:r>
                    <w:rPr>
                      <w:rFonts w:hint="eastAsia" w:eastAsia="宋体" w:cs="Times New Roman"/>
                      <w:color w:val="auto"/>
                      <w:kern w:val="0"/>
                      <w:szCs w:val="21"/>
                      <w:highlight w:val="none"/>
                      <w:u w:val="single"/>
                      <w:lang w:val="en-US" w:eastAsia="zh-CN"/>
                    </w:rPr>
                    <w:t>2</w:t>
                  </w:r>
                </w:p>
              </w:tc>
              <w:tc>
                <w:tcPr>
                  <w:tcW w:w="2445" w:type="pct"/>
                  <w:tcBorders>
                    <w:tl2br w:val="nil"/>
                    <w:tr2bl w:val="nil"/>
                  </w:tcBorders>
                  <w:vAlign w:val="center"/>
                </w:tcPr>
                <w:p w14:paraId="3B99CEC7">
                  <w:pPr>
                    <w:rPr>
                      <w:rFonts w:hint="eastAsia" w:eastAsia="Times New Roman" w:cs="Times New Roman"/>
                      <w:color w:val="auto"/>
                      <w:kern w:val="0"/>
                      <w:szCs w:val="21"/>
                      <w:highlight w:val="none"/>
                      <w:u w:val="single"/>
                    </w:rPr>
                  </w:pPr>
                  <w:r>
                    <w:rPr>
                      <w:rFonts w:hint="eastAsia" w:eastAsia="Times New Roman" w:cs="Times New Roman"/>
                      <w:color w:val="auto"/>
                      <w:kern w:val="0"/>
                      <w:szCs w:val="21"/>
                      <w:highlight w:val="none"/>
                      <w:u w:val="single"/>
                    </w:rPr>
                    <w:t>废水收集和处理过程产生的含VOCs废气经收集处理后达标排放。</w:t>
                  </w:r>
                </w:p>
              </w:tc>
              <w:tc>
                <w:tcPr>
                  <w:tcW w:w="1728" w:type="pct"/>
                  <w:tcBorders>
                    <w:tl2br w:val="nil"/>
                    <w:tr2bl w:val="nil"/>
                  </w:tcBorders>
                  <w:vAlign w:val="center"/>
                </w:tcPr>
                <w:p w14:paraId="09632F76">
                  <w:pPr>
                    <w:rPr>
                      <w:rFonts w:hint="eastAsia" w:eastAsia="宋体" w:cs="Times New Roman"/>
                      <w:color w:val="auto"/>
                      <w:kern w:val="0"/>
                      <w:szCs w:val="21"/>
                      <w:highlight w:val="none"/>
                      <w:u w:val="single"/>
                      <w:lang w:val="en-US" w:eastAsia="zh-CN"/>
                    </w:rPr>
                  </w:pPr>
                  <w:r>
                    <w:rPr>
                      <w:rFonts w:hint="eastAsia" w:eastAsia="宋体" w:cs="Times New Roman"/>
                      <w:color w:val="auto"/>
                      <w:kern w:val="0"/>
                      <w:szCs w:val="21"/>
                      <w:highlight w:val="none"/>
                      <w:u w:val="single"/>
                      <w:lang w:eastAsia="zh-CN"/>
                    </w:rPr>
                    <w:t>不涉及</w:t>
                  </w:r>
                </w:p>
              </w:tc>
              <w:tc>
                <w:tcPr>
                  <w:tcW w:w="466" w:type="pct"/>
                  <w:tcBorders>
                    <w:tl2br w:val="nil"/>
                    <w:tr2bl w:val="nil"/>
                  </w:tcBorders>
                  <w:vAlign w:val="center"/>
                </w:tcPr>
                <w:p w14:paraId="488BE6D2">
                  <w:pPr>
                    <w:ind w:left="0" w:leftChars="0" w:right="0" w:rightChars="0" w:firstLine="0" w:firstLineChars="0"/>
                    <w:jc w:val="center"/>
                    <w:rPr>
                      <w:rFonts w:hint="eastAsia" w:eastAsia="Times New Roman" w:cs="Times New Roman"/>
                      <w:color w:val="auto"/>
                      <w:kern w:val="0"/>
                      <w:szCs w:val="21"/>
                      <w:highlight w:val="none"/>
                      <w:u w:val="single"/>
                    </w:rPr>
                  </w:pPr>
                  <w:r>
                    <w:rPr>
                      <w:rFonts w:hint="eastAsia" w:eastAsia="Times New Roman" w:cs="Times New Roman"/>
                      <w:color w:val="auto"/>
                      <w:kern w:val="0"/>
                      <w:szCs w:val="21"/>
                      <w:highlight w:val="none"/>
                      <w:u w:val="single"/>
                    </w:rPr>
                    <w:t>相符</w:t>
                  </w:r>
                </w:p>
              </w:tc>
            </w:tr>
          </w:tbl>
          <w:p w14:paraId="2ABD3F89">
            <w:pPr>
              <w:pStyle w:val="111"/>
              <w:snapToGrid w:val="0"/>
              <w:ind w:firstLine="482"/>
              <w:rPr>
                <w:rFonts w:hint="eastAsia"/>
                <w:b/>
                <w:bCs/>
                <w:snapToGrid w:val="0"/>
                <w:szCs w:val="24"/>
                <w:lang w:val="en-US"/>
              </w:rPr>
            </w:pPr>
          </w:p>
          <w:p w14:paraId="02B74819">
            <w:pPr>
              <w:pStyle w:val="111"/>
              <w:snapToGrid w:val="0"/>
              <w:ind w:firstLine="482"/>
              <w:rPr>
                <w:b/>
                <w:bCs/>
                <w:snapToGrid w:val="0"/>
                <w:szCs w:val="24"/>
                <w:lang w:val="en-US"/>
              </w:rPr>
            </w:pPr>
            <w:r>
              <w:rPr>
                <w:rFonts w:hint="eastAsia"/>
                <w:b/>
                <w:bCs/>
                <w:snapToGrid w:val="0"/>
                <w:szCs w:val="24"/>
                <w:lang w:val="en-US" w:eastAsia="zh-CN"/>
              </w:rPr>
              <w:t>9</w:t>
            </w:r>
            <w:r>
              <w:rPr>
                <w:b/>
                <w:bCs/>
                <w:snapToGrid w:val="0"/>
                <w:szCs w:val="24"/>
                <w:lang w:val="en-US"/>
              </w:rPr>
              <w:t>、本项目与《湖南省“三线一单”生态环境总体管控要求暨省级以上产业园区生态环境准入清单》符合性分析</w:t>
            </w:r>
          </w:p>
          <w:p w14:paraId="64DF5E43">
            <w:pPr>
              <w:pStyle w:val="111"/>
              <w:snapToGrid w:val="0"/>
              <w:rPr>
                <w:snapToGrid w:val="0"/>
                <w:szCs w:val="24"/>
                <w:lang w:val="en-US"/>
              </w:rPr>
            </w:pPr>
            <w:r>
              <w:rPr>
                <w:color w:val="000000" w:themeColor="text1"/>
                <w:kern w:val="10"/>
                <w14:textFill>
                  <w14:solidFill>
                    <w14:schemeClr w14:val="tx1"/>
                  </w14:solidFill>
                </w14:textFill>
              </w:rPr>
              <w:t>根据《湖南省人民政府关于实施“三线一单”生态环境分区管控的意见》，湖南省三线一单实行动态管理原则，省生态环境厅组织对其实行定期评估与动态更新。根据湖南衡阳松木经济开发区扩区规划环评成果，并结合《湖南省“三线一单”生态环境总体管控要求暨省级以上产业园区生态环境准入清单》中松木经开区的成果，松木经开区生态环境准入清单动态更新后，相关管控要求如下</w:t>
            </w:r>
            <w:r>
              <w:rPr>
                <w:snapToGrid w:val="0"/>
                <w:szCs w:val="24"/>
                <w:lang w:val="en-US"/>
              </w:rPr>
              <w:t>本项目与《湖南省“三线一单”生态环境总体管控要求暨省级以上产业园区生态环境准入清单》符合性分析见下表。</w:t>
            </w:r>
          </w:p>
          <w:p w14:paraId="1582CAEA">
            <w:pPr>
              <w:keepNext/>
              <w:keepLines/>
              <w:spacing w:line="360" w:lineRule="auto"/>
              <w:jc w:val="center"/>
              <w:outlineLvl w:val="6"/>
              <w:rPr>
                <w:b/>
                <w:bCs/>
                <w:color w:val="000000" w:themeColor="text1"/>
                <w14:textFill>
                  <w14:solidFill>
                    <w14:schemeClr w14:val="tx1"/>
                  </w14:solidFill>
                </w14:textFill>
              </w:rPr>
            </w:pPr>
            <w:r>
              <w:rPr>
                <w:b/>
                <w:bCs/>
                <w:color w:val="000000" w:themeColor="text1"/>
                <w14:textFill>
                  <w14:solidFill>
                    <w14:schemeClr w14:val="tx1"/>
                  </w14:solidFill>
                </w14:textFill>
              </w:rPr>
              <w:t>表1-</w:t>
            </w:r>
            <w:r>
              <w:rPr>
                <w:rFonts w:hint="eastAsia"/>
                <w:b/>
                <w:bCs/>
                <w:color w:val="000000" w:themeColor="text1"/>
                <w:lang w:val="en-US" w:eastAsia="zh-CN"/>
                <w14:textFill>
                  <w14:solidFill>
                    <w14:schemeClr w14:val="tx1"/>
                  </w14:solidFill>
                </w14:textFill>
              </w:rPr>
              <w:t>5</w:t>
            </w:r>
            <w:r>
              <w:rPr>
                <w:b/>
                <w:bCs/>
                <w:color w:val="000000" w:themeColor="text1"/>
                <w14:textFill>
                  <w14:solidFill>
                    <w14:schemeClr w14:val="tx1"/>
                  </w14:solidFill>
                </w14:textFill>
              </w:rPr>
              <w:t xml:space="preserve"> 项目与清单中管控要求符合性分析</w:t>
            </w:r>
          </w:p>
          <w:tbl>
            <w:tblPr>
              <w:tblStyle w:val="36"/>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4455"/>
              <w:gridCol w:w="1459"/>
              <w:gridCol w:w="718"/>
            </w:tblGrid>
            <w:tr w14:paraId="1E3139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pct"/>
                  <w:vAlign w:val="center"/>
                </w:tcPr>
                <w:p w14:paraId="077F0960">
                  <w:pPr>
                    <w:adjustRightInd w:val="0"/>
                    <w:snapToGrid w:val="0"/>
                    <w:jc w:val="center"/>
                    <w:rPr>
                      <w:b/>
                      <w:bCs/>
                      <w:sz w:val="21"/>
                      <w:szCs w:val="21"/>
                    </w:rPr>
                  </w:pPr>
                  <w:r>
                    <w:rPr>
                      <w:b/>
                      <w:bCs/>
                      <w:sz w:val="21"/>
                      <w:szCs w:val="21"/>
                    </w:rPr>
                    <w:t>项目</w:t>
                  </w:r>
                </w:p>
              </w:tc>
              <w:tc>
                <w:tcPr>
                  <w:tcW w:w="3033" w:type="pct"/>
                  <w:vAlign w:val="center"/>
                </w:tcPr>
                <w:p w14:paraId="2B6ECFFF">
                  <w:pPr>
                    <w:adjustRightInd w:val="0"/>
                    <w:snapToGrid w:val="0"/>
                    <w:jc w:val="center"/>
                    <w:rPr>
                      <w:b/>
                      <w:bCs/>
                      <w:sz w:val="21"/>
                      <w:szCs w:val="21"/>
                    </w:rPr>
                  </w:pPr>
                  <w:r>
                    <w:rPr>
                      <w:b/>
                      <w:bCs/>
                      <w:sz w:val="21"/>
                      <w:szCs w:val="21"/>
                    </w:rPr>
                    <w:t>管控要求</w:t>
                  </w:r>
                </w:p>
              </w:tc>
              <w:tc>
                <w:tcPr>
                  <w:tcW w:w="993" w:type="pct"/>
                  <w:vAlign w:val="center"/>
                </w:tcPr>
                <w:p w14:paraId="35A3011B">
                  <w:pPr>
                    <w:adjustRightInd w:val="0"/>
                    <w:snapToGrid w:val="0"/>
                    <w:jc w:val="center"/>
                    <w:rPr>
                      <w:b/>
                      <w:bCs/>
                      <w:sz w:val="21"/>
                      <w:szCs w:val="21"/>
                    </w:rPr>
                  </w:pPr>
                  <w:r>
                    <w:rPr>
                      <w:b/>
                      <w:bCs/>
                      <w:sz w:val="21"/>
                      <w:szCs w:val="21"/>
                    </w:rPr>
                    <w:t>本</w:t>
                  </w:r>
                  <w:r>
                    <w:rPr>
                      <w:b/>
                      <w:bCs/>
                      <w:sz w:val="21"/>
                      <w:szCs w:val="21"/>
                    </w:rPr>
                    <w:cr/>
                  </w:r>
                  <w:r>
                    <w:rPr>
                      <w:b/>
                      <w:bCs/>
                      <w:sz w:val="21"/>
                      <w:szCs w:val="21"/>
                    </w:rPr>
                    <w:t>目情况</w:t>
                  </w:r>
                </w:p>
              </w:tc>
              <w:tc>
                <w:tcPr>
                  <w:tcW w:w="489" w:type="pct"/>
                  <w:vAlign w:val="center"/>
                </w:tcPr>
                <w:p w14:paraId="1198336C">
                  <w:pPr>
                    <w:adjustRightInd w:val="0"/>
                    <w:snapToGrid w:val="0"/>
                    <w:jc w:val="center"/>
                    <w:rPr>
                      <w:b/>
                      <w:bCs/>
                      <w:sz w:val="21"/>
                      <w:szCs w:val="21"/>
                    </w:rPr>
                  </w:pPr>
                  <w:r>
                    <w:rPr>
                      <w:b/>
                      <w:bCs/>
                      <w:sz w:val="21"/>
                      <w:szCs w:val="21"/>
                    </w:rPr>
                    <w:t>是否相符</w:t>
                  </w:r>
                </w:p>
              </w:tc>
            </w:tr>
            <w:tr w14:paraId="5322AC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pct"/>
                  <w:vAlign w:val="center"/>
                </w:tcPr>
                <w:p w14:paraId="4726D3E4">
                  <w:pPr>
                    <w:adjustRightInd w:val="0"/>
                    <w:snapToGrid w:val="0"/>
                    <w:jc w:val="center"/>
                    <w:rPr>
                      <w:sz w:val="21"/>
                      <w:szCs w:val="21"/>
                    </w:rPr>
                  </w:pPr>
                  <w:r>
                    <w:rPr>
                      <w:sz w:val="21"/>
                      <w:szCs w:val="21"/>
                    </w:rPr>
                    <w:t>空间布局约束</w:t>
                  </w:r>
                </w:p>
              </w:tc>
              <w:tc>
                <w:tcPr>
                  <w:tcW w:w="3033" w:type="pct"/>
                  <w:vAlign w:val="center"/>
                </w:tcPr>
                <w:p w14:paraId="44C3E614">
                  <w:pPr>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规划布局：园区在下一步开发建设过程中应执行《长江保护法》的要求，禁止在湘江岸线1公里范围内（片区一）新建、扩建化工园区和化工项目。对于湘江岸线1公里范围区域不再作为化工片区规划和后续开发，根据《关于发布湖南省沿江1公里范围内化工生产企业搬迁改造名单的公告》，本片区内已存在的化工企业，鼓励搬迁类的应于2025年底完成搬迁改造任务，保留类的不再在原址扩产能，并应采取更加严格的安全环保措施，园区管理机构应予以严格监管，确保湘江水质安全。湘江岸线1公里范围内（片区一）不再布设三类工业用地，在空间规划中予以落实，化工片区（片区二）应严格边界管控，并与片区三相互协调形成合理布局，减少对经开区西部安置区、公租房、商业职业学院等目标的影响及对主导风向下风向城区的影响。</w:t>
                  </w:r>
                </w:p>
                <w:p w14:paraId="77E9CEB7">
                  <w:pPr>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周边控规。落实拆迁安置计划。落实报告书中提出的相关隔离带等要求，园区管委会与地方政府应共同做好控规，确保化工片区南侧边界外1km范围不新建居民区、学校、医院等环境敏感建筑或生态敏感区。杜绝在规划的工业用地上新增环境敏感目标，确保园区开发过程中的居民拆迁安置到位，防止发生居民再次安置和次生环境问题，对于具体项目环评设置防护距离和拆迁要求的，要确保予以落实。</w:t>
                  </w:r>
                </w:p>
                <w:p w14:paraId="109C7193">
                  <w:pPr>
                    <w:adjustRightInd w:val="0"/>
                    <w:snapToGrid w:val="0"/>
                    <w:rPr>
                      <w:sz w:val="21"/>
                      <w:szCs w:val="21"/>
                    </w:rPr>
                  </w:pPr>
                  <w:r>
                    <w:rPr>
                      <w:color w:val="000000" w:themeColor="text1"/>
                      <w:sz w:val="21"/>
                      <w:szCs w:val="21"/>
                      <w14:textFill>
                        <w14:solidFill>
                          <w14:schemeClr w14:val="tx1"/>
                        </w14:solidFill>
                      </w14:textFill>
                    </w:rPr>
                    <w:t>3.产业准入：园区产业引进应严格遵循《长江保护法》、《长江经济带发展负面清单》、《湘江保护条例》等法律法规及相关政策的要求，落实“三线一单”环境准入要求及《报告书》提出的准入条件，严格限制以“零排放”为名新引进实际存在重金属排放（包括随废气排放）或突发情形下排放重金属的产业项目，片区三应严格限制引入重点气型污染排放企业。</w:t>
                  </w:r>
                </w:p>
              </w:tc>
              <w:tc>
                <w:tcPr>
                  <w:tcW w:w="993" w:type="pct"/>
                  <w:vAlign w:val="center"/>
                </w:tcPr>
                <w:p w14:paraId="57F0A55E">
                  <w:pPr>
                    <w:overflowPunct w:val="0"/>
                    <w:autoSpaceDE w:val="0"/>
                    <w:autoSpaceDN w:val="0"/>
                    <w:adjustRightInd w:val="0"/>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1、本项目距离湘江约</w:t>
                  </w: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.5km，符合《长江保护法》相关要求；</w:t>
                  </w:r>
                </w:p>
                <w:p w14:paraId="7B9FFF2E">
                  <w:pPr>
                    <w:overflowPunct w:val="0"/>
                    <w:autoSpaceDE w:val="0"/>
                    <w:autoSpaceDN w:val="0"/>
                    <w:adjustRightInd w:val="0"/>
                    <w:spacing w:after="120"/>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2、本项目无需设置防护距离，厂区占地范围内无敏感目标；</w:t>
                  </w:r>
                </w:p>
                <w:p w14:paraId="4FEC3213">
                  <w:pPr>
                    <w:overflowPunct w:val="0"/>
                    <w:autoSpaceDE w:val="0"/>
                    <w:autoSpaceDN w:val="0"/>
                    <w:adjustRightInd w:val="0"/>
                    <w:spacing w:after="120"/>
                    <w:textAlignment w:val="baseline"/>
                    <w:rPr>
                      <w:sz w:val="21"/>
                      <w:szCs w:val="21"/>
                    </w:rPr>
                  </w:pPr>
                  <w:r>
                    <w:rPr>
                      <w:color w:val="000000" w:themeColor="text1"/>
                      <w:sz w:val="21"/>
                      <w:szCs w:val="21"/>
                      <w14:textFill>
                        <w14:solidFill>
                          <w14:schemeClr w14:val="tx1"/>
                        </w14:solidFill>
                      </w14:textFill>
                    </w:rPr>
                    <w:t>3、本项目符合《长江保护法》、《长江经济带发展负面清单》、《湘江保护条例》等法律法规及相关政策的要求；本项目针对各废气均进行有效的收集和处理，可实现达标排放。</w:t>
                  </w:r>
                </w:p>
              </w:tc>
              <w:tc>
                <w:tcPr>
                  <w:tcW w:w="489" w:type="pct"/>
                  <w:vAlign w:val="center"/>
                </w:tcPr>
                <w:p w14:paraId="6556A46E">
                  <w:pPr>
                    <w:overflowPunct w:val="0"/>
                    <w:autoSpaceDE w:val="0"/>
                    <w:autoSpaceDN w:val="0"/>
                    <w:adjustRightInd w:val="0"/>
                    <w:jc w:val="center"/>
                    <w:textAlignment w:val="baseline"/>
                    <w:rPr>
                      <w:sz w:val="21"/>
                      <w:szCs w:val="21"/>
                    </w:rPr>
                  </w:pPr>
                  <w:r>
                    <w:rPr>
                      <w:color w:val="000000" w:themeColor="text1"/>
                      <w:sz w:val="21"/>
                      <w:szCs w:val="21"/>
                      <w14:textFill>
                        <w14:solidFill>
                          <w14:schemeClr w14:val="tx1"/>
                        </w14:solidFill>
                      </w14:textFill>
                    </w:rPr>
                    <w:t>符合</w:t>
                  </w:r>
                </w:p>
              </w:tc>
            </w:tr>
            <w:tr w14:paraId="66D2B9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pct"/>
                  <w:vAlign w:val="center"/>
                </w:tcPr>
                <w:p w14:paraId="43425F06">
                  <w:pPr>
                    <w:adjustRightInd w:val="0"/>
                    <w:snapToGrid w:val="0"/>
                    <w:jc w:val="center"/>
                    <w:rPr>
                      <w:sz w:val="21"/>
                      <w:szCs w:val="21"/>
                    </w:rPr>
                  </w:pPr>
                  <w:r>
                    <w:rPr>
                      <w:sz w:val="21"/>
                      <w:szCs w:val="21"/>
                    </w:rPr>
                    <w:t>污</w:t>
                  </w:r>
                  <w:r>
                    <w:rPr>
                      <w:sz w:val="21"/>
                      <w:szCs w:val="21"/>
                    </w:rPr>
                    <w:cr/>
                  </w:r>
                  <w:r>
                    <w:rPr>
                      <w:sz w:val="21"/>
                      <w:szCs w:val="21"/>
                    </w:rPr>
                    <w:t>物排放管控</w:t>
                  </w:r>
                </w:p>
              </w:tc>
              <w:tc>
                <w:tcPr>
                  <w:tcW w:w="3033" w:type="pct"/>
                  <w:vAlign w:val="center"/>
                </w:tcPr>
                <w:p w14:paraId="67213B3B">
                  <w:pPr>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1.废水：完善园区污水管网及集中处理设施建设，实行雨污分流，确保园区各片区生产生活废水应收尽收，集中纳入污水处理厂处理，园区不得超污水处理厂处理能力引进废水排放项目。</w:t>
                  </w:r>
                </w:p>
                <w:p w14:paraId="5924DA60">
                  <w:pPr>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废气：园区应推进清洁能源改造，现有使用高污染燃料的燃烧设施应改用清洁能源，完善污染防控措施。根据区域环境质量改善目标，加大对有毒有害气体和恶臭等突出环境问题的整治力度，重点控制涉氯排放企业氯气、氯化氢等特征污染物的无组织排放，加强对VOCs排放的治理，对排放长期无法达标的企业实行限期整改或关停。</w:t>
                  </w:r>
                </w:p>
                <w:p w14:paraId="6061DB19">
                  <w:pPr>
                    <w:adjustRightInd w:val="0"/>
                    <w:snapToGrid w:val="0"/>
                    <w:rPr>
                      <w:sz w:val="21"/>
                      <w:szCs w:val="21"/>
                    </w:rPr>
                  </w:pPr>
                  <w:r>
                    <w:rPr>
                      <w:color w:val="000000" w:themeColor="text1"/>
                      <w:sz w:val="21"/>
                      <w:szCs w:val="21"/>
                      <w14:textFill>
                        <w14:solidFill>
                          <w14:schemeClr w14:val="tx1"/>
                        </w14:solidFill>
                      </w14:textFill>
                    </w:rPr>
                    <w:t>3.固废：做好工业固体废物和生活垃圾的分类收集、转运、综合利用和无害化处理，建立完善的固废管理体系。对危险固废应严格按照国家有关规定综合利用或妥善处置，对危险废物产生企业和经营单位，应强化日常环境监管。</w:t>
                  </w:r>
                </w:p>
              </w:tc>
              <w:tc>
                <w:tcPr>
                  <w:tcW w:w="993" w:type="pct"/>
                  <w:vAlign w:val="center"/>
                </w:tcPr>
                <w:p w14:paraId="4B2B1790">
                  <w:pPr>
                    <w:overflowPunct w:val="0"/>
                    <w:autoSpaceDE w:val="0"/>
                    <w:autoSpaceDN w:val="0"/>
                    <w:adjustRightInd w:val="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1、本项目占地位于园区污水处理厂的纳污范围内，管网已联通。本项目废水量未超过园区污水处理厂处理能力； </w:t>
                  </w:r>
                </w:p>
                <w:p w14:paraId="41FEC0D6">
                  <w:pPr>
                    <w:overflowPunct w:val="0"/>
                    <w:autoSpaceDE w:val="0"/>
                    <w:autoSpaceDN w:val="0"/>
                    <w:adjustRightInd w:val="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2、项目能源主要为水、电、天然气，由园区统一供应；</w:t>
                  </w:r>
                </w:p>
                <w:p w14:paraId="2AB1F455">
                  <w:pPr>
                    <w:overflowPunct w:val="0"/>
                    <w:autoSpaceDE w:val="0"/>
                    <w:autoSpaceDN w:val="0"/>
                    <w:adjustRightInd w:val="0"/>
                    <w:jc w:val="center"/>
                    <w:textAlignment w:val="baseline"/>
                    <w:rPr>
                      <w:sz w:val="21"/>
                      <w:szCs w:val="21"/>
                    </w:rPr>
                  </w:pPr>
                  <w:r>
                    <w:rPr>
                      <w:color w:val="000000" w:themeColor="text1"/>
                      <w:sz w:val="21"/>
                      <w:szCs w:val="21"/>
                      <w14:textFill>
                        <w14:solidFill>
                          <w14:schemeClr w14:val="tx1"/>
                        </w14:solidFill>
                      </w14:textFill>
                    </w:rPr>
                    <w:t>3、项目产生的危险废物严格按照国家有关规定综合利用或妥善处置。</w:t>
                  </w:r>
                </w:p>
              </w:tc>
              <w:tc>
                <w:tcPr>
                  <w:tcW w:w="489" w:type="pct"/>
                  <w:vAlign w:val="center"/>
                </w:tcPr>
                <w:p w14:paraId="71E477C9">
                  <w:pPr>
                    <w:overflowPunct w:val="0"/>
                    <w:autoSpaceDE w:val="0"/>
                    <w:autoSpaceDN w:val="0"/>
                    <w:adjustRightInd w:val="0"/>
                    <w:jc w:val="center"/>
                    <w:textAlignment w:val="baseline"/>
                    <w:rPr>
                      <w:sz w:val="21"/>
                      <w:szCs w:val="21"/>
                    </w:rPr>
                  </w:pPr>
                  <w:r>
                    <w:rPr>
                      <w:color w:val="000000" w:themeColor="text1"/>
                      <w:sz w:val="21"/>
                      <w:szCs w:val="21"/>
                      <w14:textFill>
                        <w14:solidFill>
                          <w14:schemeClr w14:val="tx1"/>
                        </w14:solidFill>
                      </w14:textFill>
                    </w:rPr>
                    <w:t>符合</w:t>
                  </w:r>
                </w:p>
              </w:tc>
            </w:tr>
            <w:tr w14:paraId="7F967B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pct"/>
                  <w:vAlign w:val="center"/>
                </w:tcPr>
                <w:p w14:paraId="518BC68A">
                  <w:pPr>
                    <w:adjustRightInd w:val="0"/>
                    <w:snapToGrid w:val="0"/>
                    <w:jc w:val="center"/>
                    <w:rPr>
                      <w:sz w:val="21"/>
                      <w:szCs w:val="21"/>
                    </w:rPr>
                  </w:pPr>
                  <w:r>
                    <w:rPr>
                      <w:sz w:val="21"/>
                      <w:szCs w:val="21"/>
                    </w:rPr>
                    <w:t>资源开发效率要求</w:t>
                  </w:r>
                </w:p>
              </w:tc>
              <w:tc>
                <w:tcPr>
                  <w:tcW w:w="3033" w:type="pct"/>
                  <w:vAlign w:val="center"/>
                </w:tcPr>
                <w:p w14:paraId="721C78F7">
                  <w:pPr>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4.1）能源：新建项目必须使用清洁能源，扩区范围限制新批燃煤设施，现有园区燃煤装置燃煤含硫率在1%以下。提高能源支撑保障能力、加快转变能源发展方式、推进能源结构调整、促进节能减排，在园区新建燃气热电联产机组，推广天然气利用，提高清洁能源消费比例，到2025年园区年综合能源消费量当量值控制为90.2298万吨标煤，单位GDP能耗当量值控制为0.390吨标煤/万元；</w:t>
                  </w:r>
                </w:p>
                <w:p w14:paraId="7F70EA6E">
                  <w:pPr>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（4.2）水资源：强化工业节水，淘汰落后的用水技术、工艺、产品和设备，开展高耗水工业行业节水技术改造，开展水平衡测试和用水效率评估，大力推广工业水循环利用， 推进节水型企业、节水型工业园区建设。</w:t>
                  </w:r>
                </w:p>
                <w:p w14:paraId="70D6A58A">
                  <w:pPr>
                    <w:adjustRightInd w:val="0"/>
                    <w:snapToGrid w:val="0"/>
                    <w:rPr>
                      <w:sz w:val="21"/>
                      <w:szCs w:val="21"/>
                    </w:rPr>
                  </w:pPr>
                  <w:r>
                    <w:rPr>
                      <w:color w:val="000000" w:themeColor="text1"/>
                      <w:sz w:val="21"/>
                      <w:szCs w:val="21"/>
                      <w14:textFill>
                        <w14:solidFill>
                          <w14:schemeClr w14:val="tx1"/>
                        </w14:solidFill>
                      </w14:textFill>
                    </w:rPr>
                    <w:t>（4.3）土地资源：提高土地使用效率和节约集约程度，园区土地投资强度达到3000万元/公顷。严格执行土地使用标准，工业项目投资强度执行《湖南省建设用地指标》(2020版)六等区域控制指标要求。</w:t>
                  </w:r>
                </w:p>
              </w:tc>
              <w:tc>
                <w:tcPr>
                  <w:tcW w:w="993" w:type="pct"/>
                  <w:vAlign w:val="center"/>
                </w:tcPr>
                <w:p w14:paraId="58D0FCB0">
                  <w:pPr>
                    <w:overflowPunct w:val="0"/>
                    <w:autoSpaceDE w:val="0"/>
                    <w:autoSpaceDN w:val="0"/>
                    <w:adjustRightInd w:val="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1、项目能源主要为水、电、天然气，由园区统一供应。</w:t>
                  </w:r>
                </w:p>
                <w:p w14:paraId="7B2F4E9B">
                  <w:pPr>
                    <w:overflowPunct w:val="0"/>
                    <w:autoSpaceDE w:val="0"/>
                    <w:autoSpaceDN w:val="0"/>
                    <w:adjustRightInd w:val="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2、本项目不属于高耗水项目。</w:t>
                  </w:r>
                </w:p>
                <w:p w14:paraId="6A525146">
                  <w:pPr>
                    <w:overflowPunct w:val="0"/>
                    <w:autoSpaceDE w:val="0"/>
                    <w:autoSpaceDN w:val="0"/>
                    <w:adjustRightInd w:val="0"/>
                    <w:jc w:val="center"/>
                    <w:textAlignment w:val="baseline"/>
                    <w:rPr>
                      <w:sz w:val="21"/>
                      <w:szCs w:val="21"/>
                    </w:rPr>
                  </w:pPr>
                  <w:r>
                    <w:rPr>
                      <w:color w:val="000000" w:themeColor="text1"/>
                      <w:sz w:val="21"/>
                      <w:szCs w:val="21"/>
                      <w14:textFill>
                        <w14:solidFill>
                          <w14:schemeClr w14:val="tx1"/>
                        </w14:solidFill>
                      </w14:textFill>
                    </w:rPr>
                    <w:t>3、</w:t>
                  </w:r>
                  <w:r>
                    <w:rPr>
                      <w:rFonts w:hint="eastAsia"/>
                      <w:color w:val="000000" w:themeColor="text1"/>
                      <w:sz w:val="21"/>
                      <w:szCs w:val="21"/>
                      <w14:textFill>
                        <w14:solidFill>
                          <w14:schemeClr w14:val="tx1"/>
                        </w14:solidFill>
                      </w14:textFill>
                    </w:rPr>
                    <w:t>本项目投资强度为1658万元/公顷，符合</w:t>
                  </w:r>
                  <w:r>
                    <w:rPr>
                      <w:color w:val="000000" w:themeColor="text1"/>
                      <w:sz w:val="21"/>
                      <w:szCs w:val="21"/>
                      <w14:textFill>
                        <w14:solidFill>
                          <w14:schemeClr w14:val="tx1"/>
                        </w14:solidFill>
                      </w14:textFill>
                    </w:rPr>
                    <w:t>《湖南省建设用地指标》(2020版)六等区域控制指标要求。</w:t>
                  </w:r>
                </w:p>
              </w:tc>
              <w:tc>
                <w:tcPr>
                  <w:tcW w:w="489" w:type="pct"/>
                  <w:vAlign w:val="center"/>
                </w:tcPr>
                <w:p w14:paraId="628E078B">
                  <w:pPr>
                    <w:overflowPunct w:val="0"/>
                    <w:autoSpaceDE w:val="0"/>
                    <w:autoSpaceDN w:val="0"/>
                    <w:adjustRightInd w:val="0"/>
                    <w:jc w:val="center"/>
                    <w:textAlignment w:val="baseline"/>
                    <w:rPr>
                      <w:sz w:val="21"/>
                      <w:szCs w:val="21"/>
                    </w:rPr>
                  </w:pPr>
                  <w:r>
                    <w:rPr>
                      <w:color w:val="000000" w:themeColor="text1"/>
                      <w:sz w:val="21"/>
                      <w:szCs w:val="21"/>
                      <w14:textFill>
                        <w14:solidFill>
                          <w14:schemeClr w14:val="tx1"/>
                        </w14:solidFill>
                      </w14:textFill>
                    </w:rPr>
                    <w:t>符合</w:t>
                  </w:r>
                </w:p>
              </w:tc>
            </w:tr>
          </w:tbl>
          <w:p w14:paraId="26AC53CF">
            <w:pPr>
              <w:pStyle w:val="111"/>
              <w:snapToGrid w:val="0"/>
              <w:ind w:firstLine="468"/>
              <w:rPr>
                <w:b/>
                <w:bCs/>
                <w:snapToGrid w:val="0"/>
                <w:szCs w:val="24"/>
                <w:lang w:val="en-US"/>
              </w:rPr>
            </w:pPr>
            <w:r>
              <w:rPr>
                <w:color w:val="000000" w:themeColor="text1"/>
                <w:spacing w:val="-3"/>
                <w14:textFill>
                  <w14:solidFill>
                    <w14:schemeClr w14:val="tx1"/>
                  </w14:solidFill>
                </w14:textFill>
              </w:rPr>
              <w:t>由上表可知，本项目符合《湖南省“三线一单”生态环境总体管控要求暨省级以上产业园区生态环境准入清单》相关要求。</w:t>
            </w:r>
          </w:p>
          <w:p w14:paraId="70CCAC6F">
            <w:pPr>
              <w:pStyle w:val="111"/>
              <w:snapToGrid w:val="0"/>
              <w:ind w:firstLine="482"/>
              <w:rPr>
                <w:b/>
                <w:bCs/>
                <w:snapToGrid w:val="0"/>
                <w:szCs w:val="24"/>
                <w:lang w:val="en-US"/>
              </w:rPr>
            </w:pPr>
            <w:r>
              <w:rPr>
                <w:rFonts w:hint="eastAsia"/>
                <w:b/>
                <w:bCs/>
                <w:snapToGrid w:val="0"/>
                <w:szCs w:val="24"/>
                <w:lang w:val="en-US"/>
              </w:rPr>
              <w:t>9</w:t>
            </w:r>
            <w:r>
              <w:rPr>
                <w:b/>
                <w:bCs/>
                <w:snapToGrid w:val="0"/>
                <w:szCs w:val="24"/>
                <w:lang w:val="en-US"/>
              </w:rPr>
              <w:t>、选址布局合理性分析</w:t>
            </w:r>
          </w:p>
          <w:p w14:paraId="25BE3C88">
            <w:pPr>
              <w:pStyle w:val="111"/>
              <w:snapToGrid w:val="0"/>
              <w:rPr>
                <w:snapToGrid w:val="0"/>
                <w:szCs w:val="24"/>
                <w:lang w:val="en-US"/>
              </w:rPr>
            </w:pPr>
            <w:r>
              <w:rPr>
                <w:snapToGrid w:val="0"/>
                <w:szCs w:val="24"/>
                <w:lang w:val="en-US"/>
              </w:rPr>
              <w:t>本项目通过协议租用松木经开区产业孵化基地四期31#栋标准厂房，本项目所在地用地性质为二类工业用地，符合松木经开区用地规划。</w:t>
            </w:r>
          </w:p>
          <w:p w14:paraId="58EBC87C">
            <w:pPr>
              <w:pStyle w:val="111"/>
              <w:snapToGrid w:val="0"/>
              <w:rPr>
                <w:snapToGrid w:val="0"/>
                <w:szCs w:val="24"/>
                <w:lang w:val="en-US"/>
              </w:rPr>
            </w:pPr>
            <w:r>
              <w:rPr>
                <w:snapToGrid w:val="0"/>
                <w:szCs w:val="24"/>
                <w:lang w:val="en-US"/>
              </w:rPr>
              <w:t>本项目厂区东侧为</w:t>
            </w:r>
            <w:r>
              <w:rPr>
                <w:rFonts w:hint="eastAsia"/>
                <w:snapToGrid w:val="0"/>
                <w:szCs w:val="24"/>
                <w:lang w:val="en-US"/>
              </w:rPr>
              <w:t>2#厂房</w:t>
            </w:r>
            <w:r>
              <w:rPr>
                <w:snapToGrid w:val="0"/>
                <w:szCs w:val="24"/>
                <w:lang w:val="en-US"/>
              </w:rPr>
              <w:t>，西侧为31#栋</w:t>
            </w:r>
            <w:r>
              <w:rPr>
                <w:rFonts w:hint="eastAsia"/>
                <w:snapToGrid w:val="0"/>
                <w:szCs w:val="24"/>
                <w:lang w:val="en-US"/>
              </w:rPr>
              <w:t>厂房</w:t>
            </w:r>
            <w:r>
              <w:rPr>
                <w:snapToGrid w:val="0"/>
                <w:szCs w:val="24"/>
                <w:lang w:val="en-US"/>
              </w:rPr>
              <w:t>，</w:t>
            </w:r>
            <w:r>
              <w:rPr>
                <w:rFonts w:hint="eastAsia"/>
                <w:snapToGrid w:val="0"/>
                <w:szCs w:val="24"/>
                <w:lang w:val="en-US"/>
              </w:rPr>
              <w:t>南侧为</w:t>
            </w:r>
            <w:r>
              <w:rPr>
                <w:snapToGrid w:val="0"/>
                <w:szCs w:val="24"/>
                <w:lang w:val="en-US"/>
              </w:rPr>
              <w:t>3</w:t>
            </w:r>
            <w:r>
              <w:rPr>
                <w:rFonts w:hint="eastAsia"/>
                <w:snapToGrid w:val="0"/>
                <w:szCs w:val="24"/>
                <w:lang w:val="en-US"/>
              </w:rPr>
              <w:t>3</w:t>
            </w:r>
            <w:r>
              <w:rPr>
                <w:snapToGrid w:val="0"/>
                <w:szCs w:val="24"/>
                <w:lang w:val="en-US"/>
              </w:rPr>
              <w:t>#栋</w:t>
            </w:r>
            <w:r>
              <w:rPr>
                <w:rFonts w:hint="eastAsia"/>
                <w:snapToGrid w:val="0"/>
                <w:szCs w:val="24"/>
                <w:lang w:val="en-US"/>
              </w:rPr>
              <w:t>厂房</w:t>
            </w:r>
            <w:r>
              <w:rPr>
                <w:snapToGrid w:val="0"/>
                <w:szCs w:val="24"/>
                <w:lang w:val="en-US"/>
              </w:rPr>
              <w:t>，</w:t>
            </w:r>
            <w:r>
              <w:rPr>
                <w:rFonts w:hint="eastAsia"/>
                <w:snapToGrid w:val="0"/>
                <w:szCs w:val="24"/>
                <w:lang w:val="en-US"/>
              </w:rPr>
              <w:t>北侧29</w:t>
            </w:r>
            <w:r>
              <w:rPr>
                <w:snapToGrid w:val="0"/>
                <w:szCs w:val="24"/>
                <w:lang w:val="en-US"/>
              </w:rPr>
              <w:t>#栋</w:t>
            </w:r>
            <w:r>
              <w:rPr>
                <w:rFonts w:hint="eastAsia"/>
                <w:snapToGrid w:val="0"/>
                <w:szCs w:val="24"/>
                <w:lang w:val="en-US"/>
              </w:rPr>
              <w:t>厂房</w:t>
            </w:r>
            <w:r>
              <w:rPr>
                <w:snapToGrid w:val="0"/>
                <w:szCs w:val="24"/>
                <w:lang w:val="en-US"/>
              </w:rPr>
              <w:t>。</w:t>
            </w:r>
          </w:p>
          <w:p w14:paraId="74942827">
            <w:pPr>
              <w:pStyle w:val="111"/>
              <w:snapToGrid w:val="0"/>
              <w:rPr>
                <w:snapToGrid w:val="0"/>
                <w:szCs w:val="24"/>
                <w:lang w:val="en-US"/>
              </w:rPr>
            </w:pPr>
            <w:r>
              <w:rPr>
                <w:snapToGrid w:val="0"/>
                <w:szCs w:val="24"/>
                <w:lang w:val="en-US"/>
              </w:rPr>
              <w:t>项目所在区域已接通市政污水管网，本项目运营期产生的生活污水可经市政污水管网排往</w:t>
            </w:r>
            <w:r>
              <w:rPr>
                <w:rFonts w:hint="eastAsia"/>
                <w:snapToGrid w:val="0"/>
                <w:szCs w:val="24"/>
                <w:lang w:val="en-US"/>
              </w:rPr>
              <w:t>松木</w:t>
            </w:r>
            <w:r>
              <w:rPr>
                <w:snapToGrid w:val="0"/>
                <w:szCs w:val="24"/>
                <w:lang w:val="en-US"/>
              </w:rPr>
              <w:t>污水处理厂进一步处理</w:t>
            </w:r>
            <w:r>
              <w:rPr>
                <w:rFonts w:hint="eastAsia"/>
                <w:snapToGrid w:val="0"/>
                <w:szCs w:val="24"/>
                <w:lang w:val="en-US" w:eastAsia="zh-CN"/>
              </w:rPr>
              <w:t>，挤出冷却废水、化验废水经丰联公司废水处理站预处理后</w:t>
            </w:r>
            <w:r>
              <w:rPr>
                <w:snapToGrid w:val="0"/>
                <w:szCs w:val="24"/>
                <w:lang w:val="en-US"/>
              </w:rPr>
              <w:t>排往</w:t>
            </w:r>
            <w:r>
              <w:rPr>
                <w:rFonts w:hint="eastAsia"/>
                <w:snapToGrid w:val="0"/>
                <w:szCs w:val="24"/>
                <w:lang w:val="en-US"/>
              </w:rPr>
              <w:t>松木</w:t>
            </w:r>
            <w:r>
              <w:rPr>
                <w:snapToGrid w:val="0"/>
                <w:szCs w:val="24"/>
                <w:lang w:val="en-US"/>
              </w:rPr>
              <w:t>污水处理厂进一步处理。</w:t>
            </w:r>
          </w:p>
          <w:p w14:paraId="37512560">
            <w:pPr>
              <w:pStyle w:val="111"/>
              <w:snapToGrid w:val="0"/>
              <w:rPr>
                <w:snapToGrid w:val="0"/>
                <w:szCs w:val="24"/>
                <w:lang w:val="en-US"/>
              </w:rPr>
            </w:pPr>
            <w:r>
              <w:rPr>
                <w:snapToGrid w:val="0"/>
                <w:szCs w:val="24"/>
                <w:lang w:val="en-US"/>
              </w:rPr>
              <w:t>综上，本项目选址合理。</w:t>
            </w:r>
          </w:p>
          <w:p w14:paraId="5AFC47A7">
            <w:pPr>
              <w:pStyle w:val="110"/>
              <w:jc w:val="both"/>
              <w:rPr>
                <w:rFonts w:ascii="Times New Roman" w:cs="Times New Roman"/>
                <w:bCs/>
                <w:u w:val="single"/>
              </w:rPr>
            </w:pPr>
          </w:p>
          <w:p w14:paraId="3CF958B0"/>
          <w:p w14:paraId="59362CA6">
            <w:pPr>
              <w:pStyle w:val="35"/>
              <w:ind w:left="480"/>
            </w:pPr>
          </w:p>
          <w:p w14:paraId="42263322">
            <w:pPr>
              <w:pStyle w:val="34"/>
              <w:ind w:firstLine="210"/>
            </w:pPr>
          </w:p>
          <w:p w14:paraId="586E8670">
            <w:pPr>
              <w:pStyle w:val="35"/>
              <w:ind w:left="480"/>
            </w:pPr>
          </w:p>
          <w:p w14:paraId="3C1F29E1">
            <w:pPr>
              <w:pStyle w:val="34"/>
              <w:ind w:firstLine="210"/>
            </w:pPr>
          </w:p>
          <w:p w14:paraId="50200BB2">
            <w:pPr>
              <w:pStyle w:val="35"/>
              <w:ind w:left="480"/>
            </w:pPr>
          </w:p>
          <w:p w14:paraId="356C9C6B">
            <w:pPr>
              <w:pStyle w:val="35"/>
              <w:ind w:left="480"/>
            </w:pPr>
          </w:p>
          <w:p w14:paraId="3D2C379C">
            <w:pPr>
              <w:pStyle w:val="111"/>
              <w:snapToGrid w:val="0"/>
              <w:rPr>
                <w:snapToGrid w:val="0"/>
                <w:szCs w:val="24"/>
                <w:lang w:val="en-US"/>
              </w:rPr>
            </w:pPr>
          </w:p>
          <w:p w14:paraId="0B7D927B">
            <w:pPr>
              <w:pStyle w:val="111"/>
              <w:snapToGrid w:val="0"/>
              <w:rPr>
                <w:snapToGrid w:val="0"/>
                <w:szCs w:val="24"/>
                <w:lang w:val="en-US"/>
              </w:rPr>
            </w:pPr>
          </w:p>
          <w:p w14:paraId="675E649D">
            <w:pPr>
              <w:pStyle w:val="111"/>
              <w:snapToGrid w:val="0"/>
              <w:ind w:firstLine="0" w:firstLineChars="0"/>
              <w:rPr>
                <w:snapToGrid w:val="0"/>
                <w:szCs w:val="24"/>
                <w:lang w:val="en-US"/>
              </w:rPr>
            </w:pPr>
          </w:p>
          <w:p w14:paraId="04F5EA87">
            <w:pPr>
              <w:pStyle w:val="111"/>
              <w:snapToGrid w:val="0"/>
              <w:ind w:firstLine="0" w:firstLineChars="0"/>
              <w:rPr>
                <w:snapToGrid w:val="0"/>
                <w:szCs w:val="24"/>
                <w:lang w:val="en-US"/>
              </w:rPr>
            </w:pPr>
          </w:p>
          <w:p w14:paraId="0CD5634E">
            <w:pPr>
              <w:pStyle w:val="111"/>
              <w:snapToGrid w:val="0"/>
              <w:ind w:firstLine="0" w:firstLineChars="0"/>
              <w:rPr>
                <w:snapToGrid w:val="0"/>
                <w:szCs w:val="24"/>
                <w:lang w:val="en-US"/>
              </w:rPr>
            </w:pPr>
          </w:p>
          <w:p w14:paraId="32511BE9">
            <w:pPr>
              <w:pStyle w:val="111"/>
              <w:snapToGrid w:val="0"/>
              <w:ind w:firstLine="0" w:firstLineChars="0"/>
              <w:rPr>
                <w:snapToGrid w:val="0"/>
                <w:szCs w:val="24"/>
                <w:lang w:val="en-US"/>
              </w:rPr>
            </w:pPr>
          </w:p>
          <w:p w14:paraId="676C4AF1">
            <w:pPr>
              <w:pStyle w:val="111"/>
              <w:snapToGrid w:val="0"/>
              <w:ind w:firstLine="0" w:firstLineChars="0"/>
              <w:rPr>
                <w:snapToGrid w:val="0"/>
                <w:szCs w:val="24"/>
                <w:lang w:val="en-US"/>
              </w:rPr>
            </w:pPr>
          </w:p>
        </w:tc>
      </w:tr>
    </w:tbl>
    <w:p w14:paraId="51B31AF2">
      <w:pPr>
        <w:wordWrap w:val="0"/>
        <w:topLinePunct/>
        <w:adjustRightInd w:val="0"/>
        <w:snapToGrid w:val="0"/>
        <w:jc w:val="left"/>
        <w:rPr>
          <w:color w:val="2F5496"/>
          <w:szCs w:val="21"/>
        </w:rPr>
        <w:sectPr>
          <w:footerReference r:id="rId5" w:type="default"/>
          <w:pgSz w:w="11906" w:h="16838"/>
          <w:pgMar w:top="1417" w:right="1134" w:bottom="1417" w:left="1417" w:header="851" w:footer="1077" w:gutter="0"/>
          <w:pgBorders>
            <w:top w:val="none" w:sz="0" w:space="0"/>
            <w:left w:val="none" w:sz="0" w:space="0"/>
            <w:bottom w:val="none" w:sz="0" w:space="0"/>
            <w:right w:val="none" w:sz="0" w:space="0"/>
          </w:pgBorders>
          <w:pgNumType w:start="1"/>
          <w:cols w:space="720" w:num="1"/>
          <w:docGrid w:linePitch="312" w:charSpace="0"/>
        </w:sectPr>
      </w:pPr>
    </w:p>
    <w:p w14:paraId="08C1F14F">
      <w:pPr>
        <w:pStyle w:val="73"/>
        <w:wordWrap w:val="0"/>
        <w:topLinePunct/>
        <w:rPr>
          <w:rFonts w:ascii="Times New Roman" w:hAnsi="Times New Roman"/>
          <w:b/>
          <w:bCs/>
        </w:rPr>
      </w:pPr>
      <w:bookmarkStart w:id="4" w:name="_Toc15867"/>
      <w:r>
        <w:rPr>
          <w:rFonts w:ascii="Times New Roman" w:hAnsi="Times New Roman"/>
          <w:b/>
          <w:bCs/>
        </w:rPr>
        <w:t>二、建设项目工程分析</w:t>
      </w:r>
      <w:bookmarkEnd w:id="4"/>
    </w:p>
    <w:tbl>
      <w:tblPr>
        <w:tblStyle w:val="36"/>
        <w:tblW w:w="487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997"/>
      </w:tblGrid>
      <w:tr w14:paraId="72780E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41" w:hRule="atLeast"/>
          <w:jc w:val="center"/>
        </w:trPr>
        <w:tc>
          <w:tcPr>
            <w:tcW w:w="187" w:type="pct"/>
            <w:vAlign w:val="center"/>
          </w:tcPr>
          <w:p w14:paraId="127E9185">
            <w:pPr>
              <w:pStyle w:val="32"/>
              <w:wordWrap w:val="0"/>
              <w:topLinePunct/>
              <w:adjustRightInd w:val="0"/>
              <w:snapToGrid w:val="0"/>
              <w:spacing w:before="0" w:beforeAutospacing="0" w:after="0" w:afterAutospacing="0"/>
              <w:jc w:val="center"/>
              <w:rPr>
                <w:rFonts w:ascii="Times New Roman" w:hAnsi="Times New Roman"/>
                <w:color w:val="2F5496"/>
                <w:szCs w:val="24"/>
              </w:rPr>
            </w:pPr>
            <w:r>
              <w:rPr>
                <w:rFonts w:ascii="Times New Roman" w:hAnsi="Times New Roman"/>
                <w:szCs w:val="24"/>
              </w:rPr>
              <w:t>建设内容</w:t>
            </w:r>
          </w:p>
        </w:tc>
        <w:tc>
          <w:tcPr>
            <w:tcW w:w="4812" w:type="pct"/>
          </w:tcPr>
          <w:p w14:paraId="32208271">
            <w:pPr>
              <w:adjustRightInd w:val="0"/>
              <w:snapToGrid w:val="0"/>
              <w:spacing w:line="360" w:lineRule="auto"/>
              <w:jc w:val="left"/>
              <w:rPr>
                <w:b/>
                <w:kern w:val="0"/>
              </w:rPr>
            </w:pPr>
            <w:r>
              <w:rPr>
                <w:b/>
                <w:kern w:val="0"/>
              </w:rPr>
              <w:t>1、项目由来</w:t>
            </w:r>
          </w:p>
          <w:p w14:paraId="0129CE65">
            <w:pPr>
              <w:pStyle w:val="110"/>
              <w:jc w:val="both"/>
              <w:rPr>
                <w:rFonts w:ascii="Times New Roman" w:cs="Times New Roman"/>
                <w:bCs/>
                <w:color w:val="FF0000"/>
              </w:rPr>
            </w:pPr>
            <w:r>
              <w:rPr>
                <w:rFonts w:hint="eastAsia" w:ascii="Times New Roman" w:cs="Times New Roman"/>
                <w:bCs/>
              </w:rPr>
              <w:t>衡阳丰联精细化工有限公司</w:t>
            </w:r>
            <w:r>
              <w:rPr>
                <w:rFonts w:ascii="Times New Roman" w:cs="Times New Roman"/>
                <w:bCs/>
              </w:rPr>
              <w:t>于20</w:t>
            </w:r>
            <w:r>
              <w:rPr>
                <w:rFonts w:hint="eastAsia" w:ascii="Times New Roman" w:cs="Times New Roman"/>
                <w:bCs/>
              </w:rPr>
              <w:t>17</w:t>
            </w:r>
            <w:r>
              <w:rPr>
                <w:rFonts w:ascii="Times New Roman" w:cs="Times New Roman"/>
                <w:bCs/>
              </w:rPr>
              <w:t>年</w:t>
            </w:r>
            <w:r>
              <w:rPr>
                <w:rFonts w:hint="eastAsia" w:ascii="Times New Roman" w:cs="Times New Roman"/>
                <w:bCs/>
              </w:rPr>
              <w:t>4</w:t>
            </w:r>
            <w:r>
              <w:rPr>
                <w:rFonts w:ascii="Times New Roman" w:cs="Times New Roman"/>
                <w:bCs/>
              </w:rPr>
              <w:t>月成立</w:t>
            </w:r>
            <w:r>
              <w:rPr>
                <w:rFonts w:hint="eastAsia" w:ascii="Times New Roman" w:cs="Times New Roman"/>
                <w:bCs/>
              </w:rPr>
              <w:t>，是湖南恒光科技股份有限公司引进</w:t>
            </w:r>
            <w:r>
              <w:rPr>
                <w:rFonts w:hint="eastAsia" w:ascii="Times New Roman" w:cs="Times New Roman"/>
                <w:bCs/>
                <w:highlight w:val="none"/>
              </w:rPr>
              <w:t>江苏金湖县天缘化工有限公司</w:t>
            </w:r>
            <w:r>
              <w:rPr>
                <w:rFonts w:hint="eastAsia" w:ascii="Times New Roman" w:cs="Times New Roman"/>
                <w:bCs/>
              </w:rPr>
              <w:t>共同投资建设的精细化工产品生产基地</w:t>
            </w:r>
            <w:r>
              <w:rPr>
                <w:rFonts w:ascii="Times New Roman" w:cs="Times New Roman"/>
                <w:bCs/>
              </w:rPr>
              <w:t>。20</w:t>
            </w:r>
            <w:r>
              <w:rPr>
                <w:rFonts w:hint="eastAsia" w:ascii="Times New Roman" w:cs="Times New Roman"/>
                <w:bCs/>
              </w:rPr>
              <w:t>17</w:t>
            </w:r>
            <w:r>
              <w:rPr>
                <w:rFonts w:ascii="Times New Roman" w:cs="Times New Roman"/>
                <w:bCs/>
              </w:rPr>
              <w:t>年</w:t>
            </w:r>
            <w:r>
              <w:rPr>
                <w:rFonts w:hint="eastAsia" w:ascii="Times New Roman" w:cs="Times New Roman"/>
                <w:bCs/>
              </w:rPr>
              <w:t>10</w:t>
            </w:r>
            <w:r>
              <w:rPr>
                <w:rFonts w:ascii="Times New Roman" w:cs="Times New Roman"/>
                <w:bCs/>
              </w:rPr>
              <w:t>月</w:t>
            </w:r>
            <w:r>
              <w:rPr>
                <w:rFonts w:hint="eastAsia" w:ascii="Times New Roman" w:cs="Times New Roman"/>
                <w:bCs/>
              </w:rPr>
              <w:t>20日</w:t>
            </w:r>
            <w:r>
              <w:rPr>
                <w:rFonts w:ascii="Times New Roman" w:cs="Times New Roman"/>
                <w:bCs/>
              </w:rPr>
              <w:t>取得</w:t>
            </w:r>
            <w:r>
              <w:rPr>
                <w:rFonts w:hint="eastAsia" w:ascii="Times New Roman" w:cs="Times New Roman"/>
                <w:bCs/>
              </w:rPr>
              <w:t>原衡阳市环境保护局关于《衡阳丰联精细化工有限公司3000吨/年半胱胺盐酸盐项目环境影响报告书》的</w:t>
            </w:r>
            <w:r>
              <w:rPr>
                <w:rFonts w:ascii="Times New Roman" w:cs="Times New Roman"/>
                <w:bCs/>
              </w:rPr>
              <w:t>批复（</w:t>
            </w:r>
            <w:r>
              <w:rPr>
                <w:rFonts w:hint="eastAsia" w:ascii="Times New Roman" w:cs="Times New Roman"/>
                <w:bCs/>
              </w:rPr>
              <w:t>衡环发[2017]93</w:t>
            </w:r>
            <w:r>
              <w:rPr>
                <w:rFonts w:ascii="Times New Roman" w:cs="Times New Roman"/>
                <w:bCs/>
              </w:rPr>
              <w:t>号）。</w:t>
            </w:r>
            <w:r>
              <w:rPr>
                <w:rFonts w:hint="eastAsia" w:ascii="Times New Roman" w:cs="Times New Roman"/>
                <w:bCs/>
              </w:rPr>
              <w:t>并于2019年9月通过</w:t>
            </w:r>
            <w:r>
              <w:rPr>
                <w:rFonts w:ascii="Times New Roman" w:cs="Times New Roman"/>
                <w:bCs/>
              </w:rPr>
              <w:t>了竣工环保验收。</w:t>
            </w:r>
            <w:r>
              <w:rPr>
                <w:rFonts w:hint="eastAsia" w:ascii="Times New Roman" w:cs="Times New Roman"/>
                <w:bCs/>
              </w:rPr>
              <w:t>建设单位于2023</w:t>
            </w:r>
            <w:r>
              <w:rPr>
                <w:rFonts w:ascii="Times New Roman" w:cs="Times New Roman"/>
                <w:bCs/>
              </w:rPr>
              <w:t>年</w:t>
            </w:r>
            <w:r>
              <w:rPr>
                <w:rFonts w:hint="eastAsia" w:ascii="Times New Roman" w:cs="Times New Roman"/>
                <w:bCs/>
              </w:rPr>
              <w:t>6</w:t>
            </w:r>
            <w:r>
              <w:rPr>
                <w:rFonts w:ascii="Times New Roman" w:cs="Times New Roman"/>
                <w:bCs/>
              </w:rPr>
              <w:t>月</w:t>
            </w:r>
            <w:r>
              <w:rPr>
                <w:rFonts w:hint="eastAsia" w:ascii="Times New Roman" w:cs="Times New Roman"/>
                <w:bCs/>
              </w:rPr>
              <w:t>15</w:t>
            </w:r>
            <w:r>
              <w:rPr>
                <w:rFonts w:ascii="Times New Roman" w:cs="Times New Roman"/>
                <w:bCs/>
              </w:rPr>
              <w:t>日取得排污许可证，</w:t>
            </w:r>
            <w:r>
              <w:rPr>
                <w:rFonts w:hint="eastAsia" w:ascii="Times New Roman" w:cs="Times New Roman"/>
                <w:bCs/>
              </w:rPr>
              <w:t>排污许可证编号为91430400MA4LK7H93P001P</w:t>
            </w:r>
            <w:r>
              <w:rPr>
                <w:rFonts w:ascii="Times New Roman" w:cs="Times New Roman"/>
                <w:bCs/>
              </w:rPr>
              <w:t>。</w:t>
            </w:r>
          </w:p>
          <w:p w14:paraId="7EB019BC">
            <w:pPr>
              <w:pStyle w:val="110"/>
              <w:jc w:val="both"/>
              <w:rPr>
                <w:rFonts w:hint="default" w:ascii="Times New Roman" w:hAnsi="Times New Roman" w:cs="Times New Roman"/>
                <w:bCs/>
                <w:color w:val="000000" w:themeColor="text1"/>
                <w:sz w:val="24"/>
                <w:szCs w:val="24"/>
                <w:u w:val="single"/>
                <w14:textFill>
                  <w14:solidFill>
                    <w14:schemeClr w14:val="tx1"/>
                  </w14:solidFill>
                </w14:textFill>
              </w:rPr>
            </w:pPr>
            <w:r>
              <w:rPr>
                <w:rFonts w:hint="default" w:ascii="Times New Roman" w:hAnsi="Times New Roman" w:cs="Times New Roman"/>
                <w:b w:val="0"/>
                <w:bCs w:val="0"/>
                <w:color w:val="000000" w:themeColor="text1"/>
                <w:sz w:val="24"/>
                <w:szCs w:val="24"/>
                <w:highlight w:val="none"/>
                <w:u w:val="single"/>
                <w:lang w:val="en-US" w:eastAsia="zh-CN"/>
                <w14:textFill>
                  <w14:solidFill>
                    <w14:schemeClr w14:val="tx1"/>
                  </w14:solidFill>
                </w14:textFill>
              </w:rPr>
              <w:t>丰联公司原主要生产半胱胺盐酸盐，近年来由于产品市场发生较大改变，其中主打应用市场胃药雷尼替丁被定性为“潜在致癌风险”药物后几近消失，疫情后在烫发染发应用领域也大幅度萎缩，导致产能过剩加剧，公司经营持续亏损。半胱胺盐酸盐，目前已经停产。为尽快扭亏，稳定员工队伍，丰联公司决定</w:t>
            </w:r>
            <w:r>
              <w:rPr>
                <w:rFonts w:hint="default" w:ascii="Times New Roman" w:hAnsi="Times New Roman" w:cs="Times New Roman"/>
                <w:color w:val="000000" w:themeColor="text1"/>
                <w:sz w:val="24"/>
                <w:szCs w:val="24"/>
                <w:u w:val="single"/>
                <w:lang w:val="en-US" w:eastAsia="zh-CN"/>
                <w14:textFill>
                  <w14:solidFill>
                    <w14:schemeClr w14:val="tx1"/>
                  </w14:solidFill>
                </w14:textFill>
              </w:rPr>
              <w:t>利旧丰联公司储罐、制氮机、包装机等。依托丰联污水处理站，聘用丰联公司现有员工和管理方式，</w:t>
            </w:r>
            <w:r>
              <w:rPr>
                <w:rFonts w:hint="default" w:ascii="Times New Roman" w:hAnsi="Times New Roman" w:cs="Times New Roman"/>
                <w:b w:val="0"/>
                <w:bCs w:val="0"/>
                <w:color w:val="000000" w:themeColor="text1"/>
                <w:sz w:val="24"/>
                <w:szCs w:val="24"/>
                <w:highlight w:val="none"/>
                <w:u w:val="single"/>
                <w:lang w:val="en-US" w:eastAsia="zh-CN"/>
                <w14:textFill>
                  <w14:solidFill>
                    <w14:schemeClr w14:val="tx1"/>
                  </w14:solidFill>
                </w14:textFill>
              </w:rPr>
              <w:t>租赁湖南衡阳松木经济开发区产业孵化基地标准厂房（位于丰联公司现有厂区西南方向1km），建设年产1.5万吨无卤阻燃材料及功能母粒项目。</w:t>
            </w:r>
          </w:p>
          <w:p w14:paraId="5F24410D">
            <w:pPr>
              <w:pStyle w:val="110"/>
              <w:jc w:val="both"/>
              <w:rPr>
                <w:rFonts w:ascii="Times New Roman" w:cs="Times New Roman"/>
                <w:szCs w:val="21"/>
              </w:rPr>
            </w:pPr>
            <w:r>
              <w:rPr>
                <w:rFonts w:hint="eastAsia" w:ascii="Times New Roman" w:cs="Times New Roman"/>
                <w:bCs/>
              </w:rPr>
              <w:t>根据市场发展需要，衡阳丰联精细化工有限公司拟租赁湖南衡阳松木经济开发区产业孵化基地31#标准厂房，建设</w:t>
            </w:r>
            <w:r>
              <w:rPr>
                <w:rFonts w:hint="eastAsia" w:ascii="Times New Roman" w:cs="Times New Roman"/>
                <w:bCs/>
                <w:lang w:eastAsia="zh-CN"/>
              </w:rPr>
              <w:t>年产1.5万吨无卤阻燃材料及功能母粒</w:t>
            </w:r>
            <w:r>
              <w:rPr>
                <w:rFonts w:hint="eastAsia" w:ascii="Times New Roman" w:cs="Times New Roman"/>
                <w:bCs/>
              </w:rPr>
              <w:t>项目</w:t>
            </w:r>
            <w:r>
              <w:rPr>
                <w:rFonts w:ascii="Times New Roman" w:cs="Times New Roman"/>
                <w:szCs w:val="21"/>
              </w:rPr>
              <w:t>。</w:t>
            </w:r>
          </w:p>
          <w:p w14:paraId="44A78BC2">
            <w:pPr>
              <w:pStyle w:val="110"/>
              <w:jc w:val="both"/>
              <w:rPr>
                <w:rFonts w:hint="default" w:ascii="Times New Roman" w:eastAsia="宋体" w:cs="Times New Roman"/>
                <w:szCs w:val="21"/>
                <w:lang w:val="en-US" w:eastAsia="zh-CN"/>
              </w:rPr>
            </w:pPr>
            <w:r>
              <w:rPr>
                <w:rFonts w:hint="eastAsia" w:ascii="Times New Roman" w:cs="Times New Roman"/>
                <w:szCs w:val="21"/>
                <w:lang w:eastAsia="zh-CN"/>
              </w:rPr>
              <w:t>本项目于</w:t>
            </w:r>
            <w:r>
              <w:rPr>
                <w:rFonts w:hint="eastAsia" w:ascii="Times New Roman" w:cs="Times New Roman"/>
                <w:szCs w:val="21"/>
                <w:lang w:val="en-US" w:eastAsia="zh-CN"/>
              </w:rPr>
              <w:t>2024年3月26日在湖南省投资项目在线审批监管平台备案，项目代码为2403-430475-04-01-156793。</w:t>
            </w:r>
          </w:p>
          <w:p w14:paraId="5FDD4CD4">
            <w:pPr>
              <w:pStyle w:val="110"/>
              <w:jc w:val="both"/>
              <w:rPr>
                <w:rFonts w:hint="default" w:ascii="Times New Roman" w:hAnsi="Times New Roman" w:cs="Times New Roman"/>
                <w:bCs/>
              </w:rPr>
            </w:pPr>
            <w:r>
              <w:rPr>
                <w:rFonts w:hint="default" w:ascii="Times New Roman" w:hAnsi="Times New Roman" w:cs="Times New Roman"/>
                <w:bCs/>
              </w:rPr>
              <w:t>对照《中华人民共和国环境影响评价法》、《建设项目环境保护管理条例》及《建设项目环境影响评价分类管理名录（2021年版）》等的相关规定，</w:t>
            </w:r>
            <w:r>
              <w:rPr>
                <w:rFonts w:hint="default" w:ascii="Times New Roman" w:hAnsi="Times New Roman" w:cs="Times New Roman"/>
                <w:bCs/>
                <w:highlight w:val="none"/>
              </w:rPr>
              <w:t>项目属于“</w:t>
            </w:r>
            <w:r>
              <w:rPr>
                <w:rFonts w:hint="default" w:ascii="Times New Roman" w:hAnsi="Times New Roman" w:cs="Times New Roman"/>
                <w:szCs w:val="21"/>
                <w:highlight w:val="none"/>
                <w:lang w:eastAsia="zh-CN"/>
              </w:rPr>
              <w:t>二十三、化学原料和化学制品制造业-专用化学产品制造266-单纯物理提纯、混合、分装的（不产生废水或挥发性有机物的除外）</w:t>
            </w:r>
            <w:r>
              <w:rPr>
                <w:rFonts w:hint="default" w:ascii="Times New Roman" w:hAnsi="Times New Roman" w:cs="Times New Roman"/>
                <w:bCs/>
                <w:highlight w:val="none"/>
              </w:rPr>
              <w:t>”</w:t>
            </w:r>
            <w:r>
              <w:rPr>
                <w:rFonts w:hint="default" w:ascii="Times New Roman" w:hAnsi="Times New Roman" w:cs="Times New Roman"/>
                <w:highlight w:val="none"/>
              </w:rPr>
              <w:t>，</w:t>
            </w:r>
            <w:r>
              <w:rPr>
                <w:rFonts w:hint="default" w:ascii="Times New Roman" w:hAnsi="Times New Roman" w:cs="Times New Roman"/>
                <w:bCs/>
                <w:highlight w:val="none"/>
              </w:rPr>
              <w:t>需编制环境影响报告表。为此</w:t>
            </w:r>
            <w:r>
              <w:rPr>
                <w:rFonts w:hint="default" w:ascii="Times New Roman" w:hAnsi="Times New Roman" w:cs="Times New Roman"/>
                <w:bCs/>
              </w:rPr>
              <w:t>，衡阳丰联精细化工有限公司委托湖南葆盛环保有限公司（以下简称我公司）负责项目的环境影响评价工作。在接受委托后，我公司组织技术人员进行实地踏勘和调研，收集和核实了有关材料，按照国家对建设项目环境影响评价的有关规定和有关环保政策、技术规范，编制了该项目的环境影响报告表，提交给建设单位上报主管部门审批。</w:t>
            </w:r>
          </w:p>
          <w:p w14:paraId="3CBA888C">
            <w:pPr>
              <w:tabs>
                <w:tab w:val="left" w:pos="2703"/>
              </w:tabs>
              <w:adjustRightInd w:val="0"/>
              <w:snapToGrid w:val="0"/>
              <w:spacing w:line="360" w:lineRule="auto"/>
              <w:jc w:val="left"/>
              <w:rPr>
                <w:b/>
                <w:kern w:val="0"/>
              </w:rPr>
            </w:pPr>
            <w:r>
              <w:rPr>
                <w:rFonts w:hint="eastAsia"/>
                <w:b/>
                <w:kern w:val="0"/>
              </w:rPr>
              <w:t>2</w:t>
            </w:r>
            <w:r>
              <w:rPr>
                <w:b/>
                <w:kern w:val="0"/>
              </w:rPr>
              <w:t>、项目概况</w:t>
            </w:r>
          </w:p>
          <w:p w14:paraId="3979030B">
            <w:pPr>
              <w:adjustRightInd w:val="0"/>
              <w:snapToGrid w:val="0"/>
              <w:spacing w:line="360" w:lineRule="auto"/>
              <w:ind w:firstLine="482" w:firstLineChars="200"/>
              <w:jc w:val="left"/>
              <w:rPr>
                <w:b/>
                <w:kern w:val="0"/>
              </w:rPr>
            </w:pPr>
            <w:r>
              <w:rPr>
                <w:b/>
                <w:kern w:val="0"/>
              </w:rPr>
              <w:t>（1）项目基本情况</w:t>
            </w:r>
          </w:p>
          <w:p w14:paraId="5B36F0D3">
            <w:pPr>
              <w:adjustRightInd w:val="0"/>
              <w:snapToGrid w:val="0"/>
              <w:spacing w:line="360" w:lineRule="auto"/>
              <w:ind w:firstLine="480" w:firstLineChars="200"/>
              <w:jc w:val="left"/>
              <w:rPr>
                <w:bCs/>
                <w:kern w:val="0"/>
              </w:rPr>
            </w:pPr>
            <w:r>
              <w:rPr>
                <w:bCs/>
                <w:kern w:val="0"/>
              </w:rPr>
              <w:t>项目名称：</w:t>
            </w:r>
            <w:r>
              <w:rPr>
                <w:rFonts w:hint="eastAsia"/>
                <w:bCs/>
                <w:kern w:val="0"/>
                <w:lang w:eastAsia="zh-CN"/>
              </w:rPr>
              <w:t>年产1.5万吨无卤阻燃材料及功能母粒</w:t>
            </w:r>
            <w:r>
              <w:rPr>
                <w:rFonts w:hint="eastAsia"/>
                <w:bCs/>
                <w:kern w:val="0"/>
              </w:rPr>
              <w:t>项目</w:t>
            </w:r>
            <w:r>
              <w:rPr>
                <w:bCs/>
                <w:kern w:val="0"/>
              </w:rPr>
              <w:t>；</w:t>
            </w:r>
          </w:p>
          <w:p w14:paraId="2378CD68">
            <w:pPr>
              <w:adjustRightInd w:val="0"/>
              <w:snapToGrid w:val="0"/>
              <w:spacing w:line="360" w:lineRule="auto"/>
              <w:ind w:firstLine="480" w:firstLineChars="200"/>
              <w:jc w:val="left"/>
              <w:rPr>
                <w:bCs/>
                <w:kern w:val="0"/>
              </w:rPr>
            </w:pPr>
            <w:r>
              <w:rPr>
                <w:bCs/>
                <w:kern w:val="0"/>
              </w:rPr>
              <w:t>建设单位：</w:t>
            </w:r>
            <w:r>
              <w:rPr>
                <w:rFonts w:hint="eastAsia"/>
                <w:bCs/>
                <w:kern w:val="0"/>
              </w:rPr>
              <w:t>衡阳丰联精细化工有限公司</w:t>
            </w:r>
            <w:r>
              <w:rPr>
                <w:bCs/>
                <w:kern w:val="0"/>
              </w:rPr>
              <w:t>；</w:t>
            </w:r>
          </w:p>
          <w:p w14:paraId="12AA4521">
            <w:pPr>
              <w:adjustRightInd w:val="0"/>
              <w:snapToGrid w:val="0"/>
              <w:spacing w:line="360" w:lineRule="auto"/>
              <w:ind w:firstLine="480" w:firstLineChars="200"/>
              <w:jc w:val="left"/>
              <w:rPr>
                <w:bCs/>
                <w:kern w:val="0"/>
              </w:rPr>
            </w:pPr>
            <w:r>
              <w:rPr>
                <w:bCs/>
                <w:kern w:val="0"/>
              </w:rPr>
              <w:t>建设性质：</w:t>
            </w:r>
            <w:r>
              <w:rPr>
                <w:rFonts w:hint="eastAsia"/>
                <w:bCs/>
                <w:kern w:val="0"/>
              </w:rPr>
              <w:t>新建</w:t>
            </w:r>
            <w:r>
              <w:rPr>
                <w:bCs/>
                <w:kern w:val="0"/>
              </w:rPr>
              <w:t>；</w:t>
            </w:r>
          </w:p>
          <w:p w14:paraId="427DF588">
            <w:pPr>
              <w:adjustRightInd w:val="0"/>
              <w:snapToGrid w:val="0"/>
              <w:spacing w:line="360" w:lineRule="auto"/>
              <w:ind w:firstLine="480" w:firstLineChars="200"/>
              <w:jc w:val="left"/>
              <w:rPr>
                <w:bCs/>
                <w:kern w:val="0"/>
              </w:rPr>
            </w:pPr>
            <w:r>
              <w:rPr>
                <w:bCs/>
                <w:kern w:val="0"/>
              </w:rPr>
              <w:t>建设地点：</w:t>
            </w:r>
            <w:r>
              <w:rPr>
                <w:rFonts w:hint="eastAsia"/>
                <w:kern w:val="0"/>
                <w:szCs w:val="21"/>
              </w:rPr>
              <w:t>湖南衡阳松木经济开发区产业孵化基地31#标准厂房</w:t>
            </w:r>
            <w:r>
              <w:rPr>
                <w:bCs/>
                <w:kern w:val="0"/>
              </w:rPr>
              <w:t>；</w:t>
            </w:r>
          </w:p>
          <w:p w14:paraId="69FFC607">
            <w:pPr>
              <w:adjustRightInd w:val="0"/>
              <w:snapToGrid w:val="0"/>
              <w:spacing w:line="360" w:lineRule="auto"/>
              <w:ind w:firstLine="480" w:firstLineChars="200"/>
              <w:rPr>
                <w:bCs/>
                <w:kern w:val="0"/>
              </w:rPr>
            </w:pPr>
            <w:r>
              <w:rPr>
                <w:bCs/>
                <w:kern w:val="0"/>
              </w:rPr>
              <w:t>建设规模：</w:t>
            </w:r>
            <w:r>
              <w:rPr>
                <w:rFonts w:hint="eastAsia"/>
                <w:bCs/>
                <w:kern w:val="0"/>
              </w:rPr>
              <w:t>年产焦磷酸哌嗪5000吨、无卤阻燃剂3750吨、功能阻燃母粒6250吨。</w:t>
            </w:r>
          </w:p>
          <w:p w14:paraId="3EE0B439">
            <w:pPr>
              <w:adjustRightInd w:val="0"/>
              <w:snapToGrid w:val="0"/>
              <w:spacing w:line="360" w:lineRule="auto"/>
              <w:ind w:firstLine="480" w:firstLineChars="200"/>
              <w:jc w:val="left"/>
              <w:rPr>
                <w:bCs/>
                <w:kern w:val="0"/>
              </w:rPr>
            </w:pPr>
            <w:r>
              <w:rPr>
                <w:bCs/>
                <w:kern w:val="0"/>
              </w:rPr>
              <w:t>总投</w:t>
            </w:r>
            <w:r>
              <w:rPr>
                <w:bCs/>
                <w:kern w:val="0"/>
                <w:highlight w:val="none"/>
              </w:rPr>
              <w:t>资：</w:t>
            </w:r>
            <w:r>
              <w:rPr>
                <w:rFonts w:hint="eastAsia"/>
                <w:szCs w:val="21"/>
                <w:highlight w:val="none"/>
              </w:rPr>
              <w:t>1237.84</w:t>
            </w:r>
            <w:r>
              <w:rPr>
                <w:bCs/>
                <w:kern w:val="0"/>
                <w:highlight w:val="none"/>
              </w:rPr>
              <w:t>万元，</w:t>
            </w:r>
            <w:r>
              <w:rPr>
                <w:rFonts w:hint="eastAsia"/>
                <w:bCs/>
                <w:kern w:val="0"/>
              </w:rPr>
              <w:t>其中环保投资</w:t>
            </w:r>
            <w:r>
              <w:rPr>
                <w:rFonts w:hint="eastAsia"/>
                <w:bCs/>
                <w:kern w:val="0"/>
                <w:lang w:val="en-US" w:eastAsia="zh-CN"/>
              </w:rPr>
              <w:t>38.5</w:t>
            </w:r>
            <w:r>
              <w:rPr>
                <w:rFonts w:hint="eastAsia"/>
                <w:bCs/>
                <w:kern w:val="0"/>
              </w:rPr>
              <w:t>万，环保投资占比为</w:t>
            </w:r>
            <w:r>
              <w:rPr>
                <w:rFonts w:hint="eastAsia"/>
                <w:bCs/>
                <w:kern w:val="0"/>
                <w:lang w:val="en-US" w:eastAsia="zh-CN"/>
              </w:rPr>
              <w:t>3.1</w:t>
            </w:r>
            <w:r>
              <w:rPr>
                <w:rFonts w:hint="eastAsia"/>
                <w:bCs/>
                <w:kern w:val="0"/>
              </w:rPr>
              <w:t>%</w:t>
            </w:r>
            <w:r>
              <w:rPr>
                <w:bCs/>
                <w:kern w:val="0"/>
              </w:rPr>
              <w:t>。</w:t>
            </w:r>
          </w:p>
          <w:p w14:paraId="79D53553">
            <w:pPr>
              <w:adjustRightInd w:val="0"/>
              <w:snapToGrid w:val="0"/>
              <w:spacing w:line="360" w:lineRule="auto"/>
              <w:ind w:firstLine="480" w:firstLineChars="200"/>
              <w:jc w:val="left"/>
              <w:rPr>
                <w:bCs/>
                <w:kern w:val="0"/>
              </w:rPr>
            </w:pPr>
            <w:r>
              <w:rPr>
                <w:bCs/>
                <w:kern w:val="0"/>
              </w:rPr>
              <w:t>劳动定员及工作制度：项目劳动定员</w:t>
            </w:r>
            <w:r>
              <w:rPr>
                <w:rFonts w:hint="eastAsia"/>
                <w:bCs/>
                <w:kern w:val="0"/>
              </w:rPr>
              <w:t>为</w:t>
            </w:r>
            <w:r>
              <w:rPr>
                <w:rFonts w:hint="eastAsia"/>
                <w:bCs/>
                <w:kern w:val="0"/>
                <w:lang w:val="en-US" w:eastAsia="zh-CN"/>
              </w:rPr>
              <w:t>12</w:t>
            </w:r>
            <w:r>
              <w:rPr>
                <w:bCs/>
                <w:kern w:val="0"/>
              </w:rPr>
              <w:t>人。</w:t>
            </w:r>
            <w:r>
              <w:rPr>
                <w:rFonts w:hint="eastAsia"/>
                <w:bCs/>
                <w:kern w:val="0"/>
              </w:rPr>
              <w:t>每日3班</w:t>
            </w:r>
            <w:r>
              <w:rPr>
                <w:bCs/>
                <w:kern w:val="0"/>
              </w:rPr>
              <w:t>，每班8小时，全年工作3</w:t>
            </w:r>
            <w:r>
              <w:rPr>
                <w:rFonts w:hint="eastAsia"/>
                <w:bCs/>
                <w:kern w:val="0"/>
              </w:rPr>
              <w:t>33</w:t>
            </w:r>
            <w:r>
              <w:rPr>
                <w:bCs/>
                <w:kern w:val="0"/>
              </w:rPr>
              <w:t>天</w:t>
            </w:r>
            <w:r>
              <w:rPr>
                <w:rFonts w:hint="eastAsia"/>
                <w:bCs/>
                <w:kern w:val="0"/>
              </w:rPr>
              <w:t>，年工作时间8000h</w:t>
            </w:r>
            <w:r>
              <w:rPr>
                <w:bCs/>
                <w:kern w:val="0"/>
              </w:rPr>
              <w:t>。</w:t>
            </w:r>
          </w:p>
          <w:p w14:paraId="2829BA33">
            <w:pPr>
              <w:adjustRightInd w:val="0"/>
              <w:snapToGrid w:val="0"/>
              <w:spacing w:line="360" w:lineRule="auto"/>
              <w:ind w:firstLine="482" w:firstLineChars="200"/>
              <w:jc w:val="left"/>
              <w:rPr>
                <w:b/>
                <w:kern w:val="0"/>
                <w:highlight w:val="yellow"/>
              </w:rPr>
            </w:pPr>
            <w:r>
              <w:rPr>
                <w:b/>
                <w:kern w:val="0"/>
              </w:rPr>
              <w:t>（2）项目主要工程建设内容。</w:t>
            </w:r>
          </w:p>
          <w:p w14:paraId="6181453E">
            <w:pPr>
              <w:adjustRightInd w:val="0"/>
              <w:snapToGrid w:val="0"/>
              <w:spacing w:line="360" w:lineRule="auto"/>
              <w:ind w:firstLine="480" w:firstLineChars="200"/>
              <w:rPr>
                <w:sz w:val="21"/>
              </w:rPr>
            </w:pPr>
            <w:r>
              <w:rPr>
                <w:bCs/>
                <w:kern w:val="0"/>
              </w:rPr>
              <w:t>本项目</w:t>
            </w:r>
            <w:r>
              <w:rPr>
                <w:rFonts w:hint="eastAsia"/>
                <w:bCs/>
                <w:kern w:val="0"/>
              </w:rPr>
              <w:t>位于衡阳市松木经开区</w:t>
            </w:r>
            <w:r>
              <w:rPr>
                <w:bCs/>
                <w:kern w:val="0"/>
              </w:rPr>
              <w:t>，</w:t>
            </w:r>
            <w:r>
              <w:rPr>
                <w:rFonts w:hint="eastAsia"/>
                <w:bCs/>
                <w:kern w:val="0"/>
              </w:rPr>
              <w:t>租用</w:t>
            </w:r>
            <w:r>
              <w:rPr>
                <w:rFonts w:hint="eastAsia"/>
                <w:kern w:val="0"/>
                <w:szCs w:val="21"/>
              </w:rPr>
              <w:t>松木经济开发区产业孵化基地31#标准厂房</w:t>
            </w:r>
            <w:r>
              <w:rPr>
                <w:bCs/>
                <w:kern w:val="0"/>
              </w:rPr>
              <w:t>，</w:t>
            </w:r>
            <w:r>
              <w:rPr>
                <w:rFonts w:hint="eastAsia"/>
                <w:bCs/>
                <w:kern w:val="0"/>
              </w:rPr>
              <w:t>总占地面积为</w:t>
            </w:r>
            <w:r>
              <w:rPr>
                <w:rFonts w:hint="eastAsia"/>
                <w:bCs/>
                <w:kern w:val="0"/>
                <w:lang w:eastAsia="zh-CN"/>
              </w:rPr>
              <w:t>3610</w:t>
            </w:r>
            <w:r>
              <w:rPr>
                <w:rFonts w:hint="eastAsia"/>
                <w:bCs/>
                <w:kern w:val="0"/>
              </w:rPr>
              <w:t>m</w:t>
            </w:r>
            <w:r>
              <w:rPr>
                <w:rFonts w:hint="eastAsia"/>
                <w:bCs/>
                <w:kern w:val="0"/>
                <w:vertAlign w:val="superscript"/>
              </w:rPr>
              <w:t>2</w:t>
            </w:r>
            <w:r>
              <w:rPr>
                <w:rFonts w:hint="eastAsia"/>
                <w:bCs/>
                <w:kern w:val="0"/>
              </w:rPr>
              <w:t>，主要建设内容为生产车间、原辅料仓库、成品仓库等</w:t>
            </w:r>
            <w:r>
              <w:rPr>
                <w:bCs/>
                <w:kern w:val="0"/>
              </w:rPr>
              <w:t>；其具体建设内容及规模详见下表。</w:t>
            </w:r>
          </w:p>
          <w:p w14:paraId="24C4B165">
            <w:pPr>
              <w:pStyle w:val="12"/>
              <w:keepNext w:val="0"/>
              <w:keepLines w:val="0"/>
              <w:pageBreakBefore w:val="0"/>
              <w:spacing w:before="120" w:line="360" w:lineRule="auto"/>
              <w:rPr>
                <w:szCs w:val="32"/>
              </w:rPr>
            </w:pPr>
            <w:r>
              <w:rPr>
                <w:szCs w:val="32"/>
              </w:rPr>
              <w:t>表2-</w:t>
            </w:r>
            <w:r>
              <w:rPr>
                <w:rFonts w:hint="eastAsia"/>
                <w:szCs w:val="32"/>
              </w:rPr>
              <w:t>1</w:t>
            </w:r>
            <w:r>
              <w:rPr>
                <w:szCs w:val="32"/>
              </w:rPr>
              <w:t xml:space="preserve">  项目组成一览表</w:t>
            </w:r>
          </w:p>
          <w:tbl>
            <w:tblPr>
              <w:tblStyle w:val="36"/>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1129"/>
              <w:gridCol w:w="1199"/>
              <w:gridCol w:w="5424"/>
              <w:gridCol w:w="994"/>
            </w:tblGrid>
            <w:tr w14:paraId="407A68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45" w:type="pct"/>
                  <w:tcBorders>
                    <w:tl2br w:val="nil"/>
                    <w:tr2bl w:val="nil"/>
                  </w:tcBorders>
                  <w:vAlign w:val="center"/>
                </w:tcPr>
                <w:p w14:paraId="3007190C">
                  <w:pPr>
                    <w:pStyle w:val="110"/>
                    <w:spacing w:line="240" w:lineRule="auto"/>
                    <w:ind w:firstLine="0" w:firstLineChars="0"/>
                    <w:jc w:val="center"/>
                    <w:rPr>
                      <w:rFonts w:ascii="Times New Roman" w:cs="Times New Roman"/>
                      <w:sz w:val="21"/>
                      <w:szCs w:val="21"/>
                    </w:rPr>
                  </w:pPr>
                  <w:r>
                    <w:rPr>
                      <w:rFonts w:ascii="Times New Roman" w:cs="Times New Roman"/>
                      <w:sz w:val="21"/>
                      <w:szCs w:val="21"/>
                    </w:rPr>
                    <w:t>工程类型</w:t>
                  </w:r>
                </w:p>
              </w:tc>
              <w:tc>
                <w:tcPr>
                  <w:tcW w:w="685" w:type="pct"/>
                  <w:tcBorders>
                    <w:tl2br w:val="nil"/>
                    <w:tr2bl w:val="nil"/>
                  </w:tcBorders>
                  <w:vAlign w:val="center"/>
                </w:tcPr>
                <w:p w14:paraId="266A9227">
                  <w:pPr>
                    <w:pStyle w:val="110"/>
                    <w:spacing w:line="240" w:lineRule="auto"/>
                    <w:ind w:firstLine="0" w:firstLineChars="0"/>
                    <w:jc w:val="center"/>
                    <w:rPr>
                      <w:rFonts w:ascii="Times New Roman" w:cs="Times New Roman"/>
                      <w:sz w:val="21"/>
                      <w:szCs w:val="21"/>
                    </w:rPr>
                  </w:pPr>
                  <w:r>
                    <w:rPr>
                      <w:rFonts w:ascii="Times New Roman" w:cs="Times New Roman"/>
                      <w:sz w:val="21"/>
                      <w:szCs w:val="21"/>
                    </w:rPr>
                    <w:t>项目</w:t>
                  </w:r>
                </w:p>
              </w:tc>
              <w:tc>
                <w:tcPr>
                  <w:tcW w:w="3100" w:type="pct"/>
                  <w:tcBorders>
                    <w:tl2br w:val="nil"/>
                    <w:tr2bl w:val="nil"/>
                  </w:tcBorders>
                  <w:vAlign w:val="center"/>
                </w:tcPr>
                <w:p w14:paraId="7F685150">
                  <w:pPr>
                    <w:pStyle w:val="110"/>
                    <w:spacing w:line="240" w:lineRule="auto"/>
                    <w:ind w:firstLine="0" w:firstLineChars="0"/>
                    <w:jc w:val="center"/>
                    <w:rPr>
                      <w:rFonts w:ascii="Times New Roman" w:cs="Times New Roman"/>
                      <w:sz w:val="21"/>
                      <w:szCs w:val="21"/>
                    </w:rPr>
                  </w:pPr>
                  <w:r>
                    <w:rPr>
                      <w:rFonts w:ascii="Times New Roman" w:cs="Times New Roman"/>
                      <w:sz w:val="21"/>
                      <w:szCs w:val="21"/>
                    </w:rPr>
                    <w:t>建设内容</w:t>
                  </w:r>
                </w:p>
              </w:tc>
              <w:tc>
                <w:tcPr>
                  <w:tcW w:w="568" w:type="pct"/>
                  <w:tcBorders>
                    <w:tl2br w:val="nil"/>
                    <w:tr2bl w:val="nil"/>
                  </w:tcBorders>
                  <w:vAlign w:val="center"/>
                </w:tcPr>
                <w:p w14:paraId="6E043D75">
                  <w:pPr>
                    <w:pStyle w:val="110"/>
                    <w:spacing w:line="240" w:lineRule="auto"/>
                    <w:ind w:firstLine="0" w:firstLineChars="0"/>
                    <w:jc w:val="center"/>
                    <w:rPr>
                      <w:rFonts w:ascii="Times New Roman" w:cs="Times New Roman"/>
                      <w:sz w:val="21"/>
                      <w:szCs w:val="21"/>
                    </w:rPr>
                  </w:pPr>
                  <w:r>
                    <w:rPr>
                      <w:rFonts w:ascii="Times New Roman" w:cs="Times New Roman"/>
                      <w:sz w:val="21"/>
                      <w:szCs w:val="21"/>
                    </w:rPr>
                    <w:t>备注</w:t>
                  </w:r>
                </w:p>
              </w:tc>
            </w:tr>
            <w:tr w14:paraId="1BCAF7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45" w:type="pct"/>
                  <w:tcBorders>
                    <w:tl2br w:val="nil"/>
                    <w:tr2bl w:val="nil"/>
                  </w:tcBorders>
                  <w:vAlign w:val="center"/>
                </w:tcPr>
                <w:p w14:paraId="7B50BAA1">
                  <w:pPr>
                    <w:pStyle w:val="110"/>
                    <w:spacing w:line="240" w:lineRule="auto"/>
                    <w:ind w:firstLine="0" w:firstLineChars="0"/>
                    <w:jc w:val="center"/>
                    <w:rPr>
                      <w:rFonts w:ascii="Times New Roman" w:cs="Times New Roman"/>
                      <w:sz w:val="21"/>
                      <w:szCs w:val="21"/>
                    </w:rPr>
                  </w:pPr>
                  <w:r>
                    <w:rPr>
                      <w:rFonts w:ascii="Times New Roman" w:cs="Times New Roman"/>
                      <w:sz w:val="21"/>
                      <w:szCs w:val="21"/>
                    </w:rPr>
                    <w:t>主体工程</w:t>
                  </w:r>
                </w:p>
              </w:tc>
              <w:tc>
                <w:tcPr>
                  <w:tcW w:w="685" w:type="pct"/>
                  <w:tcBorders>
                    <w:tl2br w:val="nil"/>
                    <w:tr2bl w:val="nil"/>
                  </w:tcBorders>
                  <w:vAlign w:val="center"/>
                </w:tcPr>
                <w:p w14:paraId="7F4CDE5C">
                  <w:pPr>
                    <w:pStyle w:val="110"/>
                    <w:spacing w:line="240" w:lineRule="auto"/>
                    <w:ind w:firstLine="0" w:firstLineChars="0"/>
                    <w:jc w:val="center"/>
                    <w:rPr>
                      <w:rFonts w:ascii="Times New Roman" w:cs="Times New Roman"/>
                      <w:sz w:val="21"/>
                      <w:szCs w:val="21"/>
                    </w:rPr>
                  </w:pPr>
                  <w:r>
                    <w:rPr>
                      <w:rFonts w:hint="eastAsia" w:ascii="Times New Roman" w:cs="Times New Roman"/>
                      <w:sz w:val="21"/>
                      <w:szCs w:val="21"/>
                    </w:rPr>
                    <w:t>生产车间</w:t>
                  </w:r>
                </w:p>
              </w:tc>
              <w:tc>
                <w:tcPr>
                  <w:tcW w:w="3100" w:type="pct"/>
                  <w:tcBorders>
                    <w:tl2br w:val="nil"/>
                    <w:tr2bl w:val="nil"/>
                  </w:tcBorders>
                  <w:vAlign w:val="center"/>
                </w:tcPr>
                <w:p w14:paraId="23234E04">
                  <w:pPr>
                    <w:pStyle w:val="110"/>
                    <w:spacing w:line="240" w:lineRule="auto"/>
                    <w:ind w:firstLine="210" w:firstLineChars="100"/>
                    <w:jc w:val="both"/>
                    <w:rPr>
                      <w:rFonts w:ascii="Times New Roman" w:cs="Times New Roman"/>
                      <w:sz w:val="21"/>
                      <w:szCs w:val="21"/>
                      <w:u w:val="single"/>
                    </w:rPr>
                  </w:pPr>
                  <w:r>
                    <w:rPr>
                      <w:rFonts w:hint="eastAsia" w:ascii="Times New Roman" w:cs="Times New Roman"/>
                      <w:sz w:val="21"/>
                      <w:szCs w:val="21"/>
                    </w:rPr>
                    <w:t>1F，钢结构，主要布设烘干粉碎区、混料包装区、造粒区</w:t>
                  </w:r>
                </w:p>
              </w:tc>
              <w:tc>
                <w:tcPr>
                  <w:tcW w:w="568" w:type="pct"/>
                  <w:tcBorders>
                    <w:tl2br w:val="nil"/>
                    <w:tr2bl w:val="nil"/>
                  </w:tcBorders>
                  <w:vAlign w:val="center"/>
                </w:tcPr>
                <w:p w14:paraId="09A05B25">
                  <w:pPr>
                    <w:pStyle w:val="110"/>
                    <w:spacing w:line="240" w:lineRule="auto"/>
                    <w:ind w:firstLine="0" w:firstLineChars="0"/>
                    <w:jc w:val="center"/>
                    <w:rPr>
                      <w:rFonts w:ascii="Times New Roman" w:cs="Times New Roman"/>
                      <w:sz w:val="21"/>
                      <w:szCs w:val="21"/>
                      <w:u w:val="single"/>
                    </w:rPr>
                  </w:pPr>
                  <w:r>
                    <w:rPr>
                      <w:rFonts w:hint="eastAsia" w:ascii="Times New Roman" w:cs="Times New Roman"/>
                      <w:sz w:val="21"/>
                      <w:szCs w:val="21"/>
                      <w:u w:val="single"/>
                    </w:rPr>
                    <w:t>租赁已建车间</w:t>
                  </w:r>
                </w:p>
              </w:tc>
            </w:tr>
            <w:tr w14:paraId="2ED0FE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45" w:type="pct"/>
                  <w:vMerge w:val="restart"/>
                  <w:tcBorders>
                    <w:tl2br w:val="nil"/>
                    <w:tr2bl w:val="nil"/>
                  </w:tcBorders>
                  <w:vAlign w:val="center"/>
                </w:tcPr>
                <w:p w14:paraId="03CDB20A">
                  <w:pPr>
                    <w:pStyle w:val="110"/>
                    <w:spacing w:line="240" w:lineRule="auto"/>
                    <w:ind w:firstLine="0" w:firstLineChars="0"/>
                    <w:jc w:val="center"/>
                    <w:rPr>
                      <w:rFonts w:ascii="Times New Roman" w:cs="Times New Roman"/>
                      <w:sz w:val="21"/>
                      <w:szCs w:val="21"/>
                    </w:rPr>
                  </w:pPr>
                  <w:r>
                    <w:rPr>
                      <w:rFonts w:ascii="Times New Roman" w:cs="Times New Roman"/>
                      <w:sz w:val="21"/>
                      <w:szCs w:val="21"/>
                    </w:rPr>
                    <w:t>辅助工程</w:t>
                  </w:r>
                </w:p>
              </w:tc>
              <w:tc>
                <w:tcPr>
                  <w:tcW w:w="685" w:type="pct"/>
                  <w:tcBorders>
                    <w:tl2br w:val="nil"/>
                    <w:tr2bl w:val="nil"/>
                  </w:tcBorders>
                  <w:vAlign w:val="center"/>
                </w:tcPr>
                <w:p w14:paraId="3A59CF74">
                  <w:pPr>
                    <w:pStyle w:val="110"/>
                    <w:spacing w:line="240" w:lineRule="auto"/>
                    <w:ind w:firstLine="0" w:firstLineChars="0"/>
                    <w:jc w:val="center"/>
                    <w:rPr>
                      <w:rFonts w:ascii="Times New Roman" w:cs="Times New Roman"/>
                      <w:sz w:val="21"/>
                      <w:szCs w:val="21"/>
                    </w:rPr>
                  </w:pPr>
                  <w:r>
                    <w:rPr>
                      <w:rFonts w:ascii="Times New Roman" w:cs="Times New Roman"/>
                      <w:sz w:val="21"/>
                      <w:szCs w:val="21"/>
                    </w:rPr>
                    <w:t>办公</w:t>
                  </w:r>
                  <w:r>
                    <w:rPr>
                      <w:rFonts w:hint="eastAsia" w:ascii="Times New Roman" w:cs="Times New Roman"/>
                      <w:sz w:val="21"/>
                      <w:szCs w:val="21"/>
                    </w:rPr>
                    <w:t>室</w:t>
                  </w:r>
                </w:p>
              </w:tc>
              <w:tc>
                <w:tcPr>
                  <w:tcW w:w="3100" w:type="pct"/>
                  <w:tcBorders>
                    <w:tl2br w:val="nil"/>
                    <w:tr2bl w:val="nil"/>
                  </w:tcBorders>
                  <w:vAlign w:val="center"/>
                </w:tcPr>
                <w:p w14:paraId="274ECDDB">
                  <w:pPr>
                    <w:pStyle w:val="110"/>
                    <w:spacing w:line="240" w:lineRule="auto"/>
                    <w:ind w:firstLine="0" w:firstLineChars="0"/>
                    <w:jc w:val="center"/>
                    <w:rPr>
                      <w:rFonts w:ascii="Times New Roman" w:cs="Times New Roman"/>
                      <w:sz w:val="21"/>
                      <w:szCs w:val="21"/>
                    </w:rPr>
                  </w:pPr>
                  <w:r>
                    <w:rPr>
                      <w:rFonts w:hint="eastAsia" w:ascii="Times New Roman" w:cs="Times New Roman"/>
                      <w:sz w:val="21"/>
                      <w:szCs w:val="21"/>
                    </w:rPr>
                    <w:t>1F，占地约</w:t>
                  </w:r>
                  <w:r>
                    <w:rPr>
                      <w:rFonts w:hint="eastAsia" w:ascii="Times New Roman" w:cs="Times New Roman"/>
                      <w:sz w:val="21"/>
                      <w:szCs w:val="21"/>
                      <w:lang w:val="en-US" w:eastAsia="zh-CN"/>
                    </w:rPr>
                    <w:t>6</w:t>
                  </w:r>
                  <w:r>
                    <w:rPr>
                      <w:rFonts w:hint="eastAsia" w:ascii="Times New Roman" w:cs="Times New Roman"/>
                      <w:sz w:val="21"/>
                      <w:szCs w:val="21"/>
                    </w:rPr>
                    <w:t>0m</w:t>
                  </w:r>
                  <w:r>
                    <w:rPr>
                      <w:rFonts w:hint="eastAsia" w:ascii="Times New Roman" w:cs="Times New Roman"/>
                      <w:sz w:val="21"/>
                      <w:szCs w:val="21"/>
                      <w:vertAlign w:val="superscript"/>
                    </w:rPr>
                    <w:t>2</w:t>
                  </w:r>
                  <w:r>
                    <w:rPr>
                      <w:rFonts w:hint="eastAsia" w:ascii="Times New Roman" w:cs="Times New Roman"/>
                      <w:sz w:val="21"/>
                      <w:szCs w:val="21"/>
                    </w:rPr>
                    <w:t>，位于厂房</w:t>
                  </w:r>
                  <w:r>
                    <w:rPr>
                      <w:rFonts w:hint="eastAsia" w:ascii="Times New Roman" w:cs="Times New Roman"/>
                      <w:sz w:val="21"/>
                      <w:szCs w:val="21"/>
                      <w:lang w:eastAsia="zh-CN"/>
                    </w:rPr>
                    <w:t>东</w:t>
                  </w:r>
                  <w:r>
                    <w:rPr>
                      <w:rFonts w:hint="eastAsia" w:ascii="Times New Roman" w:cs="Times New Roman"/>
                      <w:sz w:val="21"/>
                      <w:szCs w:val="21"/>
                    </w:rPr>
                    <w:t>侧</w:t>
                  </w:r>
                </w:p>
              </w:tc>
              <w:tc>
                <w:tcPr>
                  <w:tcW w:w="568" w:type="pct"/>
                  <w:tcBorders>
                    <w:tl2br w:val="nil"/>
                    <w:tr2bl w:val="nil"/>
                  </w:tcBorders>
                  <w:vAlign w:val="center"/>
                </w:tcPr>
                <w:p w14:paraId="11AFD79C">
                  <w:pPr>
                    <w:pStyle w:val="110"/>
                    <w:spacing w:line="240" w:lineRule="auto"/>
                    <w:ind w:firstLine="0" w:firstLineChars="0"/>
                    <w:jc w:val="center"/>
                    <w:rPr>
                      <w:rFonts w:ascii="Times New Roman" w:cs="Times New Roman"/>
                      <w:sz w:val="21"/>
                      <w:szCs w:val="21"/>
                    </w:rPr>
                  </w:pPr>
                  <w:r>
                    <w:rPr>
                      <w:rFonts w:hint="eastAsia" w:ascii="Times New Roman" w:cs="Times New Roman"/>
                      <w:sz w:val="21"/>
                      <w:szCs w:val="21"/>
                      <w:u w:val="single"/>
                    </w:rPr>
                    <w:t>租赁已建车间</w:t>
                  </w:r>
                </w:p>
              </w:tc>
            </w:tr>
            <w:tr w14:paraId="529AF4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45" w:type="pct"/>
                  <w:vMerge w:val="continue"/>
                  <w:tcBorders>
                    <w:tl2br w:val="nil"/>
                    <w:tr2bl w:val="nil"/>
                  </w:tcBorders>
                  <w:vAlign w:val="center"/>
                </w:tcPr>
                <w:p w14:paraId="63ED463F">
                  <w:pPr>
                    <w:pStyle w:val="110"/>
                    <w:spacing w:line="240" w:lineRule="auto"/>
                    <w:ind w:firstLine="0" w:firstLineChars="0"/>
                    <w:jc w:val="center"/>
                    <w:rPr>
                      <w:rFonts w:ascii="Times New Roman" w:cs="Times New Roman"/>
                      <w:sz w:val="21"/>
                      <w:szCs w:val="21"/>
                    </w:rPr>
                  </w:pPr>
                </w:p>
              </w:tc>
              <w:tc>
                <w:tcPr>
                  <w:tcW w:w="685" w:type="pct"/>
                  <w:tcBorders>
                    <w:tl2br w:val="nil"/>
                    <w:tr2bl w:val="nil"/>
                  </w:tcBorders>
                  <w:vAlign w:val="center"/>
                </w:tcPr>
                <w:p w14:paraId="48B26D26">
                  <w:pPr>
                    <w:pStyle w:val="110"/>
                    <w:spacing w:line="240" w:lineRule="auto"/>
                    <w:ind w:firstLine="0" w:firstLineChars="0"/>
                    <w:jc w:val="center"/>
                    <w:rPr>
                      <w:rFonts w:hint="eastAsia" w:ascii="Times New Roman" w:eastAsia="宋体" w:cs="Times New Roman"/>
                      <w:sz w:val="21"/>
                      <w:szCs w:val="21"/>
                      <w:lang w:eastAsia="zh-CN"/>
                    </w:rPr>
                  </w:pPr>
                  <w:r>
                    <w:rPr>
                      <w:rFonts w:hint="eastAsia" w:ascii="Times New Roman" w:cs="Times New Roman"/>
                      <w:sz w:val="21"/>
                      <w:szCs w:val="21"/>
                      <w:lang w:eastAsia="zh-CN"/>
                    </w:rPr>
                    <w:t>值班室</w:t>
                  </w:r>
                </w:p>
              </w:tc>
              <w:tc>
                <w:tcPr>
                  <w:tcW w:w="3100" w:type="pct"/>
                  <w:tcBorders>
                    <w:tl2br w:val="nil"/>
                    <w:tr2bl w:val="nil"/>
                  </w:tcBorders>
                  <w:vAlign w:val="center"/>
                </w:tcPr>
                <w:p w14:paraId="678F420A">
                  <w:pPr>
                    <w:pStyle w:val="110"/>
                    <w:spacing w:line="240" w:lineRule="auto"/>
                    <w:ind w:firstLine="0" w:firstLineChars="0"/>
                    <w:jc w:val="center"/>
                    <w:rPr>
                      <w:rFonts w:hint="eastAsia" w:ascii="Times New Roman" w:cs="Times New Roman"/>
                      <w:sz w:val="21"/>
                      <w:szCs w:val="21"/>
                    </w:rPr>
                  </w:pPr>
                  <w:r>
                    <w:rPr>
                      <w:rFonts w:hint="eastAsia" w:ascii="Times New Roman" w:cs="Times New Roman"/>
                      <w:sz w:val="21"/>
                      <w:szCs w:val="21"/>
                    </w:rPr>
                    <w:t>1F，占地约</w:t>
                  </w:r>
                  <w:r>
                    <w:rPr>
                      <w:rFonts w:hint="eastAsia" w:ascii="Times New Roman" w:cs="Times New Roman"/>
                      <w:sz w:val="21"/>
                      <w:szCs w:val="21"/>
                      <w:lang w:val="en-US" w:eastAsia="zh-CN"/>
                    </w:rPr>
                    <w:t>2</w:t>
                  </w:r>
                  <w:r>
                    <w:rPr>
                      <w:rFonts w:hint="eastAsia" w:ascii="Times New Roman" w:cs="Times New Roman"/>
                      <w:sz w:val="21"/>
                      <w:szCs w:val="21"/>
                    </w:rPr>
                    <w:t>0m</w:t>
                  </w:r>
                  <w:r>
                    <w:rPr>
                      <w:rFonts w:hint="eastAsia" w:ascii="Times New Roman" w:cs="Times New Roman"/>
                      <w:sz w:val="21"/>
                      <w:szCs w:val="21"/>
                      <w:vertAlign w:val="superscript"/>
                    </w:rPr>
                    <w:t>2</w:t>
                  </w:r>
                  <w:r>
                    <w:rPr>
                      <w:rFonts w:hint="eastAsia" w:ascii="Times New Roman" w:cs="Times New Roman"/>
                      <w:sz w:val="21"/>
                      <w:szCs w:val="21"/>
                    </w:rPr>
                    <w:t>，位于厂房</w:t>
                  </w:r>
                  <w:r>
                    <w:rPr>
                      <w:rFonts w:hint="eastAsia" w:ascii="Times New Roman" w:cs="Times New Roman"/>
                      <w:sz w:val="21"/>
                      <w:szCs w:val="21"/>
                      <w:lang w:eastAsia="zh-CN"/>
                    </w:rPr>
                    <w:t>东</w:t>
                  </w:r>
                  <w:r>
                    <w:rPr>
                      <w:rFonts w:hint="eastAsia" w:ascii="Times New Roman" w:cs="Times New Roman"/>
                      <w:sz w:val="21"/>
                      <w:szCs w:val="21"/>
                    </w:rPr>
                    <w:t>侧</w:t>
                  </w:r>
                </w:p>
              </w:tc>
              <w:tc>
                <w:tcPr>
                  <w:tcW w:w="568" w:type="pct"/>
                  <w:tcBorders>
                    <w:tl2br w:val="nil"/>
                    <w:tr2bl w:val="nil"/>
                  </w:tcBorders>
                  <w:vAlign w:val="center"/>
                </w:tcPr>
                <w:p w14:paraId="595ED9C4">
                  <w:pPr>
                    <w:pStyle w:val="110"/>
                    <w:spacing w:line="240" w:lineRule="auto"/>
                    <w:ind w:firstLine="0" w:firstLineChars="0"/>
                    <w:jc w:val="center"/>
                    <w:rPr>
                      <w:rFonts w:hint="eastAsia" w:ascii="Times New Roman" w:cs="Times New Roman"/>
                      <w:sz w:val="21"/>
                      <w:szCs w:val="21"/>
                      <w:u w:val="single"/>
                    </w:rPr>
                  </w:pPr>
                </w:p>
              </w:tc>
            </w:tr>
            <w:tr w14:paraId="0CEBC5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45" w:type="pct"/>
                  <w:vMerge w:val="continue"/>
                  <w:tcBorders>
                    <w:tl2br w:val="nil"/>
                    <w:tr2bl w:val="nil"/>
                  </w:tcBorders>
                  <w:vAlign w:val="center"/>
                </w:tcPr>
                <w:p w14:paraId="11BE766F">
                  <w:pPr>
                    <w:pStyle w:val="110"/>
                    <w:spacing w:line="240" w:lineRule="auto"/>
                    <w:ind w:firstLine="0" w:firstLineChars="0"/>
                    <w:jc w:val="center"/>
                    <w:rPr>
                      <w:rFonts w:ascii="Times New Roman" w:cs="Times New Roman"/>
                      <w:sz w:val="21"/>
                      <w:szCs w:val="21"/>
                    </w:rPr>
                  </w:pPr>
                </w:p>
              </w:tc>
              <w:tc>
                <w:tcPr>
                  <w:tcW w:w="685" w:type="pct"/>
                  <w:tcBorders>
                    <w:tl2br w:val="nil"/>
                    <w:tr2bl w:val="nil"/>
                  </w:tcBorders>
                  <w:vAlign w:val="center"/>
                </w:tcPr>
                <w:p w14:paraId="4D84BFC4">
                  <w:pPr>
                    <w:pStyle w:val="110"/>
                    <w:spacing w:line="240" w:lineRule="auto"/>
                    <w:ind w:firstLine="0" w:firstLineChars="0"/>
                    <w:jc w:val="center"/>
                    <w:rPr>
                      <w:rFonts w:hint="eastAsia" w:ascii="Times New Roman" w:eastAsia="宋体" w:cs="Times New Roman"/>
                      <w:sz w:val="21"/>
                      <w:szCs w:val="21"/>
                      <w:u w:val="single"/>
                      <w:lang w:eastAsia="zh-CN"/>
                    </w:rPr>
                  </w:pPr>
                  <w:r>
                    <w:rPr>
                      <w:rFonts w:hint="eastAsia" w:ascii="Times New Roman" w:cs="Times New Roman"/>
                      <w:sz w:val="21"/>
                      <w:szCs w:val="21"/>
                      <w:u w:val="single"/>
                      <w:lang w:eastAsia="zh-CN"/>
                    </w:rPr>
                    <w:t>化验室</w:t>
                  </w:r>
                </w:p>
              </w:tc>
              <w:tc>
                <w:tcPr>
                  <w:tcW w:w="3100" w:type="pct"/>
                  <w:tcBorders>
                    <w:tl2br w:val="nil"/>
                    <w:tr2bl w:val="nil"/>
                  </w:tcBorders>
                  <w:vAlign w:val="center"/>
                </w:tcPr>
                <w:p w14:paraId="36512DB9">
                  <w:pPr>
                    <w:pStyle w:val="110"/>
                    <w:spacing w:line="240" w:lineRule="auto"/>
                    <w:ind w:firstLine="0" w:firstLineChars="0"/>
                    <w:jc w:val="center"/>
                    <w:rPr>
                      <w:rFonts w:hint="default" w:ascii="Times New Roman" w:eastAsia="宋体" w:cs="Times New Roman"/>
                      <w:sz w:val="21"/>
                      <w:szCs w:val="21"/>
                      <w:u w:val="single"/>
                      <w:lang w:val="en-US" w:eastAsia="zh-CN"/>
                    </w:rPr>
                  </w:pPr>
                  <w:r>
                    <w:rPr>
                      <w:rFonts w:hint="eastAsia" w:ascii="Times New Roman" w:cs="Times New Roman"/>
                      <w:sz w:val="21"/>
                      <w:szCs w:val="21"/>
                      <w:u w:val="single"/>
                      <w:lang w:val="en-US" w:eastAsia="zh-CN"/>
                    </w:rPr>
                    <w:t>1F、占地20</w:t>
                  </w:r>
                  <w:r>
                    <w:rPr>
                      <w:rFonts w:hint="eastAsia" w:ascii="Times New Roman" w:cs="Times New Roman"/>
                      <w:sz w:val="21"/>
                      <w:szCs w:val="21"/>
                      <w:u w:val="single"/>
                    </w:rPr>
                    <w:t>m</w:t>
                  </w:r>
                  <w:r>
                    <w:rPr>
                      <w:rFonts w:hint="eastAsia" w:ascii="Times New Roman" w:cs="Times New Roman"/>
                      <w:sz w:val="21"/>
                      <w:szCs w:val="21"/>
                      <w:u w:val="single"/>
                      <w:vertAlign w:val="superscript"/>
                    </w:rPr>
                    <w:t>2</w:t>
                  </w:r>
                  <w:r>
                    <w:rPr>
                      <w:rFonts w:hint="eastAsia" w:ascii="Times New Roman" w:cs="Times New Roman"/>
                      <w:sz w:val="21"/>
                      <w:szCs w:val="21"/>
                      <w:u w:val="single"/>
                    </w:rPr>
                    <w:t>，位于厂房</w:t>
                  </w:r>
                  <w:r>
                    <w:rPr>
                      <w:rFonts w:hint="eastAsia" w:ascii="Times New Roman" w:cs="Times New Roman"/>
                      <w:sz w:val="21"/>
                      <w:szCs w:val="21"/>
                      <w:u w:val="single"/>
                      <w:lang w:eastAsia="zh-CN"/>
                    </w:rPr>
                    <w:t>东</w:t>
                  </w:r>
                  <w:r>
                    <w:rPr>
                      <w:rFonts w:hint="eastAsia" w:ascii="Times New Roman" w:cs="Times New Roman"/>
                      <w:sz w:val="21"/>
                      <w:szCs w:val="21"/>
                      <w:u w:val="single"/>
                    </w:rPr>
                    <w:t>侧</w:t>
                  </w:r>
                </w:p>
              </w:tc>
              <w:tc>
                <w:tcPr>
                  <w:tcW w:w="568" w:type="pct"/>
                  <w:tcBorders>
                    <w:tl2br w:val="nil"/>
                    <w:tr2bl w:val="nil"/>
                  </w:tcBorders>
                  <w:vAlign w:val="center"/>
                </w:tcPr>
                <w:p w14:paraId="4C888E70">
                  <w:pPr>
                    <w:pStyle w:val="110"/>
                    <w:spacing w:line="240" w:lineRule="auto"/>
                    <w:ind w:firstLine="0" w:firstLineChars="0"/>
                    <w:jc w:val="center"/>
                    <w:rPr>
                      <w:rFonts w:hint="eastAsia" w:ascii="Times New Roman" w:cs="Times New Roman"/>
                      <w:sz w:val="21"/>
                      <w:szCs w:val="21"/>
                      <w:u w:val="single"/>
                    </w:rPr>
                  </w:pPr>
                  <w:r>
                    <w:rPr>
                      <w:rFonts w:hint="eastAsia" w:ascii="Times New Roman" w:cs="Times New Roman"/>
                      <w:sz w:val="21"/>
                      <w:szCs w:val="21"/>
                      <w:u w:val="single"/>
                    </w:rPr>
                    <w:t>租赁已建车间</w:t>
                  </w:r>
                </w:p>
              </w:tc>
            </w:tr>
            <w:tr w14:paraId="11E9E0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45" w:type="pct"/>
                  <w:vMerge w:val="restart"/>
                  <w:tcBorders>
                    <w:tl2br w:val="nil"/>
                    <w:tr2bl w:val="nil"/>
                  </w:tcBorders>
                  <w:vAlign w:val="center"/>
                </w:tcPr>
                <w:p w14:paraId="5136493F">
                  <w:pPr>
                    <w:pStyle w:val="110"/>
                    <w:spacing w:line="240" w:lineRule="auto"/>
                    <w:ind w:firstLine="0" w:firstLineChars="0"/>
                    <w:jc w:val="center"/>
                    <w:rPr>
                      <w:rFonts w:ascii="Times New Roman" w:cs="Times New Roman"/>
                      <w:sz w:val="21"/>
                      <w:szCs w:val="21"/>
                    </w:rPr>
                  </w:pPr>
                  <w:r>
                    <w:rPr>
                      <w:rFonts w:hint="eastAsia" w:ascii="Times New Roman" w:cs="Times New Roman"/>
                      <w:sz w:val="21"/>
                      <w:szCs w:val="21"/>
                    </w:rPr>
                    <w:t>储运工程</w:t>
                  </w:r>
                </w:p>
              </w:tc>
              <w:tc>
                <w:tcPr>
                  <w:tcW w:w="685" w:type="pct"/>
                  <w:tcBorders>
                    <w:tl2br w:val="nil"/>
                    <w:tr2bl w:val="nil"/>
                  </w:tcBorders>
                  <w:vAlign w:val="center"/>
                </w:tcPr>
                <w:p w14:paraId="3FA38D2D">
                  <w:pPr>
                    <w:pStyle w:val="110"/>
                    <w:spacing w:line="240" w:lineRule="auto"/>
                    <w:ind w:firstLine="0" w:firstLineChars="0"/>
                    <w:jc w:val="center"/>
                    <w:rPr>
                      <w:rFonts w:ascii="Times New Roman" w:cs="Times New Roman"/>
                      <w:sz w:val="21"/>
                      <w:szCs w:val="21"/>
                    </w:rPr>
                  </w:pPr>
                  <w:r>
                    <w:rPr>
                      <w:rFonts w:hint="eastAsia" w:ascii="Times New Roman" w:cs="Times New Roman"/>
                      <w:sz w:val="21"/>
                      <w:szCs w:val="21"/>
                    </w:rPr>
                    <w:t>原料堆放区</w:t>
                  </w:r>
                </w:p>
              </w:tc>
              <w:tc>
                <w:tcPr>
                  <w:tcW w:w="3100" w:type="pct"/>
                  <w:tcBorders>
                    <w:tl2br w:val="nil"/>
                    <w:tr2bl w:val="nil"/>
                  </w:tcBorders>
                  <w:vAlign w:val="center"/>
                </w:tcPr>
                <w:p w14:paraId="03B00675">
                  <w:pPr>
                    <w:pStyle w:val="110"/>
                    <w:spacing w:line="240" w:lineRule="auto"/>
                    <w:ind w:firstLine="0" w:firstLineChars="0"/>
                    <w:jc w:val="center"/>
                    <w:rPr>
                      <w:rFonts w:ascii="Times New Roman" w:cs="Times New Roman"/>
                      <w:sz w:val="21"/>
                      <w:szCs w:val="21"/>
                      <w:highlight w:val="none"/>
                    </w:rPr>
                  </w:pPr>
                  <w:r>
                    <w:rPr>
                      <w:rFonts w:hint="eastAsia" w:ascii="Times New Roman" w:cs="Times New Roman"/>
                      <w:sz w:val="21"/>
                      <w:szCs w:val="21"/>
                      <w:highlight w:val="none"/>
                    </w:rPr>
                    <w:t>占地约400m</w:t>
                  </w:r>
                  <w:r>
                    <w:rPr>
                      <w:rFonts w:hint="eastAsia" w:ascii="Times New Roman" w:cs="Times New Roman"/>
                      <w:sz w:val="21"/>
                      <w:szCs w:val="21"/>
                      <w:highlight w:val="none"/>
                      <w:vertAlign w:val="superscript"/>
                    </w:rPr>
                    <w:t>2</w:t>
                  </w:r>
                </w:p>
              </w:tc>
              <w:tc>
                <w:tcPr>
                  <w:tcW w:w="568" w:type="pct"/>
                  <w:vMerge w:val="restart"/>
                  <w:tcBorders>
                    <w:tl2br w:val="nil"/>
                    <w:tr2bl w:val="nil"/>
                  </w:tcBorders>
                  <w:vAlign w:val="center"/>
                </w:tcPr>
                <w:p w14:paraId="4D310DFC">
                  <w:pPr>
                    <w:pStyle w:val="110"/>
                    <w:spacing w:line="240" w:lineRule="auto"/>
                    <w:ind w:firstLine="0" w:firstLineChars="0"/>
                    <w:jc w:val="center"/>
                    <w:rPr>
                      <w:rFonts w:ascii="Times New Roman" w:cs="Times New Roman"/>
                      <w:sz w:val="21"/>
                      <w:szCs w:val="21"/>
                    </w:rPr>
                  </w:pPr>
                  <w:r>
                    <w:rPr>
                      <w:rFonts w:hint="eastAsia" w:ascii="Times New Roman" w:cs="Times New Roman"/>
                      <w:sz w:val="21"/>
                      <w:szCs w:val="21"/>
                      <w:u w:val="single"/>
                    </w:rPr>
                    <w:t>租赁已建车间</w:t>
                  </w:r>
                </w:p>
              </w:tc>
            </w:tr>
            <w:tr w14:paraId="371ECC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45" w:type="pct"/>
                  <w:vMerge w:val="continue"/>
                  <w:tcBorders>
                    <w:tl2br w:val="nil"/>
                    <w:tr2bl w:val="nil"/>
                  </w:tcBorders>
                  <w:vAlign w:val="center"/>
                </w:tcPr>
                <w:p w14:paraId="7F218626">
                  <w:pPr>
                    <w:pStyle w:val="110"/>
                    <w:spacing w:line="240" w:lineRule="auto"/>
                    <w:ind w:firstLine="0" w:firstLineChars="0"/>
                    <w:jc w:val="center"/>
                    <w:rPr>
                      <w:rFonts w:ascii="Times New Roman" w:cs="Times New Roman"/>
                      <w:sz w:val="21"/>
                      <w:szCs w:val="21"/>
                    </w:rPr>
                  </w:pPr>
                </w:p>
              </w:tc>
              <w:tc>
                <w:tcPr>
                  <w:tcW w:w="685" w:type="pct"/>
                  <w:tcBorders>
                    <w:tl2br w:val="nil"/>
                    <w:tr2bl w:val="nil"/>
                  </w:tcBorders>
                  <w:vAlign w:val="center"/>
                </w:tcPr>
                <w:p w14:paraId="68A3B28A">
                  <w:pPr>
                    <w:pStyle w:val="110"/>
                    <w:spacing w:line="240" w:lineRule="auto"/>
                    <w:ind w:firstLine="0" w:firstLineChars="0"/>
                    <w:jc w:val="center"/>
                    <w:rPr>
                      <w:rFonts w:ascii="Times New Roman" w:cs="Times New Roman"/>
                      <w:sz w:val="21"/>
                      <w:szCs w:val="21"/>
                    </w:rPr>
                  </w:pPr>
                  <w:r>
                    <w:rPr>
                      <w:rFonts w:hint="eastAsia" w:ascii="Times New Roman" w:cs="Times New Roman"/>
                      <w:sz w:val="21"/>
                      <w:szCs w:val="21"/>
                    </w:rPr>
                    <w:t>辅料堆放区</w:t>
                  </w:r>
                </w:p>
              </w:tc>
              <w:tc>
                <w:tcPr>
                  <w:tcW w:w="3100" w:type="pct"/>
                  <w:tcBorders>
                    <w:tl2br w:val="nil"/>
                    <w:tr2bl w:val="nil"/>
                  </w:tcBorders>
                  <w:vAlign w:val="center"/>
                </w:tcPr>
                <w:p w14:paraId="3C2498C0">
                  <w:pPr>
                    <w:pStyle w:val="110"/>
                    <w:spacing w:line="240" w:lineRule="auto"/>
                    <w:ind w:firstLine="0" w:firstLineChars="0"/>
                    <w:jc w:val="center"/>
                    <w:rPr>
                      <w:rFonts w:ascii="Times New Roman" w:cs="Times New Roman"/>
                      <w:sz w:val="21"/>
                      <w:szCs w:val="21"/>
                      <w:highlight w:val="none"/>
                    </w:rPr>
                  </w:pPr>
                  <w:r>
                    <w:rPr>
                      <w:rFonts w:hint="eastAsia" w:ascii="Times New Roman" w:cs="Times New Roman"/>
                      <w:sz w:val="21"/>
                      <w:szCs w:val="21"/>
                      <w:highlight w:val="none"/>
                    </w:rPr>
                    <w:t>占地约400m</w:t>
                  </w:r>
                  <w:r>
                    <w:rPr>
                      <w:rFonts w:hint="eastAsia" w:ascii="Times New Roman" w:cs="Times New Roman"/>
                      <w:sz w:val="21"/>
                      <w:szCs w:val="21"/>
                      <w:highlight w:val="none"/>
                      <w:vertAlign w:val="superscript"/>
                    </w:rPr>
                    <w:t>2</w:t>
                  </w:r>
                </w:p>
              </w:tc>
              <w:tc>
                <w:tcPr>
                  <w:tcW w:w="568" w:type="pct"/>
                  <w:vMerge w:val="continue"/>
                  <w:tcBorders>
                    <w:tl2br w:val="nil"/>
                    <w:tr2bl w:val="nil"/>
                  </w:tcBorders>
                  <w:vAlign w:val="center"/>
                </w:tcPr>
                <w:p w14:paraId="73336C74">
                  <w:pPr>
                    <w:pStyle w:val="110"/>
                    <w:spacing w:line="240" w:lineRule="auto"/>
                    <w:ind w:firstLine="0" w:firstLineChars="0"/>
                    <w:jc w:val="center"/>
                    <w:rPr>
                      <w:rFonts w:ascii="Times New Roman" w:cs="Times New Roman"/>
                      <w:color w:val="FF0000"/>
                      <w:sz w:val="21"/>
                      <w:szCs w:val="21"/>
                      <w:u w:val="single"/>
                    </w:rPr>
                  </w:pPr>
                </w:p>
              </w:tc>
            </w:tr>
            <w:tr w14:paraId="6F693D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645" w:type="pct"/>
                  <w:vMerge w:val="continue"/>
                  <w:tcBorders>
                    <w:tl2br w:val="nil"/>
                    <w:tr2bl w:val="nil"/>
                  </w:tcBorders>
                  <w:vAlign w:val="center"/>
                </w:tcPr>
                <w:p w14:paraId="7335951C">
                  <w:pPr>
                    <w:pStyle w:val="110"/>
                    <w:spacing w:line="240" w:lineRule="auto"/>
                    <w:ind w:firstLine="0" w:firstLineChars="0"/>
                    <w:jc w:val="center"/>
                    <w:rPr>
                      <w:rFonts w:ascii="Times New Roman" w:cs="Times New Roman"/>
                      <w:sz w:val="21"/>
                      <w:szCs w:val="21"/>
                    </w:rPr>
                  </w:pPr>
                </w:p>
              </w:tc>
              <w:tc>
                <w:tcPr>
                  <w:tcW w:w="685" w:type="pct"/>
                  <w:tcBorders>
                    <w:tl2br w:val="nil"/>
                    <w:tr2bl w:val="nil"/>
                  </w:tcBorders>
                  <w:vAlign w:val="center"/>
                </w:tcPr>
                <w:p w14:paraId="6441A413">
                  <w:pPr>
                    <w:pStyle w:val="110"/>
                    <w:spacing w:line="240" w:lineRule="auto"/>
                    <w:ind w:firstLine="0" w:firstLineChars="0"/>
                    <w:jc w:val="center"/>
                    <w:rPr>
                      <w:rFonts w:ascii="Times New Roman" w:cs="Times New Roman"/>
                      <w:sz w:val="21"/>
                      <w:szCs w:val="21"/>
                    </w:rPr>
                  </w:pPr>
                  <w:r>
                    <w:rPr>
                      <w:rFonts w:hint="eastAsia" w:ascii="Times New Roman" w:cs="Times New Roman"/>
                      <w:sz w:val="21"/>
                      <w:szCs w:val="21"/>
                    </w:rPr>
                    <w:t>成品堆放区</w:t>
                  </w:r>
                </w:p>
              </w:tc>
              <w:tc>
                <w:tcPr>
                  <w:tcW w:w="3100" w:type="pct"/>
                  <w:tcBorders>
                    <w:tl2br w:val="nil"/>
                    <w:tr2bl w:val="nil"/>
                  </w:tcBorders>
                  <w:vAlign w:val="center"/>
                </w:tcPr>
                <w:p w14:paraId="28544C10">
                  <w:pPr>
                    <w:pStyle w:val="110"/>
                    <w:spacing w:line="240" w:lineRule="auto"/>
                    <w:ind w:firstLine="0" w:firstLineChars="0"/>
                    <w:jc w:val="center"/>
                    <w:rPr>
                      <w:rFonts w:ascii="Times New Roman" w:cs="Times New Roman"/>
                      <w:sz w:val="21"/>
                      <w:szCs w:val="21"/>
                      <w:highlight w:val="none"/>
                    </w:rPr>
                  </w:pPr>
                  <w:r>
                    <w:rPr>
                      <w:rFonts w:hint="eastAsia" w:ascii="Times New Roman" w:cs="Times New Roman"/>
                      <w:sz w:val="21"/>
                      <w:szCs w:val="21"/>
                      <w:highlight w:val="none"/>
                    </w:rPr>
                    <w:t>占地约800m</w:t>
                  </w:r>
                  <w:r>
                    <w:rPr>
                      <w:rFonts w:hint="eastAsia" w:ascii="Times New Roman" w:cs="Times New Roman"/>
                      <w:sz w:val="21"/>
                      <w:szCs w:val="21"/>
                      <w:highlight w:val="none"/>
                      <w:vertAlign w:val="superscript"/>
                    </w:rPr>
                    <w:t>2</w:t>
                  </w:r>
                </w:p>
              </w:tc>
              <w:tc>
                <w:tcPr>
                  <w:tcW w:w="568" w:type="pct"/>
                  <w:vMerge w:val="continue"/>
                  <w:tcBorders>
                    <w:tl2br w:val="nil"/>
                    <w:tr2bl w:val="nil"/>
                  </w:tcBorders>
                  <w:vAlign w:val="center"/>
                </w:tcPr>
                <w:p w14:paraId="64C8A95F">
                  <w:pPr>
                    <w:pStyle w:val="110"/>
                    <w:spacing w:line="240" w:lineRule="auto"/>
                    <w:ind w:firstLine="0" w:firstLineChars="0"/>
                    <w:jc w:val="center"/>
                    <w:rPr>
                      <w:rFonts w:ascii="Times New Roman" w:cs="Times New Roman"/>
                      <w:sz w:val="21"/>
                      <w:szCs w:val="21"/>
                    </w:rPr>
                  </w:pPr>
                </w:p>
              </w:tc>
            </w:tr>
            <w:tr w14:paraId="7AC323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45" w:type="pct"/>
                  <w:vMerge w:val="continue"/>
                  <w:tcBorders>
                    <w:tl2br w:val="nil"/>
                    <w:tr2bl w:val="nil"/>
                  </w:tcBorders>
                  <w:vAlign w:val="center"/>
                </w:tcPr>
                <w:p w14:paraId="73C4D838">
                  <w:pPr>
                    <w:pStyle w:val="110"/>
                    <w:spacing w:line="240" w:lineRule="auto"/>
                    <w:ind w:firstLine="0" w:firstLineChars="0"/>
                    <w:jc w:val="center"/>
                    <w:rPr>
                      <w:rFonts w:ascii="Times New Roman" w:cs="Times New Roman"/>
                      <w:sz w:val="21"/>
                      <w:szCs w:val="21"/>
                    </w:rPr>
                  </w:pPr>
                </w:p>
              </w:tc>
              <w:tc>
                <w:tcPr>
                  <w:tcW w:w="685" w:type="pct"/>
                  <w:tcBorders>
                    <w:tl2br w:val="nil"/>
                    <w:tr2bl w:val="nil"/>
                  </w:tcBorders>
                  <w:vAlign w:val="center"/>
                </w:tcPr>
                <w:p w14:paraId="5A4F446A">
                  <w:pPr>
                    <w:pStyle w:val="110"/>
                    <w:spacing w:line="240" w:lineRule="auto"/>
                    <w:ind w:firstLine="0" w:firstLineChars="0"/>
                    <w:jc w:val="center"/>
                    <w:rPr>
                      <w:rFonts w:hint="eastAsia" w:ascii="Times New Roman" w:eastAsia="宋体" w:cs="Times New Roman"/>
                      <w:sz w:val="21"/>
                      <w:szCs w:val="21"/>
                      <w:lang w:eastAsia="zh-CN"/>
                    </w:rPr>
                  </w:pPr>
                  <w:r>
                    <w:rPr>
                      <w:rFonts w:hint="eastAsia" w:ascii="Times New Roman" w:cs="Times New Roman"/>
                      <w:sz w:val="21"/>
                      <w:szCs w:val="21"/>
                      <w:lang w:eastAsia="zh-CN"/>
                    </w:rPr>
                    <w:t>工具间</w:t>
                  </w:r>
                </w:p>
              </w:tc>
              <w:tc>
                <w:tcPr>
                  <w:tcW w:w="3100" w:type="pct"/>
                  <w:tcBorders>
                    <w:tl2br w:val="nil"/>
                    <w:tr2bl w:val="nil"/>
                  </w:tcBorders>
                  <w:vAlign w:val="center"/>
                </w:tcPr>
                <w:p w14:paraId="294F6F2B">
                  <w:pPr>
                    <w:pStyle w:val="110"/>
                    <w:spacing w:line="240" w:lineRule="auto"/>
                    <w:ind w:firstLine="0" w:firstLineChars="0"/>
                    <w:jc w:val="center"/>
                    <w:rPr>
                      <w:rFonts w:hint="eastAsia" w:ascii="Times New Roman" w:eastAsia="宋体" w:cs="Times New Roman"/>
                      <w:sz w:val="21"/>
                      <w:szCs w:val="21"/>
                      <w:highlight w:val="none"/>
                      <w:lang w:eastAsia="zh-CN"/>
                    </w:rPr>
                  </w:pPr>
                  <w:r>
                    <w:rPr>
                      <w:rFonts w:hint="eastAsia" w:ascii="Times New Roman" w:cs="Times New Roman"/>
                      <w:sz w:val="21"/>
                      <w:szCs w:val="21"/>
                      <w:highlight w:val="none"/>
                    </w:rPr>
                    <w:t>占地约</w:t>
                  </w:r>
                  <w:r>
                    <w:rPr>
                      <w:rFonts w:hint="eastAsia" w:ascii="Times New Roman" w:cs="Times New Roman"/>
                      <w:sz w:val="21"/>
                      <w:szCs w:val="21"/>
                      <w:highlight w:val="none"/>
                      <w:lang w:val="en-US" w:eastAsia="zh-CN"/>
                    </w:rPr>
                    <w:t>5</w:t>
                  </w:r>
                  <w:r>
                    <w:rPr>
                      <w:rFonts w:hint="eastAsia" w:ascii="Times New Roman" w:cs="Times New Roman"/>
                      <w:sz w:val="21"/>
                      <w:szCs w:val="21"/>
                      <w:highlight w:val="none"/>
                    </w:rPr>
                    <w:t>0m</w:t>
                  </w:r>
                  <w:r>
                    <w:rPr>
                      <w:rFonts w:hint="eastAsia" w:ascii="Times New Roman" w:cs="Times New Roman"/>
                      <w:sz w:val="21"/>
                      <w:szCs w:val="21"/>
                      <w:highlight w:val="none"/>
                      <w:vertAlign w:val="superscript"/>
                    </w:rPr>
                    <w:t>2</w:t>
                  </w:r>
                  <w:r>
                    <w:rPr>
                      <w:rFonts w:hint="eastAsia" w:ascii="Times New Roman" w:cs="Times New Roman"/>
                      <w:sz w:val="21"/>
                      <w:szCs w:val="21"/>
                      <w:highlight w:val="none"/>
                      <w:vertAlign w:val="baseline"/>
                      <w:lang w:eastAsia="zh-CN"/>
                    </w:rPr>
                    <w:t>（含危废暂存间</w:t>
                  </w:r>
                  <w:r>
                    <w:rPr>
                      <w:rFonts w:hint="eastAsia" w:ascii="Times New Roman" w:cs="Times New Roman"/>
                      <w:sz w:val="21"/>
                      <w:szCs w:val="21"/>
                      <w:highlight w:val="none"/>
                      <w:vertAlign w:val="baseline"/>
                      <w:lang w:val="en-US" w:eastAsia="zh-CN"/>
                    </w:rPr>
                    <w:t>10m</w:t>
                  </w:r>
                  <w:r>
                    <w:rPr>
                      <w:rFonts w:hint="eastAsia" w:ascii="Times New Roman" w:cs="Times New Roman"/>
                      <w:sz w:val="21"/>
                      <w:szCs w:val="21"/>
                      <w:highlight w:val="none"/>
                      <w:vertAlign w:val="superscript"/>
                      <w:lang w:val="en-US" w:eastAsia="zh-CN"/>
                    </w:rPr>
                    <w:t>3</w:t>
                  </w:r>
                  <w:r>
                    <w:rPr>
                      <w:rFonts w:hint="eastAsia" w:ascii="Times New Roman" w:cs="Times New Roman"/>
                      <w:sz w:val="21"/>
                      <w:szCs w:val="21"/>
                      <w:highlight w:val="none"/>
                      <w:vertAlign w:val="baseline"/>
                      <w:lang w:eastAsia="zh-CN"/>
                    </w:rPr>
                    <w:t>）</w:t>
                  </w:r>
                </w:p>
              </w:tc>
              <w:tc>
                <w:tcPr>
                  <w:tcW w:w="568" w:type="pct"/>
                  <w:vMerge w:val="continue"/>
                  <w:tcBorders>
                    <w:tl2br w:val="nil"/>
                    <w:tr2bl w:val="nil"/>
                  </w:tcBorders>
                  <w:vAlign w:val="center"/>
                </w:tcPr>
                <w:p w14:paraId="24D1238E">
                  <w:pPr>
                    <w:pStyle w:val="110"/>
                    <w:spacing w:line="240" w:lineRule="auto"/>
                    <w:ind w:firstLine="0" w:firstLineChars="0"/>
                    <w:jc w:val="center"/>
                    <w:rPr>
                      <w:rFonts w:ascii="Times New Roman" w:cs="Times New Roman"/>
                      <w:sz w:val="21"/>
                      <w:szCs w:val="21"/>
                    </w:rPr>
                  </w:pPr>
                </w:p>
              </w:tc>
            </w:tr>
            <w:tr w14:paraId="215162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45" w:type="pct"/>
                  <w:vMerge w:val="restart"/>
                  <w:tcBorders>
                    <w:tl2br w:val="nil"/>
                    <w:tr2bl w:val="nil"/>
                  </w:tcBorders>
                  <w:vAlign w:val="center"/>
                </w:tcPr>
                <w:p w14:paraId="7827C6EB">
                  <w:pPr>
                    <w:pStyle w:val="110"/>
                    <w:spacing w:line="240" w:lineRule="auto"/>
                    <w:ind w:firstLine="0" w:firstLineChars="0"/>
                    <w:jc w:val="center"/>
                    <w:rPr>
                      <w:rFonts w:ascii="Times New Roman" w:cs="Times New Roman"/>
                      <w:sz w:val="21"/>
                      <w:szCs w:val="21"/>
                    </w:rPr>
                  </w:pPr>
                  <w:r>
                    <w:rPr>
                      <w:rFonts w:ascii="Times New Roman" w:cs="Times New Roman"/>
                      <w:sz w:val="21"/>
                      <w:szCs w:val="21"/>
                    </w:rPr>
                    <w:t>公用工程</w:t>
                  </w:r>
                </w:p>
              </w:tc>
              <w:tc>
                <w:tcPr>
                  <w:tcW w:w="685" w:type="pct"/>
                  <w:tcBorders>
                    <w:tl2br w:val="nil"/>
                    <w:tr2bl w:val="nil"/>
                  </w:tcBorders>
                  <w:vAlign w:val="center"/>
                </w:tcPr>
                <w:p w14:paraId="47100F3A">
                  <w:pPr>
                    <w:pStyle w:val="110"/>
                    <w:spacing w:line="240" w:lineRule="auto"/>
                    <w:ind w:firstLine="0" w:firstLineChars="0"/>
                    <w:jc w:val="center"/>
                    <w:rPr>
                      <w:rFonts w:ascii="Times New Roman" w:cs="Times New Roman"/>
                      <w:sz w:val="21"/>
                      <w:szCs w:val="21"/>
                    </w:rPr>
                  </w:pPr>
                  <w:r>
                    <w:rPr>
                      <w:rFonts w:ascii="Times New Roman" w:cs="Times New Roman"/>
                      <w:sz w:val="21"/>
                      <w:szCs w:val="21"/>
                    </w:rPr>
                    <w:t>给水</w:t>
                  </w:r>
                </w:p>
              </w:tc>
              <w:tc>
                <w:tcPr>
                  <w:tcW w:w="3100" w:type="pct"/>
                  <w:tcBorders>
                    <w:tl2br w:val="nil"/>
                    <w:tr2bl w:val="nil"/>
                  </w:tcBorders>
                  <w:vAlign w:val="center"/>
                </w:tcPr>
                <w:p w14:paraId="0FCC10B9">
                  <w:pPr>
                    <w:pStyle w:val="110"/>
                    <w:spacing w:line="240" w:lineRule="auto"/>
                    <w:ind w:firstLine="0" w:firstLineChars="0"/>
                    <w:jc w:val="center"/>
                    <w:rPr>
                      <w:rFonts w:ascii="Times New Roman" w:cs="Times New Roman"/>
                      <w:sz w:val="21"/>
                      <w:szCs w:val="21"/>
                    </w:rPr>
                  </w:pPr>
                  <w:r>
                    <w:rPr>
                      <w:rFonts w:ascii="Times New Roman" w:cs="Times New Roman"/>
                      <w:bCs/>
                      <w:sz w:val="21"/>
                      <w:szCs w:val="21"/>
                    </w:rPr>
                    <w:t>园区自来水管网</w:t>
                  </w:r>
                  <w:r>
                    <w:rPr>
                      <w:rFonts w:hint="eastAsia" w:ascii="Times New Roman" w:cs="Times New Roman"/>
                      <w:bCs/>
                      <w:sz w:val="21"/>
                      <w:szCs w:val="21"/>
                    </w:rPr>
                    <w:t>供给</w:t>
                  </w:r>
                </w:p>
              </w:tc>
              <w:tc>
                <w:tcPr>
                  <w:tcW w:w="568" w:type="pct"/>
                  <w:tcBorders>
                    <w:tl2br w:val="nil"/>
                    <w:tr2bl w:val="nil"/>
                  </w:tcBorders>
                  <w:vAlign w:val="center"/>
                </w:tcPr>
                <w:p w14:paraId="6CB59A9A">
                  <w:pPr>
                    <w:jc w:val="center"/>
                    <w:rPr>
                      <w:b/>
                      <w:bCs/>
                      <w:sz w:val="21"/>
                      <w:szCs w:val="21"/>
                    </w:rPr>
                  </w:pPr>
                  <w:r>
                    <w:rPr>
                      <w:rFonts w:hint="eastAsia"/>
                      <w:b/>
                      <w:bCs/>
                      <w:sz w:val="21"/>
                      <w:szCs w:val="21"/>
                    </w:rPr>
                    <w:t>/</w:t>
                  </w:r>
                </w:p>
              </w:tc>
            </w:tr>
            <w:tr w14:paraId="685EB8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45" w:type="pct"/>
                  <w:vMerge w:val="continue"/>
                  <w:tcBorders>
                    <w:tl2br w:val="nil"/>
                    <w:tr2bl w:val="nil"/>
                  </w:tcBorders>
                  <w:vAlign w:val="center"/>
                </w:tcPr>
                <w:p w14:paraId="209A63C2">
                  <w:pPr>
                    <w:pStyle w:val="110"/>
                    <w:spacing w:line="240" w:lineRule="auto"/>
                    <w:ind w:firstLine="0" w:firstLineChars="0"/>
                    <w:jc w:val="center"/>
                    <w:rPr>
                      <w:rFonts w:ascii="Times New Roman" w:cs="Times New Roman"/>
                      <w:sz w:val="21"/>
                      <w:szCs w:val="21"/>
                    </w:rPr>
                  </w:pPr>
                </w:p>
              </w:tc>
              <w:tc>
                <w:tcPr>
                  <w:tcW w:w="685" w:type="pct"/>
                  <w:tcBorders>
                    <w:tl2br w:val="nil"/>
                    <w:tr2bl w:val="nil"/>
                  </w:tcBorders>
                  <w:vAlign w:val="center"/>
                </w:tcPr>
                <w:p w14:paraId="39746413">
                  <w:pPr>
                    <w:pStyle w:val="110"/>
                    <w:spacing w:line="240" w:lineRule="auto"/>
                    <w:ind w:firstLine="0" w:firstLineChars="0"/>
                    <w:jc w:val="center"/>
                    <w:rPr>
                      <w:rFonts w:ascii="Times New Roman" w:cs="Times New Roman"/>
                      <w:sz w:val="21"/>
                      <w:szCs w:val="21"/>
                    </w:rPr>
                  </w:pPr>
                  <w:r>
                    <w:rPr>
                      <w:rFonts w:ascii="Times New Roman" w:cs="Times New Roman"/>
                      <w:sz w:val="21"/>
                      <w:szCs w:val="21"/>
                    </w:rPr>
                    <w:t>排水</w:t>
                  </w:r>
                </w:p>
              </w:tc>
              <w:tc>
                <w:tcPr>
                  <w:tcW w:w="3100" w:type="pct"/>
                  <w:tcBorders>
                    <w:tl2br w:val="nil"/>
                    <w:tr2bl w:val="nil"/>
                  </w:tcBorders>
                  <w:vAlign w:val="center"/>
                </w:tcPr>
                <w:p w14:paraId="393AB715">
                  <w:pPr>
                    <w:pStyle w:val="110"/>
                    <w:spacing w:line="240" w:lineRule="auto"/>
                    <w:ind w:firstLine="0" w:firstLineChars="0"/>
                    <w:jc w:val="center"/>
                    <w:rPr>
                      <w:rFonts w:hint="eastAsia" w:ascii="Times New Roman" w:eastAsia="宋体" w:cs="Times New Roman"/>
                      <w:bCs/>
                      <w:sz w:val="21"/>
                      <w:szCs w:val="21"/>
                      <w:lang w:eastAsia="zh-CN"/>
                    </w:rPr>
                  </w:pPr>
                  <w:r>
                    <w:rPr>
                      <w:rFonts w:ascii="Times New Roman" w:cs="Times New Roman"/>
                      <w:bCs/>
                      <w:sz w:val="21"/>
                      <w:szCs w:val="21"/>
                    </w:rPr>
                    <w:t>采用雨污分流制。雨水排入园区雨水管网，生活污水经化粪池处理后排入园区污水管网。</w:t>
                  </w:r>
                  <w:r>
                    <w:rPr>
                      <w:rFonts w:hint="eastAsia" w:ascii="Times New Roman" w:cs="Times New Roman"/>
                      <w:bCs/>
                      <w:sz w:val="21"/>
                      <w:szCs w:val="21"/>
                      <w:lang w:eastAsia="zh-CN"/>
                    </w:rPr>
                    <w:t>挤出冷却废水、化验废水经丰联公司废水处理站预处理后</w:t>
                  </w:r>
                  <w:r>
                    <w:rPr>
                      <w:rFonts w:ascii="Times New Roman" w:cs="Times New Roman"/>
                      <w:bCs/>
                      <w:sz w:val="21"/>
                      <w:szCs w:val="21"/>
                    </w:rPr>
                    <w:t>排入园区污水管网</w:t>
                  </w:r>
                </w:p>
              </w:tc>
              <w:tc>
                <w:tcPr>
                  <w:tcW w:w="568" w:type="pct"/>
                  <w:tcBorders>
                    <w:tl2br w:val="nil"/>
                    <w:tr2bl w:val="nil"/>
                  </w:tcBorders>
                  <w:vAlign w:val="center"/>
                </w:tcPr>
                <w:p w14:paraId="4AD81824">
                  <w:pPr>
                    <w:jc w:val="center"/>
                    <w:rPr>
                      <w:sz w:val="21"/>
                      <w:szCs w:val="21"/>
                    </w:rPr>
                  </w:pPr>
                  <w:r>
                    <w:rPr>
                      <w:rFonts w:hint="eastAsia"/>
                      <w:sz w:val="21"/>
                      <w:szCs w:val="21"/>
                    </w:rPr>
                    <w:t>/</w:t>
                  </w:r>
                </w:p>
              </w:tc>
            </w:tr>
            <w:tr w14:paraId="2BB026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45" w:type="pct"/>
                  <w:vMerge w:val="continue"/>
                  <w:tcBorders>
                    <w:tl2br w:val="nil"/>
                    <w:tr2bl w:val="nil"/>
                  </w:tcBorders>
                  <w:vAlign w:val="center"/>
                </w:tcPr>
                <w:p w14:paraId="0294E412">
                  <w:pPr>
                    <w:pStyle w:val="110"/>
                    <w:spacing w:line="240" w:lineRule="auto"/>
                    <w:ind w:firstLine="0" w:firstLineChars="0"/>
                    <w:jc w:val="center"/>
                    <w:rPr>
                      <w:rFonts w:ascii="Times New Roman" w:cs="Times New Roman"/>
                      <w:sz w:val="21"/>
                      <w:szCs w:val="21"/>
                    </w:rPr>
                  </w:pPr>
                </w:p>
              </w:tc>
              <w:tc>
                <w:tcPr>
                  <w:tcW w:w="685" w:type="pct"/>
                  <w:tcBorders>
                    <w:tl2br w:val="nil"/>
                    <w:tr2bl w:val="nil"/>
                  </w:tcBorders>
                  <w:vAlign w:val="center"/>
                </w:tcPr>
                <w:p w14:paraId="1C73CA4D">
                  <w:pPr>
                    <w:pStyle w:val="110"/>
                    <w:spacing w:line="240" w:lineRule="auto"/>
                    <w:ind w:firstLine="0" w:firstLineChars="0"/>
                    <w:jc w:val="center"/>
                    <w:rPr>
                      <w:rFonts w:ascii="Times New Roman" w:cs="Times New Roman"/>
                      <w:sz w:val="21"/>
                      <w:szCs w:val="21"/>
                    </w:rPr>
                  </w:pPr>
                  <w:r>
                    <w:rPr>
                      <w:rFonts w:ascii="Times New Roman" w:cs="Times New Roman"/>
                      <w:sz w:val="21"/>
                      <w:szCs w:val="21"/>
                    </w:rPr>
                    <w:t>供电</w:t>
                  </w:r>
                </w:p>
              </w:tc>
              <w:tc>
                <w:tcPr>
                  <w:tcW w:w="3100" w:type="pct"/>
                  <w:tcBorders>
                    <w:tl2br w:val="nil"/>
                    <w:tr2bl w:val="nil"/>
                  </w:tcBorders>
                  <w:vAlign w:val="center"/>
                </w:tcPr>
                <w:p w14:paraId="1C4AEBF4">
                  <w:pPr>
                    <w:pStyle w:val="110"/>
                    <w:spacing w:line="240" w:lineRule="auto"/>
                    <w:ind w:firstLine="0" w:firstLineChars="0"/>
                    <w:jc w:val="center"/>
                    <w:rPr>
                      <w:rFonts w:ascii="Times New Roman" w:cs="Times New Roman"/>
                      <w:sz w:val="21"/>
                      <w:szCs w:val="21"/>
                    </w:rPr>
                  </w:pPr>
                  <w:r>
                    <w:rPr>
                      <w:rFonts w:ascii="Times New Roman" w:cs="Times New Roman"/>
                      <w:bCs/>
                      <w:sz w:val="21"/>
                      <w:szCs w:val="21"/>
                    </w:rPr>
                    <w:t>园区电网供电</w:t>
                  </w:r>
                </w:p>
              </w:tc>
              <w:tc>
                <w:tcPr>
                  <w:tcW w:w="568" w:type="pct"/>
                  <w:tcBorders>
                    <w:tl2br w:val="nil"/>
                    <w:tr2bl w:val="nil"/>
                  </w:tcBorders>
                  <w:vAlign w:val="center"/>
                </w:tcPr>
                <w:p w14:paraId="17E35DB7">
                  <w:pPr>
                    <w:jc w:val="center"/>
                    <w:rPr>
                      <w:b/>
                      <w:bCs/>
                      <w:sz w:val="21"/>
                      <w:szCs w:val="21"/>
                    </w:rPr>
                  </w:pPr>
                  <w:r>
                    <w:rPr>
                      <w:rFonts w:hint="eastAsia"/>
                      <w:b/>
                      <w:bCs/>
                      <w:sz w:val="21"/>
                      <w:szCs w:val="21"/>
                    </w:rPr>
                    <w:t>/</w:t>
                  </w:r>
                </w:p>
              </w:tc>
            </w:tr>
            <w:tr w14:paraId="77307B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45" w:type="pct"/>
                  <w:vMerge w:val="restart"/>
                  <w:tcBorders>
                    <w:tl2br w:val="nil"/>
                    <w:tr2bl w:val="nil"/>
                  </w:tcBorders>
                  <w:vAlign w:val="center"/>
                </w:tcPr>
                <w:p w14:paraId="75DA7062">
                  <w:pPr>
                    <w:pStyle w:val="110"/>
                    <w:spacing w:line="240" w:lineRule="auto"/>
                    <w:ind w:firstLine="0" w:firstLineChars="0"/>
                    <w:jc w:val="center"/>
                    <w:rPr>
                      <w:rFonts w:ascii="Times New Roman" w:cs="Times New Roman"/>
                      <w:sz w:val="21"/>
                      <w:szCs w:val="21"/>
                    </w:rPr>
                  </w:pPr>
                  <w:r>
                    <w:rPr>
                      <w:rFonts w:ascii="Times New Roman" w:cs="Times New Roman"/>
                      <w:sz w:val="21"/>
                      <w:szCs w:val="21"/>
                    </w:rPr>
                    <w:t>环保工程</w:t>
                  </w:r>
                </w:p>
              </w:tc>
              <w:tc>
                <w:tcPr>
                  <w:tcW w:w="685" w:type="pct"/>
                  <w:vMerge w:val="restart"/>
                  <w:tcBorders>
                    <w:tl2br w:val="nil"/>
                    <w:tr2bl w:val="nil"/>
                  </w:tcBorders>
                  <w:vAlign w:val="center"/>
                </w:tcPr>
                <w:p w14:paraId="0AF0F4D8">
                  <w:pPr>
                    <w:pStyle w:val="110"/>
                    <w:spacing w:line="240" w:lineRule="auto"/>
                    <w:ind w:firstLine="0" w:firstLineChars="0"/>
                    <w:jc w:val="center"/>
                    <w:rPr>
                      <w:rFonts w:ascii="Times New Roman" w:cs="Times New Roman"/>
                      <w:sz w:val="21"/>
                      <w:szCs w:val="21"/>
                    </w:rPr>
                  </w:pPr>
                  <w:r>
                    <w:rPr>
                      <w:rFonts w:ascii="Times New Roman" w:cs="Times New Roman"/>
                      <w:sz w:val="21"/>
                      <w:szCs w:val="21"/>
                    </w:rPr>
                    <w:t>废气</w:t>
                  </w:r>
                </w:p>
              </w:tc>
              <w:tc>
                <w:tcPr>
                  <w:tcW w:w="3100" w:type="pct"/>
                  <w:tcBorders>
                    <w:tl2br w:val="nil"/>
                    <w:tr2bl w:val="nil"/>
                  </w:tcBorders>
                  <w:vAlign w:val="center"/>
                </w:tcPr>
                <w:p w14:paraId="55F0FA0B">
                  <w:pPr>
                    <w:pStyle w:val="110"/>
                    <w:spacing w:line="240" w:lineRule="auto"/>
                    <w:ind w:left="0" w:leftChars="0" w:right="0" w:rightChars="0" w:firstLine="0" w:firstLineChars="0"/>
                    <w:jc w:val="center"/>
                    <w:rPr>
                      <w:rFonts w:ascii="Times New Roman" w:cs="Times New Roman"/>
                      <w:sz w:val="21"/>
                      <w:szCs w:val="21"/>
                    </w:rPr>
                  </w:pPr>
                  <w:r>
                    <w:rPr>
                      <w:rFonts w:hint="eastAsia" w:ascii="Times New Roman" w:cs="Times New Roman"/>
                      <w:sz w:val="21"/>
                      <w:szCs w:val="21"/>
                    </w:rPr>
                    <w:t>粉碎包装产生的颗粒物经管道收集后通过布袋除尘器处理，由15m高排气筒（DA001）达标排放</w:t>
                  </w:r>
                </w:p>
              </w:tc>
              <w:tc>
                <w:tcPr>
                  <w:tcW w:w="568" w:type="pct"/>
                  <w:tcBorders>
                    <w:tl2br w:val="nil"/>
                    <w:tr2bl w:val="nil"/>
                  </w:tcBorders>
                  <w:vAlign w:val="center"/>
                </w:tcPr>
                <w:p w14:paraId="242A086E">
                  <w:pPr>
                    <w:pStyle w:val="110"/>
                    <w:spacing w:line="240" w:lineRule="auto"/>
                    <w:ind w:firstLine="0" w:firstLineChars="0"/>
                    <w:jc w:val="center"/>
                    <w:rPr>
                      <w:rFonts w:ascii="Times New Roman" w:cs="Times New Roman"/>
                      <w:sz w:val="21"/>
                      <w:szCs w:val="21"/>
                    </w:rPr>
                  </w:pPr>
                  <w:r>
                    <w:rPr>
                      <w:rFonts w:ascii="Times New Roman" w:cs="Times New Roman"/>
                      <w:sz w:val="21"/>
                      <w:szCs w:val="21"/>
                    </w:rPr>
                    <w:t>新建</w:t>
                  </w:r>
                </w:p>
              </w:tc>
            </w:tr>
            <w:tr w14:paraId="497746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645" w:type="pct"/>
                  <w:vMerge w:val="continue"/>
                  <w:tcBorders>
                    <w:tl2br w:val="nil"/>
                    <w:tr2bl w:val="nil"/>
                  </w:tcBorders>
                  <w:vAlign w:val="center"/>
                </w:tcPr>
                <w:p w14:paraId="2A951C6C">
                  <w:pPr>
                    <w:pStyle w:val="110"/>
                    <w:spacing w:line="240" w:lineRule="auto"/>
                    <w:ind w:firstLine="0" w:firstLineChars="0"/>
                    <w:jc w:val="center"/>
                    <w:rPr>
                      <w:rFonts w:ascii="Times New Roman" w:cs="Times New Roman"/>
                      <w:sz w:val="21"/>
                      <w:szCs w:val="21"/>
                    </w:rPr>
                  </w:pPr>
                </w:p>
              </w:tc>
              <w:tc>
                <w:tcPr>
                  <w:tcW w:w="685" w:type="pct"/>
                  <w:vMerge w:val="continue"/>
                  <w:tcBorders>
                    <w:tl2br w:val="nil"/>
                    <w:tr2bl w:val="nil"/>
                  </w:tcBorders>
                  <w:vAlign w:val="center"/>
                </w:tcPr>
                <w:p w14:paraId="6E9061EC">
                  <w:pPr>
                    <w:pStyle w:val="110"/>
                    <w:spacing w:line="240" w:lineRule="auto"/>
                    <w:ind w:firstLine="0" w:firstLineChars="0"/>
                    <w:jc w:val="center"/>
                    <w:rPr>
                      <w:rFonts w:ascii="Times New Roman" w:cs="Times New Roman"/>
                      <w:sz w:val="21"/>
                      <w:szCs w:val="21"/>
                    </w:rPr>
                  </w:pPr>
                </w:p>
              </w:tc>
              <w:tc>
                <w:tcPr>
                  <w:tcW w:w="3100" w:type="pct"/>
                  <w:tcBorders>
                    <w:tl2br w:val="nil"/>
                    <w:tr2bl w:val="nil"/>
                  </w:tcBorders>
                  <w:vAlign w:val="center"/>
                </w:tcPr>
                <w:p w14:paraId="2C43D581">
                  <w:pPr>
                    <w:pStyle w:val="110"/>
                    <w:spacing w:line="240" w:lineRule="auto"/>
                    <w:ind w:left="0" w:leftChars="0" w:right="0" w:rightChars="0" w:firstLine="0" w:firstLineChars="0"/>
                    <w:jc w:val="center"/>
                    <w:rPr>
                      <w:rFonts w:hint="eastAsia" w:ascii="Times New Roman" w:cs="Times New Roman"/>
                      <w:sz w:val="21"/>
                      <w:szCs w:val="21"/>
                    </w:rPr>
                  </w:pPr>
                  <w:r>
                    <w:rPr>
                      <w:rFonts w:hint="eastAsia" w:ascii="Times New Roman" w:cs="Times New Roman"/>
                      <w:sz w:val="21"/>
                      <w:szCs w:val="21"/>
                    </w:rPr>
                    <w:t>天然气燃烧废气经管道收集后通过15m高排气筒（DA00</w:t>
                  </w:r>
                  <w:r>
                    <w:rPr>
                      <w:rFonts w:hint="eastAsia" w:ascii="Times New Roman" w:cs="Times New Roman"/>
                      <w:sz w:val="21"/>
                      <w:szCs w:val="21"/>
                      <w:lang w:val="en-US" w:eastAsia="zh-CN"/>
                    </w:rPr>
                    <w:t>2</w:t>
                  </w:r>
                  <w:r>
                    <w:rPr>
                      <w:rFonts w:hint="eastAsia" w:ascii="Times New Roman" w:cs="Times New Roman"/>
                      <w:sz w:val="21"/>
                      <w:szCs w:val="21"/>
                    </w:rPr>
                    <w:t>）达标排放</w:t>
                  </w:r>
                </w:p>
              </w:tc>
              <w:tc>
                <w:tcPr>
                  <w:tcW w:w="568" w:type="pct"/>
                  <w:tcBorders>
                    <w:tl2br w:val="nil"/>
                    <w:tr2bl w:val="nil"/>
                  </w:tcBorders>
                  <w:vAlign w:val="center"/>
                </w:tcPr>
                <w:p w14:paraId="4908B41C">
                  <w:pPr>
                    <w:pStyle w:val="110"/>
                    <w:spacing w:line="240" w:lineRule="auto"/>
                    <w:ind w:firstLine="0" w:firstLineChars="0"/>
                    <w:jc w:val="center"/>
                    <w:rPr>
                      <w:rFonts w:ascii="Times New Roman" w:cs="Times New Roman"/>
                      <w:sz w:val="21"/>
                      <w:szCs w:val="21"/>
                    </w:rPr>
                  </w:pPr>
                  <w:r>
                    <w:rPr>
                      <w:rFonts w:ascii="Times New Roman" w:cs="Times New Roman"/>
                      <w:sz w:val="21"/>
                      <w:szCs w:val="21"/>
                    </w:rPr>
                    <w:t>新建</w:t>
                  </w:r>
                </w:p>
              </w:tc>
            </w:tr>
            <w:tr w14:paraId="386E5D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45" w:type="pct"/>
                  <w:vMerge w:val="continue"/>
                  <w:tcBorders>
                    <w:tl2br w:val="nil"/>
                    <w:tr2bl w:val="nil"/>
                  </w:tcBorders>
                  <w:vAlign w:val="center"/>
                </w:tcPr>
                <w:p w14:paraId="4ADB63BD">
                  <w:pPr>
                    <w:pStyle w:val="110"/>
                    <w:spacing w:line="240" w:lineRule="auto"/>
                    <w:ind w:firstLine="0" w:firstLineChars="0"/>
                    <w:jc w:val="center"/>
                    <w:rPr>
                      <w:rFonts w:ascii="Times New Roman" w:cs="Times New Roman"/>
                      <w:sz w:val="21"/>
                      <w:szCs w:val="21"/>
                      <w:u w:val="single"/>
                    </w:rPr>
                  </w:pPr>
                </w:p>
              </w:tc>
              <w:tc>
                <w:tcPr>
                  <w:tcW w:w="685" w:type="pct"/>
                  <w:vMerge w:val="continue"/>
                  <w:tcBorders>
                    <w:tl2br w:val="nil"/>
                    <w:tr2bl w:val="nil"/>
                  </w:tcBorders>
                  <w:vAlign w:val="center"/>
                </w:tcPr>
                <w:p w14:paraId="2FE0ECAC">
                  <w:pPr>
                    <w:pStyle w:val="110"/>
                    <w:spacing w:line="240" w:lineRule="auto"/>
                    <w:ind w:firstLine="0" w:firstLineChars="0"/>
                    <w:jc w:val="center"/>
                    <w:rPr>
                      <w:rFonts w:ascii="Times New Roman" w:cs="Times New Roman"/>
                      <w:sz w:val="21"/>
                      <w:szCs w:val="21"/>
                    </w:rPr>
                  </w:pPr>
                </w:p>
              </w:tc>
              <w:tc>
                <w:tcPr>
                  <w:tcW w:w="3100" w:type="pct"/>
                  <w:tcBorders>
                    <w:tl2br w:val="nil"/>
                    <w:tr2bl w:val="nil"/>
                  </w:tcBorders>
                  <w:vAlign w:val="center"/>
                </w:tcPr>
                <w:p w14:paraId="1B11CE61">
                  <w:pPr>
                    <w:pStyle w:val="110"/>
                    <w:spacing w:line="240" w:lineRule="auto"/>
                    <w:ind w:left="0" w:leftChars="0" w:right="0" w:rightChars="0" w:firstLine="0" w:firstLineChars="0"/>
                    <w:jc w:val="center"/>
                    <w:rPr>
                      <w:rFonts w:hint="default" w:ascii="Times New Roman" w:eastAsia="宋体" w:cs="Times New Roman"/>
                      <w:sz w:val="21"/>
                      <w:szCs w:val="21"/>
                      <w:lang w:val="en-US" w:eastAsia="zh-CN"/>
                    </w:rPr>
                  </w:pPr>
                  <w:r>
                    <w:rPr>
                      <w:rFonts w:hint="eastAsia" w:ascii="Times New Roman" w:cs="Times New Roman"/>
                      <w:sz w:val="21"/>
                      <w:szCs w:val="21"/>
                      <w:lang w:eastAsia="zh-CN"/>
                    </w:rPr>
                    <w:t>造粒挤出有机废气通过移动式</w:t>
                  </w:r>
                  <w:r>
                    <w:rPr>
                      <w:rFonts w:hint="eastAsia" w:ascii="Times New Roman" w:cs="Times New Roman"/>
                      <w:sz w:val="21"/>
                      <w:szCs w:val="21"/>
                      <w:lang w:val="en-US" w:eastAsia="zh-CN"/>
                    </w:rPr>
                    <w:t>VOCs处理设备处理后排放</w:t>
                  </w:r>
                </w:p>
              </w:tc>
              <w:tc>
                <w:tcPr>
                  <w:tcW w:w="568" w:type="pct"/>
                  <w:tcBorders>
                    <w:tl2br w:val="nil"/>
                    <w:tr2bl w:val="nil"/>
                  </w:tcBorders>
                  <w:vAlign w:val="center"/>
                </w:tcPr>
                <w:p w14:paraId="1C9BFF6A">
                  <w:pPr>
                    <w:pStyle w:val="110"/>
                    <w:spacing w:line="240" w:lineRule="auto"/>
                    <w:ind w:firstLine="0" w:firstLineChars="0"/>
                    <w:jc w:val="center"/>
                    <w:rPr>
                      <w:rFonts w:ascii="Times New Roman" w:cs="Times New Roman"/>
                      <w:sz w:val="21"/>
                      <w:szCs w:val="21"/>
                    </w:rPr>
                  </w:pPr>
                  <w:r>
                    <w:rPr>
                      <w:rFonts w:ascii="Times New Roman" w:cs="Times New Roman"/>
                      <w:sz w:val="21"/>
                      <w:szCs w:val="21"/>
                    </w:rPr>
                    <w:t>新建</w:t>
                  </w:r>
                </w:p>
              </w:tc>
            </w:tr>
            <w:tr w14:paraId="2F1BEF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45" w:type="pct"/>
                  <w:vMerge w:val="continue"/>
                  <w:tcBorders>
                    <w:tl2br w:val="nil"/>
                    <w:tr2bl w:val="nil"/>
                  </w:tcBorders>
                  <w:vAlign w:val="center"/>
                </w:tcPr>
                <w:p w14:paraId="551C595C">
                  <w:pPr>
                    <w:pStyle w:val="110"/>
                    <w:spacing w:line="240" w:lineRule="auto"/>
                    <w:ind w:firstLine="0" w:firstLineChars="0"/>
                    <w:jc w:val="center"/>
                    <w:rPr>
                      <w:rFonts w:ascii="Times New Roman" w:cs="Times New Roman"/>
                      <w:sz w:val="21"/>
                      <w:szCs w:val="21"/>
                    </w:rPr>
                  </w:pPr>
                </w:p>
              </w:tc>
              <w:tc>
                <w:tcPr>
                  <w:tcW w:w="685" w:type="pct"/>
                  <w:vMerge w:val="restart"/>
                  <w:tcBorders>
                    <w:tl2br w:val="nil"/>
                    <w:tr2bl w:val="nil"/>
                  </w:tcBorders>
                  <w:vAlign w:val="center"/>
                </w:tcPr>
                <w:p w14:paraId="4B50008B">
                  <w:pPr>
                    <w:pStyle w:val="110"/>
                    <w:spacing w:line="240" w:lineRule="auto"/>
                    <w:ind w:firstLine="0" w:firstLineChars="0"/>
                    <w:jc w:val="center"/>
                    <w:rPr>
                      <w:rFonts w:ascii="Times New Roman" w:cs="Times New Roman"/>
                      <w:sz w:val="21"/>
                      <w:szCs w:val="21"/>
                    </w:rPr>
                  </w:pPr>
                  <w:r>
                    <w:rPr>
                      <w:rFonts w:ascii="Times New Roman" w:cs="Times New Roman"/>
                      <w:sz w:val="21"/>
                      <w:szCs w:val="21"/>
                    </w:rPr>
                    <w:t>废水</w:t>
                  </w:r>
                </w:p>
              </w:tc>
              <w:tc>
                <w:tcPr>
                  <w:tcW w:w="3100" w:type="pct"/>
                  <w:tcBorders>
                    <w:tl2br w:val="nil"/>
                    <w:tr2bl w:val="nil"/>
                  </w:tcBorders>
                  <w:vAlign w:val="center"/>
                </w:tcPr>
                <w:p w14:paraId="0D0B358D">
                  <w:pPr>
                    <w:pStyle w:val="110"/>
                    <w:spacing w:line="240" w:lineRule="auto"/>
                    <w:ind w:firstLine="0" w:firstLineChars="0"/>
                    <w:jc w:val="center"/>
                    <w:rPr>
                      <w:rFonts w:ascii="Times New Roman" w:cs="Times New Roman"/>
                      <w:sz w:val="21"/>
                      <w:szCs w:val="21"/>
                    </w:rPr>
                  </w:pPr>
                  <w:r>
                    <w:rPr>
                      <w:rFonts w:ascii="Times New Roman" w:cs="Times New Roman"/>
                      <w:sz w:val="21"/>
                      <w:szCs w:val="21"/>
                    </w:rPr>
                    <w:t>生活污水</w:t>
                  </w:r>
                  <w:r>
                    <w:rPr>
                      <w:rFonts w:hint="eastAsia" w:ascii="Times New Roman" w:cs="Times New Roman"/>
                      <w:sz w:val="21"/>
                      <w:szCs w:val="21"/>
                    </w:rPr>
                    <w:t>依托厂区</w:t>
                  </w:r>
                  <w:r>
                    <w:rPr>
                      <w:rFonts w:ascii="Times New Roman" w:cs="Times New Roman"/>
                      <w:sz w:val="21"/>
                      <w:szCs w:val="21"/>
                    </w:rPr>
                    <w:t>化粪池处理后排入园区污水管网</w:t>
                  </w:r>
                </w:p>
              </w:tc>
              <w:tc>
                <w:tcPr>
                  <w:tcW w:w="568" w:type="pct"/>
                  <w:tcBorders>
                    <w:tl2br w:val="nil"/>
                    <w:tr2bl w:val="nil"/>
                  </w:tcBorders>
                  <w:vAlign w:val="center"/>
                </w:tcPr>
                <w:p w14:paraId="0407D689">
                  <w:pPr>
                    <w:pStyle w:val="110"/>
                    <w:spacing w:line="240" w:lineRule="auto"/>
                    <w:ind w:firstLine="0" w:firstLineChars="0"/>
                    <w:jc w:val="center"/>
                    <w:rPr>
                      <w:rFonts w:ascii="Times New Roman" w:cs="Times New Roman"/>
                      <w:sz w:val="21"/>
                      <w:szCs w:val="21"/>
                    </w:rPr>
                  </w:pPr>
                  <w:r>
                    <w:rPr>
                      <w:rFonts w:hint="eastAsia" w:ascii="Times New Roman" w:cs="Times New Roman"/>
                      <w:sz w:val="21"/>
                      <w:szCs w:val="21"/>
                    </w:rPr>
                    <w:t>依托</w:t>
                  </w:r>
                </w:p>
              </w:tc>
            </w:tr>
            <w:tr w14:paraId="7E3252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45" w:type="pct"/>
                  <w:vMerge w:val="continue"/>
                  <w:tcBorders>
                    <w:tl2br w:val="nil"/>
                    <w:tr2bl w:val="nil"/>
                  </w:tcBorders>
                  <w:vAlign w:val="center"/>
                </w:tcPr>
                <w:p w14:paraId="469F1211">
                  <w:pPr>
                    <w:pStyle w:val="110"/>
                    <w:spacing w:line="240" w:lineRule="auto"/>
                    <w:ind w:firstLine="0" w:firstLineChars="0"/>
                    <w:jc w:val="center"/>
                    <w:rPr>
                      <w:rFonts w:ascii="Times New Roman" w:cs="Times New Roman"/>
                      <w:sz w:val="21"/>
                      <w:szCs w:val="21"/>
                    </w:rPr>
                  </w:pPr>
                </w:p>
              </w:tc>
              <w:tc>
                <w:tcPr>
                  <w:tcW w:w="685" w:type="pct"/>
                  <w:vMerge w:val="continue"/>
                  <w:tcBorders>
                    <w:tl2br w:val="nil"/>
                    <w:tr2bl w:val="nil"/>
                  </w:tcBorders>
                  <w:vAlign w:val="center"/>
                </w:tcPr>
                <w:p w14:paraId="2FDE3AD5">
                  <w:pPr>
                    <w:pStyle w:val="110"/>
                    <w:spacing w:line="240" w:lineRule="auto"/>
                    <w:ind w:firstLine="0" w:firstLineChars="0"/>
                    <w:jc w:val="center"/>
                    <w:rPr>
                      <w:rFonts w:ascii="Times New Roman" w:cs="Times New Roman"/>
                      <w:sz w:val="21"/>
                      <w:szCs w:val="21"/>
                    </w:rPr>
                  </w:pPr>
                </w:p>
              </w:tc>
              <w:tc>
                <w:tcPr>
                  <w:tcW w:w="3100" w:type="pct"/>
                  <w:tcBorders>
                    <w:tl2br w:val="nil"/>
                    <w:tr2bl w:val="nil"/>
                  </w:tcBorders>
                  <w:vAlign w:val="center"/>
                </w:tcPr>
                <w:p w14:paraId="611525C1">
                  <w:pPr>
                    <w:pStyle w:val="110"/>
                    <w:spacing w:line="240" w:lineRule="auto"/>
                    <w:ind w:firstLine="0" w:firstLineChars="0"/>
                    <w:jc w:val="center"/>
                    <w:rPr>
                      <w:rFonts w:hint="eastAsia" w:ascii="Times New Roman" w:eastAsia="宋体" w:cs="Times New Roman"/>
                      <w:sz w:val="21"/>
                      <w:szCs w:val="21"/>
                      <w:lang w:eastAsia="zh-CN"/>
                    </w:rPr>
                  </w:pPr>
                  <w:r>
                    <w:rPr>
                      <w:rFonts w:hint="eastAsia" w:ascii="Times New Roman" w:cs="Times New Roman"/>
                      <w:sz w:val="21"/>
                      <w:szCs w:val="21"/>
                      <w:lang w:eastAsia="zh-CN"/>
                    </w:rPr>
                    <w:t>挤出冷却废水、化验废水收集后拉运至丰联公司污水处理站，处理后排入园区污水管网</w:t>
                  </w:r>
                </w:p>
              </w:tc>
              <w:tc>
                <w:tcPr>
                  <w:tcW w:w="568" w:type="pct"/>
                  <w:tcBorders>
                    <w:tl2br w:val="nil"/>
                    <w:tr2bl w:val="nil"/>
                  </w:tcBorders>
                  <w:vAlign w:val="center"/>
                </w:tcPr>
                <w:p w14:paraId="4E282D1D">
                  <w:pPr>
                    <w:pStyle w:val="110"/>
                    <w:spacing w:line="240" w:lineRule="auto"/>
                    <w:ind w:firstLine="0" w:firstLineChars="0"/>
                    <w:jc w:val="center"/>
                    <w:rPr>
                      <w:rFonts w:hint="eastAsia" w:ascii="Times New Roman" w:cs="Times New Roman"/>
                      <w:sz w:val="21"/>
                      <w:szCs w:val="21"/>
                    </w:rPr>
                  </w:pPr>
                  <w:r>
                    <w:rPr>
                      <w:rFonts w:hint="eastAsia" w:ascii="Times New Roman" w:cs="Times New Roman"/>
                      <w:sz w:val="21"/>
                      <w:szCs w:val="21"/>
                    </w:rPr>
                    <w:t>依托</w:t>
                  </w:r>
                </w:p>
              </w:tc>
            </w:tr>
            <w:tr w14:paraId="5586ED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45" w:type="pct"/>
                  <w:vMerge w:val="continue"/>
                  <w:tcBorders>
                    <w:tl2br w:val="nil"/>
                    <w:tr2bl w:val="nil"/>
                  </w:tcBorders>
                  <w:vAlign w:val="center"/>
                </w:tcPr>
                <w:p w14:paraId="7A238F66">
                  <w:pPr>
                    <w:pStyle w:val="110"/>
                    <w:spacing w:line="240" w:lineRule="auto"/>
                    <w:ind w:firstLine="0" w:firstLineChars="0"/>
                    <w:jc w:val="center"/>
                    <w:rPr>
                      <w:rFonts w:ascii="Times New Roman" w:cs="Times New Roman"/>
                      <w:sz w:val="21"/>
                      <w:szCs w:val="21"/>
                    </w:rPr>
                  </w:pPr>
                </w:p>
              </w:tc>
              <w:tc>
                <w:tcPr>
                  <w:tcW w:w="685" w:type="pct"/>
                  <w:tcBorders>
                    <w:tl2br w:val="nil"/>
                    <w:tr2bl w:val="nil"/>
                  </w:tcBorders>
                  <w:vAlign w:val="center"/>
                </w:tcPr>
                <w:p w14:paraId="1F07F66C">
                  <w:pPr>
                    <w:pStyle w:val="110"/>
                    <w:spacing w:line="240" w:lineRule="auto"/>
                    <w:ind w:firstLine="0" w:firstLineChars="0"/>
                    <w:jc w:val="center"/>
                    <w:rPr>
                      <w:rFonts w:ascii="Times New Roman" w:cs="Times New Roman"/>
                      <w:sz w:val="21"/>
                      <w:szCs w:val="21"/>
                    </w:rPr>
                  </w:pPr>
                  <w:r>
                    <w:rPr>
                      <w:rFonts w:ascii="Times New Roman" w:cs="Times New Roman"/>
                      <w:sz w:val="21"/>
                      <w:szCs w:val="21"/>
                    </w:rPr>
                    <w:t>噪声</w:t>
                  </w:r>
                </w:p>
              </w:tc>
              <w:tc>
                <w:tcPr>
                  <w:tcW w:w="3100" w:type="pct"/>
                  <w:tcBorders>
                    <w:tl2br w:val="nil"/>
                    <w:tr2bl w:val="nil"/>
                  </w:tcBorders>
                  <w:vAlign w:val="center"/>
                </w:tcPr>
                <w:p w14:paraId="1893188D">
                  <w:pPr>
                    <w:pStyle w:val="110"/>
                    <w:spacing w:line="240" w:lineRule="auto"/>
                    <w:ind w:firstLine="0" w:firstLineChars="0"/>
                    <w:jc w:val="center"/>
                    <w:rPr>
                      <w:rFonts w:ascii="Times New Roman" w:cs="Times New Roman"/>
                      <w:sz w:val="21"/>
                      <w:szCs w:val="21"/>
                    </w:rPr>
                  </w:pPr>
                  <w:r>
                    <w:rPr>
                      <w:rFonts w:ascii="Times New Roman" w:cs="Times New Roman"/>
                      <w:bCs/>
                      <w:sz w:val="21"/>
                      <w:szCs w:val="21"/>
                    </w:rPr>
                    <w:t>选用低噪设备，风机设置减振、隔声措施</w:t>
                  </w:r>
                </w:p>
              </w:tc>
              <w:tc>
                <w:tcPr>
                  <w:tcW w:w="568" w:type="pct"/>
                  <w:tcBorders>
                    <w:tl2br w:val="nil"/>
                    <w:tr2bl w:val="nil"/>
                  </w:tcBorders>
                  <w:vAlign w:val="center"/>
                </w:tcPr>
                <w:p w14:paraId="60A4C313">
                  <w:pPr>
                    <w:pStyle w:val="110"/>
                    <w:spacing w:line="240" w:lineRule="auto"/>
                    <w:ind w:firstLine="0" w:firstLineChars="0"/>
                    <w:jc w:val="center"/>
                    <w:rPr>
                      <w:rFonts w:ascii="Times New Roman" w:cs="Times New Roman"/>
                      <w:sz w:val="21"/>
                      <w:szCs w:val="21"/>
                    </w:rPr>
                  </w:pPr>
                  <w:r>
                    <w:rPr>
                      <w:rFonts w:ascii="Times New Roman" w:cs="Times New Roman"/>
                      <w:sz w:val="21"/>
                      <w:szCs w:val="21"/>
                    </w:rPr>
                    <w:t>新建</w:t>
                  </w:r>
                </w:p>
              </w:tc>
            </w:tr>
            <w:tr w14:paraId="18B1F6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45" w:type="pct"/>
                  <w:vMerge w:val="continue"/>
                  <w:tcBorders>
                    <w:tl2br w:val="nil"/>
                    <w:tr2bl w:val="nil"/>
                  </w:tcBorders>
                  <w:vAlign w:val="center"/>
                </w:tcPr>
                <w:p w14:paraId="786B69C9">
                  <w:pPr>
                    <w:pStyle w:val="110"/>
                    <w:spacing w:line="240" w:lineRule="auto"/>
                    <w:ind w:firstLine="0" w:firstLineChars="0"/>
                    <w:jc w:val="center"/>
                    <w:rPr>
                      <w:rFonts w:ascii="Times New Roman" w:cs="Times New Roman"/>
                      <w:sz w:val="21"/>
                      <w:szCs w:val="21"/>
                    </w:rPr>
                  </w:pPr>
                </w:p>
              </w:tc>
              <w:tc>
                <w:tcPr>
                  <w:tcW w:w="685" w:type="pct"/>
                  <w:tcBorders>
                    <w:tl2br w:val="nil"/>
                    <w:tr2bl w:val="nil"/>
                  </w:tcBorders>
                  <w:vAlign w:val="center"/>
                </w:tcPr>
                <w:p w14:paraId="7CA084CE">
                  <w:pPr>
                    <w:pStyle w:val="110"/>
                    <w:spacing w:line="240" w:lineRule="auto"/>
                    <w:ind w:firstLine="0" w:firstLineChars="0"/>
                    <w:jc w:val="center"/>
                    <w:rPr>
                      <w:rFonts w:ascii="Times New Roman" w:cs="Times New Roman"/>
                      <w:sz w:val="21"/>
                      <w:szCs w:val="21"/>
                    </w:rPr>
                  </w:pPr>
                  <w:r>
                    <w:rPr>
                      <w:rFonts w:ascii="Times New Roman" w:cs="Times New Roman"/>
                      <w:sz w:val="21"/>
                      <w:szCs w:val="21"/>
                    </w:rPr>
                    <w:t>固废</w:t>
                  </w:r>
                </w:p>
              </w:tc>
              <w:tc>
                <w:tcPr>
                  <w:tcW w:w="3100" w:type="pct"/>
                  <w:tcBorders>
                    <w:tl2br w:val="nil"/>
                    <w:tr2bl w:val="nil"/>
                  </w:tcBorders>
                  <w:vAlign w:val="center"/>
                </w:tcPr>
                <w:p w14:paraId="2845F217">
                  <w:pPr>
                    <w:pStyle w:val="110"/>
                    <w:spacing w:line="240" w:lineRule="auto"/>
                    <w:ind w:left="0" w:leftChars="0" w:right="0" w:rightChars="0" w:firstLine="0" w:firstLineChars="0"/>
                    <w:jc w:val="center"/>
                    <w:rPr>
                      <w:rFonts w:ascii="Times New Roman" w:cs="Times New Roman"/>
                      <w:sz w:val="21"/>
                      <w:szCs w:val="21"/>
                      <w:highlight w:val="yellow"/>
                    </w:rPr>
                  </w:pPr>
                  <w:r>
                    <w:rPr>
                      <w:rFonts w:hint="eastAsia" w:ascii="Times New Roman" w:cs="Times New Roman"/>
                      <w:sz w:val="21"/>
                      <w:szCs w:val="21"/>
                      <w:highlight w:val="none"/>
                      <w:lang w:eastAsia="zh-CN"/>
                    </w:rPr>
                    <w:t>废活性炭、</w:t>
                  </w:r>
                  <w:r>
                    <w:rPr>
                      <w:rFonts w:ascii="Times New Roman" w:cs="Times New Roman"/>
                      <w:sz w:val="21"/>
                      <w:szCs w:val="21"/>
                      <w:highlight w:val="none"/>
                    </w:rPr>
                    <w:t>废矿物油</w:t>
                  </w:r>
                  <w:r>
                    <w:rPr>
                      <w:rFonts w:hint="eastAsia" w:ascii="Times New Roman" w:cs="Times New Roman"/>
                      <w:sz w:val="21"/>
                      <w:szCs w:val="21"/>
                      <w:highlight w:val="none"/>
                      <w:lang w:eastAsia="zh-CN"/>
                    </w:rPr>
                    <w:t>、废导热油、废含油抹布及手套</w:t>
                  </w:r>
                  <w:r>
                    <w:rPr>
                      <w:rFonts w:ascii="Times New Roman" w:cs="Times New Roman"/>
                      <w:sz w:val="21"/>
                      <w:szCs w:val="21"/>
                      <w:highlight w:val="none"/>
                    </w:rPr>
                    <w:t>收集后暂存于危废间，定期交有资质单位拉运处理；生活垃圾收集后交由园区环卫部门清运</w:t>
                  </w:r>
                  <w:r>
                    <w:rPr>
                      <w:rFonts w:hint="eastAsia" w:ascii="Times New Roman" w:cs="Times New Roman"/>
                      <w:sz w:val="21"/>
                      <w:szCs w:val="21"/>
                      <w:highlight w:val="none"/>
                    </w:rPr>
                    <w:t>。</w:t>
                  </w:r>
                </w:p>
              </w:tc>
              <w:tc>
                <w:tcPr>
                  <w:tcW w:w="568" w:type="pct"/>
                  <w:tcBorders>
                    <w:tl2br w:val="nil"/>
                    <w:tr2bl w:val="nil"/>
                  </w:tcBorders>
                  <w:vAlign w:val="center"/>
                </w:tcPr>
                <w:p w14:paraId="22963FB3">
                  <w:pPr>
                    <w:pStyle w:val="110"/>
                    <w:spacing w:line="240" w:lineRule="auto"/>
                    <w:ind w:firstLine="0" w:firstLineChars="0"/>
                    <w:jc w:val="center"/>
                    <w:rPr>
                      <w:rFonts w:ascii="Times New Roman" w:cs="Times New Roman"/>
                      <w:sz w:val="21"/>
                      <w:szCs w:val="21"/>
                    </w:rPr>
                  </w:pPr>
                  <w:r>
                    <w:rPr>
                      <w:rFonts w:ascii="Times New Roman" w:cs="Times New Roman"/>
                      <w:sz w:val="21"/>
                      <w:szCs w:val="21"/>
                    </w:rPr>
                    <w:t>新建</w:t>
                  </w:r>
                </w:p>
              </w:tc>
            </w:tr>
          </w:tbl>
          <w:p w14:paraId="2BC0D732">
            <w:pPr>
              <w:spacing w:line="360" w:lineRule="auto"/>
              <w:jc w:val="center"/>
              <w:rPr>
                <w:b/>
              </w:rPr>
            </w:pPr>
            <w:r>
              <w:rPr>
                <w:b/>
              </w:rPr>
              <w:t xml:space="preserve">表2-2 </w:t>
            </w:r>
            <w:r>
              <w:rPr>
                <w:rFonts w:hint="eastAsia"/>
                <w:b/>
              </w:rPr>
              <w:t>主要经济技术指标表</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98"/>
              <w:gridCol w:w="2817"/>
              <w:gridCol w:w="1420"/>
              <w:gridCol w:w="1373"/>
              <w:gridCol w:w="2243"/>
            </w:tblGrid>
            <w:tr w14:paraId="0D17CB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513" w:type="pct"/>
                  <w:vAlign w:val="center"/>
                </w:tcPr>
                <w:p w14:paraId="2C7D0C09">
                  <w:pPr>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序号</w:t>
                  </w:r>
                </w:p>
              </w:tc>
              <w:tc>
                <w:tcPr>
                  <w:tcW w:w="1609" w:type="pct"/>
                  <w:vAlign w:val="center"/>
                </w:tcPr>
                <w:p w14:paraId="0C87B400">
                  <w:pPr>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项目名称</w:t>
                  </w:r>
                </w:p>
              </w:tc>
              <w:tc>
                <w:tcPr>
                  <w:tcW w:w="811" w:type="pct"/>
                  <w:vAlign w:val="center"/>
                </w:tcPr>
                <w:p w14:paraId="1E2BD7BB">
                  <w:pPr>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单位</w:t>
                  </w:r>
                </w:p>
              </w:tc>
              <w:tc>
                <w:tcPr>
                  <w:tcW w:w="784" w:type="pct"/>
                  <w:vAlign w:val="center"/>
                </w:tcPr>
                <w:p w14:paraId="0D988723">
                  <w:pPr>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数量</w:t>
                  </w:r>
                </w:p>
              </w:tc>
              <w:tc>
                <w:tcPr>
                  <w:tcW w:w="1281" w:type="pct"/>
                  <w:vAlign w:val="center"/>
                </w:tcPr>
                <w:p w14:paraId="1B44CC45">
                  <w:pPr>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备注</w:t>
                  </w:r>
                </w:p>
              </w:tc>
            </w:tr>
            <w:tr w14:paraId="6A8E86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vAlign w:val="center"/>
                </w:tcPr>
                <w:p w14:paraId="065283B6">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一</w:t>
                  </w:r>
                </w:p>
              </w:tc>
              <w:tc>
                <w:tcPr>
                  <w:tcW w:w="1609" w:type="pct"/>
                  <w:vAlign w:val="center"/>
                </w:tcPr>
                <w:p w14:paraId="52F97AC1">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生产规模</w:t>
                  </w:r>
                </w:p>
              </w:tc>
              <w:tc>
                <w:tcPr>
                  <w:tcW w:w="811" w:type="pct"/>
                  <w:vAlign w:val="center"/>
                </w:tcPr>
                <w:p w14:paraId="121CFE0E">
                  <w:pPr>
                    <w:jc w:val="center"/>
                    <w:rPr>
                      <w:bCs/>
                      <w:color w:val="000000" w:themeColor="text1"/>
                      <w:sz w:val="21"/>
                      <w:szCs w:val="21"/>
                      <w14:textFill>
                        <w14:solidFill>
                          <w14:schemeClr w14:val="tx1"/>
                        </w14:solidFill>
                      </w14:textFill>
                    </w:rPr>
                  </w:pPr>
                </w:p>
              </w:tc>
              <w:tc>
                <w:tcPr>
                  <w:tcW w:w="784" w:type="pct"/>
                  <w:vAlign w:val="center"/>
                </w:tcPr>
                <w:p w14:paraId="46891FD3">
                  <w:pPr>
                    <w:jc w:val="center"/>
                    <w:rPr>
                      <w:bCs/>
                      <w:color w:val="000000" w:themeColor="text1"/>
                      <w:sz w:val="21"/>
                      <w:szCs w:val="21"/>
                      <w14:textFill>
                        <w14:solidFill>
                          <w14:schemeClr w14:val="tx1"/>
                        </w14:solidFill>
                      </w14:textFill>
                    </w:rPr>
                  </w:pPr>
                </w:p>
              </w:tc>
              <w:tc>
                <w:tcPr>
                  <w:tcW w:w="1281" w:type="pct"/>
                  <w:vAlign w:val="center"/>
                </w:tcPr>
                <w:p w14:paraId="41BECB3E">
                  <w:pPr>
                    <w:jc w:val="center"/>
                    <w:rPr>
                      <w:bCs/>
                      <w:color w:val="000000" w:themeColor="text1"/>
                      <w:sz w:val="21"/>
                      <w:szCs w:val="21"/>
                      <w14:textFill>
                        <w14:solidFill>
                          <w14:schemeClr w14:val="tx1"/>
                        </w14:solidFill>
                      </w14:textFill>
                    </w:rPr>
                  </w:pPr>
                </w:p>
              </w:tc>
            </w:tr>
            <w:tr w14:paraId="127D82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vAlign w:val="center"/>
                </w:tcPr>
                <w:p w14:paraId="550264BD">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w:t>
                  </w:r>
                </w:p>
              </w:tc>
              <w:tc>
                <w:tcPr>
                  <w:tcW w:w="1609" w:type="pct"/>
                  <w:vAlign w:val="center"/>
                </w:tcPr>
                <w:p w14:paraId="619DEAAB">
                  <w:pPr>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焦磷酸哌嗪</w:t>
                  </w:r>
                </w:p>
              </w:tc>
              <w:tc>
                <w:tcPr>
                  <w:tcW w:w="811" w:type="pct"/>
                  <w:vAlign w:val="center"/>
                </w:tcPr>
                <w:p w14:paraId="489480E3">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吨/年</w:t>
                  </w:r>
                </w:p>
              </w:tc>
              <w:tc>
                <w:tcPr>
                  <w:tcW w:w="784" w:type="pct"/>
                  <w:vAlign w:val="center"/>
                </w:tcPr>
                <w:p w14:paraId="138ADB3F">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5000</w:t>
                  </w:r>
                </w:p>
              </w:tc>
              <w:tc>
                <w:tcPr>
                  <w:tcW w:w="1281" w:type="pct"/>
                  <w:vMerge w:val="restart"/>
                  <w:vAlign w:val="center"/>
                </w:tcPr>
                <w:p w14:paraId="02E17E91">
                  <w:pPr>
                    <w:jc w:val="center"/>
                    <w:rPr>
                      <w:rFonts w:hint="eastAsia" w:eastAsia="宋体"/>
                      <w:bCs/>
                      <w:color w:val="000000" w:themeColor="text1"/>
                      <w:sz w:val="21"/>
                      <w:szCs w:val="21"/>
                      <w:lang w:eastAsia="zh-CN"/>
                      <w14:textFill>
                        <w14:solidFill>
                          <w14:schemeClr w14:val="tx1"/>
                        </w14:solidFill>
                      </w14:textFill>
                    </w:rPr>
                  </w:pPr>
                  <w:r>
                    <w:rPr>
                      <w:rFonts w:hint="eastAsia"/>
                      <w:bCs/>
                      <w:sz w:val="21"/>
                      <w:szCs w:val="21"/>
                      <w:lang w:val="en-US" w:eastAsia="zh-CN"/>
                    </w:rPr>
                    <w:t>/</w:t>
                  </w:r>
                </w:p>
              </w:tc>
            </w:tr>
            <w:tr w14:paraId="553B8E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vAlign w:val="center"/>
                </w:tcPr>
                <w:p w14:paraId="4099BF85">
                  <w:pPr>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w:t>
                  </w:r>
                </w:p>
              </w:tc>
              <w:tc>
                <w:tcPr>
                  <w:tcW w:w="1609" w:type="pct"/>
                  <w:vAlign w:val="center"/>
                </w:tcPr>
                <w:p w14:paraId="1BD4AE55">
                  <w:pPr>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无卤阻燃剂</w:t>
                  </w:r>
                </w:p>
              </w:tc>
              <w:tc>
                <w:tcPr>
                  <w:tcW w:w="811" w:type="pct"/>
                  <w:vAlign w:val="center"/>
                </w:tcPr>
                <w:p w14:paraId="5F7276A9">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吨/年</w:t>
                  </w:r>
                </w:p>
              </w:tc>
              <w:tc>
                <w:tcPr>
                  <w:tcW w:w="784" w:type="pct"/>
                  <w:vAlign w:val="center"/>
                </w:tcPr>
                <w:p w14:paraId="6A54C9EB">
                  <w:pPr>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3750</w:t>
                  </w:r>
                </w:p>
              </w:tc>
              <w:tc>
                <w:tcPr>
                  <w:tcW w:w="1281" w:type="pct"/>
                  <w:vMerge w:val="continue"/>
                  <w:vAlign w:val="center"/>
                </w:tcPr>
                <w:p w14:paraId="6DBEA5C1">
                  <w:pPr>
                    <w:jc w:val="center"/>
                    <w:rPr>
                      <w:bCs/>
                      <w:color w:val="000000" w:themeColor="text1"/>
                      <w:sz w:val="21"/>
                      <w:szCs w:val="21"/>
                      <w14:textFill>
                        <w14:solidFill>
                          <w14:schemeClr w14:val="tx1"/>
                        </w14:solidFill>
                      </w14:textFill>
                    </w:rPr>
                  </w:pPr>
                </w:p>
              </w:tc>
            </w:tr>
            <w:tr w14:paraId="6773AE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vAlign w:val="center"/>
                </w:tcPr>
                <w:p w14:paraId="08E18151">
                  <w:pPr>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3</w:t>
                  </w:r>
                </w:p>
              </w:tc>
              <w:tc>
                <w:tcPr>
                  <w:tcW w:w="1609" w:type="pct"/>
                  <w:vAlign w:val="center"/>
                </w:tcPr>
                <w:p w14:paraId="2F00D729">
                  <w:pPr>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功能阻燃母粒</w:t>
                  </w:r>
                </w:p>
              </w:tc>
              <w:tc>
                <w:tcPr>
                  <w:tcW w:w="811" w:type="pct"/>
                  <w:vAlign w:val="center"/>
                </w:tcPr>
                <w:p w14:paraId="105D78CC">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吨/年</w:t>
                  </w:r>
                </w:p>
              </w:tc>
              <w:tc>
                <w:tcPr>
                  <w:tcW w:w="784" w:type="pct"/>
                  <w:vAlign w:val="center"/>
                </w:tcPr>
                <w:p w14:paraId="54523046">
                  <w:pPr>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6250</w:t>
                  </w:r>
                </w:p>
              </w:tc>
              <w:tc>
                <w:tcPr>
                  <w:tcW w:w="1281" w:type="pct"/>
                  <w:vMerge w:val="continue"/>
                  <w:vAlign w:val="center"/>
                </w:tcPr>
                <w:p w14:paraId="1C9E6BBD">
                  <w:pPr>
                    <w:jc w:val="center"/>
                    <w:rPr>
                      <w:bCs/>
                      <w:color w:val="000000" w:themeColor="text1"/>
                      <w:sz w:val="21"/>
                      <w:szCs w:val="21"/>
                      <w14:textFill>
                        <w14:solidFill>
                          <w14:schemeClr w14:val="tx1"/>
                        </w14:solidFill>
                      </w14:textFill>
                    </w:rPr>
                  </w:pPr>
                </w:p>
              </w:tc>
            </w:tr>
            <w:tr w14:paraId="1512FA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vAlign w:val="center"/>
                </w:tcPr>
                <w:p w14:paraId="24C07268">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二</w:t>
                  </w:r>
                </w:p>
              </w:tc>
              <w:tc>
                <w:tcPr>
                  <w:tcW w:w="1609" w:type="pct"/>
                  <w:vAlign w:val="center"/>
                </w:tcPr>
                <w:p w14:paraId="0200E252">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年操作日</w:t>
                  </w:r>
                </w:p>
              </w:tc>
              <w:tc>
                <w:tcPr>
                  <w:tcW w:w="811" w:type="pct"/>
                  <w:vAlign w:val="center"/>
                </w:tcPr>
                <w:p w14:paraId="36C89516">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天</w:t>
                  </w:r>
                </w:p>
              </w:tc>
              <w:tc>
                <w:tcPr>
                  <w:tcW w:w="784" w:type="pct"/>
                  <w:vAlign w:val="center"/>
                </w:tcPr>
                <w:p w14:paraId="4A1B7A1A">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333</w:t>
                  </w:r>
                </w:p>
              </w:tc>
              <w:tc>
                <w:tcPr>
                  <w:tcW w:w="1281" w:type="pct"/>
                  <w:vAlign w:val="center"/>
                </w:tcPr>
                <w:p w14:paraId="2319D54D">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8000小时计</w:t>
                  </w:r>
                </w:p>
              </w:tc>
            </w:tr>
            <w:tr w14:paraId="75A5B4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vAlign w:val="center"/>
                </w:tcPr>
                <w:p w14:paraId="69DCAEB1">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三</w:t>
                  </w:r>
                </w:p>
              </w:tc>
              <w:tc>
                <w:tcPr>
                  <w:tcW w:w="1609" w:type="pct"/>
                  <w:vAlign w:val="center"/>
                </w:tcPr>
                <w:p w14:paraId="539F6A65">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主要原辅材料、燃料用量</w:t>
                  </w:r>
                </w:p>
              </w:tc>
              <w:tc>
                <w:tcPr>
                  <w:tcW w:w="811" w:type="pct"/>
                  <w:vAlign w:val="center"/>
                </w:tcPr>
                <w:p w14:paraId="0195E841">
                  <w:pPr>
                    <w:jc w:val="center"/>
                    <w:rPr>
                      <w:bCs/>
                      <w:color w:val="000000" w:themeColor="text1"/>
                      <w:sz w:val="21"/>
                      <w:szCs w:val="21"/>
                      <w14:textFill>
                        <w14:solidFill>
                          <w14:schemeClr w14:val="tx1"/>
                        </w14:solidFill>
                      </w14:textFill>
                    </w:rPr>
                  </w:pPr>
                </w:p>
              </w:tc>
              <w:tc>
                <w:tcPr>
                  <w:tcW w:w="784" w:type="pct"/>
                  <w:vAlign w:val="center"/>
                </w:tcPr>
                <w:p w14:paraId="7868BEDD">
                  <w:pPr>
                    <w:jc w:val="center"/>
                    <w:rPr>
                      <w:bCs/>
                      <w:color w:val="000000" w:themeColor="text1"/>
                      <w:sz w:val="21"/>
                      <w:szCs w:val="21"/>
                      <w14:textFill>
                        <w14:solidFill>
                          <w14:schemeClr w14:val="tx1"/>
                        </w14:solidFill>
                      </w14:textFill>
                    </w:rPr>
                  </w:pPr>
                </w:p>
              </w:tc>
              <w:tc>
                <w:tcPr>
                  <w:tcW w:w="1281" w:type="pct"/>
                  <w:vAlign w:val="center"/>
                </w:tcPr>
                <w:p w14:paraId="63DF9873">
                  <w:pPr>
                    <w:jc w:val="center"/>
                    <w:rPr>
                      <w:bCs/>
                      <w:color w:val="000000" w:themeColor="text1"/>
                      <w:sz w:val="21"/>
                      <w:szCs w:val="21"/>
                      <w14:textFill>
                        <w14:solidFill>
                          <w14:schemeClr w14:val="tx1"/>
                        </w14:solidFill>
                      </w14:textFill>
                    </w:rPr>
                  </w:pPr>
                </w:p>
              </w:tc>
            </w:tr>
            <w:tr w14:paraId="7BF0F2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vAlign w:val="center"/>
                </w:tcPr>
                <w:p w14:paraId="1722CA6B">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w:t>
                  </w:r>
                </w:p>
              </w:tc>
              <w:tc>
                <w:tcPr>
                  <w:tcW w:w="1609" w:type="pct"/>
                  <w:vAlign w:val="center"/>
                </w:tcPr>
                <w:p w14:paraId="146CD5CB">
                  <w:pPr>
                    <w:jc w:val="center"/>
                    <w:rPr>
                      <w:bCs/>
                      <w:sz w:val="21"/>
                      <w:szCs w:val="21"/>
                    </w:rPr>
                  </w:pPr>
                  <w:r>
                    <w:rPr>
                      <w:bCs/>
                      <w:sz w:val="21"/>
                      <w:szCs w:val="21"/>
                    </w:rPr>
                    <w:t>原辅料合计</w:t>
                  </w:r>
                </w:p>
              </w:tc>
              <w:tc>
                <w:tcPr>
                  <w:tcW w:w="811" w:type="pct"/>
                  <w:vAlign w:val="center"/>
                </w:tcPr>
                <w:p w14:paraId="49083B0B">
                  <w:pPr>
                    <w:jc w:val="center"/>
                    <w:rPr>
                      <w:bCs/>
                      <w:sz w:val="21"/>
                      <w:szCs w:val="21"/>
                    </w:rPr>
                  </w:pPr>
                  <w:r>
                    <w:rPr>
                      <w:bCs/>
                      <w:sz w:val="21"/>
                      <w:szCs w:val="21"/>
                    </w:rPr>
                    <w:t>吨/年</w:t>
                  </w:r>
                </w:p>
              </w:tc>
              <w:tc>
                <w:tcPr>
                  <w:tcW w:w="784" w:type="pct"/>
                  <w:vAlign w:val="center"/>
                </w:tcPr>
                <w:p w14:paraId="2566E788">
                  <w:pPr>
                    <w:jc w:val="center"/>
                    <w:textAlignment w:val="center"/>
                    <w:rPr>
                      <w:rFonts w:hint="default" w:eastAsia="宋体"/>
                      <w:sz w:val="21"/>
                      <w:szCs w:val="21"/>
                      <w:lang w:val="en-US" w:eastAsia="zh-CN"/>
                    </w:rPr>
                  </w:pPr>
                  <w:r>
                    <w:rPr>
                      <w:rFonts w:hint="eastAsia"/>
                      <w:sz w:val="21"/>
                      <w:szCs w:val="21"/>
                      <w:lang w:bidi="ar"/>
                    </w:rPr>
                    <w:t>157</w:t>
                  </w:r>
                  <w:r>
                    <w:rPr>
                      <w:rFonts w:hint="eastAsia"/>
                      <w:sz w:val="21"/>
                      <w:szCs w:val="21"/>
                      <w:lang w:val="en-US" w:eastAsia="zh-CN" w:bidi="ar"/>
                    </w:rPr>
                    <w:t>50.86</w:t>
                  </w:r>
                </w:p>
              </w:tc>
              <w:tc>
                <w:tcPr>
                  <w:tcW w:w="1281" w:type="pct"/>
                  <w:vAlign w:val="center"/>
                </w:tcPr>
                <w:p w14:paraId="0321D36B">
                  <w:pPr>
                    <w:jc w:val="center"/>
                    <w:rPr>
                      <w:rFonts w:hint="default" w:eastAsia="宋体"/>
                      <w:bCs/>
                      <w:sz w:val="21"/>
                      <w:szCs w:val="21"/>
                      <w:lang w:val="en-US" w:eastAsia="zh-CN"/>
                    </w:rPr>
                  </w:pPr>
                  <w:r>
                    <w:rPr>
                      <w:bCs/>
                      <w:sz w:val="21"/>
                      <w:szCs w:val="21"/>
                    </w:rPr>
                    <w:t>详见表</w:t>
                  </w:r>
                  <w:r>
                    <w:rPr>
                      <w:rFonts w:hint="eastAsia"/>
                      <w:bCs/>
                      <w:sz w:val="21"/>
                      <w:szCs w:val="21"/>
                      <w:lang w:val="en-US" w:eastAsia="zh-CN"/>
                    </w:rPr>
                    <w:t>2-3</w:t>
                  </w:r>
                </w:p>
              </w:tc>
            </w:tr>
            <w:tr w14:paraId="52E5E1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vAlign w:val="center"/>
                </w:tcPr>
                <w:p w14:paraId="4AFBC3D7">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四</w:t>
                  </w:r>
                </w:p>
              </w:tc>
              <w:tc>
                <w:tcPr>
                  <w:tcW w:w="1609" w:type="pct"/>
                  <w:vAlign w:val="center"/>
                </w:tcPr>
                <w:p w14:paraId="38E6C0E5">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动力消耗量</w:t>
                  </w:r>
                </w:p>
              </w:tc>
              <w:tc>
                <w:tcPr>
                  <w:tcW w:w="811" w:type="pct"/>
                  <w:vAlign w:val="center"/>
                </w:tcPr>
                <w:p w14:paraId="3CC8F116">
                  <w:pPr>
                    <w:jc w:val="center"/>
                    <w:rPr>
                      <w:bCs/>
                      <w:color w:val="000000" w:themeColor="text1"/>
                      <w:sz w:val="21"/>
                      <w:szCs w:val="21"/>
                      <w14:textFill>
                        <w14:solidFill>
                          <w14:schemeClr w14:val="tx1"/>
                        </w14:solidFill>
                      </w14:textFill>
                    </w:rPr>
                  </w:pPr>
                </w:p>
              </w:tc>
              <w:tc>
                <w:tcPr>
                  <w:tcW w:w="784" w:type="pct"/>
                  <w:vAlign w:val="center"/>
                </w:tcPr>
                <w:p w14:paraId="4C3D0BE6">
                  <w:pPr>
                    <w:jc w:val="center"/>
                    <w:rPr>
                      <w:bCs/>
                      <w:color w:val="000000" w:themeColor="text1"/>
                      <w:sz w:val="21"/>
                      <w:szCs w:val="21"/>
                      <w14:textFill>
                        <w14:solidFill>
                          <w14:schemeClr w14:val="tx1"/>
                        </w14:solidFill>
                      </w14:textFill>
                    </w:rPr>
                  </w:pPr>
                </w:p>
              </w:tc>
              <w:tc>
                <w:tcPr>
                  <w:tcW w:w="1281" w:type="pct"/>
                  <w:vAlign w:val="center"/>
                </w:tcPr>
                <w:p w14:paraId="65B7990E">
                  <w:pPr>
                    <w:jc w:val="center"/>
                    <w:rPr>
                      <w:bCs/>
                      <w:color w:val="000000" w:themeColor="text1"/>
                      <w:sz w:val="21"/>
                      <w:szCs w:val="21"/>
                      <w14:textFill>
                        <w14:solidFill>
                          <w14:schemeClr w14:val="tx1"/>
                        </w14:solidFill>
                      </w14:textFill>
                    </w:rPr>
                  </w:pPr>
                </w:p>
              </w:tc>
            </w:tr>
            <w:tr w14:paraId="28D3D2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vAlign w:val="center"/>
                </w:tcPr>
                <w:p w14:paraId="03A9F1BD">
                  <w:pPr>
                    <w:jc w:val="center"/>
                    <w:rPr>
                      <w:bCs/>
                      <w:color w:val="FF0000"/>
                      <w:sz w:val="21"/>
                      <w:szCs w:val="21"/>
                    </w:rPr>
                  </w:pPr>
                  <w:r>
                    <w:rPr>
                      <w:bCs/>
                      <w:sz w:val="21"/>
                      <w:szCs w:val="21"/>
                    </w:rPr>
                    <w:t>1</w:t>
                  </w:r>
                </w:p>
              </w:tc>
              <w:tc>
                <w:tcPr>
                  <w:tcW w:w="1609" w:type="pct"/>
                  <w:vAlign w:val="center"/>
                </w:tcPr>
                <w:p w14:paraId="29E29571">
                  <w:pPr>
                    <w:jc w:val="center"/>
                    <w:rPr>
                      <w:bCs/>
                      <w:sz w:val="21"/>
                      <w:szCs w:val="21"/>
                    </w:rPr>
                  </w:pPr>
                  <w:r>
                    <w:rPr>
                      <w:bCs/>
                      <w:sz w:val="21"/>
                      <w:szCs w:val="21"/>
                    </w:rPr>
                    <w:t>一次水</w:t>
                  </w:r>
                </w:p>
              </w:tc>
              <w:tc>
                <w:tcPr>
                  <w:tcW w:w="811" w:type="pct"/>
                  <w:vAlign w:val="center"/>
                </w:tcPr>
                <w:p w14:paraId="41A94AF3">
                  <w:pPr>
                    <w:jc w:val="center"/>
                    <w:rPr>
                      <w:bCs/>
                      <w:sz w:val="21"/>
                      <w:szCs w:val="21"/>
                      <w:highlight w:val="yellow"/>
                      <w:vertAlign w:val="superscript"/>
                    </w:rPr>
                  </w:pPr>
                  <w:r>
                    <w:rPr>
                      <w:bCs/>
                      <w:sz w:val="21"/>
                      <w:szCs w:val="21"/>
                      <w:highlight w:val="none"/>
                    </w:rPr>
                    <w:t>m</w:t>
                  </w:r>
                  <w:r>
                    <w:rPr>
                      <w:bCs/>
                      <w:sz w:val="21"/>
                      <w:szCs w:val="21"/>
                      <w:highlight w:val="none"/>
                      <w:vertAlign w:val="superscript"/>
                    </w:rPr>
                    <w:t>3</w:t>
                  </w:r>
                  <w:r>
                    <w:rPr>
                      <w:bCs/>
                      <w:sz w:val="21"/>
                      <w:szCs w:val="21"/>
                      <w:highlight w:val="none"/>
                    </w:rPr>
                    <w:t>/a</w:t>
                  </w:r>
                </w:p>
              </w:tc>
              <w:tc>
                <w:tcPr>
                  <w:tcW w:w="784" w:type="pct"/>
                  <w:vAlign w:val="center"/>
                </w:tcPr>
                <w:p w14:paraId="7112026E">
                  <w:pPr>
                    <w:jc w:val="center"/>
                    <w:textAlignment w:val="center"/>
                    <w:rPr>
                      <w:rFonts w:hint="default" w:eastAsia="宋体"/>
                      <w:bCs/>
                      <w:sz w:val="21"/>
                      <w:szCs w:val="21"/>
                      <w:lang w:val="en-US" w:eastAsia="zh-CN"/>
                    </w:rPr>
                  </w:pPr>
                  <w:r>
                    <w:rPr>
                      <w:rFonts w:hint="eastAsia"/>
                      <w:sz w:val="21"/>
                      <w:szCs w:val="21"/>
                      <w:lang w:val="en-US" w:eastAsia="zh-CN" w:bidi="ar"/>
                    </w:rPr>
                    <w:t>629</w:t>
                  </w:r>
                </w:p>
              </w:tc>
              <w:tc>
                <w:tcPr>
                  <w:tcW w:w="1281" w:type="pct"/>
                  <w:vAlign w:val="center"/>
                </w:tcPr>
                <w:p w14:paraId="41262B01">
                  <w:pPr>
                    <w:jc w:val="center"/>
                    <w:rPr>
                      <w:bCs/>
                      <w:sz w:val="21"/>
                      <w:szCs w:val="21"/>
                    </w:rPr>
                  </w:pPr>
                  <w:r>
                    <w:rPr>
                      <w:bCs/>
                      <w:sz w:val="21"/>
                      <w:szCs w:val="21"/>
                    </w:rPr>
                    <w:t>由园区统一供应</w:t>
                  </w:r>
                </w:p>
              </w:tc>
            </w:tr>
            <w:tr w14:paraId="20832D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vAlign w:val="center"/>
                </w:tcPr>
                <w:p w14:paraId="41D3F658">
                  <w:pPr>
                    <w:jc w:val="center"/>
                    <w:rPr>
                      <w:bCs/>
                      <w:color w:val="FF0000"/>
                      <w:sz w:val="21"/>
                      <w:szCs w:val="21"/>
                    </w:rPr>
                  </w:pPr>
                  <w:r>
                    <w:rPr>
                      <w:bCs/>
                      <w:sz w:val="21"/>
                      <w:szCs w:val="21"/>
                    </w:rPr>
                    <w:t>2</w:t>
                  </w:r>
                </w:p>
              </w:tc>
              <w:tc>
                <w:tcPr>
                  <w:tcW w:w="1609" w:type="pct"/>
                  <w:vAlign w:val="center"/>
                </w:tcPr>
                <w:p w14:paraId="39C72763">
                  <w:pPr>
                    <w:jc w:val="center"/>
                    <w:rPr>
                      <w:bCs/>
                      <w:sz w:val="21"/>
                      <w:szCs w:val="21"/>
                    </w:rPr>
                  </w:pPr>
                  <w:r>
                    <w:rPr>
                      <w:bCs/>
                      <w:sz w:val="21"/>
                      <w:szCs w:val="21"/>
                    </w:rPr>
                    <w:t>电</w:t>
                  </w:r>
                </w:p>
              </w:tc>
              <w:tc>
                <w:tcPr>
                  <w:tcW w:w="811" w:type="pct"/>
                  <w:vAlign w:val="center"/>
                </w:tcPr>
                <w:p w14:paraId="7AE1AD55">
                  <w:pPr>
                    <w:jc w:val="center"/>
                    <w:rPr>
                      <w:bCs/>
                      <w:sz w:val="21"/>
                      <w:szCs w:val="21"/>
                      <w:highlight w:val="none"/>
                    </w:rPr>
                  </w:pPr>
                  <w:r>
                    <w:rPr>
                      <w:bCs/>
                      <w:sz w:val="21"/>
                      <w:szCs w:val="21"/>
                      <w:highlight w:val="none"/>
                    </w:rPr>
                    <w:t>万KWh/a</w:t>
                  </w:r>
                </w:p>
              </w:tc>
              <w:tc>
                <w:tcPr>
                  <w:tcW w:w="784" w:type="pct"/>
                  <w:vAlign w:val="center"/>
                </w:tcPr>
                <w:p w14:paraId="3C5C2E30">
                  <w:pPr>
                    <w:jc w:val="center"/>
                    <w:rPr>
                      <w:rFonts w:hint="eastAsia"/>
                      <w:bCs/>
                      <w:sz w:val="21"/>
                      <w:szCs w:val="21"/>
                      <w:highlight w:val="none"/>
                    </w:rPr>
                  </w:pPr>
                  <w:r>
                    <w:rPr>
                      <w:rFonts w:hint="eastAsia"/>
                      <w:bCs/>
                      <w:sz w:val="21"/>
                      <w:szCs w:val="21"/>
                      <w:highlight w:val="none"/>
                    </w:rPr>
                    <w:t>320</w:t>
                  </w:r>
                </w:p>
              </w:tc>
              <w:tc>
                <w:tcPr>
                  <w:tcW w:w="1281" w:type="pct"/>
                  <w:vAlign w:val="center"/>
                </w:tcPr>
                <w:p w14:paraId="371127C7">
                  <w:pPr>
                    <w:jc w:val="center"/>
                    <w:rPr>
                      <w:bCs/>
                      <w:sz w:val="21"/>
                      <w:szCs w:val="21"/>
                    </w:rPr>
                  </w:pPr>
                  <w:r>
                    <w:rPr>
                      <w:bCs/>
                      <w:sz w:val="21"/>
                      <w:szCs w:val="21"/>
                    </w:rPr>
                    <w:t>由园区统一供应</w:t>
                  </w:r>
                </w:p>
              </w:tc>
            </w:tr>
            <w:tr w14:paraId="5322D0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vAlign w:val="center"/>
                </w:tcPr>
                <w:p w14:paraId="59F8135F">
                  <w:pPr>
                    <w:jc w:val="center"/>
                    <w:rPr>
                      <w:bCs/>
                      <w:sz w:val="21"/>
                      <w:szCs w:val="21"/>
                    </w:rPr>
                  </w:pPr>
                  <w:r>
                    <w:rPr>
                      <w:bCs/>
                      <w:sz w:val="21"/>
                      <w:szCs w:val="21"/>
                    </w:rPr>
                    <w:t>3</w:t>
                  </w:r>
                </w:p>
              </w:tc>
              <w:tc>
                <w:tcPr>
                  <w:tcW w:w="1609" w:type="pct"/>
                  <w:vAlign w:val="center"/>
                </w:tcPr>
                <w:p w14:paraId="6F5ADF74">
                  <w:pPr>
                    <w:jc w:val="center"/>
                    <w:rPr>
                      <w:bCs/>
                      <w:sz w:val="21"/>
                      <w:szCs w:val="21"/>
                    </w:rPr>
                  </w:pPr>
                  <w:r>
                    <w:rPr>
                      <w:bCs/>
                      <w:sz w:val="21"/>
                      <w:szCs w:val="21"/>
                    </w:rPr>
                    <w:t>天然气</w:t>
                  </w:r>
                </w:p>
              </w:tc>
              <w:tc>
                <w:tcPr>
                  <w:tcW w:w="811" w:type="pct"/>
                  <w:vAlign w:val="center"/>
                </w:tcPr>
                <w:p w14:paraId="0C9B3DEB">
                  <w:pPr>
                    <w:jc w:val="center"/>
                    <w:rPr>
                      <w:bCs/>
                      <w:sz w:val="21"/>
                      <w:szCs w:val="21"/>
                      <w:highlight w:val="none"/>
                    </w:rPr>
                  </w:pPr>
                  <w:r>
                    <w:rPr>
                      <w:rFonts w:hint="eastAsia"/>
                      <w:bCs/>
                      <w:sz w:val="21"/>
                      <w:szCs w:val="21"/>
                      <w:highlight w:val="none"/>
                    </w:rPr>
                    <w:t>万</w:t>
                  </w:r>
                  <w:r>
                    <w:rPr>
                      <w:bCs/>
                      <w:sz w:val="21"/>
                      <w:szCs w:val="21"/>
                      <w:highlight w:val="none"/>
                    </w:rPr>
                    <w:t>Nm</w:t>
                  </w:r>
                  <w:r>
                    <w:rPr>
                      <w:bCs/>
                      <w:sz w:val="21"/>
                      <w:szCs w:val="21"/>
                      <w:highlight w:val="none"/>
                      <w:vertAlign w:val="superscript"/>
                    </w:rPr>
                    <w:t>3</w:t>
                  </w:r>
                </w:p>
              </w:tc>
              <w:tc>
                <w:tcPr>
                  <w:tcW w:w="784" w:type="pct"/>
                  <w:vAlign w:val="center"/>
                </w:tcPr>
                <w:p w14:paraId="5D68AF75">
                  <w:pPr>
                    <w:jc w:val="center"/>
                    <w:rPr>
                      <w:rFonts w:hint="eastAsia"/>
                      <w:bCs/>
                      <w:sz w:val="21"/>
                      <w:szCs w:val="21"/>
                      <w:highlight w:val="none"/>
                    </w:rPr>
                  </w:pPr>
                  <w:r>
                    <w:rPr>
                      <w:rFonts w:hint="eastAsia"/>
                      <w:bCs/>
                      <w:sz w:val="21"/>
                      <w:szCs w:val="21"/>
                      <w:highlight w:val="none"/>
                    </w:rPr>
                    <w:t>35</w:t>
                  </w:r>
                </w:p>
              </w:tc>
              <w:tc>
                <w:tcPr>
                  <w:tcW w:w="1281" w:type="pct"/>
                  <w:vAlign w:val="center"/>
                </w:tcPr>
                <w:p w14:paraId="589E4F56">
                  <w:pPr>
                    <w:jc w:val="center"/>
                    <w:rPr>
                      <w:bCs/>
                      <w:sz w:val="21"/>
                      <w:szCs w:val="21"/>
                    </w:rPr>
                  </w:pPr>
                  <w:r>
                    <w:rPr>
                      <w:bCs/>
                      <w:sz w:val="21"/>
                      <w:szCs w:val="21"/>
                    </w:rPr>
                    <w:t>由园区统一供应</w:t>
                  </w:r>
                </w:p>
              </w:tc>
            </w:tr>
            <w:tr w14:paraId="120C40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vAlign w:val="center"/>
                </w:tcPr>
                <w:p w14:paraId="6F566E9B">
                  <w:pPr>
                    <w:adjustRightInd w:val="0"/>
                    <w:snapToGrid w:val="0"/>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五</w:t>
                  </w:r>
                </w:p>
              </w:tc>
              <w:tc>
                <w:tcPr>
                  <w:tcW w:w="1609" w:type="pct"/>
                  <w:vAlign w:val="center"/>
                </w:tcPr>
                <w:p w14:paraId="60C4EBE8">
                  <w:pPr>
                    <w:adjustRightInd w:val="0"/>
                    <w:snapToGrid w:val="0"/>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占地面积</w:t>
                  </w:r>
                </w:p>
              </w:tc>
              <w:tc>
                <w:tcPr>
                  <w:tcW w:w="811" w:type="pct"/>
                  <w:vAlign w:val="center"/>
                </w:tcPr>
                <w:p w14:paraId="3C88F21A">
                  <w:pPr>
                    <w:adjustRightInd w:val="0"/>
                    <w:snapToGrid w:val="0"/>
                    <w:jc w:val="center"/>
                    <w:rPr>
                      <w:color w:val="000000" w:themeColor="text1"/>
                      <w:sz w:val="21"/>
                      <w:szCs w:val="18"/>
                      <w:highlight w:val="yellow"/>
                      <w14:textFill>
                        <w14:solidFill>
                          <w14:schemeClr w14:val="tx1"/>
                        </w14:solidFill>
                      </w14:textFill>
                    </w:rPr>
                  </w:pPr>
                  <w:r>
                    <w:rPr>
                      <w:color w:val="000000" w:themeColor="text1"/>
                      <w:sz w:val="21"/>
                      <w:szCs w:val="18"/>
                      <w:highlight w:val="none"/>
                      <w14:textFill>
                        <w14:solidFill>
                          <w14:schemeClr w14:val="tx1"/>
                        </w14:solidFill>
                      </w14:textFill>
                    </w:rPr>
                    <w:t>m</w:t>
                  </w:r>
                  <w:r>
                    <w:rPr>
                      <w:color w:val="000000" w:themeColor="text1"/>
                      <w:sz w:val="21"/>
                      <w:szCs w:val="18"/>
                      <w:highlight w:val="none"/>
                      <w:vertAlign w:val="superscript"/>
                      <w14:textFill>
                        <w14:solidFill>
                          <w14:schemeClr w14:val="tx1"/>
                        </w14:solidFill>
                      </w14:textFill>
                    </w:rPr>
                    <w:t>2</w:t>
                  </w:r>
                </w:p>
              </w:tc>
              <w:tc>
                <w:tcPr>
                  <w:tcW w:w="784" w:type="pct"/>
                  <w:vAlign w:val="center"/>
                </w:tcPr>
                <w:p w14:paraId="277C55F3">
                  <w:pPr>
                    <w:adjustRightInd w:val="0"/>
                    <w:snapToGrid w:val="0"/>
                    <w:jc w:val="center"/>
                    <w:rPr>
                      <w:rFonts w:hint="eastAsia" w:eastAsia="宋体"/>
                      <w:color w:val="000000" w:themeColor="text1"/>
                      <w:sz w:val="21"/>
                      <w:szCs w:val="18"/>
                      <w:lang w:eastAsia="zh-CN"/>
                      <w14:textFill>
                        <w14:solidFill>
                          <w14:schemeClr w14:val="tx1"/>
                        </w14:solidFill>
                      </w14:textFill>
                    </w:rPr>
                  </w:pPr>
                  <w:r>
                    <w:rPr>
                      <w:rFonts w:hint="eastAsia"/>
                      <w:color w:val="000000" w:themeColor="text1"/>
                      <w:sz w:val="21"/>
                      <w:szCs w:val="18"/>
                      <w:lang w:eastAsia="zh-CN"/>
                      <w14:textFill>
                        <w14:solidFill>
                          <w14:schemeClr w14:val="tx1"/>
                        </w14:solidFill>
                      </w14:textFill>
                    </w:rPr>
                    <w:t>3610</w:t>
                  </w:r>
                </w:p>
              </w:tc>
              <w:tc>
                <w:tcPr>
                  <w:tcW w:w="1281" w:type="pct"/>
                  <w:vAlign w:val="center"/>
                </w:tcPr>
                <w:p w14:paraId="3A47E54D">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w:t>
                  </w:r>
                </w:p>
              </w:tc>
            </w:tr>
            <w:tr w14:paraId="386CC8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vAlign w:val="center"/>
                </w:tcPr>
                <w:p w14:paraId="42F1FA7C">
                  <w:pPr>
                    <w:jc w:val="center"/>
                    <w:rPr>
                      <w:bCs/>
                      <w:sz w:val="21"/>
                      <w:szCs w:val="21"/>
                    </w:rPr>
                  </w:pPr>
                  <w:r>
                    <w:rPr>
                      <w:bCs/>
                      <w:sz w:val="21"/>
                      <w:szCs w:val="21"/>
                    </w:rPr>
                    <w:t>六</w:t>
                  </w:r>
                </w:p>
              </w:tc>
              <w:tc>
                <w:tcPr>
                  <w:tcW w:w="1609" w:type="pct"/>
                  <w:vAlign w:val="center"/>
                </w:tcPr>
                <w:p w14:paraId="6BF23561">
                  <w:pPr>
                    <w:jc w:val="center"/>
                    <w:rPr>
                      <w:bCs/>
                      <w:sz w:val="21"/>
                      <w:szCs w:val="21"/>
                    </w:rPr>
                  </w:pPr>
                  <w:r>
                    <w:rPr>
                      <w:bCs/>
                      <w:sz w:val="21"/>
                      <w:szCs w:val="21"/>
                    </w:rPr>
                    <w:t>劳动定员</w:t>
                  </w:r>
                </w:p>
              </w:tc>
              <w:tc>
                <w:tcPr>
                  <w:tcW w:w="811" w:type="pct"/>
                  <w:vAlign w:val="center"/>
                </w:tcPr>
                <w:p w14:paraId="0808EC69">
                  <w:pPr>
                    <w:jc w:val="center"/>
                    <w:rPr>
                      <w:bCs/>
                      <w:sz w:val="21"/>
                      <w:szCs w:val="21"/>
                    </w:rPr>
                  </w:pPr>
                  <w:r>
                    <w:rPr>
                      <w:bCs/>
                      <w:sz w:val="21"/>
                      <w:szCs w:val="21"/>
                    </w:rPr>
                    <w:t>人</w:t>
                  </w:r>
                </w:p>
              </w:tc>
              <w:tc>
                <w:tcPr>
                  <w:tcW w:w="784" w:type="pct"/>
                  <w:vAlign w:val="center"/>
                </w:tcPr>
                <w:p w14:paraId="2E3A50AB">
                  <w:pPr>
                    <w:jc w:val="center"/>
                    <w:rPr>
                      <w:rFonts w:hint="default" w:eastAsia="宋体"/>
                      <w:bCs/>
                      <w:sz w:val="21"/>
                      <w:szCs w:val="21"/>
                      <w:lang w:val="en-US" w:eastAsia="zh-CN"/>
                    </w:rPr>
                  </w:pPr>
                  <w:r>
                    <w:rPr>
                      <w:rFonts w:hint="eastAsia"/>
                      <w:bCs/>
                      <w:sz w:val="21"/>
                      <w:szCs w:val="21"/>
                      <w:lang w:val="en-US" w:eastAsia="zh-CN"/>
                    </w:rPr>
                    <w:t>12</w:t>
                  </w:r>
                </w:p>
              </w:tc>
              <w:tc>
                <w:tcPr>
                  <w:tcW w:w="1281" w:type="pct"/>
                  <w:vAlign w:val="center"/>
                </w:tcPr>
                <w:p w14:paraId="41C1B0BD">
                  <w:pPr>
                    <w:jc w:val="center"/>
                    <w:rPr>
                      <w:bCs/>
                      <w:sz w:val="21"/>
                      <w:szCs w:val="21"/>
                    </w:rPr>
                  </w:pPr>
                </w:p>
              </w:tc>
            </w:tr>
            <w:tr w14:paraId="7E1ADE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vAlign w:val="center"/>
                </w:tcPr>
                <w:p w14:paraId="0A73FA83">
                  <w:pPr>
                    <w:adjustRightInd w:val="0"/>
                    <w:snapToGrid w:val="0"/>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七</w:t>
                  </w:r>
                </w:p>
              </w:tc>
              <w:tc>
                <w:tcPr>
                  <w:tcW w:w="1609" w:type="pct"/>
                  <w:vAlign w:val="center"/>
                </w:tcPr>
                <w:p w14:paraId="49C0DCDA">
                  <w:pPr>
                    <w:adjustRightInd w:val="0"/>
                    <w:snapToGrid w:val="0"/>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经济评价指标</w:t>
                  </w:r>
                </w:p>
              </w:tc>
              <w:tc>
                <w:tcPr>
                  <w:tcW w:w="811" w:type="pct"/>
                  <w:vAlign w:val="center"/>
                </w:tcPr>
                <w:p w14:paraId="32DB5D96">
                  <w:pPr>
                    <w:adjustRightInd w:val="0"/>
                    <w:snapToGrid w:val="0"/>
                    <w:jc w:val="center"/>
                    <w:rPr>
                      <w:color w:val="000000" w:themeColor="text1"/>
                      <w:sz w:val="21"/>
                      <w:szCs w:val="18"/>
                      <w14:textFill>
                        <w14:solidFill>
                          <w14:schemeClr w14:val="tx1"/>
                        </w14:solidFill>
                      </w14:textFill>
                    </w:rPr>
                  </w:pPr>
                </w:p>
              </w:tc>
              <w:tc>
                <w:tcPr>
                  <w:tcW w:w="784" w:type="pct"/>
                  <w:vAlign w:val="center"/>
                </w:tcPr>
                <w:p w14:paraId="23EDF677">
                  <w:pPr>
                    <w:adjustRightInd w:val="0"/>
                    <w:snapToGrid w:val="0"/>
                    <w:jc w:val="center"/>
                    <w:rPr>
                      <w:color w:val="000000" w:themeColor="text1"/>
                      <w:sz w:val="21"/>
                      <w:szCs w:val="18"/>
                      <w14:textFill>
                        <w14:solidFill>
                          <w14:schemeClr w14:val="tx1"/>
                        </w14:solidFill>
                      </w14:textFill>
                    </w:rPr>
                  </w:pPr>
                </w:p>
              </w:tc>
              <w:tc>
                <w:tcPr>
                  <w:tcW w:w="1281" w:type="pct"/>
                  <w:vAlign w:val="center"/>
                </w:tcPr>
                <w:p w14:paraId="37BC257A">
                  <w:pPr>
                    <w:jc w:val="center"/>
                    <w:rPr>
                      <w:bCs/>
                      <w:color w:val="000000" w:themeColor="text1"/>
                      <w:sz w:val="21"/>
                      <w:szCs w:val="21"/>
                      <w14:textFill>
                        <w14:solidFill>
                          <w14:schemeClr w14:val="tx1"/>
                        </w14:solidFill>
                      </w14:textFill>
                    </w:rPr>
                  </w:pPr>
                </w:p>
              </w:tc>
            </w:tr>
            <w:tr w14:paraId="50D239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vAlign w:val="center"/>
                </w:tcPr>
                <w:p w14:paraId="178B605B">
                  <w:pPr>
                    <w:adjustRightInd w:val="0"/>
                    <w:snapToGrid w:val="0"/>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1</w:t>
                  </w:r>
                </w:p>
              </w:tc>
              <w:tc>
                <w:tcPr>
                  <w:tcW w:w="1609" w:type="pct"/>
                  <w:vAlign w:val="center"/>
                </w:tcPr>
                <w:p w14:paraId="2F7ED479">
                  <w:pPr>
                    <w:adjustRightInd w:val="0"/>
                    <w:snapToGrid w:val="0"/>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总投资</w:t>
                  </w:r>
                </w:p>
              </w:tc>
              <w:tc>
                <w:tcPr>
                  <w:tcW w:w="811" w:type="pct"/>
                  <w:vAlign w:val="center"/>
                </w:tcPr>
                <w:p w14:paraId="25199F0B">
                  <w:pPr>
                    <w:adjustRightInd w:val="0"/>
                    <w:snapToGrid w:val="0"/>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万元</w:t>
                  </w:r>
                </w:p>
              </w:tc>
              <w:tc>
                <w:tcPr>
                  <w:tcW w:w="784" w:type="pct"/>
                  <w:vAlign w:val="center"/>
                </w:tcPr>
                <w:p w14:paraId="58D25C17">
                  <w:pPr>
                    <w:adjustRightInd w:val="0"/>
                    <w:snapToGrid w:val="0"/>
                    <w:jc w:val="center"/>
                    <w:rPr>
                      <w:color w:val="000000" w:themeColor="text1"/>
                      <w:sz w:val="21"/>
                      <w:szCs w:val="18"/>
                      <w14:textFill>
                        <w14:solidFill>
                          <w14:schemeClr w14:val="tx1"/>
                        </w14:solidFill>
                      </w14:textFill>
                    </w:rPr>
                  </w:pPr>
                  <w:r>
                    <w:rPr>
                      <w:rFonts w:hint="eastAsia"/>
                      <w:szCs w:val="21"/>
                      <w:highlight w:val="none"/>
                    </w:rPr>
                    <w:t>1237.84</w:t>
                  </w:r>
                </w:p>
              </w:tc>
              <w:tc>
                <w:tcPr>
                  <w:tcW w:w="1281" w:type="pct"/>
                  <w:vAlign w:val="center"/>
                </w:tcPr>
                <w:p w14:paraId="5AFE8869">
                  <w:pPr>
                    <w:jc w:val="center"/>
                    <w:rPr>
                      <w:bCs/>
                      <w:color w:val="000000" w:themeColor="text1"/>
                      <w:sz w:val="21"/>
                      <w:szCs w:val="21"/>
                      <w14:textFill>
                        <w14:solidFill>
                          <w14:schemeClr w14:val="tx1"/>
                        </w14:solidFill>
                      </w14:textFill>
                    </w:rPr>
                  </w:pPr>
                </w:p>
              </w:tc>
            </w:tr>
          </w:tbl>
          <w:p w14:paraId="7D799056">
            <w:pPr>
              <w:tabs>
                <w:tab w:val="left" w:pos="1026"/>
              </w:tabs>
              <w:wordWrap w:val="0"/>
              <w:topLinePunct/>
              <w:adjustRightInd w:val="0"/>
              <w:snapToGrid w:val="0"/>
              <w:spacing w:line="360" w:lineRule="auto"/>
              <w:ind w:left="480" w:leftChars="200"/>
              <w:rPr>
                <w:b/>
                <w:bCs/>
                <w:color w:val="2F5496"/>
                <w:szCs w:val="21"/>
              </w:rPr>
            </w:pPr>
            <w:r>
              <w:rPr>
                <w:rFonts w:hint="eastAsia"/>
                <w:b/>
                <w:bCs/>
                <w:szCs w:val="21"/>
              </w:rPr>
              <w:t>3、原辅材料及主要设备</w:t>
            </w:r>
          </w:p>
          <w:p w14:paraId="70F2D302">
            <w:pPr>
              <w:wordWrap w:val="0"/>
              <w:topLinePunct/>
              <w:adjustRightInd w:val="0"/>
              <w:snapToGrid w:val="0"/>
              <w:spacing w:line="360" w:lineRule="auto"/>
              <w:ind w:firstLine="482" w:firstLineChars="200"/>
              <w:rPr>
                <w:b/>
                <w:bCs/>
                <w:snapToGrid w:val="0"/>
                <w:szCs w:val="21"/>
              </w:rPr>
            </w:pPr>
            <w:r>
              <w:rPr>
                <w:rFonts w:hint="eastAsia"/>
                <w:b/>
                <w:bCs/>
                <w:snapToGrid w:val="0"/>
                <w:szCs w:val="21"/>
              </w:rPr>
              <w:t>（1）原辅材料及能源消耗</w:t>
            </w:r>
          </w:p>
          <w:p w14:paraId="2B3949C6">
            <w:pPr>
              <w:wordWrap w:val="0"/>
              <w:topLinePunct/>
              <w:adjustRightInd w:val="0"/>
              <w:snapToGrid w:val="0"/>
              <w:spacing w:line="360" w:lineRule="auto"/>
              <w:ind w:firstLine="480" w:firstLineChars="200"/>
              <w:rPr>
                <w:snapToGrid w:val="0"/>
                <w:szCs w:val="21"/>
              </w:rPr>
            </w:pPr>
            <w:r>
              <w:rPr>
                <w:rFonts w:hint="eastAsia"/>
                <w:snapToGrid w:val="0"/>
                <w:szCs w:val="21"/>
              </w:rPr>
              <w:t>项目原辅材料及能源消耗情况见表2-3。</w:t>
            </w:r>
          </w:p>
          <w:p w14:paraId="57F88EC2">
            <w:pPr>
              <w:spacing w:line="360" w:lineRule="auto"/>
              <w:jc w:val="center"/>
              <w:rPr>
                <w:b/>
              </w:rPr>
            </w:pPr>
            <w:r>
              <w:rPr>
                <w:b/>
              </w:rPr>
              <w:t>表2-</w:t>
            </w:r>
            <w:r>
              <w:rPr>
                <w:rFonts w:hint="eastAsia"/>
                <w:b/>
              </w:rPr>
              <w:t>3</w:t>
            </w:r>
            <w:r>
              <w:rPr>
                <w:b/>
              </w:rPr>
              <w:t xml:space="preserve"> </w:t>
            </w:r>
            <w:r>
              <w:rPr>
                <w:rFonts w:hint="eastAsia"/>
                <w:b/>
              </w:rPr>
              <w:t>主要原辅材料及能源消耗表</w:t>
            </w:r>
          </w:p>
          <w:tbl>
            <w:tblPr>
              <w:tblStyle w:val="36"/>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794"/>
              <w:gridCol w:w="1494"/>
              <w:gridCol w:w="1277"/>
              <w:gridCol w:w="1191"/>
              <w:gridCol w:w="1581"/>
              <w:gridCol w:w="1741"/>
            </w:tblGrid>
            <w:tr w14:paraId="70BD25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pct"/>
                  <w:vAlign w:val="center"/>
                </w:tcPr>
                <w:p w14:paraId="2D6BE835">
                  <w:pPr>
                    <w:snapToGrid w:val="0"/>
                    <w:jc w:val="center"/>
                    <w:rPr>
                      <w:bCs/>
                      <w:color w:val="000000" w:themeColor="text1"/>
                      <w:sz w:val="21"/>
                      <w:szCs w:val="21"/>
                      <w:u w:val="single"/>
                      <w14:textFill>
                        <w14:solidFill>
                          <w14:schemeClr w14:val="tx1"/>
                        </w14:solidFill>
                      </w14:textFill>
                    </w:rPr>
                  </w:pPr>
                  <w:r>
                    <w:rPr>
                      <w:bCs/>
                      <w:color w:val="000000" w:themeColor="text1"/>
                      <w:sz w:val="21"/>
                      <w:szCs w:val="21"/>
                      <w:u w:val="single"/>
                      <w14:textFill>
                        <w14:solidFill>
                          <w14:schemeClr w14:val="tx1"/>
                        </w14:solidFill>
                      </w14:textFill>
                    </w:rPr>
                    <w:t>序号</w:t>
                  </w:r>
                </w:p>
              </w:tc>
              <w:tc>
                <w:tcPr>
                  <w:tcW w:w="1308" w:type="pct"/>
                  <w:gridSpan w:val="2"/>
                  <w:vAlign w:val="center"/>
                </w:tcPr>
                <w:p w14:paraId="25E93E6C">
                  <w:pPr>
                    <w:snapToGrid w:val="0"/>
                    <w:jc w:val="center"/>
                    <w:rPr>
                      <w:bCs/>
                      <w:color w:val="000000" w:themeColor="text1"/>
                      <w:sz w:val="21"/>
                      <w:szCs w:val="21"/>
                      <w:u w:val="single"/>
                      <w14:textFill>
                        <w14:solidFill>
                          <w14:schemeClr w14:val="tx1"/>
                        </w14:solidFill>
                      </w14:textFill>
                    </w:rPr>
                  </w:pPr>
                  <w:r>
                    <w:rPr>
                      <w:bCs/>
                      <w:color w:val="000000" w:themeColor="text1"/>
                      <w:sz w:val="21"/>
                      <w:szCs w:val="21"/>
                      <w:u w:val="single"/>
                      <w14:textFill>
                        <w14:solidFill>
                          <w14:schemeClr w14:val="tx1"/>
                        </w14:solidFill>
                      </w14:textFill>
                    </w:rPr>
                    <w:t>名称</w:t>
                  </w:r>
                </w:p>
              </w:tc>
              <w:tc>
                <w:tcPr>
                  <w:tcW w:w="730" w:type="pct"/>
                  <w:vAlign w:val="center"/>
                </w:tcPr>
                <w:p w14:paraId="713BFDCA">
                  <w:pPr>
                    <w:snapToGrid w:val="0"/>
                    <w:jc w:val="center"/>
                    <w:rPr>
                      <w:bCs/>
                      <w:color w:val="000000" w:themeColor="text1"/>
                      <w:sz w:val="21"/>
                      <w:szCs w:val="21"/>
                      <w:u w:val="single"/>
                      <w14:textFill>
                        <w14:solidFill>
                          <w14:schemeClr w14:val="tx1"/>
                        </w14:solidFill>
                      </w14:textFill>
                    </w:rPr>
                  </w:pPr>
                  <w:r>
                    <w:rPr>
                      <w:rFonts w:hint="eastAsia"/>
                      <w:bCs/>
                      <w:color w:val="000000" w:themeColor="text1"/>
                      <w:sz w:val="21"/>
                      <w:szCs w:val="21"/>
                      <w:u w:val="single"/>
                      <w14:textFill>
                        <w14:solidFill>
                          <w14:schemeClr w14:val="tx1"/>
                        </w14:solidFill>
                      </w14:textFill>
                    </w:rPr>
                    <w:t>年用量（t/a）</w:t>
                  </w:r>
                </w:p>
              </w:tc>
              <w:tc>
                <w:tcPr>
                  <w:tcW w:w="681" w:type="pct"/>
                  <w:vAlign w:val="center"/>
                </w:tcPr>
                <w:p w14:paraId="1B99296A">
                  <w:pPr>
                    <w:snapToGrid w:val="0"/>
                    <w:jc w:val="center"/>
                    <w:rPr>
                      <w:bCs/>
                      <w:color w:val="000000" w:themeColor="text1"/>
                      <w:sz w:val="21"/>
                      <w:szCs w:val="21"/>
                      <w:u w:val="single"/>
                      <w14:textFill>
                        <w14:solidFill>
                          <w14:schemeClr w14:val="tx1"/>
                        </w14:solidFill>
                      </w14:textFill>
                    </w:rPr>
                  </w:pPr>
                  <w:r>
                    <w:rPr>
                      <w:rFonts w:hint="eastAsia"/>
                      <w:bCs/>
                      <w:color w:val="000000" w:themeColor="text1"/>
                      <w:sz w:val="21"/>
                      <w:szCs w:val="21"/>
                      <w:u w:val="single"/>
                      <w14:textFill>
                        <w14:solidFill>
                          <w14:schemeClr w14:val="tx1"/>
                        </w14:solidFill>
                      </w14:textFill>
                    </w:rPr>
                    <w:t>最大储存量（t）</w:t>
                  </w:r>
                </w:p>
              </w:tc>
              <w:tc>
                <w:tcPr>
                  <w:tcW w:w="904" w:type="pct"/>
                  <w:vAlign w:val="center"/>
                </w:tcPr>
                <w:p w14:paraId="06FE556D">
                  <w:pPr>
                    <w:snapToGrid w:val="0"/>
                    <w:jc w:val="center"/>
                    <w:rPr>
                      <w:bCs/>
                      <w:color w:val="000000" w:themeColor="text1"/>
                      <w:sz w:val="21"/>
                      <w:szCs w:val="21"/>
                      <w:u w:val="single"/>
                      <w14:textFill>
                        <w14:solidFill>
                          <w14:schemeClr w14:val="tx1"/>
                        </w14:solidFill>
                      </w14:textFill>
                    </w:rPr>
                  </w:pPr>
                  <w:r>
                    <w:rPr>
                      <w:rFonts w:hint="eastAsia"/>
                      <w:bCs/>
                      <w:color w:val="000000" w:themeColor="text1"/>
                      <w:sz w:val="21"/>
                      <w:szCs w:val="21"/>
                      <w:u w:val="single"/>
                      <w14:textFill>
                        <w14:solidFill>
                          <w14:schemeClr w14:val="tx1"/>
                        </w14:solidFill>
                      </w14:textFill>
                    </w:rPr>
                    <w:t>形态规格</w:t>
                  </w:r>
                </w:p>
              </w:tc>
              <w:tc>
                <w:tcPr>
                  <w:tcW w:w="993" w:type="pct"/>
                  <w:vAlign w:val="center"/>
                </w:tcPr>
                <w:p w14:paraId="0573B569">
                  <w:pPr>
                    <w:snapToGrid w:val="0"/>
                    <w:jc w:val="center"/>
                    <w:rPr>
                      <w:bCs/>
                      <w:color w:val="000000" w:themeColor="text1"/>
                      <w:sz w:val="21"/>
                      <w:szCs w:val="21"/>
                      <w:u w:val="single"/>
                      <w14:textFill>
                        <w14:solidFill>
                          <w14:schemeClr w14:val="tx1"/>
                        </w14:solidFill>
                      </w14:textFill>
                    </w:rPr>
                  </w:pPr>
                  <w:r>
                    <w:rPr>
                      <w:rFonts w:hint="eastAsia"/>
                      <w:bCs/>
                      <w:color w:val="000000" w:themeColor="text1"/>
                      <w:sz w:val="21"/>
                      <w:szCs w:val="21"/>
                      <w:u w:val="single"/>
                      <w14:textFill>
                        <w14:solidFill>
                          <w14:schemeClr w14:val="tx1"/>
                        </w14:solidFill>
                      </w14:textFill>
                    </w:rPr>
                    <w:t>来源及运输方式</w:t>
                  </w:r>
                </w:p>
              </w:tc>
            </w:tr>
            <w:tr w14:paraId="7861E8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7"/>
                  <w:vAlign w:val="center"/>
                </w:tcPr>
                <w:p w14:paraId="12F95F4B">
                  <w:pPr>
                    <w:snapToGrid w:val="0"/>
                    <w:jc w:val="left"/>
                    <w:rPr>
                      <w:rFonts w:hint="eastAsia"/>
                      <w:b/>
                      <w:bCs w:val="0"/>
                      <w:color w:val="000000" w:themeColor="text1"/>
                      <w:sz w:val="21"/>
                      <w:szCs w:val="21"/>
                      <w:u w:val="single"/>
                      <w:lang w:val="en-US" w:eastAsia="zh-CN"/>
                      <w14:textFill>
                        <w14:solidFill>
                          <w14:schemeClr w14:val="tx1"/>
                        </w14:solidFill>
                      </w14:textFill>
                    </w:rPr>
                  </w:pPr>
                  <w:r>
                    <w:rPr>
                      <w:rFonts w:hint="eastAsia"/>
                      <w:b/>
                      <w:bCs w:val="0"/>
                      <w:color w:val="000000" w:themeColor="text1"/>
                      <w:sz w:val="21"/>
                      <w:szCs w:val="21"/>
                      <w:u w:val="single"/>
                      <w:lang w:val="en-US" w:eastAsia="zh-CN"/>
                      <w14:textFill>
                        <w14:solidFill>
                          <w14:schemeClr w14:val="tx1"/>
                        </w14:solidFill>
                      </w14:textFill>
                    </w:rPr>
                    <w:t>一、</w:t>
                  </w:r>
                  <w:r>
                    <w:rPr>
                      <w:rFonts w:hint="eastAsia"/>
                      <w:b/>
                      <w:bCs w:val="0"/>
                      <w:color w:val="000000" w:themeColor="text1"/>
                      <w:sz w:val="21"/>
                      <w:szCs w:val="21"/>
                      <w:u w:val="single"/>
                      <w:lang w:eastAsia="zh-CN"/>
                      <w14:textFill>
                        <w14:solidFill>
                          <w14:schemeClr w14:val="tx1"/>
                        </w14:solidFill>
                      </w14:textFill>
                    </w:rPr>
                    <w:t>焦磷酸哌嗪</w:t>
                  </w:r>
                </w:p>
              </w:tc>
            </w:tr>
            <w:tr w14:paraId="04794E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pct"/>
                  <w:vAlign w:val="center"/>
                </w:tcPr>
                <w:p w14:paraId="2E455DE7">
                  <w:pPr>
                    <w:jc w:val="center"/>
                    <w:rPr>
                      <w:bCs/>
                      <w:color w:val="000000" w:themeColor="text1"/>
                      <w:sz w:val="21"/>
                      <w:szCs w:val="21"/>
                      <w:u w:val="single"/>
                      <w14:textFill>
                        <w14:solidFill>
                          <w14:schemeClr w14:val="tx1"/>
                        </w14:solidFill>
                      </w14:textFill>
                    </w:rPr>
                  </w:pPr>
                  <w:r>
                    <w:rPr>
                      <w:rFonts w:hint="eastAsia"/>
                      <w:bCs/>
                      <w:color w:val="000000" w:themeColor="text1"/>
                      <w:sz w:val="21"/>
                      <w:szCs w:val="21"/>
                      <w:u w:val="single"/>
                      <w14:textFill>
                        <w14:solidFill>
                          <w14:schemeClr w14:val="tx1"/>
                        </w14:solidFill>
                      </w14:textFill>
                    </w:rPr>
                    <w:t>1</w:t>
                  </w:r>
                </w:p>
              </w:tc>
              <w:tc>
                <w:tcPr>
                  <w:tcW w:w="1308" w:type="pct"/>
                  <w:gridSpan w:val="2"/>
                  <w:vAlign w:val="center"/>
                </w:tcPr>
                <w:p w14:paraId="06E812AB">
                  <w:pPr>
                    <w:jc w:val="center"/>
                    <w:rPr>
                      <w:bCs/>
                      <w:color w:val="000000" w:themeColor="text1"/>
                      <w:sz w:val="21"/>
                      <w:szCs w:val="21"/>
                      <w:u w:val="single"/>
                      <w14:textFill>
                        <w14:solidFill>
                          <w14:schemeClr w14:val="tx1"/>
                        </w14:solidFill>
                      </w14:textFill>
                    </w:rPr>
                  </w:pPr>
                  <w:r>
                    <w:rPr>
                      <w:rFonts w:hint="eastAsia"/>
                      <w:bCs/>
                      <w:color w:val="000000" w:themeColor="text1"/>
                      <w:sz w:val="21"/>
                      <w:szCs w:val="21"/>
                      <w:u w:val="single"/>
                      <w14:textFill>
                        <w14:solidFill>
                          <w14:schemeClr w14:val="tx1"/>
                        </w14:solidFill>
                      </w14:textFill>
                    </w:rPr>
                    <w:t>焦磷酸哌嗪（半成品）</w:t>
                  </w:r>
                </w:p>
              </w:tc>
              <w:tc>
                <w:tcPr>
                  <w:tcW w:w="730" w:type="pct"/>
                  <w:vAlign w:val="center"/>
                </w:tcPr>
                <w:p w14:paraId="064219E4">
                  <w:pPr>
                    <w:jc w:val="center"/>
                    <w:rPr>
                      <w:bCs/>
                      <w:sz w:val="21"/>
                      <w:szCs w:val="21"/>
                      <w:highlight w:val="none"/>
                      <w:u w:val="single"/>
                    </w:rPr>
                  </w:pPr>
                  <w:r>
                    <w:rPr>
                      <w:rFonts w:hint="eastAsia"/>
                      <w:bCs/>
                      <w:sz w:val="21"/>
                      <w:szCs w:val="21"/>
                      <w:highlight w:val="none"/>
                      <w:u w:val="single"/>
                    </w:rPr>
                    <w:t>10749.36</w:t>
                  </w:r>
                </w:p>
              </w:tc>
              <w:tc>
                <w:tcPr>
                  <w:tcW w:w="681" w:type="pct"/>
                  <w:vAlign w:val="center"/>
                </w:tcPr>
                <w:p w14:paraId="3FFA5523">
                  <w:pPr>
                    <w:widowControl/>
                    <w:jc w:val="center"/>
                    <w:textAlignment w:val="center"/>
                    <w:rPr>
                      <w:rFonts w:hint="eastAsia"/>
                      <w:bCs/>
                      <w:sz w:val="21"/>
                      <w:szCs w:val="21"/>
                      <w:highlight w:val="none"/>
                      <w:u w:val="single"/>
                    </w:rPr>
                  </w:pPr>
                  <w:r>
                    <w:rPr>
                      <w:rFonts w:hint="eastAsia" w:ascii="Calibri" w:hAnsi="Calibri" w:cs="Calibri"/>
                      <w:kern w:val="0"/>
                      <w:sz w:val="21"/>
                      <w:szCs w:val="21"/>
                      <w:highlight w:val="none"/>
                      <w:u w:val="single"/>
                      <w:lang w:bidi="ar"/>
                    </w:rPr>
                    <w:t>500</w:t>
                  </w:r>
                </w:p>
              </w:tc>
              <w:tc>
                <w:tcPr>
                  <w:tcW w:w="904" w:type="pct"/>
                  <w:vAlign w:val="center"/>
                </w:tcPr>
                <w:p w14:paraId="3FB39FD6">
                  <w:pPr>
                    <w:jc w:val="center"/>
                    <w:rPr>
                      <w:rFonts w:hint="default" w:eastAsia="宋体"/>
                      <w:bCs/>
                      <w:color w:val="000000" w:themeColor="text1"/>
                      <w:sz w:val="21"/>
                      <w:szCs w:val="21"/>
                      <w:highlight w:val="none"/>
                      <w:u w:val="single"/>
                      <w:lang w:val="en-US" w:eastAsia="zh-CN"/>
                      <w14:textFill>
                        <w14:solidFill>
                          <w14:schemeClr w14:val="tx1"/>
                        </w14:solidFill>
                      </w14:textFill>
                    </w:rPr>
                  </w:pPr>
                  <w:r>
                    <w:rPr>
                      <w:rFonts w:hint="eastAsia"/>
                      <w:bCs/>
                      <w:color w:val="000000" w:themeColor="text1"/>
                      <w:sz w:val="21"/>
                      <w:szCs w:val="21"/>
                      <w:highlight w:val="none"/>
                      <w:u w:val="single"/>
                      <w14:textFill>
                        <w14:solidFill>
                          <w14:schemeClr w14:val="tx1"/>
                        </w14:solidFill>
                      </w14:textFill>
                    </w:rPr>
                    <w:t>固体、吨袋</w:t>
                  </w:r>
                </w:p>
              </w:tc>
              <w:tc>
                <w:tcPr>
                  <w:tcW w:w="993" w:type="pct"/>
                  <w:vAlign w:val="center"/>
                </w:tcPr>
                <w:p w14:paraId="5A301001">
                  <w:pPr>
                    <w:jc w:val="center"/>
                    <w:rPr>
                      <w:bCs/>
                      <w:color w:val="000000" w:themeColor="text1"/>
                      <w:sz w:val="21"/>
                      <w:szCs w:val="21"/>
                      <w:highlight w:val="none"/>
                      <w:u w:val="single"/>
                      <w14:textFill>
                        <w14:solidFill>
                          <w14:schemeClr w14:val="tx1"/>
                        </w14:solidFill>
                      </w14:textFill>
                    </w:rPr>
                  </w:pPr>
                  <w:r>
                    <w:rPr>
                      <w:rFonts w:hint="eastAsia"/>
                      <w:bCs/>
                      <w:color w:val="000000" w:themeColor="text1"/>
                      <w:sz w:val="21"/>
                      <w:szCs w:val="21"/>
                      <w:highlight w:val="none"/>
                      <w:u w:val="single"/>
                      <w14:textFill>
                        <w14:solidFill>
                          <w14:schemeClr w14:val="tx1"/>
                        </w14:solidFill>
                      </w14:textFill>
                    </w:rPr>
                    <w:t>丰联公司自产或外购、汽车运输</w:t>
                  </w:r>
                </w:p>
              </w:tc>
            </w:tr>
            <w:tr w14:paraId="15BF52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7"/>
                  <w:vAlign w:val="center"/>
                </w:tcPr>
                <w:p w14:paraId="759040A1">
                  <w:pPr>
                    <w:jc w:val="left"/>
                    <w:rPr>
                      <w:rFonts w:hint="eastAsia"/>
                      <w:b/>
                      <w:bCs w:val="0"/>
                      <w:color w:val="000000" w:themeColor="text1"/>
                      <w:sz w:val="21"/>
                      <w:szCs w:val="21"/>
                      <w:highlight w:val="none"/>
                      <w:u w:val="single"/>
                      <w:lang w:eastAsia="zh-CN"/>
                      <w14:textFill>
                        <w14:solidFill>
                          <w14:schemeClr w14:val="tx1"/>
                        </w14:solidFill>
                      </w14:textFill>
                    </w:rPr>
                  </w:pPr>
                  <w:r>
                    <w:rPr>
                      <w:rFonts w:hint="eastAsia"/>
                      <w:b/>
                      <w:bCs w:val="0"/>
                      <w:color w:val="000000" w:themeColor="text1"/>
                      <w:sz w:val="21"/>
                      <w:szCs w:val="21"/>
                      <w:highlight w:val="none"/>
                      <w:u w:val="single"/>
                      <w:lang w:eastAsia="zh-CN"/>
                      <w14:textFill>
                        <w14:solidFill>
                          <w14:schemeClr w14:val="tx1"/>
                        </w14:solidFill>
                      </w14:textFill>
                    </w:rPr>
                    <w:t>二、无卤阻燃剂</w:t>
                  </w:r>
                </w:p>
              </w:tc>
            </w:tr>
            <w:tr w14:paraId="0A46A9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pct"/>
                  <w:vAlign w:val="center"/>
                </w:tcPr>
                <w:p w14:paraId="0B5813FB">
                  <w:pPr>
                    <w:jc w:val="center"/>
                    <w:rPr>
                      <w:rFonts w:hint="eastAsia" w:eastAsia="宋体"/>
                      <w:bCs/>
                      <w:color w:val="000000" w:themeColor="text1"/>
                      <w:sz w:val="21"/>
                      <w:szCs w:val="21"/>
                      <w:u w:val="single"/>
                      <w:lang w:val="en-US" w:eastAsia="zh-CN"/>
                      <w14:textFill>
                        <w14:solidFill>
                          <w14:schemeClr w14:val="tx1"/>
                        </w14:solidFill>
                      </w14:textFill>
                    </w:rPr>
                  </w:pPr>
                  <w:r>
                    <w:rPr>
                      <w:rFonts w:hint="eastAsia"/>
                      <w:bCs/>
                      <w:color w:val="000000" w:themeColor="text1"/>
                      <w:sz w:val="21"/>
                      <w:szCs w:val="21"/>
                      <w:u w:val="single"/>
                      <w:lang w:val="en-US" w:eastAsia="zh-CN"/>
                      <w14:textFill>
                        <w14:solidFill>
                          <w14:schemeClr w14:val="tx1"/>
                        </w14:solidFill>
                      </w14:textFill>
                    </w:rPr>
                    <w:t>1</w:t>
                  </w:r>
                </w:p>
              </w:tc>
              <w:tc>
                <w:tcPr>
                  <w:tcW w:w="1308" w:type="pct"/>
                  <w:gridSpan w:val="2"/>
                  <w:vAlign w:val="center"/>
                </w:tcPr>
                <w:p w14:paraId="6749476F">
                  <w:pPr>
                    <w:widowControl/>
                    <w:jc w:val="center"/>
                    <w:textAlignment w:val="center"/>
                    <w:rPr>
                      <w:rFonts w:hint="default" w:eastAsia="宋体"/>
                      <w:sz w:val="21"/>
                      <w:szCs w:val="21"/>
                      <w:u w:val="single"/>
                      <w:vertAlign w:val="superscript"/>
                      <w:lang w:val="en-US" w:eastAsia="zh-CN"/>
                    </w:rPr>
                  </w:pPr>
                  <w:r>
                    <w:rPr>
                      <w:rFonts w:hint="eastAsia"/>
                      <w:sz w:val="21"/>
                      <w:szCs w:val="21"/>
                      <w:u w:val="single"/>
                      <w:lang w:eastAsia="zh-CN"/>
                    </w:rPr>
                    <w:t>焦磷酸哌嗪</w:t>
                  </w:r>
                  <w:r>
                    <w:rPr>
                      <w:rFonts w:hint="eastAsia"/>
                      <w:sz w:val="21"/>
                      <w:szCs w:val="21"/>
                      <w:u w:val="single"/>
                      <w:vertAlign w:val="superscript"/>
                      <w:lang w:val="en-US" w:eastAsia="zh-CN"/>
                    </w:rPr>
                    <w:t>1</w:t>
                  </w:r>
                </w:p>
              </w:tc>
              <w:tc>
                <w:tcPr>
                  <w:tcW w:w="730" w:type="pct"/>
                  <w:vAlign w:val="center"/>
                </w:tcPr>
                <w:p w14:paraId="22C91C63">
                  <w:pPr>
                    <w:jc w:val="center"/>
                    <w:rPr>
                      <w:rFonts w:hint="default" w:eastAsia="宋体"/>
                      <w:bCs/>
                      <w:sz w:val="21"/>
                      <w:szCs w:val="21"/>
                      <w:highlight w:val="none"/>
                      <w:u w:val="single"/>
                      <w:lang w:val="en-US" w:eastAsia="zh-CN"/>
                    </w:rPr>
                  </w:pPr>
                  <w:r>
                    <w:rPr>
                      <w:rFonts w:hint="eastAsia"/>
                      <w:bCs/>
                      <w:sz w:val="21"/>
                      <w:szCs w:val="21"/>
                      <w:highlight w:val="none"/>
                      <w:u w:val="single"/>
                      <w:lang w:val="en-US" w:eastAsia="zh-CN"/>
                    </w:rPr>
                    <w:t>5000</w:t>
                  </w:r>
                </w:p>
              </w:tc>
              <w:tc>
                <w:tcPr>
                  <w:tcW w:w="681" w:type="pct"/>
                  <w:vAlign w:val="center"/>
                </w:tcPr>
                <w:p w14:paraId="7F92FD7A">
                  <w:pPr>
                    <w:widowControl/>
                    <w:jc w:val="center"/>
                    <w:textAlignment w:val="center"/>
                    <w:rPr>
                      <w:rFonts w:hint="default" w:eastAsia="宋体"/>
                      <w:bCs/>
                      <w:sz w:val="21"/>
                      <w:szCs w:val="21"/>
                      <w:highlight w:val="none"/>
                      <w:u w:val="single"/>
                      <w:lang w:val="en-US" w:eastAsia="zh-CN"/>
                    </w:rPr>
                  </w:pPr>
                  <w:r>
                    <w:rPr>
                      <w:rFonts w:hint="eastAsia"/>
                      <w:bCs/>
                      <w:sz w:val="21"/>
                      <w:szCs w:val="21"/>
                      <w:highlight w:val="none"/>
                      <w:u w:val="single"/>
                      <w:lang w:val="en-US" w:eastAsia="zh-CN"/>
                    </w:rPr>
                    <w:t>/</w:t>
                  </w:r>
                </w:p>
              </w:tc>
              <w:tc>
                <w:tcPr>
                  <w:tcW w:w="904" w:type="pct"/>
                  <w:vAlign w:val="center"/>
                </w:tcPr>
                <w:p w14:paraId="0143BD49">
                  <w:pPr>
                    <w:jc w:val="center"/>
                    <w:rPr>
                      <w:rFonts w:hint="eastAsia" w:eastAsia="宋体"/>
                      <w:bCs/>
                      <w:color w:val="000000" w:themeColor="text1"/>
                      <w:sz w:val="21"/>
                      <w:szCs w:val="21"/>
                      <w:highlight w:val="none"/>
                      <w:u w:val="single"/>
                      <w:lang w:eastAsia="zh-CN"/>
                      <w14:textFill>
                        <w14:solidFill>
                          <w14:schemeClr w14:val="tx1"/>
                        </w14:solidFill>
                      </w14:textFill>
                    </w:rPr>
                  </w:pPr>
                  <w:r>
                    <w:rPr>
                      <w:rFonts w:hint="eastAsia"/>
                      <w:bCs/>
                      <w:color w:val="000000" w:themeColor="text1"/>
                      <w:sz w:val="21"/>
                      <w:szCs w:val="21"/>
                      <w:highlight w:val="none"/>
                      <w:u w:val="single"/>
                      <w:lang w:eastAsia="zh-CN"/>
                      <w14:textFill>
                        <w14:solidFill>
                          <w14:schemeClr w14:val="tx1"/>
                        </w14:solidFill>
                      </w14:textFill>
                    </w:rPr>
                    <w:t>固体</w:t>
                  </w:r>
                </w:p>
              </w:tc>
              <w:tc>
                <w:tcPr>
                  <w:tcW w:w="993" w:type="pct"/>
                  <w:vAlign w:val="center"/>
                </w:tcPr>
                <w:p w14:paraId="334927E2">
                  <w:pPr>
                    <w:jc w:val="center"/>
                    <w:rPr>
                      <w:rFonts w:hint="eastAsia" w:eastAsia="宋体"/>
                      <w:bCs/>
                      <w:color w:val="FF0000"/>
                      <w:sz w:val="21"/>
                      <w:szCs w:val="21"/>
                      <w:highlight w:val="none"/>
                      <w:u w:val="single"/>
                      <w:lang w:eastAsia="zh-CN"/>
                    </w:rPr>
                  </w:pPr>
                  <w:r>
                    <w:rPr>
                      <w:rFonts w:hint="eastAsia"/>
                      <w:bCs/>
                      <w:color w:val="auto"/>
                      <w:sz w:val="21"/>
                      <w:szCs w:val="21"/>
                      <w:highlight w:val="none"/>
                      <w:u w:val="single"/>
                      <w:lang w:eastAsia="zh-CN"/>
                    </w:rPr>
                    <w:t>自产</w:t>
                  </w:r>
                </w:p>
              </w:tc>
            </w:tr>
            <w:tr w14:paraId="0F30F4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pct"/>
                  <w:vAlign w:val="center"/>
                </w:tcPr>
                <w:p w14:paraId="56C23289">
                  <w:pPr>
                    <w:jc w:val="center"/>
                    <w:rPr>
                      <w:rFonts w:hint="eastAsia" w:ascii="Times New Roman" w:hAnsi="Times New Roman" w:eastAsia="宋体" w:cs="Times New Roman"/>
                      <w:bCs/>
                      <w:color w:val="000000" w:themeColor="text1"/>
                      <w:kern w:val="2"/>
                      <w:sz w:val="21"/>
                      <w:szCs w:val="21"/>
                      <w:u w:val="single"/>
                      <w:lang w:val="en-US" w:eastAsia="zh-CN" w:bidi="ar-SA"/>
                      <w14:textFill>
                        <w14:solidFill>
                          <w14:schemeClr w14:val="tx1"/>
                        </w14:solidFill>
                      </w14:textFill>
                    </w:rPr>
                  </w:pPr>
                  <w:r>
                    <w:rPr>
                      <w:rFonts w:hint="eastAsia"/>
                      <w:bCs/>
                      <w:color w:val="000000" w:themeColor="text1"/>
                      <w:sz w:val="21"/>
                      <w:szCs w:val="21"/>
                      <w:u w:val="single"/>
                      <w14:textFill>
                        <w14:solidFill>
                          <w14:schemeClr w14:val="tx1"/>
                        </w14:solidFill>
                      </w14:textFill>
                    </w:rPr>
                    <w:t>2</w:t>
                  </w:r>
                </w:p>
              </w:tc>
              <w:tc>
                <w:tcPr>
                  <w:tcW w:w="1308" w:type="pct"/>
                  <w:gridSpan w:val="2"/>
                  <w:vAlign w:val="center"/>
                </w:tcPr>
                <w:p w14:paraId="441A6874">
                  <w:pPr>
                    <w:widowControl/>
                    <w:jc w:val="center"/>
                    <w:textAlignment w:val="center"/>
                    <w:rPr>
                      <w:rFonts w:hint="default" w:ascii="Times New Roman" w:hAnsi="Times New Roman" w:eastAsia="宋体" w:cs="Times New Roman"/>
                      <w:kern w:val="2"/>
                      <w:sz w:val="21"/>
                      <w:szCs w:val="21"/>
                      <w:u w:val="single"/>
                      <w:lang w:val="en-US" w:eastAsia="zh-CN" w:bidi="ar-SA"/>
                    </w:rPr>
                  </w:pPr>
                  <w:r>
                    <w:rPr>
                      <w:rStyle w:val="120"/>
                      <w:rFonts w:hint="default" w:ascii="Times New Roman" w:hAnsi="Times New Roman" w:cs="Times New Roman"/>
                      <w:color w:val="auto"/>
                      <w:u w:val="single"/>
                      <w:lang w:bidi="ar"/>
                    </w:rPr>
                    <w:t>焦磷酸三聚氰胺</w:t>
                  </w:r>
                </w:p>
              </w:tc>
              <w:tc>
                <w:tcPr>
                  <w:tcW w:w="730" w:type="pct"/>
                  <w:vAlign w:val="center"/>
                </w:tcPr>
                <w:p w14:paraId="503126D7">
                  <w:pPr>
                    <w:jc w:val="center"/>
                    <w:rPr>
                      <w:rFonts w:hint="eastAsia" w:ascii="Times New Roman" w:hAnsi="Times New Roman" w:eastAsia="宋体" w:cs="Times New Roman"/>
                      <w:bCs/>
                      <w:kern w:val="2"/>
                      <w:sz w:val="21"/>
                      <w:szCs w:val="21"/>
                      <w:highlight w:val="none"/>
                      <w:u w:val="single"/>
                      <w:lang w:val="en-US" w:eastAsia="zh-CN" w:bidi="ar-SA"/>
                    </w:rPr>
                  </w:pPr>
                  <w:r>
                    <w:rPr>
                      <w:rFonts w:hint="eastAsia"/>
                      <w:bCs/>
                      <w:sz w:val="21"/>
                      <w:szCs w:val="21"/>
                      <w:highlight w:val="none"/>
                      <w:u w:val="single"/>
                    </w:rPr>
                    <w:t>2500</w:t>
                  </w:r>
                </w:p>
              </w:tc>
              <w:tc>
                <w:tcPr>
                  <w:tcW w:w="681" w:type="pct"/>
                  <w:vAlign w:val="center"/>
                </w:tcPr>
                <w:p w14:paraId="65E37BDC">
                  <w:pPr>
                    <w:widowControl/>
                    <w:jc w:val="center"/>
                    <w:textAlignment w:val="center"/>
                    <w:rPr>
                      <w:rFonts w:hint="eastAsia" w:ascii="Times New Roman" w:hAnsi="Times New Roman" w:eastAsia="宋体" w:cs="Times New Roman"/>
                      <w:bCs/>
                      <w:kern w:val="2"/>
                      <w:sz w:val="21"/>
                      <w:szCs w:val="21"/>
                      <w:highlight w:val="none"/>
                      <w:u w:val="single"/>
                      <w:lang w:val="en-US" w:eastAsia="zh-CN" w:bidi="ar-SA"/>
                    </w:rPr>
                  </w:pPr>
                  <w:r>
                    <w:rPr>
                      <w:rFonts w:hint="eastAsia" w:ascii="Calibri" w:hAnsi="Calibri" w:cs="Calibri"/>
                      <w:kern w:val="0"/>
                      <w:sz w:val="21"/>
                      <w:szCs w:val="21"/>
                      <w:highlight w:val="none"/>
                      <w:u w:val="single"/>
                      <w:lang w:bidi="ar"/>
                    </w:rPr>
                    <w:t>300</w:t>
                  </w:r>
                </w:p>
              </w:tc>
              <w:tc>
                <w:tcPr>
                  <w:tcW w:w="904" w:type="pct"/>
                  <w:vAlign w:val="center"/>
                </w:tcPr>
                <w:p w14:paraId="2A7989AD">
                  <w:pPr>
                    <w:jc w:val="center"/>
                    <w:rPr>
                      <w:rFonts w:hint="eastAsia" w:ascii="Times New Roman" w:hAnsi="Times New Roman" w:eastAsia="宋体" w:cs="Times New Roman"/>
                      <w:bCs/>
                      <w:color w:val="000000" w:themeColor="text1"/>
                      <w:kern w:val="2"/>
                      <w:sz w:val="21"/>
                      <w:szCs w:val="21"/>
                      <w:highlight w:val="none"/>
                      <w:u w:val="single"/>
                      <w:lang w:val="en-US" w:eastAsia="zh-CN" w:bidi="ar-SA"/>
                      <w14:textFill>
                        <w14:solidFill>
                          <w14:schemeClr w14:val="tx1"/>
                        </w14:solidFill>
                      </w14:textFill>
                    </w:rPr>
                  </w:pPr>
                  <w:r>
                    <w:rPr>
                      <w:rFonts w:hint="eastAsia"/>
                      <w:bCs/>
                      <w:color w:val="000000" w:themeColor="text1"/>
                      <w:sz w:val="21"/>
                      <w:szCs w:val="21"/>
                      <w:highlight w:val="none"/>
                      <w:u w:val="single"/>
                      <w14:textFill>
                        <w14:solidFill>
                          <w14:schemeClr w14:val="tx1"/>
                        </w14:solidFill>
                      </w14:textFill>
                    </w:rPr>
                    <w:t>固体、吨袋</w:t>
                  </w:r>
                </w:p>
              </w:tc>
              <w:tc>
                <w:tcPr>
                  <w:tcW w:w="993" w:type="pct"/>
                  <w:vAlign w:val="center"/>
                </w:tcPr>
                <w:p w14:paraId="73B76CDC">
                  <w:pPr>
                    <w:jc w:val="center"/>
                    <w:rPr>
                      <w:rFonts w:hint="eastAsia" w:ascii="Times New Roman" w:hAnsi="Times New Roman" w:eastAsia="宋体" w:cs="Times New Roman"/>
                      <w:bCs/>
                      <w:color w:val="FF0000"/>
                      <w:kern w:val="2"/>
                      <w:sz w:val="21"/>
                      <w:szCs w:val="21"/>
                      <w:highlight w:val="none"/>
                      <w:u w:val="single"/>
                      <w:lang w:val="en-US" w:eastAsia="zh-CN" w:bidi="ar-SA"/>
                    </w:rPr>
                  </w:pPr>
                  <w:r>
                    <w:rPr>
                      <w:rFonts w:hint="eastAsia"/>
                      <w:bCs/>
                      <w:color w:val="000000" w:themeColor="text1"/>
                      <w:sz w:val="21"/>
                      <w:szCs w:val="21"/>
                      <w:highlight w:val="none"/>
                      <w:u w:val="single"/>
                      <w14:textFill>
                        <w14:solidFill>
                          <w14:schemeClr w14:val="tx1"/>
                        </w14:solidFill>
                      </w14:textFill>
                    </w:rPr>
                    <w:t>外购、汽车运输</w:t>
                  </w:r>
                </w:p>
              </w:tc>
            </w:tr>
            <w:tr w14:paraId="557A46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7"/>
                  <w:vAlign w:val="center"/>
                </w:tcPr>
                <w:p w14:paraId="76A853B5">
                  <w:pPr>
                    <w:jc w:val="left"/>
                    <w:rPr>
                      <w:rFonts w:hint="eastAsia"/>
                      <w:b/>
                      <w:bCs w:val="0"/>
                      <w:color w:val="000000" w:themeColor="text1"/>
                      <w:sz w:val="21"/>
                      <w:szCs w:val="21"/>
                      <w:highlight w:val="none"/>
                      <w:u w:val="single"/>
                      <w:lang w:eastAsia="zh-CN"/>
                      <w14:textFill>
                        <w14:solidFill>
                          <w14:schemeClr w14:val="tx1"/>
                        </w14:solidFill>
                      </w14:textFill>
                    </w:rPr>
                  </w:pPr>
                  <w:r>
                    <w:rPr>
                      <w:rFonts w:hint="eastAsia"/>
                      <w:b/>
                      <w:bCs w:val="0"/>
                      <w:color w:val="000000" w:themeColor="text1"/>
                      <w:sz w:val="21"/>
                      <w:szCs w:val="21"/>
                      <w:highlight w:val="none"/>
                      <w:u w:val="single"/>
                      <w:lang w:eastAsia="zh-CN"/>
                      <w14:textFill>
                        <w14:solidFill>
                          <w14:schemeClr w14:val="tx1"/>
                        </w14:solidFill>
                      </w14:textFill>
                    </w:rPr>
                    <w:t>三、功能阻燃母粒</w:t>
                  </w:r>
                </w:p>
              </w:tc>
            </w:tr>
            <w:tr w14:paraId="567920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pct"/>
                  <w:vAlign w:val="center"/>
                </w:tcPr>
                <w:p w14:paraId="03D77633">
                  <w:pPr>
                    <w:jc w:val="center"/>
                    <w:rPr>
                      <w:rFonts w:hint="default"/>
                      <w:bCs/>
                      <w:color w:val="000000" w:themeColor="text1"/>
                      <w:sz w:val="21"/>
                      <w:szCs w:val="21"/>
                      <w:highlight w:val="none"/>
                      <w:u w:val="single"/>
                      <w:lang w:val="en-US" w:eastAsia="zh-CN"/>
                      <w14:textFill>
                        <w14:solidFill>
                          <w14:schemeClr w14:val="tx1"/>
                        </w14:solidFill>
                      </w14:textFill>
                    </w:rPr>
                  </w:pPr>
                  <w:r>
                    <w:rPr>
                      <w:rFonts w:hint="eastAsia"/>
                      <w:bCs/>
                      <w:color w:val="000000" w:themeColor="text1"/>
                      <w:sz w:val="21"/>
                      <w:szCs w:val="21"/>
                      <w:highlight w:val="none"/>
                      <w:u w:val="single"/>
                      <w:lang w:val="en-US" w:eastAsia="zh-CN"/>
                      <w14:textFill>
                        <w14:solidFill>
                          <w14:schemeClr w14:val="tx1"/>
                        </w14:solidFill>
                      </w14:textFill>
                    </w:rPr>
                    <w:t>1</w:t>
                  </w:r>
                </w:p>
              </w:tc>
              <w:tc>
                <w:tcPr>
                  <w:tcW w:w="1308" w:type="pct"/>
                  <w:gridSpan w:val="2"/>
                  <w:vAlign w:val="center"/>
                </w:tcPr>
                <w:p w14:paraId="04BF005C">
                  <w:pPr>
                    <w:jc w:val="center"/>
                    <w:rPr>
                      <w:rFonts w:hint="default"/>
                      <w:bCs/>
                      <w:color w:val="000000" w:themeColor="text1"/>
                      <w:sz w:val="21"/>
                      <w:szCs w:val="21"/>
                      <w:highlight w:val="none"/>
                      <w:u w:val="single"/>
                      <w:vertAlign w:val="superscript"/>
                      <w:lang w:val="en-US" w:eastAsia="zh-CN"/>
                      <w14:textFill>
                        <w14:solidFill>
                          <w14:schemeClr w14:val="tx1"/>
                        </w14:solidFill>
                      </w14:textFill>
                    </w:rPr>
                  </w:pPr>
                  <w:r>
                    <w:rPr>
                      <w:rFonts w:hint="eastAsia"/>
                      <w:bCs/>
                      <w:color w:val="000000" w:themeColor="text1"/>
                      <w:sz w:val="21"/>
                      <w:szCs w:val="21"/>
                      <w:highlight w:val="none"/>
                      <w:u w:val="single"/>
                      <w:lang w:eastAsia="zh-CN"/>
                      <w14:textFill>
                        <w14:solidFill>
                          <w14:schemeClr w14:val="tx1"/>
                        </w14:solidFill>
                      </w14:textFill>
                    </w:rPr>
                    <w:t>无卤阻燃剂</w:t>
                  </w:r>
                  <w:r>
                    <w:rPr>
                      <w:rFonts w:hint="eastAsia"/>
                      <w:bCs/>
                      <w:color w:val="000000" w:themeColor="text1"/>
                      <w:sz w:val="21"/>
                      <w:szCs w:val="21"/>
                      <w:highlight w:val="none"/>
                      <w:u w:val="single"/>
                      <w:vertAlign w:val="superscript"/>
                      <w:lang w:val="en-US" w:eastAsia="zh-CN"/>
                      <w14:textFill>
                        <w14:solidFill>
                          <w14:schemeClr w14:val="tx1"/>
                        </w14:solidFill>
                      </w14:textFill>
                    </w:rPr>
                    <w:t>2</w:t>
                  </w:r>
                </w:p>
              </w:tc>
              <w:tc>
                <w:tcPr>
                  <w:tcW w:w="730" w:type="pct"/>
                  <w:vAlign w:val="center"/>
                </w:tcPr>
                <w:p w14:paraId="6C973869">
                  <w:pPr>
                    <w:jc w:val="center"/>
                    <w:rPr>
                      <w:rFonts w:hint="default"/>
                      <w:bCs/>
                      <w:color w:val="000000" w:themeColor="text1"/>
                      <w:sz w:val="21"/>
                      <w:szCs w:val="21"/>
                      <w:highlight w:val="none"/>
                      <w:u w:val="single"/>
                      <w:lang w:val="en-US" w:eastAsia="zh-CN"/>
                      <w14:textFill>
                        <w14:solidFill>
                          <w14:schemeClr w14:val="tx1"/>
                        </w14:solidFill>
                      </w14:textFill>
                    </w:rPr>
                  </w:pPr>
                  <w:r>
                    <w:rPr>
                      <w:rFonts w:hint="eastAsia"/>
                      <w:bCs/>
                      <w:color w:val="000000" w:themeColor="text1"/>
                      <w:sz w:val="21"/>
                      <w:szCs w:val="21"/>
                      <w:highlight w:val="none"/>
                      <w:u w:val="single"/>
                      <w:lang w:val="en-US" w:eastAsia="zh-CN"/>
                      <w14:textFill>
                        <w14:solidFill>
                          <w14:schemeClr w14:val="tx1"/>
                        </w14:solidFill>
                      </w14:textFill>
                    </w:rPr>
                    <w:t>3750</w:t>
                  </w:r>
                </w:p>
              </w:tc>
              <w:tc>
                <w:tcPr>
                  <w:tcW w:w="681" w:type="pct"/>
                  <w:vAlign w:val="center"/>
                </w:tcPr>
                <w:p w14:paraId="4D184053">
                  <w:pPr>
                    <w:jc w:val="center"/>
                    <w:rPr>
                      <w:rFonts w:hint="default"/>
                      <w:bCs/>
                      <w:color w:val="000000" w:themeColor="text1"/>
                      <w:sz w:val="21"/>
                      <w:szCs w:val="21"/>
                      <w:highlight w:val="none"/>
                      <w:u w:val="single"/>
                      <w:lang w:val="en-US" w:eastAsia="zh-CN"/>
                      <w14:textFill>
                        <w14:solidFill>
                          <w14:schemeClr w14:val="tx1"/>
                        </w14:solidFill>
                      </w14:textFill>
                    </w:rPr>
                  </w:pPr>
                  <w:r>
                    <w:rPr>
                      <w:rFonts w:hint="eastAsia"/>
                      <w:bCs/>
                      <w:color w:val="000000" w:themeColor="text1"/>
                      <w:sz w:val="21"/>
                      <w:szCs w:val="21"/>
                      <w:highlight w:val="none"/>
                      <w:u w:val="single"/>
                      <w:lang w:val="en-US" w:eastAsia="zh-CN"/>
                      <w14:textFill>
                        <w14:solidFill>
                          <w14:schemeClr w14:val="tx1"/>
                        </w14:solidFill>
                      </w14:textFill>
                    </w:rPr>
                    <w:t>/</w:t>
                  </w:r>
                </w:p>
              </w:tc>
              <w:tc>
                <w:tcPr>
                  <w:tcW w:w="904" w:type="pct"/>
                  <w:vAlign w:val="center"/>
                </w:tcPr>
                <w:p w14:paraId="3E60A24F">
                  <w:pPr>
                    <w:jc w:val="center"/>
                    <w:rPr>
                      <w:rFonts w:hint="eastAsia"/>
                      <w:bCs/>
                      <w:color w:val="000000" w:themeColor="text1"/>
                      <w:sz w:val="21"/>
                      <w:szCs w:val="21"/>
                      <w:highlight w:val="none"/>
                      <w:u w:val="single"/>
                      <w:lang w:eastAsia="zh-CN"/>
                      <w14:textFill>
                        <w14:solidFill>
                          <w14:schemeClr w14:val="tx1"/>
                        </w14:solidFill>
                      </w14:textFill>
                    </w:rPr>
                  </w:pPr>
                  <w:r>
                    <w:rPr>
                      <w:rFonts w:hint="eastAsia"/>
                      <w:bCs/>
                      <w:color w:val="000000" w:themeColor="text1"/>
                      <w:sz w:val="21"/>
                      <w:szCs w:val="21"/>
                      <w:highlight w:val="none"/>
                      <w:u w:val="single"/>
                      <w:lang w:eastAsia="zh-CN"/>
                      <w14:textFill>
                        <w14:solidFill>
                          <w14:schemeClr w14:val="tx1"/>
                        </w14:solidFill>
                      </w14:textFill>
                    </w:rPr>
                    <w:t>固体</w:t>
                  </w:r>
                </w:p>
              </w:tc>
              <w:tc>
                <w:tcPr>
                  <w:tcW w:w="993" w:type="pct"/>
                  <w:vAlign w:val="center"/>
                </w:tcPr>
                <w:p w14:paraId="14A90BE6">
                  <w:pPr>
                    <w:jc w:val="center"/>
                    <w:rPr>
                      <w:rFonts w:hint="eastAsia"/>
                      <w:bCs/>
                      <w:color w:val="000000" w:themeColor="text1"/>
                      <w:sz w:val="21"/>
                      <w:szCs w:val="21"/>
                      <w:highlight w:val="none"/>
                      <w:u w:val="single"/>
                      <w:lang w:eastAsia="zh-CN"/>
                      <w14:textFill>
                        <w14:solidFill>
                          <w14:schemeClr w14:val="tx1"/>
                        </w14:solidFill>
                      </w14:textFill>
                    </w:rPr>
                  </w:pPr>
                  <w:r>
                    <w:rPr>
                      <w:rFonts w:hint="eastAsia"/>
                      <w:bCs/>
                      <w:color w:val="000000" w:themeColor="text1"/>
                      <w:sz w:val="21"/>
                      <w:szCs w:val="21"/>
                      <w:highlight w:val="none"/>
                      <w:u w:val="single"/>
                      <w:lang w:eastAsia="zh-CN"/>
                      <w14:textFill>
                        <w14:solidFill>
                          <w14:schemeClr w14:val="tx1"/>
                        </w14:solidFill>
                      </w14:textFill>
                    </w:rPr>
                    <w:t>自产</w:t>
                  </w:r>
                </w:p>
              </w:tc>
            </w:tr>
            <w:tr w14:paraId="2454A8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pct"/>
                  <w:vAlign w:val="center"/>
                </w:tcPr>
                <w:p w14:paraId="265EF50D">
                  <w:pPr>
                    <w:jc w:val="center"/>
                    <w:rPr>
                      <w:rFonts w:hint="eastAsia" w:eastAsia="宋体"/>
                      <w:bCs/>
                      <w:color w:val="000000" w:themeColor="text1"/>
                      <w:sz w:val="21"/>
                      <w:szCs w:val="21"/>
                      <w:u w:val="single"/>
                      <w:lang w:val="en-US" w:eastAsia="zh-CN"/>
                      <w14:textFill>
                        <w14:solidFill>
                          <w14:schemeClr w14:val="tx1"/>
                        </w14:solidFill>
                      </w14:textFill>
                    </w:rPr>
                  </w:pPr>
                  <w:r>
                    <w:rPr>
                      <w:rFonts w:hint="eastAsia"/>
                      <w:bCs/>
                      <w:color w:val="000000" w:themeColor="text1"/>
                      <w:sz w:val="21"/>
                      <w:szCs w:val="21"/>
                      <w:u w:val="single"/>
                      <w:lang w:val="en-US" w:eastAsia="zh-CN"/>
                      <w14:textFill>
                        <w14:solidFill>
                          <w14:schemeClr w14:val="tx1"/>
                        </w14:solidFill>
                      </w14:textFill>
                    </w:rPr>
                    <w:t>2</w:t>
                  </w:r>
                </w:p>
              </w:tc>
              <w:tc>
                <w:tcPr>
                  <w:tcW w:w="454" w:type="pct"/>
                  <w:vMerge w:val="restart"/>
                  <w:vAlign w:val="center"/>
                </w:tcPr>
                <w:p w14:paraId="541E06A6">
                  <w:pPr>
                    <w:widowControl/>
                    <w:jc w:val="center"/>
                    <w:textAlignment w:val="center"/>
                    <w:rPr>
                      <w:sz w:val="21"/>
                      <w:szCs w:val="21"/>
                      <w:u w:val="single"/>
                    </w:rPr>
                  </w:pPr>
                  <w:r>
                    <w:rPr>
                      <w:rFonts w:hint="eastAsia"/>
                      <w:sz w:val="21"/>
                      <w:szCs w:val="21"/>
                      <w:u w:val="single"/>
                    </w:rPr>
                    <w:t>润滑剂</w:t>
                  </w:r>
                </w:p>
              </w:tc>
              <w:tc>
                <w:tcPr>
                  <w:tcW w:w="853" w:type="pct"/>
                  <w:vAlign w:val="center"/>
                </w:tcPr>
                <w:p w14:paraId="37045681">
                  <w:pPr>
                    <w:widowControl/>
                    <w:jc w:val="center"/>
                    <w:textAlignment w:val="center"/>
                    <w:rPr>
                      <w:sz w:val="21"/>
                      <w:szCs w:val="21"/>
                      <w:u w:val="single"/>
                    </w:rPr>
                  </w:pPr>
                  <w:r>
                    <w:rPr>
                      <w:rStyle w:val="120"/>
                      <w:rFonts w:hint="default" w:ascii="Times New Roman" w:hAnsi="Times New Roman" w:cs="Times New Roman"/>
                      <w:color w:val="auto"/>
                      <w:u w:val="single"/>
                      <w:lang w:bidi="ar"/>
                    </w:rPr>
                    <w:t>聚乙烯蜡</w:t>
                  </w:r>
                </w:p>
              </w:tc>
              <w:tc>
                <w:tcPr>
                  <w:tcW w:w="730" w:type="pct"/>
                  <w:vAlign w:val="center"/>
                </w:tcPr>
                <w:p w14:paraId="5DCFA83D">
                  <w:pPr>
                    <w:jc w:val="center"/>
                    <w:rPr>
                      <w:rFonts w:hint="default" w:eastAsia="宋体"/>
                      <w:bCs/>
                      <w:sz w:val="21"/>
                      <w:szCs w:val="21"/>
                      <w:highlight w:val="none"/>
                      <w:u w:val="single"/>
                      <w:lang w:val="en-US" w:eastAsia="zh-CN"/>
                    </w:rPr>
                  </w:pPr>
                  <w:r>
                    <w:rPr>
                      <w:rFonts w:hint="eastAsia"/>
                      <w:bCs/>
                      <w:sz w:val="21"/>
                      <w:szCs w:val="21"/>
                      <w:highlight w:val="none"/>
                      <w:u w:val="single"/>
                      <w:lang w:val="en-US" w:eastAsia="zh-CN"/>
                    </w:rPr>
                    <w:t>16</w:t>
                  </w:r>
                </w:p>
              </w:tc>
              <w:tc>
                <w:tcPr>
                  <w:tcW w:w="681" w:type="pct"/>
                  <w:vAlign w:val="center"/>
                </w:tcPr>
                <w:p w14:paraId="2F433389">
                  <w:pPr>
                    <w:jc w:val="center"/>
                    <w:rPr>
                      <w:rFonts w:hint="eastAsia"/>
                      <w:bCs/>
                      <w:sz w:val="21"/>
                      <w:szCs w:val="21"/>
                      <w:highlight w:val="none"/>
                      <w:u w:val="single"/>
                    </w:rPr>
                  </w:pPr>
                  <w:r>
                    <w:rPr>
                      <w:rFonts w:hint="eastAsia"/>
                      <w:bCs/>
                      <w:sz w:val="21"/>
                      <w:szCs w:val="21"/>
                      <w:highlight w:val="none"/>
                      <w:u w:val="single"/>
                    </w:rPr>
                    <w:t>50</w:t>
                  </w:r>
                </w:p>
              </w:tc>
              <w:tc>
                <w:tcPr>
                  <w:tcW w:w="904" w:type="pct"/>
                  <w:vAlign w:val="center"/>
                </w:tcPr>
                <w:p w14:paraId="73B8ABD8">
                  <w:pPr>
                    <w:jc w:val="center"/>
                    <w:rPr>
                      <w:bCs/>
                      <w:color w:val="000000" w:themeColor="text1"/>
                      <w:sz w:val="21"/>
                      <w:szCs w:val="21"/>
                      <w:highlight w:val="none"/>
                      <w:u w:val="single"/>
                      <w14:textFill>
                        <w14:solidFill>
                          <w14:schemeClr w14:val="tx1"/>
                        </w14:solidFill>
                      </w14:textFill>
                    </w:rPr>
                  </w:pPr>
                  <w:r>
                    <w:rPr>
                      <w:rFonts w:hint="eastAsia"/>
                      <w:bCs/>
                      <w:color w:val="000000" w:themeColor="text1"/>
                      <w:sz w:val="21"/>
                      <w:szCs w:val="21"/>
                      <w:highlight w:val="none"/>
                      <w:u w:val="single"/>
                      <w14:textFill>
                        <w14:solidFill>
                          <w14:schemeClr w14:val="tx1"/>
                        </w14:solidFill>
                      </w14:textFill>
                    </w:rPr>
                    <w:t>固体、25kg/袋</w:t>
                  </w:r>
                </w:p>
              </w:tc>
              <w:tc>
                <w:tcPr>
                  <w:tcW w:w="993" w:type="pct"/>
                  <w:vAlign w:val="center"/>
                </w:tcPr>
                <w:p w14:paraId="3E84F53A">
                  <w:pPr>
                    <w:jc w:val="center"/>
                    <w:rPr>
                      <w:bCs/>
                      <w:color w:val="000000" w:themeColor="text1"/>
                      <w:sz w:val="21"/>
                      <w:szCs w:val="21"/>
                      <w:highlight w:val="none"/>
                      <w:u w:val="single"/>
                      <w14:textFill>
                        <w14:solidFill>
                          <w14:schemeClr w14:val="tx1"/>
                        </w14:solidFill>
                      </w14:textFill>
                    </w:rPr>
                  </w:pPr>
                  <w:r>
                    <w:rPr>
                      <w:rFonts w:hint="eastAsia"/>
                      <w:bCs/>
                      <w:color w:val="000000" w:themeColor="text1"/>
                      <w:sz w:val="21"/>
                      <w:szCs w:val="21"/>
                      <w:highlight w:val="none"/>
                      <w:u w:val="single"/>
                      <w14:textFill>
                        <w14:solidFill>
                          <w14:schemeClr w14:val="tx1"/>
                        </w14:solidFill>
                      </w14:textFill>
                    </w:rPr>
                    <w:t>外购、汽车运输</w:t>
                  </w:r>
                </w:p>
              </w:tc>
            </w:tr>
            <w:tr w14:paraId="1FA91D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pct"/>
                  <w:vAlign w:val="center"/>
                </w:tcPr>
                <w:p w14:paraId="7E9BF68F">
                  <w:pPr>
                    <w:jc w:val="center"/>
                    <w:rPr>
                      <w:rFonts w:ascii="Times New Roman" w:hAnsi="Times New Roman" w:eastAsia="宋体" w:cs="Times New Roman"/>
                      <w:bCs/>
                      <w:color w:val="000000" w:themeColor="text1"/>
                      <w:kern w:val="2"/>
                      <w:sz w:val="21"/>
                      <w:szCs w:val="21"/>
                      <w:u w:val="single"/>
                      <w:lang w:val="en-US" w:eastAsia="zh-CN" w:bidi="ar-SA"/>
                      <w14:textFill>
                        <w14:solidFill>
                          <w14:schemeClr w14:val="tx1"/>
                        </w14:solidFill>
                      </w14:textFill>
                    </w:rPr>
                  </w:pPr>
                  <w:r>
                    <w:rPr>
                      <w:rFonts w:hint="eastAsia"/>
                      <w:bCs/>
                      <w:color w:val="000000" w:themeColor="text1"/>
                      <w:sz w:val="21"/>
                      <w:szCs w:val="21"/>
                      <w:u w:val="single"/>
                      <w14:textFill>
                        <w14:solidFill>
                          <w14:schemeClr w14:val="tx1"/>
                        </w14:solidFill>
                      </w14:textFill>
                    </w:rPr>
                    <w:t>3</w:t>
                  </w:r>
                </w:p>
              </w:tc>
              <w:tc>
                <w:tcPr>
                  <w:tcW w:w="454" w:type="pct"/>
                  <w:vMerge w:val="continue"/>
                  <w:vAlign w:val="center"/>
                </w:tcPr>
                <w:p w14:paraId="70BD07C6">
                  <w:pPr>
                    <w:widowControl/>
                    <w:jc w:val="center"/>
                    <w:textAlignment w:val="center"/>
                    <w:rPr>
                      <w:sz w:val="21"/>
                      <w:szCs w:val="21"/>
                      <w:u w:val="single"/>
                    </w:rPr>
                  </w:pPr>
                </w:p>
              </w:tc>
              <w:tc>
                <w:tcPr>
                  <w:tcW w:w="853" w:type="pct"/>
                  <w:vAlign w:val="center"/>
                </w:tcPr>
                <w:p w14:paraId="79CD4A4D">
                  <w:pPr>
                    <w:widowControl/>
                    <w:jc w:val="center"/>
                    <w:textAlignment w:val="center"/>
                    <w:rPr>
                      <w:sz w:val="21"/>
                      <w:szCs w:val="21"/>
                      <w:u w:val="single"/>
                    </w:rPr>
                  </w:pPr>
                  <w:r>
                    <w:rPr>
                      <w:rStyle w:val="120"/>
                      <w:rFonts w:hint="default" w:ascii="Times New Roman" w:hAnsi="Times New Roman" w:cs="Times New Roman"/>
                      <w:color w:val="auto"/>
                      <w:u w:val="single"/>
                      <w:lang w:bidi="ar"/>
                    </w:rPr>
                    <w:t>硬脂酸钙</w:t>
                  </w:r>
                </w:p>
              </w:tc>
              <w:tc>
                <w:tcPr>
                  <w:tcW w:w="730" w:type="pct"/>
                  <w:vAlign w:val="center"/>
                </w:tcPr>
                <w:p w14:paraId="1B2EC465">
                  <w:pPr>
                    <w:jc w:val="center"/>
                    <w:rPr>
                      <w:rFonts w:hint="default" w:eastAsia="宋体"/>
                      <w:bCs/>
                      <w:sz w:val="21"/>
                      <w:szCs w:val="21"/>
                      <w:highlight w:val="none"/>
                      <w:u w:val="single"/>
                      <w:lang w:val="en-US" w:eastAsia="zh-CN"/>
                    </w:rPr>
                  </w:pPr>
                  <w:r>
                    <w:rPr>
                      <w:rFonts w:hint="eastAsia"/>
                      <w:bCs/>
                      <w:sz w:val="21"/>
                      <w:szCs w:val="21"/>
                      <w:highlight w:val="none"/>
                      <w:u w:val="single"/>
                      <w:lang w:val="en-US" w:eastAsia="zh-CN"/>
                    </w:rPr>
                    <w:t>16</w:t>
                  </w:r>
                </w:p>
              </w:tc>
              <w:tc>
                <w:tcPr>
                  <w:tcW w:w="681" w:type="pct"/>
                  <w:vAlign w:val="center"/>
                </w:tcPr>
                <w:p w14:paraId="790B8966">
                  <w:pPr>
                    <w:jc w:val="center"/>
                    <w:rPr>
                      <w:rFonts w:hint="eastAsia"/>
                      <w:bCs/>
                      <w:sz w:val="21"/>
                      <w:szCs w:val="21"/>
                      <w:highlight w:val="none"/>
                      <w:u w:val="single"/>
                    </w:rPr>
                  </w:pPr>
                  <w:r>
                    <w:rPr>
                      <w:rFonts w:hint="eastAsia"/>
                      <w:bCs/>
                      <w:sz w:val="21"/>
                      <w:szCs w:val="21"/>
                      <w:highlight w:val="none"/>
                      <w:u w:val="single"/>
                    </w:rPr>
                    <w:t>50</w:t>
                  </w:r>
                </w:p>
              </w:tc>
              <w:tc>
                <w:tcPr>
                  <w:tcW w:w="904" w:type="pct"/>
                  <w:vAlign w:val="center"/>
                </w:tcPr>
                <w:p w14:paraId="13CA8C0E">
                  <w:pPr>
                    <w:jc w:val="center"/>
                    <w:rPr>
                      <w:bCs/>
                      <w:color w:val="000000" w:themeColor="text1"/>
                      <w:sz w:val="21"/>
                      <w:szCs w:val="21"/>
                      <w:highlight w:val="none"/>
                      <w:u w:val="single"/>
                      <w14:textFill>
                        <w14:solidFill>
                          <w14:schemeClr w14:val="tx1"/>
                        </w14:solidFill>
                      </w14:textFill>
                    </w:rPr>
                  </w:pPr>
                  <w:r>
                    <w:rPr>
                      <w:rFonts w:hint="eastAsia"/>
                      <w:bCs/>
                      <w:color w:val="000000" w:themeColor="text1"/>
                      <w:sz w:val="21"/>
                      <w:szCs w:val="21"/>
                      <w:highlight w:val="none"/>
                      <w:u w:val="single"/>
                      <w14:textFill>
                        <w14:solidFill>
                          <w14:schemeClr w14:val="tx1"/>
                        </w14:solidFill>
                      </w14:textFill>
                    </w:rPr>
                    <w:t>固体、25kg/袋</w:t>
                  </w:r>
                </w:p>
              </w:tc>
              <w:tc>
                <w:tcPr>
                  <w:tcW w:w="993" w:type="pct"/>
                  <w:vAlign w:val="center"/>
                </w:tcPr>
                <w:p w14:paraId="24D67CAE">
                  <w:pPr>
                    <w:jc w:val="center"/>
                    <w:rPr>
                      <w:bCs/>
                      <w:color w:val="000000" w:themeColor="text1"/>
                      <w:sz w:val="21"/>
                      <w:szCs w:val="21"/>
                      <w:highlight w:val="none"/>
                      <w:u w:val="single"/>
                      <w14:textFill>
                        <w14:solidFill>
                          <w14:schemeClr w14:val="tx1"/>
                        </w14:solidFill>
                      </w14:textFill>
                    </w:rPr>
                  </w:pPr>
                  <w:r>
                    <w:rPr>
                      <w:rFonts w:hint="eastAsia"/>
                      <w:bCs/>
                      <w:color w:val="000000" w:themeColor="text1"/>
                      <w:sz w:val="21"/>
                      <w:szCs w:val="21"/>
                      <w:highlight w:val="none"/>
                      <w:u w:val="single"/>
                      <w14:textFill>
                        <w14:solidFill>
                          <w14:schemeClr w14:val="tx1"/>
                        </w14:solidFill>
                      </w14:textFill>
                    </w:rPr>
                    <w:t>外购、汽车运输</w:t>
                  </w:r>
                </w:p>
              </w:tc>
            </w:tr>
            <w:tr w14:paraId="04F716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pct"/>
                  <w:vAlign w:val="center"/>
                </w:tcPr>
                <w:p w14:paraId="339C7D36">
                  <w:pPr>
                    <w:jc w:val="center"/>
                    <w:rPr>
                      <w:rFonts w:ascii="Times New Roman" w:hAnsi="Times New Roman" w:eastAsia="宋体" w:cs="Times New Roman"/>
                      <w:bCs/>
                      <w:color w:val="000000" w:themeColor="text1"/>
                      <w:kern w:val="2"/>
                      <w:sz w:val="21"/>
                      <w:szCs w:val="21"/>
                      <w:u w:val="single"/>
                      <w:lang w:val="en-US" w:eastAsia="zh-CN" w:bidi="ar-SA"/>
                      <w14:textFill>
                        <w14:solidFill>
                          <w14:schemeClr w14:val="tx1"/>
                        </w14:solidFill>
                      </w14:textFill>
                    </w:rPr>
                  </w:pPr>
                  <w:r>
                    <w:rPr>
                      <w:rFonts w:hint="eastAsia"/>
                      <w:bCs/>
                      <w:color w:val="000000" w:themeColor="text1"/>
                      <w:sz w:val="21"/>
                      <w:szCs w:val="21"/>
                      <w:u w:val="single"/>
                      <w14:textFill>
                        <w14:solidFill>
                          <w14:schemeClr w14:val="tx1"/>
                        </w14:solidFill>
                      </w14:textFill>
                    </w:rPr>
                    <w:t>4</w:t>
                  </w:r>
                </w:p>
              </w:tc>
              <w:tc>
                <w:tcPr>
                  <w:tcW w:w="454" w:type="pct"/>
                  <w:vMerge w:val="restart"/>
                  <w:vAlign w:val="center"/>
                </w:tcPr>
                <w:p w14:paraId="349B0C74">
                  <w:pPr>
                    <w:widowControl/>
                    <w:jc w:val="center"/>
                    <w:textAlignment w:val="center"/>
                    <w:rPr>
                      <w:sz w:val="21"/>
                      <w:szCs w:val="21"/>
                      <w:u w:val="single"/>
                    </w:rPr>
                  </w:pPr>
                  <w:r>
                    <w:rPr>
                      <w:rFonts w:hint="eastAsia"/>
                      <w:sz w:val="21"/>
                      <w:szCs w:val="21"/>
                      <w:u w:val="single"/>
                    </w:rPr>
                    <w:t>抗氧剂</w:t>
                  </w:r>
                </w:p>
              </w:tc>
              <w:tc>
                <w:tcPr>
                  <w:tcW w:w="853" w:type="pct"/>
                  <w:vAlign w:val="center"/>
                </w:tcPr>
                <w:p w14:paraId="31ECD67F">
                  <w:pPr>
                    <w:widowControl/>
                    <w:jc w:val="center"/>
                    <w:textAlignment w:val="center"/>
                    <w:rPr>
                      <w:sz w:val="21"/>
                      <w:szCs w:val="21"/>
                      <w:u w:val="single"/>
                    </w:rPr>
                  </w:pPr>
                  <w:r>
                    <w:rPr>
                      <w:rStyle w:val="120"/>
                      <w:rFonts w:hint="default" w:ascii="Times New Roman" w:hAnsi="Times New Roman" w:cs="Times New Roman"/>
                      <w:color w:val="auto"/>
                      <w:u w:val="single"/>
                      <w:lang w:bidi="ar"/>
                    </w:rPr>
                    <w:t>抗氧剂</w:t>
                  </w:r>
                  <w:r>
                    <w:rPr>
                      <w:rStyle w:val="121"/>
                      <w:rFonts w:ascii="Times New Roman" w:hAnsi="Times New Roman" w:cs="Times New Roman"/>
                      <w:color w:val="auto"/>
                      <w:u w:val="single"/>
                      <w:lang w:bidi="ar"/>
                    </w:rPr>
                    <w:t>1010</w:t>
                  </w:r>
                </w:p>
              </w:tc>
              <w:tc>
                <w:tcPr>
                  <w:tcW w:w="730" w:type="pct"/>
                  <w:vAlign w:val="center"/>
                </w:tcPr>
                <w:p w14:paraId="40E99342">
                  <w:pPr>
                    <w:jc w:val="center"/>
                    <w:rPr>
                      <w:rFonts w:hint="default" w:eastAsia="宋体"/>
                      <w:bCs/>
                      <w:sz w:val="21"/>
                      <w:szCs w:val="21"/>
                      <w:highlight w:val="none"/>
                      <w:u w:val="single"/>
                      <w:lang w:val="en-US" w:eastAsia="zh-CN"/>
                    </w:rPr>
                  </w:pPr>
                  <w:r>
                    <w:rPr>
                      <w:rFonts w:hint="eastAsia"/>
                      <w:bCs/>
                      <w:sz w:val="21"/>
                      <w:szCs w:val="21"/>
                      <w:highlight w:val="none"/>
                      <w:u w:val="single"/>
                      <w:lang w:val="en-US" w:eastAsia="zh-CN"/>
                    </w:rPr>
                    <w:t>16</w:t>
                  </w:r>
                </w:p>
              </w:tc>
              <w:tc>
                <w:tcPr>
                  <w:tcW w:w="681" w:type="pct"/>
                  <w:vAlign w:val="center"/>
                </w:tcPr>
                <w:p w14:paraId="3F6E3293">
                  <w:pPr>
                    <w:jc w:val="center"/>
                    <w:rPr>
                      <w:rFonts w:hint="default" w:eastAsia="宋体"/>
                      <w:bCs/>
                      <w:sz w:val="21"/>
                      <w:szCs w:val="21"/>
                      <w:highlight w:val="none"/>
                      <w:u w:val="single"/>
                      <w:lang w:val="en-US" w:eastAsia="zh-CN"/>
                    </w:rPr>
                  </w:pPr>
                  <w:r>
                    <w:rPr>
                      <w:rFonts w:hint="eastAsia"/>
                      <w:bCs/>
                      <w:sz w:val="21"/>
                      <w:szCs w:val="21"/>
                      <w:highlight w:val="none"/>
                      <w:u w:val="single"/>
                      <w:lang w:val="en-US" w:eastAsia="zh-CN"/>
                    </w:rPr>
                    <w:t>50</w:t>
                  </w:r>
                </w:p>
              </w:tc>
              <w:tc>
                <w:tcPr>
                  <w:tcW w:w="904" w:type="pct"/>
                  <w:vAlign w:val="center"/>
                </w:tcPr>
                <w:p w14:paraId="15696519">
                  <w:pPr>
                    <w:jc w:val="center"/>
                    <w:rPr>
                      <w:bCs/>
                      <w:color w:val="000000" w:themeColor="text1"/>
                      <w:sz w:val="21"/>
                      <w:szCs w:val="21"/>
                      <w:highlight w:val="none"/>
                      <w:u w:val="single"/>
                      <w14:textFill>
                        <w14:solidFill>
                          <w14:schemeClr w14:val="tx1"/>
                        </w14:solidFill>
                      </w14:textFill>
                    </w:rPr>
                  </w:pPr>
                  <w:r>
                    <w:rPr>
                      <w:rFonts w:hint="eastAsia"/>
                      <w:bCs/>
                      <w:color w:val="000000" w:themeColor="text1"/>
                      <w:sz w:val="21"/>
                      <w:szCs w:val="21"/>
                      <w:highlight w:val="none"/>
                      <w:u w:val="single"/>
                      <w14:textFill>
                        <w14:solidFill>
                          <w14:schemeClr w14:val="tx1"/>
                        </w14:solidFill>
                      </w14:textFill>
                    </w:rPr>
                    <w:t>固体、25kg/袋</w:t>
                  </w:r>
                </w:p>
              </w:tc>
              <w:tc>
                <w:tcPr>
                  <w:tcW w:w="993" w:type="pct"/>
                  <w:vAlign w:val="center"/>
                </w:tcPr>
                <w:p w14:paraId="5543FDA8">
                  <w:pPr>
                    <w:jc w:val="center"/>
                    <w:rPr>
                      <w:bCs/>
                      <w:color w:val="000000" w:themeColor="text1"/>
                      <w:sz w:val="21"/>
                      <w:szCs w:val="21"/>
                      <w:highlight w:val="none"/>
                      <w:u w:val="single"/>
                      <w14:textFill>
                        <w14:solidFill>
                          <w14:schemeClr w14:val="tx1"/>
                        </w14:solidFill>
                      </w14:textFill>
                    </w:rPr>
                  </w:pPr>
                  <w:r>
                    <w:rPr>
                      <w:rFonts w:hint="eastAsia"/>
                      <w:bCs/>
                      <w:color w:val="000000" w:themeColor="text1"/>
                      <w:sz w:val="21"/>
                      <w:szCs w:val="21"/>
                      <w:highlight w:val="none"/>
                      <w:u w:val="single"/>
                      <w14:textFill>
                        <w14:solidFill>
                          <w14:schemeClr w14:val="tx1"/>
                        </w14:solidFill>
                      </w14:textFill>
                    </w:rPr>
                    <w:t>外购、汽车运输</w:t>
                  </w:r>
                </w:p>
              </w:tc>
            </w:tr>
            <w:tr w14:paraId="0CDA14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pct"/>
                  <w:vAlign w:val="center"/>
                </w:tcPr>
                <w:p w14:paraId="76C98C09">
                  <w:pPr>
                    <w:jc w:val="center"/>
                    <w:rPr>
                      <w:rFonts w:ascii="Times New Roman" w:hAnsi="Times New Roman" w:eastAsia="宋体" w:cs="Times New Roman"/>
                      <w:bCs/>
                      <w:color w:val="000000" w:themeColor="text1"/>
                      <w:kern w:val="2"/>
                      <w:sz w:val="21"/>
                      <w:szCs w:val="21"/>
                      <w:u w:val="single"/>
                      <w:lang w:val="en-US" w:eastAsia="zh-CN" w:bidi="ar-SA"/>
                      <w14:textFill>
                        <w14:solidFill>
                          <w14:schemeClr w14:val="tx1"/>
                        </w14:solidFill>
                      </w14:textFill>
                    </w:rPr>
                  </w:pPr>
                  <w:r>
                    <w:rPr>
                      <w:rFonts w:hint="eastAsia"/>
                      <w:bCs/>
                      <w:color w:val="000000" w:themeColor="text1"/>
                      <w:sz w:val="21"/>
                      <w:szCs w:val="21"/>
                      <w:u w:val="single"/>
                      <w14:textFill>
                        <w14:solidFill>
                          <w14:schemeClr w14:val="tx1"/>
                        </w14:solidFill>
                      </w14:textFill>
                    </w:rPr>
                    <w:t>5</w:t>
                  </w:r>
                </w:p>
              </w:tc>
              <w:tc>
                <w:tcPr>
                  <w:tcW w:w="454" w:type="pct"/>
                  <w:vMerge w:val="continue"/>
                  <w:vAlign w:val="center"/>
                </w:tcPr>
                <w:p w14:paraId="69046EF4">
                  <w:pPr>
                    <w:widowControl/>
                    <w:jc w:val="center"/>
                    <w:textAlignment w:val="center"/>
                    <w:rPr>
                      <w:sz w:val="21"/>
                      <w:szCs w:val="21"/>
                      <w:u w:val="single"/>
                    </w:rPr>
                  </w:pPr>
                </w:p>
              </w:tc>
              <w:tc>
                <w:tcPr>
                  <w:tcW w:w="853" w:type="pct"/>
                  <w:vAlign w:val="center"/>
                </w:tcPr>
                <w:p w14:paraId="50BACF16">
                  <w:pPr>
                    <w:widowControl/>
                    <w:jc w:val="center"/>
                    <w:textAlignment w:val="center"/>
                    <w:rPr>
                      <w:sz w:val="21"/>
                      <w:szCs w:val="21"/>
                      <w:u w:val="single"/>
                    </w:rPr>
                  </w:pPr>
                  <w:r>
                    <w:rPr>
                      <w:rStyle w:val="120"/>
                      <w:rFonts w:hint="default" w:ascii="Times New Roman" w:hAnsi="Times New Roman" w:cs="Times New Roman"/>
                      <w:color w:val="auto"/>
                      <w:u w:val="single"/>
                      <w:lang w:bidi="ar"/>
                    </w:rPr>
                    <w:t>抗氧剂</w:t>
                  </w:r>
                  <w:r>
                    <w:rPr>
                      <w:rStyle w:val="121"/>
                      <w:rFonts w:ascii="Times New Roman" w:hAnsi="Times New Roman" w:cs="Times New Roman"/>
                      <w:color w:val="auto"/>
                      <w:u w:val="single"/>
                      <w:lang w:bidi="ar"/>
                    </w:rPr>
                    <w:t>168</w:t>
                  </w:r>
                </w:p>
              </w:tc>
              <w:tc>
                <w:tcPr>
                  <w:tcW w:w="730" w:type="pct"/>
                  <w:vAlign w:val="center"/>
                </w:tcPr>
                <w:p w14:paraId="09A88C91">
                  <w:pPr>
                    <w:jc w:val="center"/>
                    <w:rPr>
                      <w:rFonts w:hint="default" w:eastAsia="宋体"/>
                      <w:bCs/>
                      <w:sz w:val="21"/>
                      <w:szCs w:val="21"/>
                      <w:highlight w:val="none"/>
                      <w:u w:val="single"/>
                      <w:lang w:val="en-US" w:eastAsia="zh-CN"/>
                    </w:rPr>
                  </w:pPr>
                  <w:r>
                    <w:rPr>
                      <w:rFonts w:hint="eastAsia"/>
                      <w:bCs/>
                      <w:sz w:val="21"/>
                      <w:szCs w:val="21"/>
                      <w:highlight w:val="none"/>
                      <w:u w:val="single"/>
                      <w:lang w:val="en-US" w:eastAsia="zh-CN"/>
                    </w:rPr>
                    <w:t>16</w:t>
                  </w:r>
                </w:p>
              </w:tc>
              <w:tc>
                <w:tcPr>
                  <w:tcW w:w="681" w:type="pct"/>
                  <w:vAlign w:val="center"/>
                </w:tcPr>
                <w:p w14:paraId="150E6722">
                  <w:pPr>
                    <w:jc w:val="center"/>
                    <w:rPr>
                      <w:rFonts w:hint="default" w:eastAsia="宋体"/>
                      <w:bCs/>
                      <w:sz w:val="21"/>
                      <w:szCs w:val="21"/>
                      <w:highlight w:val="none"/>
                      <w:u w:val="single"/>
                      <w:lang w:val="en-US" w:eastAsia="zh-CN"/>
                    </w:rPr>
                  </w:pPr>
                  <w:r>
                    <w:rPr>
                      <w:rFonts w:hint="eastAsia"/>
                      <w:bCs/>
                      <w:sz w:val="21"/>
                      <w:szCs w:val="21"/>
                      <w:highlight w:val="none"/>
                      <w:u w:val="single"/>
                      <w:lang w:val="en-US" w:eastAsia="zh-CN"/>
                    </w:rPr>
                    <w:t>50</w:t>
                  </w:r>
                </w:p>
              </w:tc>
              <w:tc>
                <w:tcPr>
                  <w:tcW w:w="904" w:type="pct"/>
                  <w:vAlign w:val="center"/>
                </w:tcPr>
                <w:p w14:paraId="2C15B957">
                  <w:pPr>
                    <w:jc w:val="center"/>
                    <w:rPr>
                      <w:bCs/>
                      <w:color w:val="000000" w:themeColor="text1"/>
                      <w:sz w:val="21"/>
                      <w:szCs w:val="21"/>
                      <w:highlight w:val="none"/>
                      <w:u w:val="single"/>
                      <w14:textFill>
                        <w14:solidFill>
                          <w14:schemeClr w14:val="tx1"/>
                        </w14:solidFill>
                      </w14:textFill>
                    </w:rPr>
                  </w:pPr>
                  <w:r>
                    <w:rPr>
                      <w:rFonts w:hint="eastAsia"/>
                      <w:bCs/>
                      <w:color w:val="000000" w:themeColor="text1"/>
                      <w:sz w:val="21"/>
                      <w:szCs w:val="21"/>
                      <w:highlight w:val="none"/>
                      <w:u w:val="single"/>
                      <w14:textFill>
                        <w14:solidFill>
                          <w14:schemeClr w14:val="tx1"/>
                        </w14:solidFill>
                      </w14:textFill>
                    </w:rPr>
                    <w:t>固体、25kg/袋</w:t>
                  </w:r>
                </w:p>
              </w:tc>
              <w:tc>
                <w:tcPr>
                  <w:tcW w:w="993" w:type="pct"/>
                  <w:vAlign w:val="center"/>
                </w:tcPr>
                <w:p w14:paraId="7EC41E6B">
                  <w:pPr>
                    <w:jc w:val="center"/>
                    <w:rPr>
                      <w:bCs/>
                      <w:color w:val="000000" w:themeColor="text1"/>
                      <w:sz w:val="21"/>
                      <w:szCs w:val="21"/>
                      <w:highlight w:val="none"/>
                      <w:u w:val="single"/>
                      <w14:textFill>
                        <w14:solidFill>
                          <w14:schemeClr w14:val="tx1"/>
                        </w14:solidFill>
                      </w14:textFill>
                    </w:rPr>
                  </w:pPr>
                  <w:r>
                    <w:rPr>
                      <w:rFonts w:hint="eastAsia"/>
                      <w:bCs/>
                      <w:color w:val="000000" w:themeColor="text1"/>
                      <w:sz w:val="21"/>
                      <w:szCs w:val="21"/>
                      <w:highlight w:val="none"/>
                      <w:u w:val="single"/>
                      <w14:textFill>
                        <w14:solidFill>
                          <w14:schemeClr w14:val="tx1"/>
                        </w14:solidFill>
                      </w14:textFill>
                    </w:rPr>
                    <w:t>外购、汽车运输</w:t>
                  </w:r>
                </w:p>
              </w:tc>
            </w:tr>
            <w:tr w14:paraId="64CBD3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pct"/>
                  <w:vAlign w:val="center"/>
                </w:tcPr>
                <w:p w14:paraId="303CA6CC">
                  <w:pPr>
                    <w:jc w:val="center"/>
                    <w:rPr>
                      <w:rFonts w:ascii="Times New Roman" w:hAnsi="Times New Roman" w:eastAsia="宋体" w:cs="Times New Roman"/>
                      <w:bCs/>
                      <w:color w:val="000000" w:themeColor="text1"/>
                      <w:kern w:val="2"/>
                      <w:sz w:val="21"/>
                      <w:szCs w:val="21"/>
                      <w:u w:val="single"/>
                      <w:lang w:val="en-US" w:eastAsia="zh-CN" w:bidi="ar-SA"/>
                      <w14:textFill>
                        <w14:solidFill>
                          <w14:schemeClr w14:val="tx1"/>
                        </w14:solidFill>
                      </w14:textFill>
                    </w:rPr>
                  </w:pPr>
                  <w:r>
                    <w:rPr>
                      <w:rFonts w:hint="eastAsia"/>
                      <w:bCs/>
                      <w:color w:val="000000" w:themeColor="text1"/>
                      <w:sz w:val="21"/>
                      <w:szCs w:val="21"/>
                      <w:u w:val="single"/>
                      <w14:textFill>
                        <w14:solidFill>
                          <w14:schemeClr w14:val="tx1"/>
                        </w14:solidFill>
                      </w14:textFill>
                    </w:rPr>
                    <w:t>6</w:t>
                  </w:r>
                </w:p>
              </w:tc>
              <w:tc>
                <w:tcPr>
                  <w:tcW w:w="1308" w:type="pct"/>
                  <w:gridSpan w:val="2"/>
                  <w:vAlign w:val="center"/>
                </w:tcPr>
                <w:p w14:paraId="257D4274">
                  <w:pPr>
                    <w:widowControl/>
                    <w:jc w:val="center"/>
                    <w:textAlignment w:val="center"/>
                    <w:rPr>
                      <w:sz w:val="21"/>
                      <w:szCs w:val="21"/>
                      <w:u w:val="single"/>
                    </w:rPr>
                  </w:pPr>
                  <w:r>
                    <w:rPr>
                      <w:rStyle w:val="121"/>
                      <w:rFonts w:ascii="Times New Roman" w:hAnsi="Times New Roman" w:cs="Times New Roman"/>
                      <w:color w:val="auto"/>
                      <w:u w:val="single"/>
                      <w:lang w:bidi="ar"/>
                    </w:rPr>
                    <w:t>PP</w:t>
                  </w:r>
                  <w:r>
                    <w:rPr>
                      <w:rStyle w:val="120"/>
                      <w:rFonts w:hint="default" w:ascii="Times New Roman" w:hAnsi="Times New Roman" w:cs="Times New Roman"/>
                      <w:color w:val="auto"/>
                      <w:u w:val="single"/>
                      <w:lang w:bidi="ar"/>
                    </w:rPr>
                    <w:t>树脂</w:t>
                  </w:r>
                </w:p>
              </w:tc>
              <w:tc>
                <w:tcPr>
                  <w:tcW w:w="730" w:type="pct"/>
                  <w:vAlign w:val="center"/>
                </w:tcPr>
                <w:p w14:paraId="7CF8A485">
                  <w:pPr>
                    <w:jc w:val="center"/>
                    <w:textAlignment w:val="center"/>
                    <w:rPr>
                      <w:rFonts w:hint="default" w:eastAsia="宋体"/>
                      <w:bCs/>
                      <w:sz w:val="21"/>
                      <w:szCs w:val="21"/>
                      <w:highlight w:val="none"/>
                      <w:u w:val="single"/>
                      <w:lang w:val="en-US" w:eastAsia="zh-CN"/>
                    </w:rPr>
                  </w:pPr>
                  <w:r>
                    <w:rPr>
                      <w:rFonts w:hint="eastAsia"/>
                      <w:bCs/>
                      <w:sz w:val="21"/>
                      <w:szCs w:val="21"/>
                      <w:highlight w:val="none"/>
                      <w:u w:val="single"/>
                      <w:lang w:val="en-US" w:eastAsia="zh-CN"/>
                    </w:rPr>
                    <w:t>812.5</w:t>
                  </w:r>
                </w:p>
              </w:tc>
              <w:tc>
                <w:tcPr>
                  <w:tcW w:w="681" w:type="pct"/>
                  <w:vAlign w:val="center"/>
                </w:tcPr>
                <w:p w14:paraId="29C3750E">
                  <w:pPr>
                    <w:jc w:val="center"/>
                    <w:textAlignment w:val="center"/>
                    <w:rPr>
                      <w:rFonts w:hint="eastAsia"/>
                      <w:sz w:val="21"/>
                      <w:szCs w:val="21"/>
                      <w:highlight w:val="none"/>
                      <w:u w:val="single"/>
                    </w:rPr>
                  </w:pPr>
                  <w:r>
                    <w:rPr>
                      <w:rFonts w:hint="eastAsia"/>
                      <w:sz w:val="21"/>
                      <w:szCs w:val="21"/>
                      <w:highlight w:val="none"/>
                      <w:u w:val="single"/>
                    </w:rPr>
                    <w:t>100</w:t>
                  </w:r>
                </w:p>
              </w:tc>
              <w:tc>
                <w:tcPr>
                  <w:tcW w:w="904" w:type="pct"/>
                  <w:vAlign w:val="center"/>
                </w:tcPr>
                <w:p w14:paraId="7205B345">
                  <w:pPr>
                    <w:jc w:val="center"/>
                    <w:rPr>
                      <w:bCs/>
                      <w:color w:val="FF0000"/>
                      <w:sz w:val="21"/>
                      <w:szCs w:val="21"/>
                      <w:highlight w:val="none"/>
                      <w:u w:val="single"/>
                    </w:rPr>
                  </w:pPr>
                  <w:r>
                    <w:rPr>
                      <w:rFonts w:hint="eastAsia"/>
                      <w:bCs/>
                      <w:color w:val="000000" w:themeColor="text1"/>
                      <w:sz w:val="21"/>
                      <w:szCs w:val="21"/>
                      <w:highlight w:val="none"/>
                      <w:u w:val="single"/>
                      <w14:textFill>
                        <w14:solidFill>
                          <w14:schemeClr w14:val="tx1"/>
                        </w14:solidFill>
                      </w14:textFill>
                    </w:rPr>
                    <w:t>固体、25kg/袋</w:t>
                  </w:r>
                </w:p>
              </w:tc>
              <w:tc>
                <w:tcPr>
                  <w:tcW w:w="993" w:type="pct"/>
                  <w:vAlign w:val="center"/>
                </w:tcPr>
                <w:p w14:paraId="4DE9C9AE">
                  <w:pPr>
                    <w:jc w:val="center"/>
                    <w:rPr>
                      <w:bCs/>
                      <w:color w:val="FF0000"/>
                      <w:sz w:val="21"/>
                      <w:szCs w:val="21"/>
                      <w:highlight w:val="none"/>
                      <w:u w:val="single"/>
                    </w:rPr>
                  </w:pPr>
                  <w:r>
                    <w:rPr>
                      <w:rFonts w:hint="eastAsia"/>
                      <w:bCs/>
                      <w:color w:val="000000" w:themeColor="text1"/>
                      <w:sz w:val="21"/>
                      <w:szCs w:val="21"/>
                      <w:highlight w:val="none"/>
                      <w:u w:val="single"/>
                      <w14:textFill>
                        <w14:solidFill>
                          <w14:schemeClr w14:val="tx1"/>
                        </w14:solidFill>
                      </w14:textFill>
                    </w:rPr>
                    <w:t>外购、汽车运输</w:t>
                  </w:r>
                </w:p>
              </w:tc>
            </w:tr>
            <w:tr w14:paraId="24A866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pct"/>
                  <w:vAlign w:val="center"/>
                </w:tcPr>
                <w:p w14:paraId="5E9C8EE5">
                  <w:pPr>
                    <w:jc w:val="center"/>
                    <w:rPr>
                      <w:rFonts w:ascii="Times New Roman" w:hAnsi="Times New Roman" w:eastAsia="宋体" w:cs="Times New Roman"/>
                      <w:bCs/>
                      <w:color w:val="000000" w:themeColor="text1"/>
                      <w:kern w:val="2"/>
                      <w:sz w:val="21"/>
                      <w:szCs w:val="21"/>
                      <w:u w:val="single"/>
                      <w:lang w:val="en-US" w:eastAsia="zh-CN" w:bidi="ar-SA"/>
                      <w14:textFill>
                        <w14:solidFill>
                          <w14:schemeClr w14:val="tx1"/>
                        </w14:solidFill>
                      </w14:textFill>
                    </w:rPr>
                  </w:pPr>
                  <w:r>
                    <w:rPr>
                      <w:rFonts w:hint="eastAsia"/>
                      <w:bCs/>
                      <w:color w:val="000000" w:themeColor="text1"/>
                      <w:sz w:val="21"/>
                      <w:szCs w:val="21"/>
                      <w:u w:val="single"/>
                      <w14:textFill>
                        <w14:solidFill>
                          <w14:schemeClr w14:val="tx1"/>
                        </w14:solidFill>
                      </w14:textFill>
                    </w:rPr>
                    <w:t>7</w:t>
                  </w:r>
                </w:p>
              </w:tc>
              <w:tc>
                <w:tcPr>
                  <w:tcW w:w="1308" w:type="pct"/>
                  <w:gridSpan w:val="2"/>
                  <w:vAlign w:val="center"/>
                </w:tcPr>
                <w:p w14:paraId="43367155">
                  <w:pPr>
                    <w:widowControl/>
                    <w:jc w:val="center"/>
                    <w:textAlignment w:val="center"/>
                    <w:rPr>
                      <w:sz w:val="21"/>
                      <w:szCs w:val="21"/>
                      <w:u w:val="single"/>
                    </w:rPr>
                  </w:pPr>
                  <w:r>
                    <w:rPr>
                      <w:rStyle w:val="121"/>
                      <w:rFonts w:ascii="Times New Roman" w:hAnsi="Times New Roman" w:cs="Times New Roman"/>
                      <w:color w:val="auto"/>
                      <w:u w:val="single"/>
                      <w:lang w:bidi="ar"/>
                    </w:rPr>
                    <w:t>PE</w:t>
                  </w:r>
                  <w:r>
                    <w:rPr>
                      <w:rStyle w:val="120"/>
                      <w:rFonts w:hint="default" w:ascii="Times New Roman" w:hAnsi="Times New Roman" w:cs="Times New Roman"/>
                      <w:color w:val="auto"/>
                      <w:u w:val="single"/>
                      <w:lang w:bidi="ar"/>
                    </w:rPr>
                    <w:t>树脂</w:t>
                  </w:r>
                </w:p>
              </w:tc>
              <w:tc>
                <w:tcPr>
                  <w:tcW w:w="730" w:type="pct"/>
                  <w:vAlign w:val="center"/>
                </w:tcPr>
                <w:p w14:paraId="74FFB57C">
                  <w:pPr>
                    <w:jc w:val="center"/>
                    <w:rPr>
                      <w:rFonts w:hint="default" w:eastAsia="宋体"/>
                      <w:bCs/>
                      <w:sz w:val="21"/>
                      <w:szCs w:val="21"/>
                      <w:highlight w:val="none"/>
                      <w:u w:val="single"/>
                      <w:lang w:val="en-US" w:eastAsia="zh-CN"/>
                    </w:rPr>
                  </w:pPr>
                  <w:r>
                    <w:rPr>
                      <w:rFonts w:hint="eastAsia"/>
                      <w:bCs/>
                      <w:sz w:val="21"/>
                      <w:szCs w:val="21"/>
                      <w:highlight w:val="none"/>
                      <w:u w:val="single"/>
                      <w:lang w:val="en-US" w:eastAsia="zh-CN"/>
                    </w:rPr>
                    <w:t>812.5</w:t>
                  </w:r>
                </w:p>
              </w:tc>
              <w:tc>
                <w:tcPr>
                  <w:tcW w:w="681" w:type="pct"/>
                  <w:vAlign w:val="center"/>
                </w:tcPr>
                <w:p w14:paraId="68731138">
                  <w:pPr>
                    <w:jc w:val="center"/>
                    <w:rPr>
                      <w:rFonts w:hint="eastAsia"/>
                      <w:bCs/>
                      <w:sz w:val="21"/>
                      <w:szCs w:val="21"/>
                      <w:highlight w:val="none"/>
                      <w:u w:val="single"/>
                    </w:rPr>
                  </w:pPr>
                  <w:r>
                    <w:rPr>
                      <w:rFonts w:hint="eastAsia"/>
                      <w:sz w:val="21"/>
                      <w:szCs w:val="21"/>
                      <w:highlight w:val="none"/>
                      <w:u w:val="single"/>
                    </w:rPr>
                    <w:t>100</w:t>
                  </w:r>
                </w:p>
              </w:tc>
              <w:tc>
                <w:tcPr>
                  <w:tcW w:w="904" w:type="pct"/>
                  <w:vAlign w:val="center"/>
                </w:tcPr>
                <w:p w14:paraId="65F6E3CD">
                  <w:pPr>
                    <w:jc w:val="center"/>
                    <w:rPr>
                      <w:bCs/>
                      <w:color w:val="000000" w:themeColor="text1"/>
                      <w:sz w:val="21"/>
                      <w:szCs w:val="21"/>
                      <w:highlight w:val="none"/>
                      <w:u w:val="single"/>
                      <w14:textFill>
                        <w14:solidFill>
                          <w14:schemeClr w14:val="tx1"/>
                        </w14:solidFill>
                      </w14:textFill>
                    </w:rPr>
                  </w:pPr>
                  <w:r>
                    <w:rPr>
                      <w:rFonts w:hint="eastAsia"/>
                      <w:bCs/>
                      <w:color w:val="000000" w:themeColor="text1"/>
                      <w:sz w:val="21"/>
                      <w:szCs w:val="21"/>
                      <w:highlight w:val="none"/>
                      <w:u w:val="single"/>
                      <w14:textFill>
                        <w14:solidFill>
                          <w14:schemeClr w14:val="tx1"/>
                        </w14:solidFill>
                      </w14:textFill>
                    </w:rPr>
                    <w:t>固体、25kg/袋</w:t>
                  </w:r>
                </w:p>
              </w:tc>
              <w:tc>
                <w:tcPr>
                  <w:tcW w:w="993" w:type="pct"/>
                  <w:vAlign w:val="center"/>
                </w:tcPr>
                <w:p w14:paraId="674583D5">
                  <w:pPr>
                    <w:jc w:val="center"/>
                    <w:rPr>
                      <w:bCs/>
                      <w:color w:val="000000" w:themeColor="text1"/>
                      <w:sz w:val="21"/>
                      <w:szCs w:val="21"/>
                      <w:highlight w:val="none"/>
                      <w:u w:val="single"/>
                      <w14:textFill>
                        <w14:solidFill>
                          <w14:schemeClr w14:val="tx1"/>
                        </w14:solidFill>
                      </w14:textFill>
                    </w:rPr>
                  </w:pPr>
                  <w:r>
                    <w:rPr>
                      <w:rFonts w:hint="eastAsia"/>
                      <w:bCs/>
                      <w:color w:val="000000" w:themeColor="text1"/>
                      <w:sz w:val="21"/>
                      <w:szCs w:val="21"/>
                      <w:highlight w:val="none"/>
                      <w:u w:val="single"/>
                      <w14:textFill>
                        <w14:solidFill>
                          <w14:schemeClr w14:val="tx1"/>
                        </w14:solidFill>
                      </w14:textFill>
                    </w:rPr>
                    <w:t>外购、汽车运输</w:t>
                  </w:r>
                </w:p>
              </w:tc>
            </w:tr>
            <w:tr w14:paraId="47A910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pct"/>
                  <w:vAlign w:val="center"/>
                </w:tcPr>
                <w:p w14:paraId="75DA5C33">
                  <w:pPr>
                    <w:jc w:val="center"/>
                    <w:rPr>
                      <w:rFonts w:hint="eastAsia" w:eastAsia="宋体"/>
                      <w:bCs/>
                      <w:sz w:val="21"/>
                      <w:szCs w:val="21"/>
                      <w:u w:val="single"/>
                      <w:lang w:eastAsia="zh-CN"/>
                    </w:rPr>
                  </w:pPr>
                  <w:r>
                    <w:rPr>
                      <w:rFonts w:hint="eastAsia"/>
                      <w:bCs/>
                      <w:sz w:val="21"/>
                      <w:szCs w:val="21"/>
                      <w:u w:val="single"/>
                      <w:lang w:val="en-US" w:eastAsia="zh-CN"/>
                    </w:rPr>
                    <w:t>8</w:t>
                  </w:r>
                </w:p>
              </w:tc>
              <w:tc>
                <w:tcPr>
                  <w:tcW w:w="1308" w:type="pct"/>
                  <w:gridSpan w:val="2"/>
                  <w:vAlign w:val="center"/>
                </w:tcPr>
                <w:p w14:paraId="331C2FE4">
                  <w:pPr>
                    <w:widowControl/>
                    <w:jc w:val="center"/>
                    <w:textAlignment w:val="center"/>
                    <w:rPr>
                      <w:sz w:val="21"/>
                      <w:szCs w:val="21"/>
                      <w:u w:val="single"/>
                    </w:rPr>
                  </w:pPr>
                  <w:r>
                    <w:rPr>
                      <w:rStyle w:val="121"/>
                      <w:rFonts w:ascii="Times New Roman" w:hAnsi="Times New Roman" w:cs="Times New Roman"/>
                      <w:color w:val="auto"/>
                      <w:u w:val="single"/>
                      <w:lang w:bidi="ar"/>
                    </w:rPr>
                    <w:t>EVA</w:t>
                  </w:r>
                  <w:r>
                    <w:rPr>
                      <w:rStyle w:val="120"/>
                      <w:rFonts w:hint="default" w:ascii="Times New Roman" w:hAnsi="Times New Roman" w:cs="Times New Roman"/>
                      <w:color w:val="auto"/>
                      <w:u w:val="single"/>
                      <w:lang w:bidi="ar"/>
                    </w:rPr>
                    <w:t>树脂</w:t>
                  </w:r>
                </w:p>
              </w:tc>
              <w:tc>
                <w:tcPr>
                  <w:tcW w:w="730" w:type="pct"/>
                  <w:vAlign w:val="center"/>
                </w:tcPr>
                <w:p w14:paraId="5A0C9C34">
                  <w:pPr>
                    <w:jc w:val="center"/>
                    <w:rPr>
                      <w:rFonts w:hint="default" w:eastAsia="宋体"/>
                      <w:bCs/>
                      <w:sz w:val="21"/>
                      <w:szCs w:val="21"/>
                      <w:highlight w:val="none"/>
                      <w:u w:val="single"/>
                      <w:vertAlign w:val="superscript"/>
                      <w:lang w:val="en-US" w:eastAsia="zh-CN"/>
                    </w:rPr>
                  </w:pPr>
                  <w:r>
                    <w:rPr>
                      <w:rFonts w:hint="eastAsia"/>
                      <w:bCs/>
                      <w:sz w:val="21"/>
                      <w:szCs w:val="21"/>
                      <w:highlight w:val="none"/>
                      <w:u w:val="single"/>
                      <w:vertAlign w:val="baseline"/>
                      <w:lang w:val="en-US" w:eastAsia="zh-CN"/>
                    </w:rPr>
                    <w:t>812.5</w:t>
                  </w:r>
                </w:p>
              </w:tc>
              <w:tc>
                <w:tcPr>
                  <w:tcW w:w="681" w:type="pct"/>
                  <w:vAlign w:val="center"/>
                </w:tcPr>
                <w:p w14:paraId="202537C1">
                  <w:pPr>
                    <w:jc w:val="center"/>
                    <w:rPr>
                      <w:rFonts w:hint="eastAsia"/>
                      <w:bCs/>
                      <w:sz w:val="21"/>
                      <w:szCs w:val="21"/>
                      <w:highlight w:val="none"/>
                      <w:u w:val="single"/>
                    </w:rPr>
                  </w:pPr>
                  <w:r>
                    <w:rPr>
                      <w:rFonts w:hint="eastAsia"/>
                      <w:sz w:val="21"/>
                      <w:szCs w:val="21"/>
                      <w:highlight w:val="none"/>
                      <w:u w:val="single"/>
                    </w:rPr>
                    <w:t>100</w:t>
                  </w:r>
                </w:p>
              </w:tc>
              <w:tc>
                <w:tcPr>
                  <w:tcW w:w="904" w:type="pct"/>
                  <w:vAlign w:val="center"/>
                </w:tcPr>
                <w:p w14:paraId="19BFADF6">
                  <w:pPr>
                    <w:jc w:val="center"/>
                    <w:rPr>
                      <w:bCs/>
                      <w:color w:val="FF0000"/>
                      <w:sz w:val="21"/>
                      <w:szCs w:val="21"/>
                      <w:highlight w:val="none"/>
                      <w:u w:val="single"/>
                    </w:rPr>
                  </w:pPr>
                  <w:r>
                    <w:rPr>
                      <w:rFonts w:hint="eastAsia"/>
                      <w:bCs/>
                      <w:color w:val="000000" w:themeColor="text1"/>
                      <w:sz w:val="21"/>
                      <w:szCs w:val="21"/>
                      <w:highlight w:val="none"/>
                      <w:u w:val="single"/>
                      <w14:textFill>
                        <w14:solidFill>
                          <w14:schemeClr w14:val="tx1"/>
                        </w14:solidFill>
                      </w14:textFill>
                    </w:rPr>
                    <w:t>固体、25kg/袋</w:t>
                  </w:r>
                </w:p>
              </w:tc>
              <w:tc>
                <w:tcPr>
                  <w:tcW w:w="993" w:type="pct"/>
                  <w:vAlign w:val="center"/>
                </w:tcPr>
                <w:p w14:paraId="1A57FE5D">
                  <w:pPr>
                    <w:jc w:val="center"/>
                    <w:rPr>
                      <w:bCs/>
                      <w:color w:val="FF0000"/>
                      <w:sz w:val="21"/>
                      <w:szCs w:val="21"/>
                      <w:highlight w:val="none"/>
                      <w:u w:val="single"/>
                    </w:rPr>
                  </w:pPr>
                  <w:r>
                    <w:rPr>
                      <w:rFonts w:hint="eastAsia"/>
                      <w:bCs/>
                      <w:color w:val="000000" w:themeColor="text1"/>
                      <w:sz w:val="21"/>
                      <w:szCs w:val="21"/>
                      <w:highlight w:val="none"/>
                      <w:u w:val="single"/>
                      <w14:textFill>
                        <w14:solidFill>
                          <w14:schemeClr w14:val="tx1"/>
                        </w14:solidFill>
                      </w14:textFill>
                    </w:rPr>
                    <w:t>外购、汽车运输</w:t>
                  </w:r>
                </w:p>
              </w:tc>
            </w:tr>
            <w:tr w14:paraId="74F0AC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7"/>
                  <w:vAlign w:val="center"/>
                </w:tcPr>
                <w:p w14:paraId="7ECF8028">
                  <w:pPr>
                    <w:jc w:val="left"/>
                    <w:rPr>
                      <w:rFonts w:hint="eastAsia"/>
                      <w:b/>
                      <w:bCs w:val="0"/>
                      <w:color w:val="000000" w:themeColor="text1"/>
                      <w:sz w:val="21"/>
                      <w:szCs w:val="21"/>
                      <w:highlight w:val="none"/>
                      <w:u w:val="single"/>
                      <w:lang w:eastAsia="zh-CN"/>
                      <w14:textFill>
                        <w14:solidFill>
                          <w14:schemeClr w14:val="tx1"/>
                        </w14:solidFill>
                      </w14:textFill>
                    </w:rPr>
                  </w:pPr>
                  <w:r>
                    <w:rPr>
                      <w:rFonts w:hint="eastAsia"/>
                      <w:b/>
                      <w:bCs w:val="0"/>
                      <w:color w:val="000000" w:themeColor="text1"/>
                      <w:sz w:val="21"/>
                      <w:szCs w:val="21"/>
                      <w:highlight w:val="none"/>
                      <w:u w:val="single"/>
                      <w:lang w:eastAsia="zh-CN"/>
                      <w14:textFill>
                        <w14:solidFill>
                          <w14:schemeClr w14:val="tx1"/>
                        </w14:solidFill>
                      </w14:textFill>
                    </w:rPr>
                    <w:t>四、能源消耗</w:t>
                  </w:r>
                </w:p>
              </w:tc>
            </w:tr>
            <w:tr w14:paraId="2CF636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pct"/>
                  <w:vAlign w:val="center"/>
                </w:tcPr>
                <w:p w14:paraId="733605DC">
                  <w:pPr>
                    <w:jc w:val="center"/>
                    <w:rPr>
                      <w:rFonts w:hint="eastAsia" w:eastAsia="宋体"/>
                      <w:bCs/>
                      <w:color w:val="auto"/>
                      <w:sz w:val="21"/>
                      <w:szCs w:val="21"/>
                      <w:u w:val="single"/>
                      <w:lang w:val="en-US" w:eastAsia="zh-CN"/>
                    </w:rPr>
                  </w:pPr>
                  <w:r>
                    <w:rPr>
                      <w:rFonts w:hint="eastAsia"/>
                      <w:bCs/>
                      <w:color w:val="auto"/>
                      <w:sz w:val="21"/>
                      <w:szCs w:val="21"/>
                      <w:u w:val="single"/>
                      <w:lang w:val="en-US" w:eastAsia="zh-CN"/>
                    </w:rPr>
                    <w:t>1</w:t>
                  </w:r>
                </w:p>
              </w:tc>
              <w:tc>
                <w:tcPr>
                  <w:tcW w:w="1308" w:type="pct"/>
                  <w:gridSpan w:val="2"/>
                  <w:vAlign w:val="center"/>
                </w:tcPr>
                <w:p w14:paraId="43C42FA6">
                  <w:pPr>
                    <w:jc w:val="center"/>
                    <w:rPr>
                      <w:bCs/>
                      <w:color w:val="auto"/>
                      <w:sz w:val="21"/>
                      <w:szCs w:val="21"/>
                      <w:u w:val="single"/>
                    </w:rPr>
                  </w:pPr>
                  <w:r>
                    <w:rPr>
                      <w:rFonts w:hint="eastAsia"/>
                      <w:bCs/>
                      <w:color w:val="auto"/>
                      <w:sz w:val="21"/>
                      <w:szCs w:val="21"/>
                      <w:u w:val="single"/>
                    </w:rPr>
                    <w:t>水</w:t>
                  </w:r>
                </w:p>
              </w:tc>
              <w:tc>
                <w:tcPr>
                  <w:tcW w:w="730" w:type="pct"/>
                  <w:vAlign w:val="center"/>
                </w:tcPr>
                <w:p w14:paraId="44A5F1C7">
                  <w:pPr>
                    <w:jc w:val="center"/>
                    <w:textAlignment w:val="center"/>
                    <w:rPr>
                      <w:rFonts w:hint="default" w:eastAsia="宋体"/>
                      <w:bCs/>
                      <w:color w:val="auto"/>
                      <w:sz w:val="21"/>
                      <w:szCs w:val="21"/>
                      <w:highlight w:val="none"/>
                      <w:u w:val="single"/>
                      <w:lang w:val="en-US" w:eastAsia="zh-CN"/>
                    </w:rPr>
                  </w:pPr>
                  <w:r>
                    <w:rPr>
                      <w:rFonts w:hint="eastAsia"/>
                      <w:color w:val="auto"/>
                      <w:sz w:val="21"/>
                      <w:szCs w:val="21"/>
                      <w:highlight w:val="none"/>
                      <w:u w:val="single"/>
                      <w:lang w:val="en-US" w:eastAsia="zh-CN" w:bidi="ar"/>
                    </w:rPr>
                    <w:t>629</w:t>
                  </w:r>
                </w:p>
              </w:tc>
              <w:tc>
                <w:tcPr>
                  <w:tcW w:w="681" w:type="pct"/>
                  <w:vAlign w:val="center"/>
                </w:tcPr>
                <w:p w14:paraId="4AF43499">
                  <w:pPr>
                    <w:jc w:val="center"/>
                    <w:rPr>
                      <w:bCs/>
                      <w:color w:val="auto"/>
                      <w:sz w:val="21"/>
                      <w:szCs w:val="21"/>
                      <w:highlight w:val="none"/>
                      <w:u w:val="single"/>
                    </w:rPr>
                  </w:pPr>
                  <w:r>
                    <w:rPr>
                      <w:rFonts w:hint="eastAsia"/>
                      <w:bCs/>
                      <w:color w:val="auto"/>
                      <w:sz w:val="21"/>
                      <w:szCs w:val="21"/>
                      <w:highlight w:val="none"/>
                      <w:u w:val="single"/>
                    </w:rPr>
                    <w:t>/</w:t>
                  </w:r>
                </w:p>
              </w:tc>
              <w:tc>
                <w:tcPr>
                  <w:tcW w:w="904" w:type="pct"/>
                  <w:vAlign w:val="center"/>
                </w:tcPr>
                <w:p w14:paraId="6A9AD21A">
                  <w:pPr>
                    <w:jc w:val="center"/>
                    <w:rPr>
                      <w:bCs/>
                      <w:color w:val="auto"/>
                      <w:sz w:val="21"/>
                      <w:szCs w:val="21"/>
                      <w:highlight w:val="none"/>
                      <w:u w:val="single"/>
                    </w:rPr>
                  </w:pPr>
                  <w:r>
                    <w:rPr>
                      <w:rFonts w:hint="eastAsia"/>
                      <w:bCs/>
                      <w:color w:val="auto"/>
                      <w:sz w:val="21"/>
                      <w:szCs w:val="21"/>
                      <w:highlight w:val="none"/>
                      <w:u w:val="single"/>
                    </w:rPr>
                    <w:t>/</w:t>
                  </w:r>
                </w:p>
              </w:tc>
              <w:tc>
                <w:tcPr>
                  <w:tcW w:w="993" w:type="pct"/>
                  <w:vAlign w:val="center"/>
                </w:tcPr>
                <w:p w14:paraId="31487C42">
                  <w:pPr>
                    <w:jc w:val="center"/>
                    <w:rPr>
                      <w:bCs/>
                      <w:color w:val="auto"/>
                      <w:sz w:val="21"/>
                      <w:szCs w:val="21"/>
                      <w:highlight w:val="none"/>
                      <w:u w:val="single"/>
                    </w:rPr>
                  </w:pPr>
                  <w:r>
                    <w:rPr>
                      <w:rFonts w:hint="eastAsia"/>
                      <w:bCs/>
                      <w:color w:val="auto"/>
                      <w:sz w:val="21"/>
                      <w:szCs w:val="21"/>
                      <w:highlight w:val="none"/>
                      <w:u w:val="single"/>
                    </w:rPr>
                    <w:t>园区管网供应</w:t>
                  </w:r>
                </w:p>
              </w:tc>
            </w:tr>
            <w:tr w14:paraId="08050D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pct"/>
                  <w:vAlign w:val="center"/>
                </w:tcPr>
                <w:p w14:paraId="4D9572DC">
                  <w:pPr>
                    <w:jc w:val="center"/>
                    <w:rPr>
                      <w:rFonts w:hint="eastAsia" w:eastAsia="宋体"/>
                      <w:bCs/>
                      <w:color w:val="auto"/>
                      <w:sz w:val="21"/>
                      <w:szCs w:val="21"/>
                      <w:u w:val="single"/>
                      <w:lang w:val="en-US" w:eastAsia="zh-CN"/>
                    </w:rPr>
                  </w:pPr>
                  <w:r>
                    <w:rPr>
                      <w:rFonts w:hint="eastAsia"/>
                      <w:bCs/>
                      <w:color w:val="auto"/>
                      <w:sz w:val="21"/>
                      <w:szCs w:val="21"/>
                      <w:u w:val="single"/>
                      <w:lang w:val="en-US" w:eastAsia="zh-CN"/>
                    </w:rPr>
                    <w:t>2</w:t>
                  </w:r>
                </w:p>
              </w:tc>
              <w:tc>
                <w:tcPr>
                  <w:tcW w:w="1308" w:type="pct"/>
                  <w:gridSpan w:val="2"/>
                  <w:vAlign w:val="center"/>
                </w:tcPr>
                <w:p w14:paraId="418132F3">
                  <w:pPr>
                    <w:jc w:val="center"/>
                    <w:rPr>
                      <w:bCs/>
                      <w:sz w:val="21"/>
                      <w:szCs w:val="21"/>
                      <w:u w:val="single"/>
                    </w:rPr>
                  </w:pPr>
                  <w:r>
                    <w:rPr>
                      <w:rFonts w:hint="eastAsia"/>
                      <w:bCs/>
                      <w:sz w:val="21"/>
                      <w:szCs w:val="21"/>
                      <w:u w:val="single"/>
                    </w:rPr>
                    <w:t>电（</w:t>
                  </w:r>
                  <w:r>
                    <w:rPr>
                      <w:bCs/>
                      <w:sz w:val="21"/>
                      <w:szCs w:val="21"/>
                      <w:u w:val="single"/>
                    </w:rPr>
                    <w:t>万KWh/a</w:t>
                  </w:r>
                  <w:r>
                    <w:rPr>
                      <w:rFonts w:hint="eastAsia"/>
                      <w:bCs/>
                      <w:sz w:val="21"/>
                      <w:szCs w:val="21"/>
                      <w:u w:val="single"/>
                    </w:rPr>
                    <w:t>）</w:t>
                  </w:r>
                </w:p>
              </w:tc>
              <w:tc>
                <w:tcPr>
                  <w:tcW w:w="730" w:type="pct"/>
                  <w:vAlign w:val="center"/>
                </w:tcPr>
                <w:p w14:paraId="3A524DDE">
                  <w:pPr>
                    <w:jc w:val="center"/>
                    <w:rPr>
                      <w:bCs/>
                      <w:sz w:val="21"/>
                      <w:szCs w:val="21"/>
                      <w:highlight w:val="none"/>
                      <w:u w:val="single"/>
                    </w:rPr>
                  </w:pPr>
                  <w:r>
                    <w:rPr>
                      <w:rFonts w:hint="eastAsia"/>
                      <w:bCs/>
                      <w:sz w:val="21"/>
                      <w:szCs w:val="21"/>
                      <w:highlight w:val="none"/>
                      <w:u w:val="single"/>
                    </w:rPr>
                    <w:t>320</w:t>
                  </w:r>
                </w:p>
              </w:tc>
              <w:tc>
                <w:tcPr>
                  <w:tcW w:w="681" w:type="pct"/>
                  <w:vAlign w:val="center"/>
                </w:tcPr>
                <w:p w14:paraId="70D19512">
                  <w:pPr>
                    <w:jc w:val="center"/>
                    <w:rPr>
                      <w:bCs/>
                      <w:sz w:val="21"/>
                      <w:szCs w:val="21"/>
                      <w:highlight w:val="none"/>
                      <w:u w:val="single"/>
                    </w:rPr>
                  </w:pPr>
                  <w:r>
                    <w:rPr>
                      <w:rFonts w:hint="eastAsia"/>
                      <w:bCs/>
                      <w:sz w:val="21"/>
                      <w:szCs w:val="21"/>
                      <w:highlight w:val="none"/>
                      <w:u w:val="single"/>
                    </w:rPr>
                    <w:t>/</w:t>
                  </w:r>
                </w:p>
              </w:tc>
              <w:tc>
                <w:tcPr>
                  <w:tcW w:w="904" w:type="pct"/>
                  <w:vAlign w:val="center"/>
                </w:tcPr>
                <w:p w14:paraId="6C11E119">
                  <w:pPr>
                    <w:jc w:val="center"/>
                    <w:rPr>
                      <w:bCs/>
                      <w:sz w:val="21"/>
                      <w:szCs w:val="21"/>
                      <w:highlight w:val="none"/>
                      <w:u w:val="single"/>
                    </w:rPr>
                  </w:pPr>
                  <w:r>
                    <w:rPr>
                      <w:rFonts w:hint="eastAsia"/>
                      <w:bCs/>
                      <w:sz w:val="21"/>
                      <w:szCs w:val="21"/>
                      <w:highlight w:val="none"/>
                      <w:u w:val="single"/>
                    </w:rPr>
                    <w:t>/</w:t>
                  </w:r>
                </w:p>
              </w:tc>
              <w:tc>
                <w:tcPr>
                  <w:tcW w:w="993" w:type="pct"/>
                  <w:vAlign w:val="center"/>
                </w:tcPr>
                <w:p w14:paraId="7728ECE7">
                  <w:pPr>
                    <w:jc w:val="center"/>
                    <w:rPr>
                      <w:bCs/>
                      <w:sz w:val="21"/>
                      <w:szCs w:val="21"/>
                      <w:highlight w:val="none"/>
                      <w:u w:val="single"/>
                    </w:rPr>
                  </w:pPr>
                  <w:r>
                    <w:rPr>
                      <w:rFonts w:hint="eastAsia"/>
                      <w:bCs/>
                      <w:sz w:val="21"/>
                      <w:szCs w:val="21"/>
                      <w:highlight w:val="none"/>
                      <w:u w:val="single"/>
                    </w:rPr>
                    <w:t>园区管网供应</w:t>
                  </w:r>
                </w:p>
              </w:tc>
            </w:tr>
            <w:tr w14:paraId="167421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pct"/>
                  <w:vAlign w:val="center"/>
                </w:tcPr>
                <w:p w14:paraId="1F939CAC">
                  <w:pPr>
                    <w:adjustRightInd w:val="0"/>
                    <w:snapToGrid w:val="0"/>
                    <w:jc w:val="center"/>
                    <w:rPr>
                      <w:rFonts w:hint="eastAsia" w:eastAsia="宋体"/>
                      <w:color w:val="auto"/>
                      <w:sz w:val="21"/>
                      <w:szCs w:val="18"/>
                      <w:u w:val="single"/>
                      <w:lang w:val="en-US" w:eastAsia="zh-CN"/>
                    </w:rPr>
                  </w:pPr>
                  <w:r>
                    <w:rPr>
                      <w:rFonts w:hint="eastAsia"/>
                      <w:color w:val="auto"/>
                      <w:sz w:val="21"/>
                      <w:szCs w:val="18"/>
                      <w:u w:val="single"/>
                      <w:lang w:val="en-US" w:eastAsia="zh-CN"/>
                    </w:rPr>
                    <w:t>3</w:t>
                  </w:r>
                </w:p>
              </w:tc>
              <w:tc>
                <w:tcPr>
                  <w:tcW w:w="1308" w:type="pct"/>
                  <w:gridSpan w:val="2"/>
                  <w:vAlign w:val="center"/>
                </w:tcPr>
                <w:p w14:paraId="6229B1FA">
                  <w:pPr>
                    <w:adjustRightInd w:val="0"/>
                    <w:snapToGrid w:val="0"/>
                    <w:jc w:val="center"/>
                    <w:rPr>
                      <w:sz w:val="21"/>
                      <w:szCs w:val="18"/>
                      <w:u w:val="single"/>
                    </w:rPr>
                  </w:pPr>
                  <w:r>
                    <w:rPr>
                      <w:rFonts w:hint="eastAsia"/>
                      <w:sz w:val="21"/>
                      <w:szCs w:val="18"/>
                      <w:u w:val="single"/>
                    </w:rPr>
                    <w:t>天然气（万m</w:t>
                  </w:r>
                  <w:r>
                    <w:rPr>
                      <w:rFonts w:hint="eastAsia"/>
                      <w:sz w:val="21"/>
                      <w:szCs w:val="18"/>
                      <w:u w:val="single"/>
                      <w:vertAlign w:val="superscript"/>
                    </w:rPr>
                    <w:t>3</w:t>
                  </w:r>
                  <w:r>
                    <w:rPr>
                      <w:rFonts w:hint="eastAsia"/>
                      <w:sz w:val="21"/>
                      <w:szCs w:val="18"/>
                      <w:u w:val="single"/>
                    </w:rPr>
                    <w:t>/a）</w:t>
                  </w:r>
                </w:p>
              </w:tc>
              <w:tc>
                <w:tcPr>
                  <w:tcW w:w="730" w:type="pct"/>
                  <w:vAlign w:val="center"/>
                </w:tcPr>
                <w:p w14:paraId="05783579">
                  <w:pPr>
                    <w:adjustRightInd w:val="0"/>
                    <w:snapToGrid w:val="0"/>
                    <w:jc w:val="center"/>
                    <w:rPr>
                      <w:sz w:val="21"/>
                      <w:szCs w:val="18"/>
                      <w:highlight w:val="none"/>
                      <w:u w:val="single"/>
                    </w:rPr>
                  </w:pPr>
                  <w:r>
                    <w:rPr>
                      <w:rFonts w:hint="eastAsia"/>
                      <w:bCs/>
                      <w:sz w:val="21"/>
                      <w:szCs w:val="21"/>
                      <w:highlight w:val="none"/>
                      <w:u w:val="single"/>
                    </w:rPr>
                    <w:t>35</w:t>
                  </w:r>
                </w:p>
              </w:tc>
              <w:tc>
                <w:tcPr>
                  <w:tcW w:w="681" w:type="pct"/>
                  <w:vAlign w:val="center"/>
                </w:tcPr>
                <w:p w14:paraId="43FF4927">
                  <w:pPr>
                    <w:adjustRightInd w:val="0"/>
                    <w:snapToGrid w:val="0"/>
                    <w:jc w:val="center"/>
                    <w:rPr>
                      <w:sz w:val="21"/>
                      <w:szCs w:val="18"/>
                      <w:highlight w:val="none"/>
                      <w:u w:val="single"/>
                    </w:rPr>
                  </w:pPr>
                  <w:r>
                    <w:rPr>
                      <w:rFonts w:hint="eastAsia"/>
                      <w:sz w:val="21"/>
                      <w:szCs w:val="18"/>
                      <w:highlight w:val="none"/>
                      <w:u w:val="single"/>
                    </w:rPr>
                    <w:t>/</w:t>
                  </w:r>
                </w:p>
              </w:tc>
              <w:tc>
                <w:tcPr>
                  <w:tcW w:w="904" w:type="pct"/>
                  <w:vAlign w:val="center"/>
                </w:tcPr>
                <w:p w14:paraId="1649D93A">
                  <w:pPr>
                    <w:jc w:val="center"/>
                    <w:rPr>
                      <w:bCs/>
                      <w:sz w:val="21"/>
                      <w:szCs w:val="21"/>
                      <w:highlight w:val="none"/>
                      <w:u w:val="single"/>
                    </w:rPr>
                  </w:pPr>
                  <w:r>
                    <w:rPr>
                      <w:rFonts w:hint="eastAsia"/>
                      <w:bCs/>
                      <w:sz w:val="21"/>
                      <w:szCs w:val="21"/>
                      <w:highlight w:val="none"/>
                      <w:u w:val="single"/>
                    </w:rPr>
                    <w:t>/</w:t>
                  </w:r>
                </w:p>
              </w:tc>
              <w:tc>
                <w:tcPr>
                  <w:tcW w:w="993" w:type="pct"/>
                  <w:vAlign w:val="center"/>
                </w:tcPr>
                <w:p w14:paraId="75E5265A">
                  <w:pPr>
                    <w:jc w:val="center"/>
                    <w:rPr>
                      <w:bCs/>
                      <w:sz w:val="21"/>
                      <w:szCs w:val="21"/>
                      <w:highlight w:val="none"/>
                      <w:u w:val="single"/>
                    </w:rPr>
                  </w:pPr>
                  <w:r>
                    <w:rPr>
                      <w:rFonts w:hint="eastAsia"/>
                      <w:bCs/>
                      <w:sz w:val="21"/>
                      <w:szCs w:val="21"/>
                      <w:highlight w:val="none"/>
                      <w:u w:val="single"/>
                    </w:rPr>
                    <w:t>园区管网供应</w:t>
                  </w:r>
                </w:p>
              </w:tc>
            </w:tr>
            <w:tr w14:paraId="0238AC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pct"/>
                  <w:vAlign w:val="center"/>
                </w:tcPr>
                <w:p w14:paraId="5BE7304C">
                  <w:pPr>
                    <w:adjustRightInd w:val="0"/>
                    <w:snapToGrid w:val="0"/>
                    <w:jc w:val="center"/>
                    <w:rPr>
                      <w:rFonts w:hint="default" w:eastAsia="宋体"/>
                      <w:color w:val="auto"/>
                      <w:sz w:val="21"/>
                      <w:szCs w:val="18"/>
                      <w:u w:val="single"/>
                      <w:lang w:val="en-US" w:eastAsia="zh-CN"/>
                    </w:rPr>
                  </w:pPr>
                  <w:r>
                    <w:rPr>
                      <w:rFonts w:hint="eastAsia"/>
                      <w:color w:val="auto"/>
                      <w:sz w:val="21"/>
                      <w:szCs w:val="18"/>
                      <w:u w:val="single"/>
                      <w:lang w:val="en-US" w:eastAsia="zh-CN"/>
                    </w:rPr>
                    <w:t>4</w:t>
                  </w:r>
                </w:p>
              </w:tc>
              <w:tc>
                <w:tcPr>
                  <w:tcW w:w="1308" w:type="pct"/>
                  <w:gridSpan w:val="2"/>
                  <w:vAlign w:val="center"/>
                </w:tcPr>
                <w:p w14:paraId="1A69ED86">
                  <w:pPr>
                    <w:adjustRightInd w:val="0"/>
                    <w:snapToGrid w:val="0"/>
                    <w:jc w:val="center"/>
                    <w:rPr>
                      <w:rFonts w:hint="eastAsia" w:eastAsia="宋体"/>
                      <w:sz w:val="21"/>
                      <w:szCs w:val="18"/>
                      <w:u w:val="single"/>
                      <w:lang w:eastAsia="zh-CN"/>
                    </w:rPr>
                  </w:pPr>
                  <w:r>
                    <w:rPr>
                      <w:rFonts w:hint="eastAsia"/>
                      <w:sz w:val="21"/>
                      <w:szCs w:val="18"/>
                      <w:u w:val="single"/>
                      <w:lang w:eastAsia="zh-CN"/>
                    </w:rPr>
                    <w:t>氮气（</w:t>
                  </w:r>
                  <w:r>
                    <w:rPr>
                      <w:rFonts w:hint="eastAsia"/>
                      <w:sz w:val="21"/>
                      <w:szCs w:val="18"/>
                      <w:u w:val="single"/>
                    </w:rPr>
                    <w:t>万m</w:t>
                  </w:r>
                  <w:r>
                    <w:rPr>
                      <w:rFonts w:hint="eastAsia"/>
                      <w:sz w:val="21"/>
                      <w:szCs w:val="18"/>
                      <w:u w:val="single"/>
                      <w:vertAlign w:val="superscript"/>
                    </w:rPr>
                    <w:t>3</w:t>
                  </w:r>
                  <w:r>
                    <w:rPr>
                      <w:rFonts w:hint="eastAsia"/>
                      <w:sz w:val="21"/>
                      <w:szCs w:val="18"/>
                      <w:u w:val="single"/>
                    </w:rPr>
                    <w:t>/a</w:t>
                  </w:r>
                  <w:r>
                    <w:rPr>
                      <w:rFonts w:hint="eastAsia"/>
                      <w:sz w:val="21"/>
                      <w:szCs w:val="18"/>
                      <w:u w:val="single"/>
                      <w:lang w:eastAsia="zh-CN"/>
                    </w:rPr>
                    <w:t>）</w:t>
                  </w:r>
                </w:p>
              </w:tc>
              <w:tc>
                <w:tcPr>
                  <w:tcW w:w="730" w:type="pct"/>
                  <w:vAlign w:val="center"/>
                </w:tcPr>
                <w:p w14:paraId="2A0BE553">
                  <w:pPr>
                    <w:adjustRightInd w:val="0"/>
                    <w:snapToGrid w:val="0"/>
                    <w:jc w:val="center"/>
                    <w:rPr>
                      <w:rFonts w:hint="default" w:eastAsia="宋体"/>
                      <w:bCs/>
                      <w:sz w:val="21"/>
                      <w:szCs w:val="21"/>
                      <w:highlight w:val="none"/>
                      <w:u w:val="single"/>
                      <w:lang w:val="en-US" w:eastAsia="zh-CN"/>
                    </w:rPr>
                  </w:pPr>
                  <w:r>
                    <w:rPr>
                      <w:rFonts w:hint="eastAsia"/>
                      <w:bCs/>
                      <w:sz w:val="21"/>
                      <w:szCs w:val="21"/>
                      <w:highlight w:val="none"/>
                      <w:u w:val="single"/>
                      <w:lang w:val="en-US" w:eastAsia="zh-CN"/>
                    </w:rPr>
                    <w:t>150</w:t>
                  </w:r>
                </w:p>
              </w:tc>
              <w:tc>
                <w:tcPr>
                  <w:tcW w:w="681" w:type="pct"/>
                  <w:vAlign w:val="center"/>
                </w:tcPr>
                <w:p w14:paraId="2182BA64">
                  <w:pPr>
                    <w:adjustRightInd w:val="0"/>
                    <w:snapToGrid w:val="0"/>
                    <w:jc w:val="center"/>
                    <w:rPr>
                      <w:rFonts w:hint="eastAsia" w:eastAsia="宋体"/>
                      <w:sz w:val="21"/>
                      <w:szCs w:val="18"/>
                      <w:highlight w:val="none"/>
                      <w:u w:val="single"/>
                      <w:lang w:val="en-US" w:eastAsia="zh-CN"/>
                    </w:rPr>
                  </w:pPr>
                  <w:r>
                    <w:rPr>
                      <w:rFonts w:hint="eastAsia"/>
                      <w:sz w:val="21"/>
                      <w:szCs w:val="18"/>
                      <w:highlight w:val="none"/>
                      <w:u w:val="single"/>
                      <w:lang w:val="en-US" w:eastAsia="zh-CN"/>
                    </w:rPr>
                    <w:t>/</w:t>
                  </w:r>
                </w:p>
              </w:tc>
              <w:tc>
                <w:tcPr>
                  <w:tcW w:w="904" w:type="pct"/>
                  <w:vAlign w:val="center"/>
                </w:tcPr>
                <w:p w14:paraId="63346A90">
                  <w:pPr>
                    <w:jc w:val="center"/>
                    <w:rPr>
                      <w:rFonts w:hint="eastAsia" w:eastAsia="宋体"/>
                      <w:bCs/>
                      <w:sz w:val="21"/>
                      <w:szCs w:val="21"/>
                      <w:highlight w:val="none"/>
                      <w:u w:val="single"/>
                      <w:lang w:val="en-US" w:eastAsia="zh-CN"/>
                    </w:rPr>
                  </w:pPr>
                  <w:r>
                    <w:rPr>
                      <w:rFonts w:hint="eastAsia"/>
                      <w:bCs/>
                      <w:sz w:val="21"/>
                      <w:szCs w:val="21"/>
                      <w:highlight w:val="none"/>
                      <w:u w:val="single"/>
                      <w:lang w:val="en-US" w:eastAsia="zh-CN"/>
                    </w:rPr>
                    <w:t>/</w:t>
                  </w:r>
                </w:p>
              </w:tc>
              <w:tc>
                <w:tcPr>
                  <w:tcW w:w="993" w:type="pct"/>
                  <w:vAlign w:val="center"/>
                </w:tcPr>
                <w:p w14:paraId="54917744">
                  <w:pPr>
                    <w:jc w:val="center"/>
                    <w:rPr>
                      <w:rFonts w:hint="eastAsia" w:eastAsia="宋体"/>
                      <w:bCs/>
                      <w:sz w:val="21"/>
                      <w:szCs w:val="21"/>
                      <w:highlight w:val="none"/>
                      <w:u w:val="single"/>
                      <w:lang w:eastAsia="zh-CN"/>
                    </w:rPr>
                  </w:pPr>
                  <w:r>
                    <w:rPr>
                      <w:rFonts w:hint="eastAsia"/>
                      <w:bCs/>
                      <w:sz w:val="21"/>
                      <w:szCs w:val="21"/>
                      <w:highlight w:val="none"/>
                      <w:u w:val="single"/>
                      <w:lang w:eastAsia="zh-CN"/>
                    </w:rPr>
                    <w:t>制氮机自产</w:t>
                  </w:r>
                </w:p>
              </w:tc>
            </w:tr>
            <w:tr w14:paraId="4AD081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7"/>
                  <w:vAlign w:val="center"/>
                </w:tcPr>
                <w:p w14:paraId="1B29620B">
                  <w:pPr>
                    <w:jc w:val="left"/>
                    <w:rPr>
                      <w:rFonts w:hint="eastAsia"/>
                      <w:bCs/>
                      <w:color w:val="000000" w:themeColor="text1"/>
                      <w:sz w:val="21"/>
                      <w:szCs w:val="21"/>
                      <w:highlight w:val="none"/>
                      <w:u w:val="single"/>
                      <w:lang w:val="en-US" w:eastAsia="zh-CN"/>
                      <w14:textFill>
                        <w14:solidFill>
                          <w14:schemeClr w14:val="tx1"/>
                        </w14:solidFill>
                      </w14:textFill>
                    </w:rPr>
                  </w:pPr>
                  <w:r>
                    <w:rPr>
                      <w:rFonts w:hint="eastAsia"/>
                      <w:bCs/>
                      <w:sz w:val="21"/>
                      <w:szCs w:val="21"/>
                      <w:highlight w:val="none"/>
                      <w:u w:val="single"/>
                      <w:lang w:eastAsia="zh-CN"/>
                    </w:rPr>
                    <w:t>注</w:t>
                  </w:r>
                  <w:r>
                    <w:rPr>
                      <w:rFonts w:hint="eastAsia"/>
                      <w:bCs/>
                      <w:sz w:val="21"/>
                      <w:szCs w:val="21"/>
                      <w:highlight w:val="none"/>
                      <w:u w:val="single"/>
                      <w:lang w:val="en-US" w:eastAsia="zh-CN"/>
                    </w:rPr>
                    <w:t>1</w:t>
                  </w:r>
                  <w:r>
                    <w:rPr>
                      <w:rFonts w:hint="eastAsia"/>
                      <w:bCs/>
                      <w:sz w:val="21"/>
                      <w:szCs w:val="21"/>
                      <w:highlight w:val="none"/>
                      <w:u w:val="single"/>
                      <w:lang w:eastAsia="zh-CN"/>
                    </w:rPr>
                    <w:t>：</w:t>
                  </w:r>
                  <w:r>
                    <w:rPr>
                      <w:rFonts w:hint="eastAsia"/>
                      <w:bCs/>
                      <w:color w:val="000000" w:themeColor="text1"/>
                      <w:sz w:val="21"/>
                      <w:szCs w:val="21"/>
                      <w:highlight w:val="none"/>
                      <w:u w:val="single"/>
                      <w:lang w:eastAsia="zh-CN"/>
                      <w14:textFill>
                        <w14:solidFill>
                          <w14:schemeClr w14:val="tx1"/>
                        </w14:solidFill>
                      </w14:textFill>
                    </w:rPr>
                    <w:t>烘干共得</w:t>
                  </w:r>
                  <w:r>
                    <w:rPr>
                      <w:rFonts w:hint="eastAsia"/>
                      <w:bCs/>
                      <w:color w:val="000000" w:themeColor="text1"/>
                      <w:sz w:val="21"/>
                      <w:szCs w:val="21"/>
                      <w:highlight w:val="none"/>
                      <w:u w:val="single"/>
                      <w:lang w:val="en-US" w:eastAsia="zh-CN"/>
                      <w14:textFill>
                        <w14:solidFill>
                          <w14:schemeClr w14:val="tx1"/>
                        </w14:solidFill>
                      </w14:textFill>
                    </w:rPr>
                    <w:t>10000吨焦磷酸哌嗪、其中5000吨为产品外售，5000吨作为无卤阻燃剂原料；</w:t>
                  </w:r>
                </w:p>
                <w:p w14:paraId="7E4CAB6B">
                  <w:pPr>
                    <w:pStyle w:val="14"/>
                    <w:rPr>
                      <w:rFonts w:hint="default"/>
                      <w:lang w:val="en-US" w:eastAsia="zh-CN"/>
                    </w:rPr>
                  </w:pPr>
                  <w:r>
                    <w:rPr>
                      <w:rFonts w:hint="eastAsia"/>
                      <w:bCs/>
                      <w:color w:val="000000" w:themeColor="text1"/>
                      <w:sz w:val="21"/>
                      <w:szCs w:val="21"/>
                      <w:highlight w:val="none"/>
                      <w:u w:val="single"/>
                      <w:lang w:val="en-US" w:eastAsia="zh-CN"/>
                      <w14:textFill>
                        <w14:solidFill>
                          <w14:schemeClr w14:val="tx1"/>
                        </w14:solidFill>
                      </w14:textFill>
                    </w:rPr>
                    <w:t>注2：</w:t>
                  </w:r>
                  <w:r>
                    <w:rPr>
                      <w:rFonts w:hint="eastAsia"/>
                      <w:bCs/>
                      <w:color w:val="auto"/>
                      <w:sz w:val="21"/>
                      <w:szCs w:val="21"/>
                      <w:highlight w:val="none"/>
                      <w:u w:val="single"/>
                      <w:lang w:eastAsia="zh-CN"/>
                    </w:rPr>
                    <w:t>混配共得</w:t>
                  </w:r>
                  <w:r>
                    <w:rPr>
                      <w:rFonts w:hint="eastAsia"/>
                      <w:bCs/>
                      <w:color w:val="auto"/>
                      <w:sz w:val="21"/>
                      <w:szCs w:val="21"/>
                      <w:highlight w:val="none"/>
                      <w:u w:val="single"/>
                      <w:lang w:val="en-US" w:eastAsia="zh-CN"/>
                    </w:rPr>
                    <w:t>7500吨无卤阻燃剂、其中3750吨为产品外售，3750吨作为功能阻燃母粒原料</w:t>
                  </w:r>
                </w:p>
              </w:tc>
            </w:tr>
          </w:tbl>
          <w:p w14:paraId="42743BCA">
            <w:pPr>
              <w:spacing w:before="120" w:beforeLines="50" w:line="360" w:lineRule="auto"/>
              <w:ind w:firstLine="480" w:firstLineChars="200"/>
              <w:rPr>
                <w:color w:val="000000" w:themeColor="text1"/>
                <w:szCs w:val="28"/>
                <w14:textFill>
                  <w14:solidFill>
                    <w14:schemeClr w14:val="tx1"/>
                  </w14:solidFill>
                </w14:textFill>
              </w:rPr>
            </w:pPr>
            <w:r>
              <w:rPr>
                <w:color w:val="000000" w:themeColor="text1"/>
                <w:szCs w:val="28"/>
                <w14:textFill>
                  <w14:solidFill>
                    <w14:schemeClr w14:val="tx1"/>
                  </w14:solidFill>
                </w14:textFill>
              </w:rPr>
              <w:t>本项目所需天然气来自于园区管网。松木工业园天然气成分和天然气参数指标详见表</w:t>
            </w:r>
            <w:r>
              <w:rPr>
                <w:rFonts w:hint="eastAsia"/>
                <w:color w:val="000000" w:themeColor="text1"/>
                <w:szCs w:val="28"/>
                <w14:textFill>
                  <w14:solidFill>
                    <w14:schemeClr w14:val="tx1"/>
                  </w14:solidFill>
                </w14:textFill>
              </w:rPr>
              <w:t>2-4</w:t>
            </w:r>
            <w:r>
              <w:rPr>
                <w:color w:val="000000" w:themeColor="text1"/>
                <w:szCs w:val="28"/>
                <w14:textFill>
                  <w14:solidFill>
                    <w14:schemeClr w14:val="tx1"/>
                  </w14:solidFill>
                </w14:textFill>
              </w:rPr>
              <w:t>和</w:t>
            </w:r>
            <w:r>
              <w:rPr>
                <w:rFonts w:hint="eastAsia"/>
                <w:color w:val="000000" w:themeColor="text1"/>
                <w:szCs w:val="28"/>
                <w14:textFill>
                  <w14:solidFill>
                    <w14:schemeClr w14:val="tx1"/>
                  </w14:solidFill>
                </w14:textFill>
              </w:rPr>
              <w:t>2-5</w:t>
            </w:r>
            <w:r>
              <w:rPr>
                <w:color w:val="000000" w:themeColor="text1"/>
                <w:szCs w:val="28"/>
                <w14:textFill>
                  <w14:solidFill>
                    <w14:schemeClr w14:val="tx1"/>
                  </w14:solidFill>
                </w14:textFill>
              </w:rPr>
              <w:t>。</w:t>
            </w:r>
          </w:p>
          <w:p w14:paraId="0459C57C">
            <w:pPr>
              <w:adjustRightInd w:val="0"/>
              <w:snapToGrid w:val="0"/>
              <w:jc w:val="center"/>
              <w:outlineLvl w:val="5"/>
              <w:rPr>
                <w:b/>
                <w:color w:val="000000" w:themeColor="text1"/>
                <w14:textFill>
                  <w14:solidFill>
                    <w14:schemeClr w14:val="tx1"/>
                  </w14:solidFill>
                </w14:textFill>
              </w:rPr>
            </w:pPr>
            <w:r>
              <w:rPr>
                <w:b/>
                <w:color w:val="000000" w:themeColor="text1"/>
                <w14:textFill>
                  <w14:solidFill>
                    <w14:schemeClr w14:val="tx1"/>
                  </w14:solidFill>
                </w14:textFill>
              </w:rPr>
              <w:t>表</w:t>
            </w:r>
            <w:r>
              <w:rPr>
                <w:rFonts w:hint="eastAsia"/>
                <w:b/>
                <w:color w:val="000000" w:themeColor="text1"/>
                <w14:textFill>
                  <w14:solidFill>
                    <w14:schemeClr w14:val="tx1"/>
                  </w14:solidFill>
                </w14:textFill>
              </w:rPr>
              <w:t>2-4</w:t>
            </w:r>
            <w:r>
              <w:rPr>
                <w:b/>
                <w:color w:val="000000" w:themeColor="text1"/>
                <w14:textFill>
                  <w14:solidFill>
                    <w14:schemeClr w14:val="tx1"/>
                  </w14:solidFill>
                </w14:textFill>
              </w:rPr>
              <w:t xml:space="preserve">  松木工业园天然气成分一览表</w:t>
            </w:r>
          </w:p>
          <w:tbl>
            <w:tblPr>
              <w:tblStyle w:val="3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09"/>
              <w:gridCol w:w="818"/>
              <w:gridCol w:w="769"/>
              <w:gridCol w:w="769"/>
              <w:gridCol w:w="1257"/>
              <w:gridCol w:w="756"/>
              <w:gridCol w:w="1274"/>
              <w:gridCol w:w="1399"/>
            </w:tblGrid>
            <w:tr w14:paraId="444B4E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77" w:type="pct"/>
                  <w:vAlign w:val="center"/>
                </w:tcPr>
                <w:p w14:paraId="36E69EB4">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成分</w:t>
                  </w:r>
                </w:p>
              </w:tc>
              <w:tc>
                <w:tcPr>
                  <w:tcW w:w="467" w:type="pct"/>
                  <w:vAlign w:val="center"/>
                </w:tcPr>
                <w:p w14:paraId="753BA9FD">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甲烷</w:t>
                  </w:r>
                </w:p>
              </w:tc>
              <w:tc>
                <w:tcPr>
                  <w:tcW w:w="439" w:type="pct"/>
                  <w:vAlign w:val="center"/>
                </w:tcPr>
                <w:p w14:paraId="699401E2">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乙烷</w:t>
                  </w:r>
                </w:p>
              </w:tc>
              <w:tc>
                <w:tcPr>
                  <w:tcW w:w="439" w:type="pct"/>
                  <w:vAlign w:val="center"/>
                </w:tcPr>
                <w:p w14:paraId="5145B66D">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丙烷</w:t>
                  </w:r>
                </w:p>
              </w:tc>
              <w:tc>
                <w:tcPr>
                  <w:tcW w:w="718" w:type="pct"/>
                </w:tcPr>
                <w:p w14:paraId="71A53BE0">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二氧化碳</w:t>
                  </w:r>
                </w:p>
              </w:tc>
              <w:tc>
                <w:tcPr>
                  <w:tcW w:w="432" w:type="pct"/>
                  <w:vAlign w:val="center"/>
                </w:tcPr>
                <w:p w14:paraId="4045DF6B">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氮气</w:t>
                  </w:r>
                </w:p>
              </w:tc>
              <w:tc>
                <w:tcPr>
                  <w:tcW w:w="728" w:type="pct"/>
                  <w:vAlign w:val="center"/>
                </w:tcPr>
                <w:p w14:paraId="107F9C74">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硫化氢</w:t>
                  </w:r>
                </w:p>
              </w:tc>
              <w:tc>
                <w:tcPr>
                  <w:tcW w:w="799" w:type="pct"/>
                  <w:vAlign w:val="center"/>
                </w:tcPr>
                <w:p w14:paraId="3DB304E0">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总硫</w:t>
                  </w:r>
                </w:p>
              </w:tc>
            </w:tr>
            <w:tr w14:paraId="73DCBF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977" w:type="pct"/>
                  <w:vAlign w:val="center"/>
                </w:tcPr>
                <w:p w14:paraId="4A2E450D">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分子式</w:t>
                  </w:r>
                </w:p>
              </w:tc>
              <w:tc>
                <w:tcPr>
                  <w:tcW w:w="467" w:type="pct"/>
                  <w:vAlign w:val="center"/>
                </w:tcPr>
                <w:p w14:paraId="5F044A67">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CH</w:t>
                  </w:r>
                  <w:r>
                    <w:rPr>
                      <w:color w:val="000000" w:themeColor="text1"/>
                      <w:sz w:val="21"/>
                      <w:szCs w:val="21"/>
                      <w:vertAlign w:val="subscript"/>
                      <w14:textFill>
                        <w14:solidFill>
                          <w14:schemeClr w14:val="tx1"/>
                        </w14:solidFill>
                      </w14:textFill>
                    </w:rPr>
                    <w:t>4</w:t>
                  </w:r>
                </w:p>
              </w:tc>
              <w:tc>
                <w:tcPr>
                  <w:tcW w:w="439" w:type="pct"/>
                  <w:vAlign w:val="center"/>
                </w:tcPr>
                <w:p w14:paraId="67896F5D">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w:t>
                  </w:r>
                  <w:r>
                    <w:rPr>
                      <w:color w:val="000000" w:themeColor="text1"/>
                      <w:sz w:val="21"/>
                      <w:szCs w:val="21"/>
                      <w:vertAlign w:val="subscript"/>
                      <w14:textFill>
                        <w14:solidFill>
                          <w14:schemeClr w14:val="tx1"/>
                        </w14:solidFill>
                      </w14:textFill>
                    </w:rPr>
                    <w:t>2</w:t>
                  </w:r>
                  <w:r>
                    <w:rPr>
                      <w:color w:val="000000" w:themeColor="text1"/>
                      <w:sz w:val="21"/>
                      <w:szCs w:val="21"/>
                      <w14:textFill>
                        <w14:solidFill>
                          <w14:schemeClr w14:val="tx1"/>
                        </w14:solidFill>
                      </w14:textFill>
                    </w:rPr>
                    <w:t>H</w:t>
                  </w:r>
                  <w:r>
                    <w:rPr>
                      <w:color w:val="000000" w:themeColor="text1"/>
                      <w:sz w:val="21"/>
                      <w:szCs w:val="21"/>
                      <w:vertAlign w:val="subscript"/>
                      <w14:textFill>
                        <w14:solidFill>
                          <w14:schemeClr w14:val="tx1"/>
                        </w14:solidFill>
                      </w14:textFill>
                    </w:rPr>
                    <w:t>6</w:t>
                  </w:r>
                </w:p>
              </w:tc>
              <w:tc>
                <w:tcPr>
                  <w:tcW w:w="439" w:type="pct"/>
                  <w:vAlign w:val="center"/>
                </w:tcPr>
                <w:p w14:paraId="677851D7">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w:t>
                  </w:r>
                  <w:r>
                    <w:rPr>
                      <w:color w:val="000000" w:themeColor="text1"/>
                      <w:sz w:val="21"/>
                      <w:szCs w:val="21"/>
                      <w:vertAlign w:val="subscript"/>
                      <w14:textFill>
                        <w14:solidFill>
                          <w14:schemeClr w14:val="tx1"/>
                        </w14:solidFill>
                      </w14:textFill>
                    </w:rPr>
                    <w:t>3</w:t>
                  </w:r>
                  <w:r>
                    <w:rPr>
                      <w:color w:val="000000" w:themeColor="text1"/>
                      <w:sz w:val="21"/>
                      <w:szCs w:val="21"/>
                      <w14:textFill>
                        <w14:solidFill>
                          <w14:schemeClr w14:val="tx1"/>
                        </w14:solidFill>
                      </w14:textFill>
                    </w:rPr>
                    <w:t>H</w:t>
                  </w:r>
                  <w:r>
                    <w:rPr>
                      <w:color w:val="000000" w:themeColor="text1"/>
                      <w:sz w:val="21"/>
                      <w:szCs w:val="21"/>
                      <w:vertAlign w:val="subscript"/>
                      <w14:textFill>
                        <w14:solidFill>
                          <w14:schemeClr w14:val="tx1"/>
                        </w14:solidFill>
                      </w14:textFill>
                    </w:rPr>
                    <w:t>8</w:t>
                  </w:r>
                </w:p>
              </w:tc>
              <w:tc>
                <w:tcPr>
                  <w:tcW w:w="718" w:type="pct"/>
                </w:tcPr>
                <w:p w14:paraId="6CDDE529">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CO</w:t>
                  </w:r>
                  <w:r>
                    <w:rPr>
                      <w:bCs/>
                      <w:color w:val="000000" w:themeColor="text1"/>
                      <w:sz w:val="21"/>
                      <w:szCs w:val="21"/>
                      <w:vertAlign w:val="subscript"/>
                      <w14:textFill>
                        <w14:solidFill>
                          <w14:schemeClr w14:val="tx1"/>
                        </w14:solidFill>
                      </w14:textFill>
                    </w:rPr>
                    <w:t>2</w:t>
                  </w:r>
                </w:p>
              </w:tc>
              <w:tc>
                <w:tcPr>
                  <w:tcW w:w="432" w:type="pct"/>
                  <w:vAlign w:val="center"/>
                </w:tcPr>
                <w:p w14:paraId="32146CAB">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N</w:t>
                  </w:r>
                  <w:r>
                    <w:rPr>
                      <w:bCs/>
                      <w:color w:val="000000" w:themeColor="text1"/>
                      <w:sz w:val="21"/>
                      <w:szCs w:val="21"/>
                      <w:vertAlign w:val="subscript"/>
                      <w14:textFill>
                        <w14:solidFill>
                          <w14:schemeClr w14:val="tx1"/>
                        </w14:solidFill>
                      </w14:textFill>
                    </w:rPr>
                    <w:t>2</w:t>
                  </w:r>
                </w:p>
              </w:tc>
              <w:tc>
                <w:tcPr>
                  <w:tcW w:w="728" w:type="pct"/>
                  <w:vAlign w:val="center"/>
                </w:tcPr>
                <w:p w14:paraId="2815DC04">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H</w:t>
                  </w:r>
                  <w:r>
                    <w:rPr>
                      <w:bCs/>
                      <w:color w:val="000000" w:themeColor="text1"/>
                      <w:sz w:val="21"/>
                      <w:szCs w:val="21"/>
                      <w:vertAlign w:val="subscript"/>
                      <w14:textFill>
                        <w14:solidFill>
                          <w14:schemeClr w14:val="tx1"/>
                        </w14:solidFill>
                      </w14:textFill>
                    </w:rPr>
                    <w:t>2</w:t>
                  </w:r>
                  <w:r>
                    <w:rPr>
                      <w:bCs/>
                      <w:color w:val="000000" w:themeColor="text1"/>
                      <w:sz w:val="21"/>
                      <w:szCs w:val="21"/>
                      <w14:textFill>
                        <w14:solidFill>
                          <w14:schemeClr w14:val="tx1"/>
                        </w14:solidFill>
                      </w14:textFill>
                    </w:rPr>
                    <w:t>S</w:t>
                  </w:r>
                </w:p>
              </w:tc>
              <w:tc>
                <w:tcPr>
                  <w:tcW w:w="799" w:type="pct"/>
                  <w:vAlign w:val="center"/>
                </w:tcPr>
                <w:p w14:paraId="72A39B6A">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S</w:t>
                  </w:r>
                </w:p>
              </w:tc>
            </w:tr>
            <w:tr w14:paraId="60AB67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977" w:type="pct"/>
                  <w:vAlign w:val="center"/>
                </w:tcPr>
                <w:p w14:paraId="171BD435">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摩尔百分比%</w:t>
                  </w:r>
                </w:p>
              </w:tc>
              <w:tc>
                <w:tcPr>
                  <w:tcW w:w="467" w:type="pct"/>
                  <w:vAlign w:val="center"/>
                </w:tcPr>
                <w:p w14:paraId="3F6A6EB9">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92</w:t>
                  </w:r>
                </w:p>
              </w:tc>
              <w:tc>
                <w:tcPr>
                  <w:tcW w:w="439" w:type="pct"/>
                  <w:vAlign w:val="center"/>
                </w:tcPr>
                <w:p w14:paraId="025D1DC7">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w:t>
                  </w:r>
                </w:p>
              </w:tc>
              <w:tc>
                <w:tcPr>
                  <w:tcW w:w="439" w:type="pct"/>
                  <w:vAlign w:val="center"/>
                </w:tcPr>
                <w:p w14:paraId="0591C193">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718" w:type="pct"/>
                  <w:vAlign w:val="center"/>
                </w:tcPr>
                <w:p w14:paraId="43C2402B">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w:t>
                  </w:r>
                </w:p>
              </w:tc>
              <w:tc>
                <w:tcPr>
                  <w:tcW w:w="432" w:type="pct"/>
                  <w:vAlign w:val="center"/>
                </w:tcPr>
                <w:p w14:paraId="25685A75">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3</w:t>
                  </w:r>
                </w:p>
              </w:tc>
              <w:tc>
                <w:tcPr>
                  <w:tcW w:w="728" w:type="pct"/>
                  <w:vAlign w:val="center"/>
                </w:tcPr>
                <w:p w14:paraId="5EF3382E">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＜7.0mg/m</w:t>
                  </w:r>
                  <w:r>
                    <w:rPr>
                      <w:bCs/>
                      <w:color w:val="000000" w:themeColor="text1"/>
                      <w:sz w:val="21"/>
                      <w:szCs w:val="21"/>
                      <w:vertAlign w:val="superscript"/>
                      <w14:textFill>
                        <w14:solidFill>
                          <w14:schemeClr w14:val="tx1"/>
                        </w14:solidFill>
                      </w14:textFill>
                    </w:rPr>
                    <w:t>3</w:t>
                  </w:r>
                </w:p>
              </w:tc>
              <w:tc>
                <w:tcPr>
                  <w:tcW w:w="799" w:type="pct"/>
                  <w:vAlign w:val="center"/>
                </w:tcPr>
                <w:p w14:paraId="2B88D257">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＜100mg/m</w:t>
                  </w:r>
                  <w:r>
                    <w:rPr>
                      <w:bCs/>
                      <w:color w:val="000000" w:themeColor="text1"/>
                      <w:sz w:val="21"/>
                      <w:szCs w:val="21"/>
                      <w:vertAlign w:val="superscript"/>
                      <w14:textFill>
                        <w14:solidFill>
                          <w14:schemeClr w14:val="tx1"/>
                        </w14:solidFill>
                      </w14:textFill>
                    </w:rPr>
                    <w:t>3</w:t>
                  </w:r>
                </w:p>
              </w:tc>
            </w:tr>
          </w:tbl>
          <w:p w14:paraId="6DF91F6A">
            <w:pPr>
              <w:adjustRightInd w:val="0"/>
              <w:snapToGrid w:val="0"/>
              <w:jc w:val="center"/>
              <w:outlineLvl w:val="5"/>
              <w:rPr>
                <w:b/>
                <w:color w:val="000000" w:themeColor="text1"/>
                <w14:textFill>
                  <w14:solidFill>
                    <w14:schemeClr w14:val="tx1"/>
                  </w14:solidFill>
                </w14:textFill>
              </w:rPr>
            </w:pPr>
            <w:r>
              <w:rPr>
                <w:b/>
                <w:color w:val="000000" w:themeColor="text1"/>
                <w14:textFill>
                  <w14:solidFill>
                    <w14:schemeClr w14:val="tx1"/>
                  </w14:solidFill>
                </w14:textFill>
              </w:rPr>
              <w:t>表</w:t>
            </w:r>
            <w:r>
              <w:rPr>
                <w:rFonts w:hint="eastAsia"/>
                <w:b/>
                <w:color w:val="000000" w:themeColor="text1"/>
                <w14:textFill>
                  <w14:solidFill>
                    <w14:schemeClr w14:val="tx1"/>
                  </w14:solidFill>
                </w14:textFill>
              </w:rPr>
              <w:t>2-5</w:t>
            </w:r>
            <w:r>
              <w:rPr>
                <w:b/>
                <w:color w:val="000000" w:themeColor="text1"/>
                <w14:textFill>
                  <w14:solidFill>
                    <w14:schemeClr w14:val="tx1"/>
                  </w14:solidFill>
                </w14:textFill>
              </w:rPr>
              <w:t xml:space="preserve">  松木工业园天然气参数一览表</w:t>
            </w:r>
          </w:p>
          <w:tbl>
            <w:tblPr>
              <w:tblStyle w:val="3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88"/>
              <w:gridCol w:w="2738"/>
              <w:gridCol w:w="3925"/>
            </w:tblGrid>
            <w:tr w14:paraId="60F103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93" w:type="pct"/>
                  <w:vAlign w:val="center"/>
                </w:tcPr>
                <w:p w14:paraId="1DB20ACC">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序号</w:t>
                  </w:r>
                </w:p>
              </w:tc>
              <w:tc>
                <w:tcPr>
                  <w:tcW w:w="1564" w:type="pct"/>
                  <w:vAlign w:val="center"/>
                </w:tcPr>
                <w:p w14:paraId="7C6641C2">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天然气参数</w:t>
                  </w:r>
                </w:p>
              </w:tc>
              <w:tc>
                <w:tcPr>
                  <w:tcW w:w="2242" w:type="pct"/>
                  <w:vAlign w:val="center"/>
                </w:tcPr>
                <w:p w14:paraId="2EF89F3D">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参数值</w:t>
                  </w:r>
                </w:p>
              </w:tc>
            </w:tr>
            <w:tr w14:paraId="08A46C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1193" w:type="pct"/>
                  <w:vAlign w:val="center"/>
                </w:tcPr>
                <w:p w14:paraId="09F98597">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564" w:type="pct"/>
                  <w:vAlign w:val="center"/>
                </w:tcPr>
                <w:p w14:paraId="3204076F">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天然气高热值</w:t>
                  </w:r>
                </w:p>
              </w:tc>
              <w:tc>
                <w:tcPr>
                  <w:tcW w:w="2242" w:type="pct"/>
                  <w:vAlign w:val="center"/>
                </w:tcPr>
                <w:p w14:paraId="03A159F0">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37.19MJ/Nm</w:t>
                  </w:r>
                  <w:r>
                    <w:rPr>
                      <w:color w:val="000000" w:themeColor="text1"/>
                      <w:sz w:val="21"/>
                      <w:szCs w:val="21"/>
                      <w:vertAlign w:val="superscript"/>
                      <w14:textFill>
                        <w14:solidFill>
                          <w14:schemeClr w14:val="tx1"/>
                        </w14:solidFill>
                      </w14:textFill>
                    </w:rPr>
                    <w:t>3</w:t>
                  </w:r>
                </w:p>
              </w:tc>
            </w:tr>
            <w:tr w14:paraId="10CE0F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1193" w:type="pct"/>
                  <w:vAlign w:val="center"/>
                </w:tcPr>
                <w:p w14:paraId="0F7C2BE0">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1564" w:type="pct"/>
                  <w:vAlign w:val="center"/>
                </w:tcPr>
                <w:p w14:paraId="4903B75F">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天然气低热值</w:t>
                  </w:r>
                </w:p>
              </w:tc>
              <w:tc>
                <w:tcPr>
                  <w:tcW w:w="2242" w:type="pct"/>
                  <w:vAlign w:val="center"/>
                </w:tcPr>
                <w:p w14:paraId="5D475D3B">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33.56MJ/Nm</w:t>
                  </w:r>
                  <w:r>
                    <w:rPr>
                      <w:color w:val="000000" w:themeColor="text1"/>
                      <w:sz w:val="21"/>
                      <w:szCs w:val="21"/>
                      <w:vertAlign w:val="superscript"/>
                      <w14:textFill>
                        <w14:solidFill>
                          <w14:schemeClr w14:val="tx1"/>
                        </w14:solidFill>
                      </w14:textFill>
                    </w:rPr>
                    <w:t>3</w:t>
                  </w:r>
                </w:p>
              </w:tc>
            </w:tr>
            <w:tr w14:paraId="54B52B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1193" w:type="pct"/>
                  <w:vAlign w:val="center"/>
                </w:tcPr>
                <w:p w14:paraId="40619483">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1564" w:type="pct"/>
                  <w:vAlign w:val="center"/>
                </w:tcPr>
                <w:p w14:paraId="59054932">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相对密度</w:t>
                  </w:r>
                </w:p>
              </w:tc>
              <w:tc>
                <w:tcPr>
                  <w:tcW w:w="2242" w:type="pct"/>
                  <w:vAlign w:val="center"/>
                </w:tcPr>
                <w:p w14:paraId="66C3023A">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0.5766 kg/Nm</w:t>
                  </w:r>
                  <w:r>
                    <w:rPr>
                      <w:color w:val="000000" w:themeColor="text1"/>
                      <w:sz w:val="21"/>
                      <w:szCs w:val="21"/>
                      <w:vertAlign w:val="superscript"/>
                      <w14:textFill>
                        <w14:solidFill>
                          <w14:schemeClr w14:val="tx1"/>
                        </w14:solidFill>
                      </w14:textFill>
                    </w:rPr>
                    <w:t>3</w:t>
                  </w:r>
                </w:p>
              </w:tc>
            </w:tr>
            <w:tr w14:paraId="27B527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1193" w:type="pct"/>
                  <w:vAlign w:val="center"/>
                </w:tcPr>
                <w:p w14:paraId="0E4DA322">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1564" w:type="pct"/>
                  <w:vAlign w:val="center"/>
                </w:tcPr>
                <w:p w14:paraId="7588F95A">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水露点</w:t>
                  </w:r>
                </w:p>
              </w:tc>
              <w:tc>
                <w:tcPr>
                  <w:tcW w:w="2242" w:type="pct"/>
                  <w:vAlign w:val="center"/>
                </w:tcPr>
                <w:p w14:paraId="3A79D1C3">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w:t>
                  </w:r>
                </w:p>
              </w:tc>
            </w:tr>
            <w:tr w14:paraId="53E10F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1193" w:type="pct"/>
                  <w:vAlign w:val="center"/>
                </w:tcPr>
                <w:p w14:paraId="14748BB3">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p>
              </w:tc>
              <w:tc>
                <w:tcPr>
                  <w:tcW w:w="1564" w:type="pct"/>
                  <w:vAlign w:val="center"/>
                </w:tcPr>
                <w:p w14:paraId="1B7F9D0A">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烃露点</w:t>
                  </w:r>
                </w:p>
              </w:tc>
              <w:tc>
                <w:tcPr>
                  <w:tcW w:w="2242" w:type="pct"/>
                  <w:vAlign w:val="center"/>
                </w:tcPr>
                <w:p w14:paraId="07F2CBBB">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p>
              </w:tc>
            </w:tr>
          </w:tbl>
          <w:p w14:paraId="03EB028F">
            <w:pPr>
              <w:wordWrap w:val="0"/>
              <w:topLinePunct/>
              <w:adjustRightInd w:val="0"/>
              <w:snapToGrid w:val="0"/>
              <w:spacing w:line="360" w:lineRule="auto"/>
              <w:ind w:firstLine="482" w:firstLineChars="200"/>
              <w:rPr>
                <w:b/>
                <w:bCs/>
                <w:snapToGrid w:val="0"/>
                <w:szCs w:val="21"/>
                <w:u w:val="single"/>
              </w:rPr>
            </w:pPr>
            <w:r>
              <w:rPr>
                <w:rFonts w:hint="eastAsia"/>
                <w:b/>
                <w:bCs/>
                <w:snapToGrid w:val="0"/>
                <w:szCs w:val="21"/>
                <w:u w:val="single"/>
              </w:rPr>
              <w:t>（2）原辅材料理化性质</w:t>
            </w:r>
          </w:p>
          <w:p w14:paraId="00B3E0A5">
            <w:pPr>
              <w:wordWrap w:val="0"/>
              <w:topLinePunct/>
              <w:adjustRightInd w:val="0"/>
              <w:snapToGrid w:val="0"/>
              <w:spacing w:line="360" w:lineRule="auto"/>
              <w:ind w:firstLine="480" w:firstLineChars="200"/>
              <w:rPr>
                <w:rFonts w:hint="eastAsia"/>
                <w:u w:val="single"/>
              </w:rPr>
            </w:pPr>
            <w:r>
              <w:rPr>
                <w:rFonts w:hint="eastAsia"/>
                <w:snapToGrid w:val="0"/>
                <w:szCs w:val="21"/>
                <w:u w:val="single"/>
              </w:rPr>
              <w:t>焦磷酸哌嗪：</w:t>
            </w:r>
            <w:r>
              <w:rPr>
                <w:rFonts w:ascii="Segoe UI" w:hAnsi="Segoe UI" w:cs="Segoe UI"/>
                <w:color w:val="212529"/>
                <w:u w:val="single"/>
                <w:shd w:val="clear" w:color="auto" w:fill="FFFFFF"/>
              </w:rPr>
              <w:t>又称聚磷酸哌嗪（聚焦磷酸哌嗪），是一种以磷氮为主要阻燃元素设计的无卤环保膨胀型阻燃剂</w:t>
            </w:r>
            <w:r>
              <w:rPr>
                <w:rFonts w:hint="eastAsia" w:ascii="微软雅黑" w:hAnsi="微软雅黑" w:eastAsia="微软雅黑" w:cs="微软雅黑"/>
                <w:color w:val="212529"/>
                <w:u w:val="single"/>
                <w:shd w:val="clear" w:color="auto" w:fill="FFFFFF"/>
              </w:rPr>
              <w:t>。</w:t>
            </w:r>
            <w:r>
              <w:rPr>
                <w:rFonts w:ascii="Segoe UI" w:hAnsi="Segoe UI" w:cs="Segoe UI"/>
                <w:color w:val="212529"/>
                <w:u w:val="single"/>
                <w:shd w:val="clear" w:color="auto" w:fill="FFFFFF"/>
              </w:rPr>
              <w:t>焦磷酸哌嗪外观为白色或类白色晶体粉末，其具有成炭效率高、热稳定性好、低烟无毒、耐光老化、吸湿性低等特点</w:t>
            </w:r>
            <w:r>
              <w:rPr>
                <w:rFonts w:hint="eastAsia" w:ascii="微软雅黑" w:hAnsi="微软雅黑" w:eastAsia="微软雅黑" w:cs="微软雅黑"/>
                <w:color w:val="212529"/>
                <w:u w:val="single"/>
                <w:shd w:val="clear" w:color="auto" w:fill="FFFFFF"/>
              </w:rPr>
              <w:t>。</w:t>
            </w:r>
          </w:p>
          <w:p w14:paraId="16C0611C">
            <w:pPr>
              <w:wordWrap w:val="0"/>
              <w:topLinePunct/>
              <w:adjustRightInd w:val="0"/>
              <w:snapToGrid w:val="0"/>
              <w:spacing w:line="360" w:lineRule="auto"/>
              <w:ind w:firstLine="480" w:firstLineChars="200"/>
              <w:rPr>
                <w:rFonts w:ascii="Segoe UI" w:hAnsi="Segoe UI" w:cs="Segoe UI"/>
                <w:color w:val="212529"/>
                <w:u w:val="single"/>
                <w:shd w:val="clear" w:color="auto" w:fill="FFFFFF"/>
              </w:rPr>
            </w:pPr>
            <w:r>
              <w:rPr>
                <w:rFonts w:hint="eastAsia" w:ascii="宋体" w:hAnsi="宋体" w:eastAsia="宋体" w:cs="宋体"/>
                <w:color w:val="212529"/>
                <w:u w:val="single"/>
                <w:shd w:val="clear" w:color="auto" w:fill="FFFFFF"/>
              </w:rPr>
              <w:t>焦</w:t>
            </w:r>
            <w:r>
              <w:rPr>
                <w:rFonts w:hint="eastAsia" w:ascii="Segoe UI" w:hAnsi="Segoe UI" w:eastAsia="Segoe UI" w:cs="Segoe UI"/>
                <w:color w:val="212529"/>
                <w:u w:val="single"/>
                <w:shd w:val="clear" w:color="auto" w:fill="FFFFFF"/>
              </w:rPr>
              <w:t>磷酸三聚氰胺：</w:t>
            </w:r>
            <w:r>
              <w:rPr>
                <w:rFonts w:hint="eastAsia"/>
                <w:snapToGrid w:val="0"/>
                <w:szCs w:val="21"/>
                <w:u w:val="single"/>
              </w:rPr>
              <w:t>化学式为C</w:t>
            </w:r>
            <w:r>
              <w:rPr>
                <w:rFonts w:hint="eastAsia"/>
                <w:snapToGrid w:val="0"/>
                <w:szCs w:val="21"/>
                <w:u w:val="single"/>
                <w:vertAlign w:val="subscript"/>
              </w:rPr>
              <w:t>3</w:t>
            </w:r>
            <w:r>
              <w:rPr>
                <w:rFonts w:hint="eastAsia"/>
                <w:snapToGrid w:val="0"/>
                <w:szCs w:val="21"/>
                <w:u w:val="single"/>
              </w:rPr>
              <w:t>H</w:t>
            </w:r>
            <w:r>
              <w:rPr>
                <w:rFonts w:hint="eastAsia"/>
                <w:snapToGrid w:val="0"/>
                <w:szCs w:val="21"/>
                <w:u w:val="single"/>
                <w:vertAlign w:val="subscript"/>
              </w:rPr>
              <w:t>6</w:t>
            </w:r>
            <w:r>
              <w:rPr>
                <w:rFonts w:hint="eastAsia"/>
                <w:snapToGrid w:val="0"/>
                <w:szCs w:val="21"/>
                <w:u w:val="single"/>
              </w:rPr>
              <w:t>N</w:t>
            </w:r>
            <w:r>
              <w:rPr>
                <w:rFonts w:hint="eastAsia"/>
                <w:snapToGrid w:val="0"/>
                <w:szCs w:val="21"/>
                <w:u w:val="single"/>
                <w:vertAlign w:val="subscript"/>
              </w:rPr>
              <w:t>6</w:t>
            </w:r>
            <w:r>
              <w:rPr>
                <w:rFonts w:hint="eastAsia"/>
                <w:snapToGrid w:val="0"/>
                <w:szCs w:val="21"/>
                <w:u w:val="single"/>
              </w:rPr>
              <w:t>·xH</w:t>
            </w:r>
            <w:r>
              <w:rPr>
                <w:rFonts w:hint="eastAsia"/>
                <w:snapToGrid w:val="0"/>
                <w:szCs w:val="21"/>
                <w:u w:val="single"/>
                <w:vertAlign w:val="subscript"/>
              </w:rPr>
              <w:t>4</w:t>
            </w:r>
            <w:r>
              <w:rPr>
                <w:rFonts w:hint="eastAsia"/>
                <w:snapToGrid w:val="0"/>
                <w:szCs w:val="21"/>
                <w:u w:val="single"/>
              </w:rPr>
              <w:t>O</w:t>
            </w:r>
            <w:r>
              <w:rPr>
                <w:rFonts w:hint="eastAsia"/>
                <w:snapToGrid w:val="0"/>
                <w:szCs w:val="21"/>
                <w:u w:val="single"/>
                <w:vertAlign w:val="subscript"/>
              </w:rPr>
              <w:t>7</w:t>
            </w:r>
            <w:r>
              <w:rPr>
                <w:rFonts w:hint="eastAsia"/>
                <w:snapToGrid w:val="0"/>
                <w:szCs w:val="21"/>
                <w:u w:val="single"/>
              </w:rPr>
              <w:t>P</w:t>
            </w:r>
            <w:r>
              <w:rPr>
                <w:rFonts w:hint="eastAsia"/>
                <w:snapToGrid w:val="0"/>
                <w:szCs w:val="21"/>
                <w:u w:val="single"/>
                <w:vertAlign w:val="subscript"/>
              </w:rPr>
              <w:t>2</w:t>
            </w:r>
            <w:r>
              <w:rPr>
                <w:rFonts w:hint="eastAsia"/>
                <w:snapToGrid w:val="0"/>
                <w:szCs w:val="21"/>
                <w:u w:val="single"/>
              </w:rPr>
              <w:t>，外观为结晶性粉末，沸点为557.5</w:t>
            </w:r>
            <w:r>
              <w:rPr>
                <w:rFonts w:hint="eastAsia" w:ascii="宋体" w:hAnsi="宋体" w:cs="宋体"/>
                <w:snapToGrid w:val="0"/>
                <w:szCs w:val="21"/>
                <w:u w:val="single"/>
              </w:rPr>
              <w:t>℃</w:t>
            </w:r>
            <w:r>
              <w:rPr>
                <w:rFonts w:hint="eastAsia"/>
                <w:snapToGrid w:val="0"/>
                <w:szCs w:val="21"/>
                <w:u w:val="single"/>
              </w:rPr>
              <w:t>，闪点为325.3</w:t>
            </w:r>
            <w:r>
              <w:rPr>
                <w:rFonts w:hint="eastAsia" w:ascii="宋体" w:hAnsi="宋体" w:cs="宋体"/>
                <w:snapToGrid w:val="0"/>
                <w:szCs w:val="21"/>
                <w:u w:val="single"/>
              </w:rPr>
              <w:t>℃</w:t>
            </w:r>
            <w:r>
              <w:rPr>
                <w:rFonts w:hint="eastAsia"/>
                <w:snapToGrid w:val="0"/>
                <w:szCs w:val="21"/>
                <w:u w:val="single"/>
              </w:rPr>
              <w:t>，溶于水，具有良好的热稳定性，常作为阻燃材料。</w:t>
            </w:r>
            <w:r>
              <w:rPr>
                <w:rFonts w:hint="eastAsia" w:ascii="Segoe UI" w:hAnsi="Segoe UI" w:eastAsia="Segoe UI" w:cs="Segoe UI"/>
                <w:color w:val="212529"/>
                <w:u w:val="single"/>
                <w:shd w:val="clear" w:color="auto" w:fill="FFFFFF"/>
              </w:rPr>
              <w:t>焦磷酸三聚氰胺</w:t>
            </w:r>
            <w:r>
              <w:rPr>
                <w:rFonts w:ascii="Segoe UI" w:hAnsi="Segoe UI" w:eastAsia="Segoe UI" w:cs="Segoe UI"/>
                <w:color w:val="212529"/>
                <w:u w:val="single"/>
                <w:shd w:val="clear" w:color="auto" w:fill="FFFFFF"/>
              </w:rPr>
              <w:t>可能对皮肤有刺激作用，应避免长时间接触或直接接触皮肤</w:t>
            </w:r>
            <w:r>
              <w:rPr>
                <w:rFonts w:hint="eastAsia" w:ascii="Segoe UI" w:hAnsi="Segoe UI" w:cs="Segoe UI"/>
                <w:color w:val="212529"/>
                <w:u w:val="single"/>
                <w:shd w:val="clear" w:color="auto" w:fill="FFFFFF"/>
              </w:rPr>
              <w:t>。</w:t>
            </w:r>
          </w:p>
          <w:p w14:paraId="3056299B">
            <w:pPr>
              <w:wordWrap w:val="0"/>
              <w:topLinePunct/>
              <w:adjustRightInd w:val="0"/>
              <w:snapToGrid w:val="0"/>
              <w:spacing w:line="360" w:lineRule="auto"/>
              <w:ind w:firstLine="480" w:firstLineChars="200"/>
              <w:rPr>
                <w:snapToGrid w:val="0"/>
                <w:szCs w:val="21"/>
                <w:u w:val="single"/>
              </w:rPr>
            </w:pPr>
            <w:r>
              <w:rPr>
                <w:rFonts w:hint="eastAsia"/>
                <w:snapToGrid w:val="0"/>
                <w:szCs w:val="21"/>
                <w:u w:val="single"/>
              </w:rPr>
              <w:t>聚乙烯蜡：外观为白色片状或颗粒，熔点为90~120</w:t>
            </w:r>
            <w:r>
              <w:rPr>
                <w:rFonts w:hint="eastAsia" w:ascii="宋体" w:hAnsi="宋体" w:cs="宋体"/>
                <w:snapToGrid w:val="0"/>
                <w:szCs w:val="21"/>
                <w:u w:val="single"/>
              </w:rPr>
              <w:t>℃（随分子量变化），具有</w:t>
            </w:r>
            <w:r>
              <w:rPr>
                <w:rFonts w:hint="eastAsia"/>
                <w:snapToGrid w:val="0"/>
                <w:szCs w:val="21"/>
                <w:u w:val="single"/>
              </w:rPr>
              <w:t>优良的耐寒性、耐热性、耐化学性和耐磨性，可作为其在挤出、压延、注射加工中的润滑剂。</w:t>
            </w:r>
          </w:p>
          <w:p w14:paraId="75ED22EB">
            <w:pPr>
              <w:wordWrap w:val="0"/>
              <w:topLinePunct/>
              <w:adjustRightInd w:val="0"/>
              <w:snapToGrid w:val="0"/>
              <w:spacing w:line="360" w:lineRule="auto"/>
              <w:ind w:firstLine="480" w:firstLineChars="200"/>
              <w:rPr>
                <w:snapToGrid w:val="0"/>
                <w:szCs w:val="21"/>
                <w:u w:val="single"/>
              </w:rPr>
            </w:pPr>
            <w:r>
              <w:rPr>
                <w:rFonts w:hint="eastAsia"/>
                <w:snapToGrid w:val="0"/>
                <w:szCs w:val="21"/>
                <w:u w:val="single"/>
              </w:rPr>
              <w:t>硬脂酸钙：是一种有机化合物，分子式为C</w:t>
            </w:r>
            <w:r>
              <w:rPr>
                <w:rFonts w:hint="eastAsia"/>
                <w:snapToGrid w:val="0"/>
                <w:szCs w:val="21"/>
                <w:u w:val="single"/>
                <w:vertAlign w:val="subscript"/>
              </w:rPr>
              <w:t>36</w:t>
            </w:r>
            <w:r>
              <w:rPr>
                <w:rFonts w:hint="eastAsia"/>
                <w:snapToGrid w:val="0"/>
                <w:szCs w:val="21"/>
                <w:u w:val="single"/>
              </w:rPr>
              <w:t>H</w:t>
            </w:r>
            <w:r>
              <w:rPr>
                <w:rFonts w:hint="eastAsia"/>
                <w:snapToGrid w:val="0"/>
                <w:szCs w:val="21"/>
                <w:u w:val="single"/>
                <w:vertAlign w:val="subscript"/>
              </w:rPr>
              <w:t>70</w:t>
            </w:r>
            <w:r>
              <w:rPr>
                <w:rFonts w:hint="eastAsia"/>
                <w:snapToGrid w:val="0"/>
                <w:szCs w:val="21"/>
                <w:u w:val="single"/>
              </w:rPr>
              <w:t>CaO</w:t>
            </w:r>
            <w:r>
              <w:rPr>
                <w:rFonts w:hint="eastAsia"/>
                <w:snapToGrid w:val="0"/>
                <w:szCs w:val="21"/>
                <w:u w:val="single"/>
                <w:vertAlign w:val="subscript"/>
              </w:rPr>
              <w:t>4</w:t>
            </w:r>
            <w:r>
              <w:rPr>
                <w:rFonts w:hint="eastAsia"/>
                <w:snapToGrid w:val="0"/>
                <w:szCs w:val="21"/>
                <w:u w:val="single"/>
              </w:rPr>
              <w:t>，</w:t>
            </w:r>
            <w:r>
              <w:rPr>
                <w:snapToGrid w:val="0"/>
                <w:szCs w:val="21"/>
                <w:u w:val="single"/>
              </w:rPr>
              <w:t>白色粉末，不溶于水，熔点为147~149℃，沸点为359.4℃，闪点为162.4℃，</w:t>
            </w:r>
            <w:r>
              <w:rPr>
                <w:rFonts w:hint="eastAsia"/>
                <w:snapToGrid w:val="0"/>
                <w:szCs w:val="21"/>
                <w:u w:val="single"/>
              </w:rPr>
              <w:t>可用作防水剂、润滑剂和塑料助剂等。</w:t>
            </w:r>
          </w:p>
          <w:p w14:paraId="2BAAEB07">
            <w:pPr>
              <w:wordWrap w:val="0"/>
              <w:topLinePunct/>
              <w:adjustRightInd w:val="0"/>
              <w:snapToGrid w:val="0"/>
              <w:spacing w:line="360" w:lineRule="auto"/>
              <w:ind w:firstLine="480" w:firstLineChars="200"/>
              <w:rPr>
                <w:snapToGrid w:val="0"/>
                <w:szCs w:val="21"/>
                <w:u w:val="single"/>
              </w:rPr>
            </w:pPr>
            <w:r>
              <w:rPr>
                <w:rFonts w:hint="eastAsia"/>
                <w:snapToGrid w:val="0"/>
                <w:szCs w:val="21"/>
                <w:u w:val="single"/>
              </w:rPr>
              <w:t>抗氧剂1010：化学名为：四[β-（3，5-二叔丁基-4-羟基苯基）丙酸]季戊四醇酯，分子式为C</w:t>
            </w:r>
            <w:r>
              <w:rPr>
                <w:rFonts w:hint="eastAsia"/>
                <w:snapToGrid w:val="0"/>
                <w:szCs w:val="21"/>
                <w:u w:val="single"/>
                <w:vertAlign w:val="subscript"/>
              </w:rPr>
              <w:t>73</w:t>
            </w:r>
            <w:r>
              <w:rPr>
                <w:rFonts w:hint="eastAsia"/>
                <w:snapToGrid w:val="0"/>
                <w:szCs w:val="21"/>
                <w:u w:val="single"/>
              </w:rPr>
              <w:t>H</w:t>
            </w:r>
            <w:r>
              <w:rPr>
                <w:rFonts w:hint="eastAsia"/>
                <w:snapToGrid w:val="0"/>
                <w:szCs w:val="21"/>
                <w:u w:val="single"/>
                <w:vertAlign w:val="subscript"/>
              </w:rPr>
              <w:t>108</w:t>
            </w:r>
            <w:r>
              <w:rPr>
                <w:rFonts w:hint="eastAsia"/>
                <w:snapToGrid w:val="0"/>
                <w:szCs w:val="21"/>
                <w:u w:val="single"/>
              </w:rPr>
              <w:t>O</w:t>
            </w:r>
            <w:r>
              <w:rPr>
                <w:rFonts w:hint="eastAsia"/>
                <w:snapToGrid w:val="0"/>
                <w:szCs w:val="21"/>
                <w:u w:val="single"/>
                <w:vertAlign w:val="subscript"/>
              </w:rPr>
              <w:t>12</w:t>
            </w:r>
            <w:r>
              <w:rPr>
                <w:rFonts w:hint="eastAsia"/>
                <w:snapToGrid w:val="0"/>
                <w:szCs w:val="21"/>
                <w:u w:val="single"/>
              </w:rPr>
              <w:t>，白色结晶粉末， 可溶于苯、丙酮、氯仿，微溶于乙醇，不溶于水。化学性状稳定，可广泛应用于通用塑料，工程塑料，合成橡胶，纤维，热熔胶，树脂，油品，墨水，涂料等行业中。</w:t>
            </w:r>
          </w:p>
          <w:p w14:paraId="5BBA930B">
            <w:pPr>
              <w:wordWrap w:val="0"/>
              <w:topLinePunct/>
              <w:adjustRightInd w:val="0"/>
              <w:snapToGrid w:val="0"/>
              <w:spacing w:line="360" w:lineRule="auto"/>
              <w:ind w:firstLine="480" w:firstLineChars="200"/>
              <w:rPr>
                <w:snapToGrid w:val="0"/>
                <w:szCs w:val="21"/>
                <w:u w:val="single"/>
              </w:rPr>
            </w:pPr>
            <w:r>
              <w:rPr>
                <w:rFonts w:hint="eastAsia"/>
                <w:snapToGrid w:val="0"/>
                <w:szCs w:val="21"/>
                <w:u w:val="single"/>
              </w:rPr>
              <w:t>抗氧剂168：一种性能优异的亚磷酸酯抗氧剂，白色结晶粉末。溶于苯、甲苯、汽油，不溶于水和醇类</w:t>
            </w:r>
            <w:r>
              <w:rPr>
                <w:snapToGrid w:val="0"/>
                <w:szCs w:val="21"/>
                <w:u w:val="single"/>
              </w:rPr>
              <w:t>，熔点为1</w:t>
            </w:r>
            <w:r>
              <w:rPr>
                <w:rFonts w:hint="eastAsia"/>
                <w:snapToGrid w:val="0"/>
                <w:szCs w:val="21"/>
                <w:u w:val="single"/>
              </w:rPr>
              <w:t>83</w:t>
            </w:r>
            <w:r>
              <w:rPr>
                <w:snapToGrid w:val="0"/>
                <w:szCs w:val="21"/>
                <w:u w:val="single"/>
              </w:rPr>
              <w:t>~1</w:t>
            </w:r>
            <w:r>
              <w:rPr>
                <w:rFonts w:hint="eastAsia"/>
                <w:snapToGrid w:val="0"/>
                <w:szCs w:val="21"/>
                <w:u w:val="single"/>
              </w:rPr>
              <w:t>87</w:t>
            </w:r>
            <w:r>
              <w:rPr>
                <w:snapToGrid w:val="0"/>
                <w:szCs w:val="21"/>
                <w:u w:val="single"/>
              </w:rPr>
              <w:t>℃，</w:t>
            </w:r>
            <w:r>
              <w:rPr>
                <w:rFonts w:hint="eastAsia"/>
                <w:snapToGrid w:val="0"/>
                <w:szCs w:val="21"/>
                <w:u w:val="single"/>
              </w:rPr>
              <w:t>燃点</w:t>
            </w:r>
            <w:r>
              <w:rPr>
                <w:snapToGrid w:val="0"/>
                <w:szCs w:val="21"/>
                <w:u w:val="single"/>
              </w:rPr>
              <w:t>为</w:t>
            </w:r>
            <w:r>
              <w:rPr>
                <w:rFonts w:hint="eastAsia"/>
                <w:snapToGrid w:val="0"/>
                <w:szCs w:val="21"/>
                <w:u w:val="single"/>
              </w:rPr>
              <w:t>380</w:t>
            </w:r>
            <w:r>
              <w:rPr>
                <w:snapToGrid w:val="0"/>
                <w:szCs w:val="21"/>
                <w:u w:val="single"/>
              </w:rPr>
              <w:t>℃，闪点为</w:t>
            </w:r>
            <w:r>
              <w:rPr>
                <w:rFonts w:ascii="Helvetica" w:hAnsi="Helvetica"/>
                <w:color w:val="333333"/>
                <w:sz w:val="21"/>
                <w:szCs w:val="21"/>
                <w:u w:val="single"/>
                <w:shd w:val="clear" w:color="auto" w:fill="FFFFFF"/>
              </w:rPr>
              <w:t> 257</w:t>
            </w:r>
            <w:r>
              <w:rPr>
                <w:rFonts w:hint="eastAsia" w:ascii="宋体" w:hAnsi="宋体" w:cs="宋体"/>
                <w:color w:val="333333"/>
                <w:sz w:val="21"/>
                <w:szCs w:val="21"/>
                <w:u w:val="single"/>
                <w:shd w:val="clear" w:color="auto" w:fill="FFFFFF"/>
              </w:rPr>
              <w:t>℃</w:t>
            </w:r>
            <w:r>
              <w:rPr>
                <w:rFonts w:hint="eastAsia"/>
                <w:snapToGrid w:val="0"/>
                <w:szCs w:val="21"/>
                <w:u w:val="single"/>
              </w:rPr>
              <w:t>。</w:t>
            </w:r>
          </w:p>
          <w:p w14:paraId="16341C98">
            <w:pPr>
              <w:wordWrap w:val="0"/>
              <w:topLinePunct/>
              <w:adjustRightInd w:val="0"/>
              <w:snapToGrid w:val="0"/>
              <w:spacing w:line="360" w:lineRule="auto"/>
              <w:ind w:firstLine="480" w:firstLineChars="200"/>
              <w:rPr>
                <w:snapToGrid w:val="0"/>
                <w:szCs w:val="21"/>
                <w:u w:val="single"/>
              </w:rPr>
            </w:pPr>
            <w:r>
              <w:rPr>
                <w:rFonts w:hint="eastAsia"/>
                <w:snapToGrid w:val="0"/>
                <w:szCs w:val="21"/>
                <w:u w:val="single"/>
              </w:rPr>
              <w:t>PP树脂：聚丙烯树脂，是丙烯通过加聚反应而成的聚合物。系白色蜡状材料，外观透明而轻。化学式为(C</w:t>
            </w:r>
            <w:r>
              <w:rPr>
                <w:rFonts w:hint="eastAsia"/>
                <w:snapToGrid w:val="0"/>
                <w:szCs w:val="21"/>
                <w:u w:val="single"/>
                <w:vertAlign w:val="subscript"/>
              </w:rPr>
              <w:t>3</w:t>
            </w:r>
            <w:r>
              <w:rPr>
                <w:rFonts w:hint="eastAsia"/>
                <w:snapToGrid w:val="0"/>
                <w:szCs w:val="21"/>
                <w:u w:val="single"/>
              </w:rPr>
              <w:t>H</w:t>
            </w:r>
            <w:r>
              <w:rPr>
                <w:rFonts w:hint="eastAsia"/>
                <w:snapToGrid w:val="0"/>
                <w:szCs w:val="21"/>
                <w:u w:val="single"/>
                <w:vertAlign w:val="subscript"/>
              </w:rPr>
              <w:t>6</w:t>
            </w:r>
            <w:r>
              <w:rPr>
                <w:rFonts w:hint="eastAsia"/>
                <w:snapToGrid w:val="0"/>
                <w:szCs w:val="21"/>
                <w:u w:val="single"/>
              </w:rPr>
              <w:t>)n，无嗅、无味、无毒。密度为0.89～0.91g/cm</w:t>
            </w:r>
            <w:r>
              <w:rPr>
                <w:rFonts w:hint="eastAsia"/>
                <w:snapToGrid w:val="0"/>
                <w:szCs w:val="21"/>
                <w:u w:val="single"/>
                <w:vertAlign w:val="superscript"/>
              </w:rPr>
              <w:t>3</w:t>
            </w:r>
            <w:r>
              <w:rPr>
                <w:rFonts w:hint="eastAsia"/>
                <w:snapToGrid w:val="0"/>
                <w:szCs w:val="21"/>
                <w:u w:val="single"/>
              </w:rPr>
              <w:t>， 易燃，熔点为164~170℃，具有耐化学性、耐热性、电绝缘性、高强度机械性能和良好的高耐磨加工性能等</w:t>
            </w:r>
          </w:p>
          <w:p w14:paraId="450CB88E">
            <w:pPr>
              <w:wordWrap w:val="0"/>
              <w:topLinePunct/>
              <w:adjustRightInd w:val="0"/>
              <w:snapToGrid w:val="0"/>
              <w:spacing w:line="360" w:lineRule="auto"/>
              <w:ind w:firstLine="480" w:firstLineChars="200"/>
              <w:rPr>
                <w:snapToGrid w:val="0"/>
                <w:szCs w:val="21"/>
                <w:u w:val="single"/>
              </w:rPr>
            </w:pPr>
            <w:r>
              <w:rPr>
                <w:rFonts w:hint="eastAsia"/>
                <w:snapToGrid w:val="0"/>
                <w:szCs w:val="21"/>
                <w:u w:val="single"/>
              </w:rPr>
              <w:t>PE树脂：乙烯单体经聚合反应制得的一种热塑性树脂，无毒、无味的白色粉末或颗粒，外观呈乳白色。</w:t>
            </w:r>
          </w:p>
          <w:p w14:paraId="79B238A9">
            <w:pPr>
              <w:wordWrap w:val="0"/>
              <w:topLinePunct/>
              <w:adjustRightInd w:val="0"/>
              <w:snapToGrid w:val="0"/>
              <w:spacing w:line="360" w:lineRule="auto"/>
              <w:ind w:firstLine="480" w:firstLineChars="200"/>
              <w:rPr>
                <w:snapToGrid w:val="0"/>
                <w:szCs w:val="21"/>
                <w:u w:val="single"/>
              </w:rPr>
            </w:pPr>
            <w:r>
              <w:rPr>
                <w:rFonts w:hint="eastAsia"/>
                <w:snapToGrid w:val="0"/>
                <w:szCs w:val="21"/>
                <w:u w:val="single"/>
              </w:rPr>
              <w:t>EVA树脂：分子式是 (C</w:t>
            </w:r>
            <w:r>
              <w:rPr>
                <w:rFonts w:hint="eastAsia"/>
                <w:snapToGrid w:val="0"/>
                <w:szCs w:val="21"/>
                <w:u w:val="single"/>
                <w:vertAlign w:val="subscript"/>
              </w:rPr>
              <w:t>2</w:t>
            </w:r>
            <w:r>
              <w:rPr>
                <w:rFonts w:hint="eastAsia"/>
                <w:snapToGrid w:val="0"/>
                <w:szCs w:val="21"/>
                <w:u w:val="single"/>
              </w:rPr>
              <w:t>H</w:t>
            </w:r>
            <w:r>
              <w:rPr>
                <w:rFonts w:hint="eastAsia"/>
                <w:snapToGrid w:val="0"/>
                <w:szCs w:val="21"/>
                <w:u w:val="single"/>
                <w:vertAlign w:val="subscript"/>
              </w:rPr>
              <w:t>4</w:t>
            </w:r>
            <w:r>
              <w:rPr>
                <w:rFonts w:hint="eastAsia"/>
                <w:snapToGrid w:val="0"/>
                <w:szCs w:val="21"/>
                <w:u w:val="single"/>
              </w:rPr>
              <w:t>)x.(C</w:t>
            </w:r>
            <w:r>
              <w:rPr>
                <w:rFonts w:hint="eastAsia"/>
                <w:snapToGrid w:val="0"/>
                <w:szCs w:val="21"/>
                <w:u w:val="single"/>
                <w:vertAlign w:val="subscript"/>
              </w:rPr>
              <w:t>4</w:t>
            </w:r>
            <w:r>
              <w:rPr>
                <w:rFonts w:hint="eastAsia"/>
                <w:snapToGrid w:val="0"/>
                <w:szCs w:val="21"/>
                <w:u w:val="single"/>
              </w:rPr>
              <w:t>H</w:t>
            </w:r>
            <w:r>
              <w:rPr>
                <w:rFonts w:hint="eastAsia"/>
                <w:snapToGrid w:val="0"/>
                <w:szCs w:val="21"/>
                <w:u w:val="single"/>
                <w:vertAlign w:val="subscript"/>
              </w:rPr>
              <w:t>6</w:t>
            </w:r>
            <w:r>
              <w:rPr>
                <w:rFonts w:hint="eastAsia"/>
                <w:snapToGrid w:val="0"/>
                <w:szCs w:val="21"/>
                <w:u w:val="single"/>
              </w:rPr>
              <w:t>O</w:t>
            </w:r>
            <w:r>
              <w:rPr>
                <w:rFonts w:hint="eastAsia"/>
                <w:snapToGrid w:val="0"/>
                <w:szCs w:val="21"/>
                <w:u w:val="single"/>
                <w:vertAlign w:val="subscript"/>
              </w:rPr>
              <w:t>2</w:t>
            </w:r>
            <w:r>
              <w:rPr>
                <w:rFonts w:hint="eastAsia"/>
                <w:snapToGrid w:val="0"/>
                <w:szCs w:val="21"/>
                <w:u w:val="single"/>
              </w:rPr>
              <w:t>)y，热分解温度为230~250</w:t>
            </w:r>
            <w:r>
              <w:rPr>
                <w:snapToGrid w:val="0"/>
                <w:szCs w:val="21"/>
                <w:u w:val="single"/>
              </w:rPr>
              <w:t>℃，</w:t>
            </w:r>
            <w:r>
              <w:rPr>
                <w:rFonts w:hint="eastAsia"/>
                <w:snapToGrid w:val="0"/>
                <w:szCs w:val="21"/>
                <w:u w:val="single"/>
              </w:rPr>
              <w:t>可燃，燃烧气味无刺激性。</w:t>
            </w:r>
          </w:p>
          <w:p w14:paraId="11B0FA9B">
            <w:pPr>
              <w:wordWrap w:val="0"/>
              <w:topLinePunct/>
              <w:adjustRightInd w:val="0"/>
              <w:snapToGrid w:val="0"/>
              <w:spacing w:line="360" w:lineRule="auto"/>
              <w:ind w:firstLine="482" w:firstLineChars="200"/>
              <w:rPr>
                <w:b/>
                <w:bCs/>
                <w:snapToGrid w:val="0"/>
                <w:szCs w:val="21"/>
              </w:rPr>
            </w:pPr>
            <w:r>
              <w:rPr>
                <w:rFonts w:hint="eastAsia"/>
                <w:b/>
                <w:bCs/>
                <w:snapToGrid w:val="0"/>
                <w:szCs w:val="21"/>
              </w:rPr>
              <w:t>（3）生产设备</w:t>
            </w:r>
          </w:p>
          <w:p w14:paraId="24DE3999">
            <w:pPr>
              <w:wordWrap w:val="0"/>
              <w:topLinePunct/>
              <w:adjustRightInd w:val="0"/>
              <w:snapToGrid w:val="0"/>
              <w:spacing w:line="360" w:lineRule="auto"/>
              <w:ind w:firstLine="480" w:firstLineChars="200"/>
              <w:rPr>
                <w:snapToGrid w:val="0"/>
                <w:szCs w:val="21"/>
              </w:rPr>
            </w:pPr>
            <w:r>
              <w:rPr>
                <w:rFonts w:hint="eastAsia"/>
                <w:snapToGrid w:val="0"/>
                <w:szCs w:val="21"/>
              </w:rPr>
              <w:t>项目所用的设备不属于淘汰、落后设备；项目采用工艺不在淘汰、限制目录之列，符合国家有关法律法规。项目主要生产设备见表2-6。</w:t>
            </w:r>
          </w:p>
          <w:p w14:paraId="6CB916FA">
            <w:pPr>
              <w:spacing w:line="360" w:lineRule="auto"/>
              <w:jc w:val="center"/>
              <w:rPr>
                <w:b/>
              </w:rPr>
            </w:pPr>
            <w:r>
              <w:rPr>
                <w:b/>
              </w:rPr>
              <w:t>表2-</w:t>
            </w:r>
            <w:r>
              <w:rPr>
                <w:rFonts w:hint="eastAsia"/>
                <w:b/>
              </w:rPr>
              <w:t>6</w:t>
            </w:r>
            <w:r>
              <w:rPr>
                <w:b/>
              </w:rPr>
              <w:t xml:space="preserve"> </w:t>
            </w:r>
            <w:r>
              <w:rPr>
                <w:rFonts w:hint="eastAsia"/>
                <w:b/>
              </w:rPr>
              <w:t>主要生产设备一览表</w:t>
            </w:r>
          </w:p>
          <w:tbl>
            <w:tblPr>
              <w:tblStyle w:val="36"/>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1518"/>
              <w:gridCol w:w="680"/>
              <w:gridCol w:w="680"/>
              <w:gridCol w:w="3135"/>
              <w:gridCol w:w="2056"/>
            </w:tblGrid>
            <w:tr w14:paraId="059314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Align w:val="center"/>
                </w:tcPr>
                <w:p w14:paraId="59D39C4E">
                  <w:pPr>
                    <w:snapToGrid w:val="0"/>
                    <w:jc w:val="center"/>
                    <w:rPr>
                      <w:bCs/>
                      <w:color w:val="auto"/>
                      <w:sz w:val="21"/>
                      <w:szCs w:val="21"/>
                      <w:highlight w:val="none"/>
                      <w:u w:val="single"/>
                    </w:rPr>
                  </w:pPr>
                  <w:r>
                    <w:rPr>
                      <w:bCs/>
                      <w:color w:val="auto"/>
                      <w:sz w:val="21"/>
                      <w:szCs w:val="21"/>
                      <w:highlight w:val="none"/>
                      <w:u w:val="single"/>
                    </w:rPr>
                    <w:t>序号</w:t>
                  </w:r>
                </w:p>
              </w:tc>
              <w:tc>
                <w:tcPr>
                  <w:tcW w:w="868" w:type="pct"/>
                  <w:vAlign w:val="center"/>
                </w:tcPr>
                <w:p w14:paraId="3500A748">
                  <w:pPr>
                    <w:snapToGrid w:val="0"/>
                    <w:jc w:val="center"/>
                    <w:rPr>
                      <w:bCs/>
                      <w:color w:val="auto"/>
                      <w:sz w:val="21"/>
                      <w:szCs w:val="21"/>
                      <w:highlight w:val="none"/>
                      <w:u w:val="single"/>
                    </w:rPr>
                  </w:pPr>
                  <w:r>
                    <w:rPr>
                      <w:bCs/>
                      <w:color w:val="auto"/>
                      <w:sz w:val="21"/>
                      <w:szCs w:val="21"/>
                      <w:highlight w:val="none"/>
                      <w:u w:val="single"/>
                    </w:rPr>
                    <w:t>名称</w:t>
                  </w:r>
                </w:p>
              </w:tc>
              <w:tc>
                <w:tcPr>
                  <w:tcW w:w="389" w:type="pct"/>
                  <w:vAlign w:val="center"/>
                </w:tcPr>
                <w:p w14:paraId="1DE044A0">
                  <w:pPr>
                    <w:snapToGrid w:val="0"/>
                    <w:jc w:val="center"/>
                    <w:rPr>
                      <w:bCs/>
                      <w:color w:val="auto"/>
                      <w:sz w:val="21"/>
                      <w:szCs w:val="21"/>
                      <w:highlight w:val="none"/>
                      <w:u w:val="single"/>
                    </w:rPr>
                  </w:pPr>
                  <w:r>
                    <w:rPr>
                      <w:bCs/>
                      <w:color w:val="auto"/>
                      <w:sz w:val="21"/>
                      <w:szCs w:val="21"/>
                      <w:highlight w:val="none"/>
                      <w:u w:val="single"/>
                    </w:rPr>
                    <w:t>数量</w:t>
                  </w:r>
                </w:p>
              </w:tc>
              <w:tc>
                <w:tcPr>
                  <w:tcW w:w="389" w:type="pct"/>
                  <w:vAlign w:val="center"/>
                </w:tcPr>
                <w:p w14:paraId="27A00CBE">
                  <w:pPr>
                    <w:snapToGrid w:val="0"/>
                    <w:jc w:val="center"/>
                    <w:rPr>
                      <w:bCs/>
                      <w:color w:val="auto"/>
                      <w:sz w:val="21"/>
                      <w:szCs w:val="21"/>
                      <w:highlight w:val="none"/>
                      <w:u w:val="single"/>
                    </w:rPr>
                  </w:pPr>
                  <w:r>
                    <w:rPr>
                      <w:bCs/>
                      <w:color w:val="auto"/>
                      <w:sz w:val="21"/>
                      <w:szCs w:val="21"/>
                      <w:highlight w:val="none"/>
                      <w:u w:val="single"/>
                    </w:rPr>
                    <w:t>单位</w:t>
                  </w:r>
                </w:p>
              </w:tc>
              <w:tc>
                <w:tcPr>
                  <w:tcW w:w="1792" w:type="pct"/>
                  <w:vAlign w:val="center"/>
                </w:tcPr>
                <w:p w14:paraId="70550C85">
                  <w:pPr>
                    <w:snapToGrid w:val="0"/>
                    <w:jc w:val="center"/>
                    <w:rPr>
                      <w:bCs/>
                      <w:color w:val="auto"/>
                      <w:sz w:val="21"/>
                      <w:szCs w:val="21"/>
                      <w:highlight w:val="none"/>
                      <w:u w:val="single"/>
                    </w:rPr>
                  </w:pPr>
                  <w:r>
                    <w:rPr>
                      <w:bCs/>
                      <w:color w:val="auto"/>
                      <w:sz w:val="21"/>
                      <w:szCs w:val="21"/>
                      <w:highlight w:val="none"/>
                      <w:u w:val="single"/>
                    </w:rPr>
                    <w:t>规格型号</w:t>
                  </w:r>
                </w:p>
              </w:tc>
              <w:tc>
                <w:tcPr>
                  <w:tcW w:w="1173" w:type="pct"/>
                  <w:vAlign w:val="center"/>
                </w:tcPr>
                <w:p w14:paraId="238CAFF5">
                  <w:pPr>
                    <w:snapToGrid w:val="0"/>
                    <w:jc w:val="center"/>
                    <w:rPr>
                      <w:bCs/>
                      <w:color w:val="auto"/>
                      <w:sz w:val="21"/>
                      <w:szCs w:val="21"/>
                      <w:highlight w:val="none"/>
                      <w:u w:val="single"/>
                    </w:rPr>
                  </w:pPr>
                  <w:r>
                    <w:rPr>
                      <w:bCs/>
                      <w:color w:val="auto"/>
                      <w:sz w:val="21"/>
                      <w:szCs w:val="21"/>
                      <w:highlight w:val="none"/>
                      <w:u w:val="single"/>
                    </w:rPr>
                    <w:t>备注</w:t>
                  </w:r>
                </w:p>
              </w:tc>
            </w:tr>
            <w:tr w14:paraId="7308B0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vAlign w:val="center"/>
                </w:tcPr>
                <w:p w14:paraId="75941D78">
                  <w:pPr>
                    <w:snapToGrid w:val="0"/>
                    <w:jc w:val="left"/>
                    <w:rPr>
                      <w:rFonts w:hint="eastAsia" w:eastAsia="宋体"/>
                      <w:bCs/>
                      <w:color w:val="auto"/>
                      <w:sz w:val="21"/>
                      <w:szCs w:val="21"/>
                      <w:highlight w:val="none"/>
                      <w:u w:val="single"/>
                      <w:lang w:eastAsia="zh-CN"/>
                    </w:rPr>
                  </w:pPr>
                  <w:r>
                    <w:rPr>
                      <w:rFonts w:hint="eastAsia"/>
                      <w:b/>
                      <w:bCs/>
                      <w:color w:val="auto"/>
                      <w:sz w:val="21"/>
                      <w:szCs w:val="21"/>
                      <w:highlight w:val="none"/>
                      <w:u w:val="single"/>
                      <w:lang w:eastAsia="zh-CN"/>
                    </w:rPr>
                    <w:t>一、焦磷酸哌嗪</w:t>
                  </w:r>
                </w:p>
              </w:tc>
            </w:tr>
            <w:tr w14:paraId="377DFA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Align w:val="center"/>
                </w:tcPr>
                <w:p w14:paraId="5810CB7A">
                  <w:pPr>
                    <w:jc w:val="center"/>
                    <w:rPr>
                      <w:bCs/>
                      <w:color w:val="auto"/>
                      <w:sz w:val="21"/>
                      <w:szCs w:val="21"/>
                      <w:highlight w:val="none"/>
                      <w:u w:val="single"/>
                    </w:rPr>
                  </w:pPr>
                  <w:r>
                    <w:rPr>
                      <w:bCs/>
                      <w:color w:val="auto"/>
                      <w:sz w:val="21"/>
                      <w:szCs w:val="21"/>
                      <w:highlight w:val="none"/>
                      <w:u w:val="single"/>
                    </w:rPr>
                    <w:t>1</w:t>
                  </w:r>
                </w:p>
              </w:tc>
              <w:tc>
                <w:tcPr>
                  <w:tcW w:w="868" w:type="pct"/>
                  <w:vAlign w:val="center"/>
                </w:tcPr>
                <w:p w14:paraId="477A0A6D">
                  <w:pPr>
                    <w:jc w:val="center"/>
                    <w:rPr>
                      <w:color w:val="auto"/>
                      <w:sz w:val="21"/>
                      <w:szCs w:val="21"/>
                      <w:highlight w:val="none"/>
                      <w:u w:val="single"/>
                    </w:rPr>
                  </w:pPr>
                  <w:r>
                    <w:rPr>
                      <w:rFonts w:hint="eastAsia"/>
                      <w:color w:val="auto"/>
                      <w:sz w:val="21"/>
                      <w:szCs w:val="21"/>
                      <w:highlight w:val="none"/>
                      <w:u w:val="single"/>
                      <w:lang w:val="en-US" w:eastAsia="zh-CN"/>
                    </w:rPr>
                    <w:t>耙</w:t>
                  </w:r>
                  <w:r>
                    <w:rPr>
                      <w:rFonts w:hint="eastAsia"/>
                      <w:color w:val="auto"/>
                      <w:sz w:val="21"/>
                      <w:szCs w:val="21"/>
                      <w:highlight w:val="none"/>
                      <w:u w:val="single"/>
                      <w:lang w:eastAsia="zh-CN"/>
                    </w:rPr>
                    <w:t>式</w:t>
                  </w:r>
                  <w:r>
                    <w:rPr>
                      <w:color w:val="auto"/>
                      <w:sz w:val="21"/>
                      <w:szCs w:val="21"/>
                      <w:highlight w:val="none"/>
                      <w:u w:val="single"/>
                    </w:rPr>
                    <w:t>干燥机</w:t>
                  </w:r>
                </w:p>
              </w:tc>
              <w:tc>
                <w:tcPr>
                  <w:tcW w:w="389" w:type="pct"/>
                  <w:vAlign w:val="center"/>
                </w:tcPr>
                <w:p w14:paraId="20CA9DC9">
                  <w:pPr>
                    <w:jc w:val="center"/>
                    <w:rPr>
                      <w:rFonts w:hint="eastAsia" w:eastAsia="宋体"/>
                      <w:color w:val="auto"/>
                      <w:sz w:val="21"/>
                      <w:szCs w:val="21"/>
                      <w:highlight w:val="none"/>
                      <w:u w:val="single"/>
                      <w:lang w:eastAsia="zh-CN"/>
                    </w:rPr>
                  </w:pPr>
                  <w:r>
                    <w:rPr>
                      <w:rFonts w:hint="eastAsia"/>
                      <w:color w:val="auto"/>
                      <w:sz w:val="21"/>
                      <w:szCs w:val="21"/>
                      <w:highlight w:val="none"/>
                      <w:u w:val="single"/>
                      <w:lang w:val="en-US" w:eastAsia="zh-CN"/>
                    </w:rPr>
                    <w:t>5</w:t>
                  </w:r>
                </w:p>
              </w:tc>
              <w:tc>
                <w:tcPr>
                  <w:tcW w:w="389" w:type="pct"/>
                  <w:vAlign w:val="center"/>
                </w:tcPr>
                <w:p w14:paraId="023F9F52">
                  <w:pPr>
                    <w:widowControl/>
                    <w:jc w:val="center"/>
                    <w:textAlignment w:val="center"/>
                    <w:rPr>
                      <w:bCs/>
                      <w:color w:val="auto"/>
                      <w:sz w:val="21"/>
                      <w:szCs w:val="21"/>
                      <w:highlight w:val="none"/>
                      <w:u w:val="single"/>
                    </w:rPr>
                  </w:pPr>
                  <w:r>
                    <w:rPr>
                      <w:bCs/>
                      <w:color w:val="auto"/>
                      <w:sz w:val="21"/>
                      <w:szCs w:val="21"/>
                      <w:highlight w:val="none"/>
                      <w:u w:val="single"/>
                    </w:rPr>
                    <w:t>台</w:t>
                  </w:r>
                </w:p>
              </w:tc>
              <w:tc>
                <w:tcPr>
                  <w:tcW w:w="1792" w:type="pct"/>
                  <w:vAlign w:val="center"/>
                </w:tcPr>
                <w:p w14:paraId="2214B11D">
                  <w:pPr>
                    <w:jc w:val="center"/>
                    <w:rPr>
                      <w:rFonts w:hint="default" w:eastAsia="宋体"/>
                      <w:color w:val="auto"/>
                      <w:sz w:val="21"/>
                      <w:szCs w:val="21"/>
                      <w:highlight w:val="none"/>
                      <w:u w:val="single"/>
                      <w:vertAlign w:val="superscript"/>
                      <w:lang w:val="en-US" w:eastAsia="zh-CN"/>
                    </w:rPr>
                  </w:pPr>
                  <w:r>
                    <w:rPr>
                      <w:rFonts w:hint="eastAsia"/>
                      <w:color w:val="auto"/>
                      <w:sz w:val="21"/>
                      <w:szCs w:val="21"/>
                      <w:highlight w:val="none"/>
                      <w:u w:val="single"/>
                      <w:lang w:val="en-US" w:eastAsia="zh-CN"/>
                    </w:rPr>
                    <w:t>真空型，F=40m</w:t>
                  </w:r>
                  <w:r>
                    <w:rPr>
                      <w:rFonts w:hint="eastAsia"/>
                      <w:color w:val="auto"/>
                      <w:sz w:val="21"/>
                      <w:szCs w:val="21"/>
                      <w:highlight w:val="none"/>
                      <w:u w:val="single"/>
                      <w:vertAlign w:val="superscript"/>
                      <w:lang w:val="en-US" w:eastAsia="zh-CN"/>
                    </w:rPr>
                    <w:t>2</w:t>
                  </w:r>
                </w:p>
              </w:tc>
              <w:tc>
                <w:tcPr>
                  <w:tcW w:w="1173" w:type="pct"/>
                  <w:vAlign w:val="center"/>
                </w:tcPr>
                <w:p w14:paraId="5FDD1014">
                  <w:pPr>
                    <w:jc w:val="center"/>
                    <w:rPr>
                      <w:bCs/>
                      <w:color w:val="auto"/>
                      <w:sz w:val="21"/>
                      <w:szCs w:val="21"/>
                      <w:highlight w:val="none"/>
                      <w:u w:val="single"/>
                    </w:rPr>
                  </w:pPr>
                  <w:r>
                    <w:rPr>
                      <w:color w:val="auto"/>
                      <w:sz w:val="21"/>
                      <w:szCs w:val="21"/>
                      <w:highlight w:val="none"/>
                      <w:u w:val="single"/>
                    </w:rPr>
                    <w:t>干燥焦磷酸哌嗪</w:t>
                  </w:r>
                </w:p>
              </w:tc>
            </w:tr>
            <w:tr w14:paraId="3A7425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Align w:val="center"/>
                </w:tcPr>
                <w:p w14:paraId="1B373856">
                  <w:pPr>
                    <w:jc w:val="center"/>
                    <w:rPr>
                      <w:rFonts w:ascii="Times New Roman" w:hAnsi="Times New Roman" w:eastAsia="宋体" w:cs="Times New Roman"/>
                      <w:bCs/>
                      <w:color w:val="auto"/>
                      <w:kern w:val="2"/>
                      <w:sz w:val="21"/>
                      <w:szCs w:val="21"/>
                      <w:highlight w:val="none"/>
                      <w:u w:val="single"/>
                      <w:lang w:val="en-US" w:eastAsia="zh-CN" w:bidi="ar-SA"/>
                    </w:rPr>
                  </w:pPr>
                  <w:r>
                    <w:rPr>
                      <w:bCs/>
                      <w:color w:val="auto"/>
                      <w:sz w:val="21"/>
                      <w:szCs w:val="21"/>
                      <w:highlight w:val="none"/>
                      <w:u w:val="single"/>
                    </w:rPr>
                    <w:t>2</w:t>
                  </w:r>
                </w:p>
              </w:tc>
              <w:tc>
                <w:tcPr>
                  <w:tcW w:w="868" w:type="pct"/>
                  <w:vAlign w:val="center"/>
                </w:tcPr>
                <w:p w14:paraId="5E074263">
                  <w:pPr>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color w:val="auto"/>
                      <w:sz w:val="21"/>
                      <w:szCs w:val="21"/>
                      <w:highlight w:val="none"/>
                      <w:u w:val="single"/>
                      <w:lang w:eastAsia="zh-CN"/>
                    </w:rPr>
                    <w:t>模温机</w:t>
                  </w:r>
                </w:p>
              </w:tc>
              <w:tc>
                <w:tcPr>
                  <w:tcW w:w="389" w:type="pct"/>
                  <w:vAlign w:val="center"/>
                </w:tcPr>
                <w:p w14:paraId="692167C8">
                  <w:pPr>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color w:val="auto"/>
                      <w:sz w:val="21"/>
                      <w:szCs w:val="21"/>
                      <w:highlight w:val="none"/>
                      <w:u w:val="single"/>
                      <w:lang w:val="en-US" w:eastAsia="zh-CN"/>
                    </w:rPr>
                    <w:t>2</w:t>
                  </w:r>
                </w:p>
              </w:tc>
              <w:tc>
                <w:tcPr>
                  <w:tcW w:w="389" w:type="pct"/>
                  <w:vAlign w:val="center"/>
                </w:tcPr>
                <w:p w14:paraId="2AB472C5">
                  <w:pPr>
                    <w:jc w:val="center"/>
                    <w:rPr>
                      <w:rFonts w:ascii="Times New Roman" w:hAnsi="Times New Roman" w:eastAsia="宋体" w:cs="Times New Roman"/>
                      <w:bCs/>
                      <w:color w:val="auto"/>
                      <w:kern w:val="2"/>
                      <w:sz w:val="21"/>
                      <w:szCs w:val="21"/>
                      <w:highlight w:val="none"/>
                      <w:u w:val="single"/>
                      <w:lang w:val="en-US" w:eastAsia="zh-CN" w:bidi="ar-SA"/>
                    </w:rPr>
                  </w:pPr>
                  <w:r>
                    <w:rPr>
                      <w:bCs/>
                      <w:color w:val="auto"/>
                      <w:sz w:val="21"/>
                      <w:szCs w:val="21"/>
                      <w:highlight w:val="none"/>
                      <w:u w:val="single"/>
                    </w:rPr>
                    <w:t>台</w:t>
                  </w:r>
                </w:p>
              </w:tc>
              <w:tc>
                <w:tcPr>
                  <w:tcW w:w="1792" w:type="pct"/>
                  <w:vAlign w:val="center"/>
                </w:tcPr>
                <w:p w14:paraId="5DA73AD9">
                  <w:pPr>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color w:val="auto"/>
                      <w:sz w:val="21"/>
                      <w:szCs w:val="21"/>
                      <w:highlight w:val="none"/>
                      <w:u w:val="single"/>
                      <w:lang w:val="en-US" w:eastAsia="zh-CN"/>
                    </w:rPr>
                    <w:t>120</w:t>
                  </w:r>
                  <w:r>
                    <w:rPr>
                      <w:color w:val="auto"/>
                      <w:sz w:val="21"/>
                      <w:szCs w:val="21"/>
                      <w:highlight w:val="none"/>
                      <w:u w:val="single"/>
                    </w:rPr>
                    <w:t>N</w:t>
                  </w:r>
                  <w:r>
                    <w:rPr>
                      <w:color w:val="auto"/>
                      <w:sz w:val="21"/>
                      <w:szCs w:val="21"/>
                      <w:highlight w:val="none"/>
                      <w:u w:val="single"/>
                      <w:vertAlign w:val="superscript"/>
                    </w:rPr>
                    <w:t>3</w:t>
                  </w:r>
                  <w:r>
                    <w:rPr>
                      <w:color w:val="auto"/>
                      <w:sz w:val="21"/>
                      <w:szCs w:val="21"/>
                      <w:highlight w:val="none"/>
                      <w:u w:val="single"/>
                    </w:rPr>
                    <w:t>/h</w:t>
                  </w:r>
                </w:p>
              </w:tc>
              <w:tc>
                <w:tcPr>
                  <w:tcW w:w="1173" w:type="pct"/>
                  <w:vAlign w:val="center"/>
                </w:tcPr>
                <w:p w14:paraId="377354A0">
                  <w:pPr>
                    <w:jc w:val="center"/>
                    <w:rPr>
                      <w:rFonts w:hint="eastAsia" w:ascii="Times New Roman" w:hAnsi="Times New Roman" w:eastAsia="宋体" w:cs="Times New Roman"/>
                      <w:bCs/>
                      <w:color w:val="auto"/>
                      <w:kern w:val="2"/>
                      <w:sz w:val="21"/>
                      <w:szCs w:val="21"/>
                      <w:highlight w:val="none"/>
                      <w:u w:val="single"/>
                      <w:lang w:val="en-US" w:eastAsia="zh-CN" w:bidi="ar-SA"/>
                    </w:rPr>
                  </w:pPr>
                  <w:r>
                    <w:rPr>
                      <w:rFonts w:hint="eastAsia"/>
                      <w:bCs/>
                      <w:color w:val="auto"/>
                      <w:sz w:val="21"/>
                      <w:szCs w:val="21"/>
                      <w:highlight w:val="none"/>
                      <w:u w:val="single"/>
                      <w:lang w:val="en-US" w:eastAsia="zh-CN"/>
                    </w:rPr>
                    <w:t>控制干燥温度</w:t>
                  </w:r>
                </w:p>
              </w:tc>
            </w:tr>
            <w:tr w14:paraId="162634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Align w:val="center"/>
                </w:tcPr>
                <w:p w14:paraId="24303890">
                  <w:pPr>
                    <w:jc w:val="center"/>
                    <w:rPr>
                      <w:rFonts w:ascii="Times New Roman" w:hAnsi="Times New Roman" w:eastAsia="宋体" w:cs="Times New Roman"/>
                      <w:bCs/>
                      <w:color w:val="auto"/>
                      <w:kern w:val="2"/>
                      <w:sz w:val="21"/>
                      <w:szCs w:val="21"/>
                      <w:highlight w:val="none"/>
                      <w:u w:val="single"/>
                      <w:lang w:val="en-US" w:eastAsia="zh-CN" w:bidi="ar-SA"/>
                    </w:rPr>
                  </w:pPr>
                  <w:r>
                    <w:rPr>
                      <w:bCs/>
                      <w:color w:val="auto"/>
                      <w:sz w:val="21"/>
                      <w:szCs w:val="21"/>
                      <w:highlight w:val="none"/>
                      <w:u w:val="single"/>
                    </w:rPr>
                    <w:t>3</w:t>
                  </w:r>
                </w:p>
              </w:tc>
              <w:tc>
                <w:tcPr>
                  <w:tcW w:w="868" w:type="pct"/>
                  <w:vAlign w:val="center"/>
                </w:tcPr>
                <w:p w14:paraId="74081A92">
                  <w:pPr>
                    <w:jc w:val="center"/>
                    <w:rPr>
                      <w:rFonts w:hint="eastAsia" w:eastAsia="宋体"/>
                      <w:color w:val="auto"/>
                      <w:sz w:val="21"/>
                      <w:szCs w:val="21"/>
                      <w:highlight w:val="none"/>
                      <w:u w:val="single"/>
                      <w:lang w:eastAsia="zh-CN"/>
                    </w:rPr>
                  </w:pPr>
                  <w:r>
                    <w:rPr>
                      <w:color w:val="auto"/>
                      <w:sz w:val="21"/>
                      <w:szCs w:val="21"/>
                      <w:highlight w:val="none"/>
                      <w:u w:val="single"/>
                    </w:rPr>
                    <w:t>粉碎</w:t>
                  </w:r>
                  <w:r>
                    <w:rPr>
                      <w:rFonts w:hint="eastAsia"/>
                      <w:color w:val="auto"/>
                      <w:sz w:val="21"/>
                      <w:szCs w:val="21"/>
                      <w:highlight w:val="none"/>
                      <w:u w:val="single"/>
                      <w:lang w:eastAsia="zh-CN"/>
                    </w:rPr>
                    <w:t>系统</w:t>
                  </w:r>
                </w:p>
              </w:tc>
              <w:tc>
                <w:tcPr>
                  <w:tcW w:w="389" w:type="pct"/>
                  <w:vAlign w:val="center"/>
                </w:tcPr>
                <w:p w14:paraId="3938A2CF">
                  <w:pPr>
                    <w:jc w:val="center"/>
                    <w:rPr>
                      <w:rFonts w:hint="eastAsia" w:eastAsia="宋体"/>
                      <w:color w:val="auto"/>
                      <w:sz w:val="21"/>
                      <w:szCs w:val="21"/>
                      <w:highlight w:val="none"/>
                      <w:u w:val="single"/>
                      <w:lang w:eastAsia="zh-CN"/>
                    </w:rPr>
                  </w:pPr>
                  <w:r>
                    <w:rPr>
                      <w:rFonts w:hint="eastAsia"/>
                      <w:color w:val="auto"/>
                      <w:sz w:val="21"/>
                      <w:szCs w:val="21"/>
                      <w:highlight w:val="none"/>
                      <w:u w:val="single"/>
                      <w:lang w:val="en-US" w:eastAsia="zh-CN"/>
                    </w:rPr>
                    <w:t>2</w:t>
                  </w:r>
                </w:p>
              </w:tc>
              <w:tc>
                <w:tcPr>
                  <w:tcW w:w="389" w:type="pct"/>
                  <w:vAlign w:val="center"/>
                </w:tcPr>
                <w:p w14:paraId="4B9807EF">
                  <w:pPr>
                    <w:widowControl/>
                    <w:jc w:val="center"/>
                    <w:textAlignment w:val="center"/>
                    <w:rPr>
                      <w:rFonts w:hint="eastAsia" w:eastAsia="宋体"/>
                      <w:bCs/>
                      <w:color w:val="auto"/>
                      <w:sz w:val="21"/>
                      <w:szCs w:val="21"/>
                      <w:highlight w:val="none"/>
                      <w:u w:val="single"/>
                      <w:lang w:eastAsia="zh-CN"/>
                    </w:rPr>
                  </w:pPr>
                  <w:r>
                    <w:rPr>
                      <w:rFonts w:hint="eastAsia"/>
                      <w:bCs/>
                      <w:color w:val="auto"/>
                      <w:sz w:val="21"/>
                      <w:szCs w:val="21"/>
                      <w:highlight w:val="none"/>
                      <w:u w:val="single"/>
                      <w:lang w:eastAsia="zh-CN"/>
                    </w:rPr>
                    <w:t>套</w:t>
                  </w:r>
                </w:p>
              </w:tc>
              <w:tc>
                <w:tcPr>
                  <w:tcW w:w="1792" w:type="pct"/>
                  <w:vAlign w:val="center"/>
                </w:tcPr>
                <w:p w14:paraId="2AD2EC2A">
                  <w:pPr>
                    <w:jc w:val="center"/>
                    <w:rPr>
                      <w:rFonts w:hint="default" w:eastAsia="宋体"/>
                      <w:color w:val="auto"/>
                      <w:sz w:val="21"/>
                      <w:szCs w:val="21"/>
                      <w:highlight w:val="none"/>
                      <w:u w:val="single"/>
                      <w:lang w:val="en-US" w:eastAsia="zh-CN"/>
                    </w:rPr>
                  </w:pPr>
                  <w:r>
                    <w:rPr>
                      <w:color w:val="auto"/>
                      <w:sz w:val="21"/>
                      <w:szCs w:val="21"/>
                      <w:highlight w:val="none"/>
                      <w:u w:val="single"/>
                    </w:rPr>
                    <w:t>C120</w:t>
                  </w:r>
                  <w:r>
                    <w:rPr>
                      <w:rFonts w:hint="eastAsia"/>
                      <w:color w:val="auto"/>
                      <w:sz w:val="21"/>
                      <w:szCs w:val="21"/>
                      <w:highlight w:val="none"/>
                      <w:u w:val="single"/>
                    </w:rPr>
                    <w:t>型</w:t>
                  </w:r>
                  <w:r>
                    <w:rPr>
                      <w:color w:val="auto"/>
                      <w:sz w:val="21"/>
                      <w:szCs w:val="21"/>
                      <w:highlight w:val="none"/>
                      <w:u w:val="single"/>
                    </w:rPr>
                    <w:t>气流冲击磨</w:t>
                  </w:r>
                  <w:r>
                    <w:rPr>
                      <w:rFonts w:hint="eastAsia"/>
                      <w:color w:val="auto"/>
                      <w:sz w:val="21"/>
                      <w:szCs w:val="21"/>
                      <w:highlight w:val="none"/>
                      <w:u w:val="single"/>
                      <w:lang w:eastAsia="zh-CN"/>
                    </w:rPr>
                    <w:t>主机</w:t>
                  </w:r>
                  <w:r>
                    <w:rPr>
                      <w:rFonts w:hint="eastAsia"/>
                      <w:color w:val="auto"/>
                      <w:sz w:val="21"/>
                      <w:szCs w:val="21"/>
                      <w:highlight w:val="none"/>
                      <w:u w:val="single"/>
                      <w:lang w:val="en-US" w:eastAsia="zh-CN"/>
                    </w:rPr>
                    <w:t>+布袋除尘+风机</w:t>
                  </w:r>
                </w:p>
              </w:tc>
              <w:tc>
                <w:tcPr>
                  <w:tcW w:w="1173" w:type="pct"/>
                  <w:vAlign w:val="center"/>
                </w:tcPr>
                <w:p w14:paraId="7E5FC080">
                  <w:pPr>
                    <w:jc w:val="center"/>
                    <w:rPr>
                      <w:rFonts w:hint="eastAsia" w:eastAsia="宋体"/>
                      <w:bCs/>
                      <w:color w:val="auto"/>
                      <w:sz w:val="21"/>
                      <w:szCs w:val="21"/>
                      <w:highlight w:val="none"/>
                      <w:u w:val="single"/>
                      <w:lang w:eastAsia="zh-CN"/>
                    </w:rPr>
                  </w:pPr>
                  <w:r>
                    <w:rPr>
                      <w:color w:val="auto"/>
                      <w:sz w:val="21"/>
                      <w:szCs w:val="21"/>
                      <w:highlight w:val="none"/>
                      <w:u w:val="single"/>
                    </w:rPr>
                    <w:t>粉碎</w:t>
                  </w:r>
                  <w:r>
                    <w:rPr>
                      <w:rFonts w:hint="eastAsia"/>
                      <w:color w:val="auto"/>
                      <w:sz w:val="21"/>
                      <w:szCs w:val="21"/>
                      <w:highlight w:val="none"/>
                      <w:u w:val="single"/>
                      <w:lang w:eastAsia="zh-CN"/>
                    </w:rPr>
                    <w:t>包装</w:t>
                  </w:r>
                </w:p>
              </w:tc>
            </w:tr>
            <w:tr w14:paraId="3AA07A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vAlign w:val="center"/>
                </w:tcPr>
                <w:p w14:paraId="042486BD">
                  <w:pPr>
                    <w:jc w:val="left"/>
                    <w:rPr>
                      <w:rFonts w:hint="eastAsia" w:eastAsia="宋体"/>
                      <w:color w:val="auto"/>
                      <w:sz w:val="21"/>
                      <w:szCs w:val="21"/>
                      <w:highlight w:val="none"/>
                      <w:u w:val="single"/>
                      <w:lang w:eastAsia="zh-CN"/>
                    </w:rPr>
                  </w:pPr>
                  <w:r>
                    <w:rPr>
                      <w:rFonts w:hint="eastAsia"/>
                      <w:b/>
                      <w:bCs/>
                      <w:color w:val="auto"/>
                      <w:sz w:val="21"/>
                      <w:szCs w:val="21"/>
                      <w:highlight w:val="none"/>
                      <w:u w:val="single"/>
                      <w:lang w:eastAsia="zh-CN"/>
                    </w:rPr>
                    <w:t>二、无卤阻燃剂</w:t>
                  </w:r>
                </w:p>
              </w:tc>
            </w:tr>
            <w:tr w14:paraId="051E38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Align w:val="center"/>
                </w:tcPr>
                <w:p w14:paraId="4B22BDF9">
                  <w:pPr>
                    <w:jc w:val="center"/>
                    <w:rPr>
                      <w:rFonts w:ascii="Times New Roman" w:hAnsi="Times New Roman" w:eastAsia="宋体" w:cs="Times New Roman"/>
                      <w:bCs/>
                      <w:color w:val="auto"/>
                      <w:kern w:val="2"/>
                      <w:sz w:val="21"/>
                      <w:szCs w:val="21"/>
                      <w:highlight w:val="none"/>
                      <w:u w:val="single"/>
                      <w:lang w:val="en-US" w:eastAsia="zh-CN" w:bidi="ar-SA"/>
                    </w:rPr>
                  </w:pPr>
                  <w:r>
                    <w:rPr>
                      <w:bCs/>
                      <w:color w:val="auto"/>
                      <w:sz w:val="21"/>
                      <w:szCs w:val="21"/>
                      <w:highlight w:val="none"/>
                      <w:u w:val="single"/>
                    </w:rPr>
                    <w:t>4</w:t>
                  </w:r>
                </w:p>
              </w:tc>
              <w:tc>
                <w:tcPr>
                  <w:tcW w:w="868" w:type="pct"/>
                  <w:vAlign w:val="center"/>
                </w:tcPr>
                <w:p w14:paraId="26FFFB0F">
                  <w:pPr>
                    <w:jc w:val="center"/>
                    <w:rPr>
                      <w:rFonts w:hint="default" w:eastAsia="宋体"/>
                      <w:color w:val="auto"/>
                      <w:sz w:val="21"/>
                      <w:szCs w:val="21"/>
                      <w:highlight w:val="none"/>
                      <w:u w:val="single"/>
                      <w:lang w:val="en-US" w:eastAsia="zh-CN"/>
                    </w:rPr>
                  </w:pPr>
                  <w:r>
                    <w:rPr>
                      <w:rFonts w:hint="eastAsia"/>
                      <w:color w:val="auto"/>
                      <w:sz w:val="21"/>
                      <w:szCs w:val="21"/>
                      <w:highlight w:val="none"/>
                      <w:u w:val="single"/>
                      <w:lang w:eastAsia="zh-CN"/>
                    </w:rPr>
                    <w:t>锥混机</w:t>
                  </w:r>
                </w:p>
              </w:tc>
              <w:tc>
                <w:tcPr>
                  <w:tcW w:w="389" w:type="pct"/>
                  <w:vAlign w:val="center"/>
                </w:tcPr>
                <w:p w14:paraId="7232D7F9">
                  <w:pPr>
                    <w:jc w:val="center"/>
                    <w:rPr>
                      <w:rFonts w:hint="default" w:eastAsia="宋体"/>
                      <w:color w:val="auto"/>
                      <w:sz w:val="21"/>
                      <w:szCs w:val="21"/>
                      <w:highlight w:val="none"/>
                      <w:u w:val="single"/>
                      <w:lang w:val="en-US" w:eastAsia="zh-CN"/>
                    </w:rPr>
                  </w:pPr>
                  <w:r>
                    <w:rPr>
                      <w:rFonts w:hint="eastAsia"/>
                      <w:color w:val="auto"/>
                      <w:sz w:val="21"/>
                      <w:szCs w:val="21"/>
                      <w:highlight w:val="none"/>
                      <w:u w:val="single"/>
                      <w:lang w:val="en-US" w:eastAsia="zh-CN"/>
                    </w:rPr>
                    <w:t>1</w:t>
                  </w:r>
                </w:p>
              </w:tc>
              <w:tc>
                <w:tcPr>
                  <w:tcW w:w="389" w:type="pct"/>
                  <w:vAlign w:val="center"/>
                </w:tcPr>
                <w:p w14:paraId="511E4845">
                  <w:pPr>
                    <w:jc w:val="center"/>
                    <w:rPr>
                      <w:bCs/>
                      <w:color w:val="auto"/>
                      <w:sz w:val="21"/>
                      <w:szCs w:val="21"/>
                      <w:highlight w:val="none"/>
                      <w:u w:val="single"/>
                    </w:rPr>
                  </w:pPr>
                  <w:r>
                    <w:rPr>
                      <w:bCs/>
                      <w:color w:val="auto"/>
                      <w:sz w:val="21"/>
                      <w:szCs w:val="21"/>
                      <w:highlight w:val="none"/>
                      <w:u w:val="single"/>
                    </w:rPr>
                    <w:t>台</w:t>
                  </w:r>
                </w:p>
              </w:tc>
              <w:tc>
                <w:tcPr>
                  <w:tcW w:w="1792" w:type="pct"/>
                  <w:vAlign w:val="center"/>
                </w:tcPr>
                <w:p w14:paraId="6FC0C1BE">
                  <w:pPr>
                    <w:jc w:val="center"/>
                    <w:rPr>
                      <w:color w:val="auto"/>
                      <w:sz w:val="21"/>
                      <w:szCs w:val="21"/>
                      <w:highlight w:val="none"/>
                      <w:u w:val="single"/>
                    </w:rPr>
                  </w:pPr>
                  <w:r>
                    <w:rPr>
                      <w:rFonts w:hint="eastAsia"/>
                      <w:color w:val="auto"/>
                      <w:sz w:val="21"/>
                      <w:szCs w:val="21"/>
                      <w:highlight w:val="none"/>
                      <w:u w:val="single"/>
                      <w:lang w:val="en-US" w:eastAsia="zh-CN"/>
                    </w:rPr>
                    <w:t>1</w:t>
                  </w:r>
                  <w:r>
                    <w:rPr>
                      <w:color w:val="auto"/>
                      <w:sz w:val="21"/>
                      <w:szCs w:val="21"/>
                      <w:highlight w:val="none"/>
                      <w:u w:val="single"/>
                    </w:rPr>
                    <w:t>0立方锥形双螺旋混料机</w:t>
                  </w:r>
                </w:p>
              </w:tc>
              <w:tc>
                <w:tcPr>
                  <w:tcW w:w="1173" w:type="pct"/>
                  <w:vAlign w:val="center"/>
                </w:tcPr>
                <w:p w14:paraId="6F9318FA">
                  <w:pPr>
                    <w:jc w:val="center"/>
                    <w:rPr>
                      <w:bCs/>
                      <w:color w:val="auto"/>
                      <w:sz w:val="21"/>
                      <w:szCs w:val="21"/>
                      <w:highlight w:val="none"/>
                      <w:u w:val="single"/>
                    </w:rPr>
                  </w:pPr>
                  <w:r>
                    <w:rPr>
                      <w:color w:val="auto"/>
                      <w:sz w:val="21"/>
                      <w:szCs w:val="21"/>
                      <w:highlight w:val="none"/>
                      <w:u w:val="single"/>
                    </w:rPr>
                    <w:t>混合物料</w:t>
                  </w:r>
                </w:p>
              </w:tc>
            </w:tr>
            <w:tr w14:paraId="579FAE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vAlign w:val="center"/>
                </w:tcPr>
                <w:p w14:paraId="750A967C">
                  <w:pPr>
                    <w:jc w:val="left"/>
                    <w:rPr>
                      <w:rFonts w:hint="eastAsia" w:eastAsia="宋体"/>
                      <w:color w:val="auto"/>
                      <w:sz w:val="21"/>
                      <w:szCs w:val="21"/>
                      <w:highlight w:val="none"/>
                      <w:u w:val="single"/>
                      <w:lang w:eastAsia="zh-CN"/>
                    </w:rPr>
                  </w:pPr>
                  <w:r>
                    <w:rPr>
                      <w:rFonts w:hint="eastAsia"/>
                      <w:b/>
                      <w:bCs/>
                      <w:color w:val="auto"/>
                      <w:sz w:val="21"/>
                      <w:szCs w:val="21"/>
                      <w:highlight w:val="none"/>
                      <w:u w:val="single"/>
                      <w:lang w:eastAsia="zh-CN"/>
                    </w:rPr>
                    <w:t>三、功能阻燃母粒</w:t>
                  </w:r>
                </w:p>
              </w:tc>
            </w:tr>
            <w:tr w14:paraId="76139A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Align w:val="center"/>
                </w:tcPr>
                <w:p w14:paraId="1F7C6028">
                  <w:pPr>
                    <w:jc w:val="center"/>
                    <w:rPr>
                      <w:rFonts w:ascii="Times New Roman" w:hAnsi="Times New Roman" w:eastAsia="宋体" w:cs="Times New Roman"/>
                      <w:bCs/>
                      <w:color w:val="auto"/>
                      <w:kern w:val="2"/>
                      <w:sz w:val="21"/>
                      <w:szCs w:val="21"/>
                      <w:highlight w:val="none"/>
                      <w:u w:val="single"/>
                      <w:lang w:val="en-US" w:eastAsia="zh-CN" w:bidi="ar-SA"/>
                    </w:rPr>
                  </w:pPr>
                  <w:r>
                    <w:rPr>
                      <w:bCs/>
                      <w:color w:val="auto"/>
                      <w:sz w:val="21"/>
                      <w:szCs w:val="21"/>
                      <w:highlight w:val="none"/>
                      <w:u w:val="single"/>
                    </w:rPr>
                    <w:t>5</w:t>
                  </w:r>
                </w:p>
              </w:tc>
              <w:tc>
                <w:tcPr>
                  <w:tcW w:w="868" w:type="pct"/>
                  <w:vAlign w:val="center"/>
                </w:tcPr>
                <w:p w14:paraId="5B71B50D">
                  <w:pPr>
                    <w:jc w:val="center"/>
                    <w:rPr>
                      <w:rFonts w:hint="eastAsia" w:eastAsia="宋体"/>
                      <w:color w:val="auto"/>
                      <w:sz w:val="21"/>
                      <w:szCs w:val="21"/>
                      <w:highlight w:val="none"/>
                      <w:u w:val="single"/>
                      <w:lang w:eastAsia="zh-CN"/>
                    </w:rPr>
                  </w:pPr>
                  <w:r>
                    <w:rPr>
                      <w:rFonts w:hint="eastAsia"/>
                      <w:color w:val="auto"/>
                      <w:sz w:val="21"/>
                      <w:szCs w:val="21"/>
                      <w:highlight w:val="none"/>
                      <w:u w:val="single"/>
                      <w:lang w:eastAsia="zh-CN"/>
                    </w:rPr>
                    <w:t>挤出机</w:t>
                  </w:r>
                </w:p>
              </w:tc>
              <w:tc>
                <w:tcPr>
                  <w:tcW w:w="389" w:type="pct"/>
                  <w:vAlign w:val="center"/>
                </w:tcPr>
                <w:p w14:paraId="0E55CAF3">
                  <w:pPr>
                    <w:jc w:val="center"/>
                    <w:rPr>
                      <w:color w:val="auto"/>
                      <w:sz w:val="21"/>
                      <w:szCs w:val="21"/>
                      <w:highlight w:val="none"/>
                      <w:u w:val="single"/>
                    </w:rPr>
                  </w:pPr>
                  <w:r>
                    <w:rPr>
                      <w:color w:val="auto"/>
                      <w:sz w:val="21"/>
                      <w:szCs w:val="21"/>
                      <w:highlight w:val="none"/>
                      <w:u w:val="single"/>
                    </w:rPr>
                    <w:t>2</w:t>
                  </w:r>
                </w:p>
              </w:tc>
              <w:tc>
                <w:tcPr>
                  <w:tcW w:w="389" w:type="pct"/>
                  <w:vAlign w:val="center"/>
                </w:tcPr>
                <w:p w14:paraId="1B9C9EC1">
                  <w:pPr>
                    <w:jc w:val="center"/>
                    <w:rPr>
                      <w:rFonts w:hint="eastAsia" w:eastAsia="宋体"/>
                      <w:bCs/>
                      <w:color w:val="auto"/>
                      <w:sz w:val="21"/>
                      <w:szCs w:val="21"/>
                      <w:highlight w:val="none"/>
                      <w:u w:val="single"/>
                      <w:lang w:eastAsia="zh-CN"/>
                    </w:rPr>
                  </w:pPr>
                  <w:r>
                    <w:rPr>
                      <w:rFonts w:hint="eastAsia"/>
                      <w:bCs/>
                      <w:color w:val="auto"/>
                      <w:sz w:val="21"/>
                      <w:szCs w:val="21"/>
                      <w:highlight w:val="none"/>
                      <w:u w:val="single"/>
                      <w:lang w:eastAsia="zh-CN"/>
                    </w:rPr>
                    <w:t>套</w:t>
                  </w:r>
                </w:p>
              </w:tc>
              <w:tc>
                <w:tcPr>
                  <w:tcW w:w="1792" w:type="pct"/>
                  <w:vAlign w:val="center"/>
                </w:tcPr>
                <w:p w14:paraId="1BB0443B">
                  <w:pPr>
                    <w:jc w:val="center"/>
                    <w:rPr>
                      <w:rFonts w:hint="default" w:eastAsia="宋体"/>
                      <w:color w:val="auto"/>
                      <w:sz w:val="21"/>
                      <w:szCs w:val="21"/>
                      <w:highlight w:val="none"/>
                      <w:u w:val="single"/>
                      <w:lang w:val="en-US" w:eastAsia="zh-CN"/>
                    </w:rPr>
                  </w:pPr>
                  <w:r>
                    <w:rPr>
                      <w:rFonts w:hint="eastAsia"/>
                      <w:color w:val="auto"/>
                      <w:sz w:val="21"/>
                      <w:szCs w:val="21"/>
                      <w:highlight w:val="none"/>
                      <w:u w:val="single"/>
                      <w:lang w:val="en-US" w:eastAsia="zh-CN"/>
                    </w:rPr>
                    <w:t>D=75L/D=44</w:t>
                  </w:r>
                </w:p>
              </w:tc>
              <w:tc>
                <w:tcPr>
                  <w:tcW w:w="1173" w:type="pct"/>
                  <w:vAlign w:val="center"/>
                </w:tcPr>
                <w:p w14:paraId="2CCF3909">
                  <w:pPr>
                    <w:jc w:val="center"/>
                    <w:rPr>
                      <w:rFonts w:hint="eastAsia" w:eastAsia="宋体"/>
                      <w:bCs/>
                      <w:color w:val="auto"/>
                      <w:sz w:val="21"/>
                      <w:szCs w:val="21"/>
                      <w:highlight w:val="none"/>
                      <w:u w:val="single"/>
                      <w:lang w:eastAsia="zh-CN"/>
                    </w:rPr>
                  </w:pPr>
                  <w:r>
                    <w:rPr>
                      <w:rFonts w:hint="eastAsia"/>
                      <w:color w:val="auto"/>
                      <w:sz w:val="21"/>
                      <w:szCs w:val="21"/>
                      <w:highlight w:val="none"/>
                      <w:u w:val="single"/>
                      <w:lang w:eastAsia="zh-CN"/>
                    </w:rPr>
                    <w:t>挤出造粒</w:t>
                  </w:r>
                </w:p>
              </w:tc>
            </w:tr>
            <w:tr w14:paraId="5884EB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vAlign w:val="center"/>
                </w:tcPr>
                <w:p w14:paraId="18B15C24">
                  <w:pPr>
                    <w:jc w:val="left"/>
                    <w:rPr>
                      <w:rFonts w:hint="eastAsia"/>
                      <w:color w:val="auto"/>
                      <w:sz w:val="21"/>
                      <w:szCs w:val="21"/>
                      <w:highlight w:val="none"/>
                      <w:u w:val="single"/>
                      <w:lang w:eastAsia="zh-CN"/>
                    </w:rPr>
                  </w:pPr>
                  <w:r>
                    <w:rPr>
                      <w:rFonts w:hint="eastAsia"/>
                      <w:b/>
                      <w:bCs/>
                      <w:color w:val="auto"/>
                      <w:sz w:val="21"/>
                      <w:szCs w:val="21"/>
                      <w:highlight w:val="none"/>
                      <w:u w:val="single"/>
                      <w:lang w:eastAsia="zh-CN"/>
                    </w:rPr>
                    <w:t>四、辅助及公用设备</w:t>
                  </w:r>
                </w:p>
              </w:tc>
            </w:tr>
            <w:tr w14:paraId="278D10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Align w:val="center"/>
                </w:tcPr>
                <w:p w14:paraId="6F01AC54">
                  <w:pPr>
                    <w:jc w:val="center"/>
                    <w:rPr>
                      <w:rFonts w:ascii="Times New Roman" w:hAnsi="Times New Roman" w:eastAsia="宋体" w:cs="Times New Roman"/>
                      <w:bCs/>
                      <w:color w:val="auto"/>
                      <w:kern w:val="2"/>
                      <w:sz w:val="21"/>
                      <w:szCs w:val="21"/>
                      <w:highlight w:val="none"/>
                      <w:u w:val="single"/>
                      <w:lang w:val="en-US" w:eastAsia="zh-CN" w:bidi="ar-SA"/>
                    </w:rPr>
                  </w:pPr>
                  <w:r>
                    <w:rPr>
                      <w:bCs/>
                      <w:color w:val="auto"/>
                      <w:sz w:val="21"/>
                      <w:szCs w:val="21"/>
                      <w:highlight w:val="none"/>
                      <w:u w:val="single"/>
                    </w:rPr>
                    <w:t>6</w:t>
                  </w:r>
                </w:p>
              </w:tc>
              <w:tc>
                <w:tcPr>
                  <w:tcW w:w="868" w:type="pct"/>
                  <w:vAlign w:val="center"/>
                </w:tcPr>
                <w:p w14:paraId="0917F813">
                  <w:pPr>
                    <w:jc w:val="center"/>
                    <w:rPr>
                      <w:rFonts w:hint="eastAsia"/>
                      <w:color w:val="auto"/>
                      <w:sz w:val="21"/>
                      <w:szCs w:val="21"/>
                      <w:highlight w:val="none"/>
                      <w:u w:val="single"/>
                      <w:lang w:eastAsia="zh-CN"/>
                    </w:rPr>
                  </w:pPr>
                  <w:r>
                    <w:rPr>
                      <w:rFonts w:hint="eastAsia"/>
                      <w:color w:val="auto"/>
                      <w:sz w:val="21"/>
                      <w:szCs w:val="21"/>
                      <w:highlight w:val="none"/>
                      <w:u w:val="single"/>
                      <w:lang w:eastAsia="zh-CN"/>
                    </w:rPr>
                    <w:t>包装机</w:t>
                  </w:r>
                </w:p>
              </w:tc>
              <w:tc>
                <w:tcPr>
                  <w:tcW w:w="389" w:type="pct"/>
                  <w:vAlign w:val="center"/>
                </w:tcPr>
                <w:p w14:paraId="61F56AB9">
                  <w:pPr>
                    <w:jc w:val="center"/>
                    <w:rPr>
                      <w:rFonts w:hint="eastAsia" w:eastAsia="宋体"/>
                      <w:color w:val="auto"/>
                      <w:sz w:val="21"/>
                      <w:szCs w:val="21"/>
                      <w:highlight w:val="none"/>
                      <w:u w:val="single"/>
                      <w:lang w:val="en-US" w:eastAsia="zh-CN"/>
                    </w:rPr>
                  </w:pPr>
                  <w:r>
                    <w:rPr>
                      <w:rFonts w:hint="eastAsia"/>
                      <w:color w:val="auto"/>
                      <w:sz w:val="21"/>
                      <w:szCs w:val="21"/>
                      <w:highlight w:val="none"/>
                      <w:u w:val="single"/>
                      <w:lang w:val="en-US" w:eastAsia="zh-CN"/>
                    </w:rPr>
                    <w:t>1</w:t>
                  </w:r>
                </w:p>
              </w:tc>
              <w:tc>
                <w:tcPr>
                  <w:tcW w:w="389" w:type="pct"/>
                  <w:vAlign w:val="center"/>
                </w:tcPr>
                <w:p w14:paraId="21C31DAD">
                  <w:pPr>
                    <w:jc w:val="center"/>
                    <w:rPr>
                      <w:rFonts w:hint="eastAsia" w:eastAsia="宋体"/>
                      <w:bCs/>
                      <w:color w:val="auto"/>
                      <w:sz w:val="21"/>
                      <w:szCs w:val="21"/>
                      <w:highlight w:val="none"/>
                      <w:u w:val="single"/>
                      <w:lang w:eastAsia="zh-CN"/>
                    </w:rPr>
                  </w:pPr>
                  <w:r>
                    <w:rPr>
                      <w:rFonts w:hint="eastAsia"/>
                      <w:bCs/>
                      <w:color w:val="auto"/>
                      <w:sz w:val="21"/>
                      <w:szCs w:val="21"/>
                      <w:highlight w:val="none"/>
                      <w:u w:val="single"/>
                      <w:lang w:eastAsia="zh-CN"/>
                    </w:rPr>
                    <w:t>套</w:t>
                  </w:r>
                </w:p>
              </w:tc>
              <w:tc>
                <w:tcPr>
                  <w:tcW w:w="1792" w:type="pct"/>
                  <w:vAlign w:val="center"/>
                </w:tcPr>
                <w:p w14:paraId="1CF7B62D">
                  <w:pPr>
                    <w:jc w:val="center"/>
                    <w:rPr>
                      <w:rFonts w:hint="eastAsia"/>
                      <w:color w:val="auto"/>
                      <w:sz w:val="21"/>
                      <w:szCs w:val="21"/>
                      <w:highlight w:val="none"/>
                      <w:u w:val="single"/>
                      <w:lang w:val="en-US" w:eastAsia="zh-CN"/>
                    </w:rPr>
                  </w:pPr>
                  <w:r>
                    <w:rPr>
                      <w:rFonts w:hint="eastAsia"/>
                      <w:color w:val="auto"/>
                      <w:sz w:val="21"/>
                      <w:szCs w:val="21"/>
                      <w:highlight w:val="none"/>
                      <w:u w:val="single"/>
                      <w:lang w:val="en-US" w:eastAsia="zh-CN"/>
                    </w:rPr>
                    <w:t>/</w:t>
                  </w:r>
                </w:p>
              </w:tc>
              <w:tc>
                <w:tcPr>
                  <w:tcW w:w="1173" w:type="pct"/>
                  <w:vAlign w:val="center"/>
                </w:tcPr>
                <w:p w14:paraId="5EF06ACB">
                  <w:pPr>
                    <w:jc w:val="center"/>
                    <w:rPr>
                      <w:rFonts w:hint="eastAsia"/>
                      <w:color w:val="auto"/>
                      <w:sz w:val="21"/>
                      <w:szCs w:val="21"/>
                      <w:highlight w:val="none"/>
                      <w:u w:val="single"/>
                      <w:lang w:eastAsia="zh-CN"/>
                    </w:rPr>
                  </w:pPr>
                  <w:r>
                    <w:rPr>
                      <w:rFonts w:hint="eastAsia"/>
                      <w:color w:val="auto"/>
                      <w:sz w:val="21"/>
                      <w:szCs w:val="21"/>
                      <w:highlight w:val="none"/>
                      <w:u w:val="single"/>
                      <w:lang w:eastAsia="zh-CN"/>
                    </w:rPr>
                    <w:t>包装</w:t>
                  </w:r>
                </w:p>
              </w:tc>
            </w:tr>
            <w:tr w14:paraId="51DBF0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Align w:val="center"/>
                </w:tcPr>
                <w:p w14:paraId="06425621">
                  <w:pPr>
                    <w:jc w:val="center"/>
                    <w:rPr>
                      <w:rFonts w:ascii="Times New Roman" w:hAnsi="Times New Roman" w:eastAsia="宋体" w:cs="Times New Roman"/>
                      <w:bCs/>
                      <w:color w:val="auto"/>
                      <w:kern w:val="2"/>
                      <w:sz w:val="21"/>
                      <w:szCs w:val="21"/>
                      <w:highlight w:val="none"/>
                      <w:u w:val="single"/>
                      <w:lang w:val="en-US" w:eastAsia="zh-CN" w:bidi="ar-SA"/>
                    </w:rPr>
                  </w:pPr>
                  <w:r>
                    <w:rPr>
                      <w:bCs/>
                      <w:color w:val="auto"/>
                      <w:sz w:val="21"/>
                      <w:szCs w:val="21"/>
                      <w:highlight w:val="none"/>
                      <w:u w:val="single"/>
                    </w:rPr>
                    <w:t>7</w:t>
                  </w:r>
                </w:p>
              </w:tc>
              <w:tc>
                <w:tcPr>
                  <w:tcW w:w="868" w:type="pct"/>
                  <w:vAlign w:val="center"/>
                </w:tcPr>
                <w:p w14:paraId="589111BD">
                  <w:pPr>
                    <w:jc w:val="center"/>
                    <w:rPr>
                      <w:rFonts w:hint="eastAsia" w:eastAsia="宋体"/>
                      <w:color w:val="auto"/>
                      <w:sz w:val="21"/>
                      <w:szCs w:val="21"/>
                      <w:highlight w:val="none"/>
                      <w:u w:val="single"/>
                      <w:lang w:eastAsia="zh-CN"/>
                    </w:rPr>
                  </w:pPr>
                  <w:r>
                    <w:rPr>
                      <w:rFonts w:hint="eastAsia"/>
                      <w:color w:val="auto"/>
                      <w:sz w:val="21"/>
                      <w:szCs w:val="21"/>
                      <w:highlight w:val="none"/>
                      <w:u w:val="single"/>
                      <w:lang w:eastAsia="zh-CN"/>
                    </w:rPr>
                    <w:t>凉水塔</w:t>
                  </w:r>
                </w:p>
              </w:tc>
              <w:tc>
                <w:tcPr>
                  <w:tcW w:w="389" w:type="pct"/>
                  <w:vAlign w:val="center"/>
                </w:tcPr>
                <w:p w14:paraId="12973A5A">
                  <w:pPr>
                    <w:jc w:val="center"/>
                    <w:rPr>
                      <w:rFonts w:hint="default" w:eastAsia="宋体"/>
                      <w:color w:val="auto"/>
                      <w:sz w:val="21"/>
                      <w:szCs w:val="21"/>
                      <w:highlight w:val="none"/>
                      <w:u w:val="single"/>
                      <w:lang w:val="en-US" w:eastAsia="zh-CN"/>
                    </w:rPr>
                  </w:pPr>
                  <w:r>
                    <w:rPr>
                      <w:rFonts w:hint="eastAsia"/>
                      <w:color w:val="auto"/>
                      <w:sz w:val="21"/>
                      <w:szCs w:val="21"/>
                      <w:highlight w:val="none"/>
                      <w:u w:val="single"/>
                      <w:lang w:val="en-US" w:eastAsia="zh-CN"/>
                    </w:rPr>
                    <w:t>1</w:t>
                  </w:r>
                </w:p>
              </w:tc>
              <w:tc>
                <w:tcPr>
                  <w:tcW w:w="389" w:type="pct"/>
                  <w:vAlign w:val="center"/>
                </w:tcPr>
                <w:p w14:paraId="3A2B0351">
                  <w:pPr>
                    <w:jc w:val="center"/>
                    <w:rPr>
                      <w:rFonts w:hint="eastAsia" w:eastAsia="宋体"/>
                      <w:bCs/>
                      <w:color w:val="auto"/>
                      <w:sz w:val="21"/>
                      <w:szCs w:val="21"/>
                      <w:highlight w:val="none"/>
                      <w:u w:val="single"/>
                      <w:lang w:eastAsia="zh-CN"/>
                    </w:rPr>
                  </w:pPr>
                  <w:r>
                    <w:rPr>
                      <w:rFonts w:hint="eastAsia"/>
                      <w:bCs/>
                      <w:color w:val="auto"/>
                      <w:sz w:val="21"/>
                      <w:szCs w:val="21"/>
                      <w:highlight w:val="none"/>
                      <w:u w:val="single"/>
                      <w:lang w:eastAsia="zh-CN"/>
                    </w:rPr>
                    <w:t>套</w:t>
                  </w:r>
                </w:p>
              </w:tc>
              <w:tc>
                <w:tcPr>
                  <w:tcW w:w="1792" w:type="pct"/>
                  <w:vAlign w:val="center"/>
                </w:tcPr>
                <w:p w14:paraId="4C917594">
                  <w:pPr>
                    <w:jc w:val="center"/>
                    <w:rPr>
                      <w:rFonts w:hint="default" w:eastAsia="宋体"/>
                      <w:color w:val="auto"/>
                      <w:sz w:val="21"/>
                      <w:szCs w:val="21"/>
                      <w:highlight w:val="none"/>
                      <w:u w:val="single"/>
                      <w:vertAlign w:val="superscript"/>
                      <w:lang w:val="en-US" w:eastAsia="zh-CN"/>
                    </w:rPr>
                  </w:pPr>
                  <w:r>
                    <w:rPr>
                      <w:rFonts w:hint="eastAsia"/>
                      <w:color w:val="auto"/>
                      <w:sz w:val="21"/>
                      <w:szCs w:val="21"/>
                      <w:highlight w:val="none"/>
                      <w:u w:val="single"/>
                      <w:lang w:val="en-US" w:eastAsia="zh-CN"/>
                    </w:rPr>
                    <w:t>逆流式凉水塔Q-50m</w:t>
                  </w:r>
                  <w:r>
                    <w:rPr>
                      <w:rFonts w:hint="eastAsia"/>
                      <w:color w:val="auto"/>
                      <w:sz w:val="21"/>
                      <w:szCs w:val="21"/>
                      <w:highlight w:val="none"/>
                      <w:u w:val="single"/>
                      <w:vertAlign w:val="superscript"/>
                      <w:lang w:val="en-US" w:eastAsia="zh-CN"/>
                    </w:rPr>
                    <w:t>3</w:t>
                  </w:r>
                </w:p>
              </w:tc>
              <w:tc>
                <w:tcPr>
                  <w:tcW w:w="1173" w:type="pct"/>
                  <w:vAlign w:val="center"/>
                </w:tcPr>
                <w:p w14:paraId="3AA0938C">
                  <w:pPr>
                    <w:jc w:val="center"/>
                    <w:rPr>
                      <w:rFonts w:hint="eastAsia" w:eastAsia="宋体"/>
                      <w:bCs/>
                      <w:color w:val="auto"/>
                      <w:sz w:val="21"/>
                      <w:szCs w:val="21"/>
                      <w:highlight w:val="none"/>
                      <w:u w:val="single"/>
                      <w:lang w:val="en-US" w:eastAsia="zh-CN"/>
                    </w:rPr>
                  </w:pPr>
                  <w:r>
                    <w:rPr>
                      <w:rFonts w:hint="eastAsia"/>
                      <w:bCs/>
                      <w:color w:val="auto"/>
                      <w:sz w:val="21"/>
                      <w:szCs w:val="21"/>
                      <w:highlight w:val="none"/>
                      <w:u w:val="single"/>
                      <w:lang w:val="en-US" w:eastAsia="zh-CN"/>
                    </w:rPr>
                    <w:t>冷却</w:t>
                  </w:r>
                </w:p>
              </w:tc>
            </w:tr>
            <w:tr w14:paraId="244DFF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Align w:val="center"/>
                </w:tcPr>
                <w:p w14:paraId="43C4FD33">
                  <w:pPr>
                    <w:jc w:val="center"/>
                    <w:rPr>
                      <w:rFonts w:ascii="Times New Roman" w:hAnsi="Times New Roman" w:eastAsia="宋体" w:cs="Times New Roman"/>
                      <w:bCs/>
                      <w:color w:val="auto"/>
                      <w:kern w:val="2"/>
                      <w:sz w:val="21"/>
                      <w:szCs w:val="21"/>
                      <w:highlight w:val="none"/>
                      <w:u w:val="single"/>
                      <w:lang w:val="en-US" w:eastAsia="zh-CN" w:bidi="ar-SA"/>
                    </w:rPr>
                  </w:pPr>
                  <w:r>
                    <w:rPr>
                      <w:bCs/>
                      <w:color w:val="auto"/>
                      <w:sz w:val="21"/>
                      <w:szCs w:val="21"/>
                      <w:highlight w:val="none"/>
                      <w:u w:val="single"/>
                    </w:rPr>
                    <w:t>8</w:t>
                  </w:r>
                </w:p>
              </w:tc>
              <w:tc>
                <w:tcPr>
                  <w:tcW w:w="868" w:type="pct"/>
                  <w:vAlign w:val="center"/>
                </w:tcPr>
                <w:p w14:paraId="45EBE0B0">
                  <w:pPr>
                    <w:jc w:val="center"/>
                    <w:rPr>
                      <w:rFonts w:hint="eastAsia" w:eastAsia="宋体"/>
                      <w:color w:val="auto"/>
                      <w:sz w:val="21"/>
                      <w:szCs w:val="21"/>
                      <w:highlight w:val="none"/>
                      <w:u w:val="single"/>
                      <w:lang w:eastAsia="zh-CN"/>
                    </w:rPr>
                  </w:pPr>
                  <w:r>
                    <w:rPr>
                      <w:rFonts w:hint="eastAsia"/>
                      <w:color w:val="auto"/>
                      <w:sz w:val="21"/>
                      <w:szCs w:val="21"/>
                      <w:highlight w:val="none"/>
                      <w:u w:val="single"/>
                      <w:lang w:eastAsia="zh-CN"/>
                    </w:rPr>
                    <w:t>螺杆空压机</w:t>
                  </w:r>
                </w:p>
              </w:tc>
              <w:tc>
                <w:tcPr>
                  <w:tcW w:w="389" w:type="pct"/>
                  <w:vAlign w:val="center"/>
                </w:tcPr>
                <w:p w14:paraId="67E4531D">
                  <w:pPr>
                    <w:jc w:val="center"/>
                    <w:rPr>
                      <w:color w:val="auto"/>
                      <w:sz w:val="21"/>
                      <w:szCs w:val="21"/>
                      <w:highlight w:val="none"/>
                      <w:u w:val="single"/>
                    </w:rPr>
                  </w:pPr>
                  <w:r>
                    <w:rPr>
                      <w:color w:val="auto"/>
                      <w:sz w:val="21"/>
                      <w:szCs w:val="21"/>
                      <w:highlight w:val="none"/>
                      <w:u w:val="single"/>
                    </w:rPr>
                    <w:t>1</w:t>
                  </w:r>
                </w:p>
              </w:tc>
              <w:tc>
                <w:tcPr>
                  <w:tcW w:w="389" w:type="pct"/>
                  <w:vAlign w:val="center"/>
                </w:tcPr>
                <w:p w14:paraId="2B373AF7">
                  <w:pPr>
                    <w:jc w:val="center"/>
                    <w:rPr>
                      <w:bCs/>
                      <w:color w:val="auto"/>
                      <w:sz w:val="21"/>
                      <w:szCs w:val="21"/>
                      <w:highlight w:val="none"/>
                      <w:u w:val="single"/>
                    </w:rPr>
                  </w:pPr>
                  <w:r>
                    <w:rPr>
                      <w:bCs/>
                      <w:color w:val="auto"/>
                      <w:sz w:val="21"/>
                      <w:szCs w:val="21"/>
                      <w:highlight w:val="none"/>
                      <w:u w:val="single"/>
                    </w:rPr>
                    <w:t>台</w:t>
                  </w:r>
                </w:p>
              </w:tc>
              <w:tc>
                <w:tcPr>
                  <w:tcW w:w="1792" w:type="pct"/>
                  <w:vAlign w:val="center"/>
                </w:tcPr>
                <w:p w14:paraId="16B4DBAB">
                  <w:pPr>
                    <w:jc w:val="center"/>
                    <w:rPr>
                      <w:rFonts w:hint="eastAsia" w:eastAsia="宋体"/>
                      <w:color w:val="auto"/>
                      <w:sz w:val="21"/>
                      <w:szCs w:val="21"/>
                      <w:highlight w:val="none"/>
                      <w:u w:val="single"/>
                      <w:lang w:eastAsia="zh-CN"/>
                    </w:rPr>
                  </w:pPr>
                  <w:r>
                    <w:rPr>
                      <w:rFonts w:hint="eastAsia"/>
                      <w:color w:val="auto"/>
                      <w:sz w:val="21"/>
                      <w:szCs w:val="21"/>
                      <w:highlight w:val="none"/>
                      <w:u w:val="single"/>
                      <w:lang w:val="en-US" w:eastAsia="zh-CN"/>
                    </w:rPr>
                    <w:t>5m</w:t>
                  </w:r>
                  <w:r>
                    <w:rPr>
                      <w:rFonts w:hint="eastAsia"/>
                      <w:color w:val="auto"/>
                      <w:sz w:val="21"/>
                      <w:szCs w:val="21"/>
                      <w:highlight w:val="none"/>
                      <w:u w:val="single"/>
                      <w:vertAlign w:val="superscript"/>
                      <w:lang w:val="en-US" w:eastAsia="zh-CN"/>
                    </w:rPr>
                    <w:t>3</w:t>
                  </w:r>
                </w:p>
              </w:tc>
              <w:tc>
                <w:tcPr>
                  <w:tcW w:w="1173" w:type="pct"/>
                  <w:vAlign w:val="center"/>
                </w:tcPr>
                <w:p w14:paraId="2DD53F6B">
                  <w:pPr>
                    <w:jc w:val="center"/>
                    <w:rPr>
                      <w:rFonts w:hint="eastAsia" w:eastAsia="宋体"/>
                      <w:bCs/>
                      <w:color w:val="auto"/>
                      <w:sz w:val="21"/>
                      <w:szCs w:val="21"/>
                      <w:highlight w:val="none"/>
                      <w:u w:val="single"/>
                      <w:lang w:eastAsia="zh-CN"/>
                    </w:rPr>
                  </w:pPr>
                  <w:r>
                    <w:rPr>
                      <w:rFonts w:hint="eastAsia"/>
                      <w:color w:val="auto"/>
                      <w:sz w:val="21"/>
                      <w:szCs w:val="21"/>
                      <w:highlight w:val="none"/>
                      <w:u w:val="single"/>
                      <w:lang w:val="en-US" w:eastAsia="zh-CN"/>
                    </w:rPr>
                    <w:t>提供压缩空气</w:t>
                  </w:r>
                </w:p>
              </w:tc>
            </w:tr>
            <w:tr w14:paraId="71D46A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Align w:val="center"/>
                </w:tcPr>
                <w:p w14:paraId="75313D27">
                  <w:pPr>
                    <w:jc w:val="center"/>
                    <w:rPr>
                      <w:rFonts w:hint="eastAsia" w:ascii="Times New Roman" w:hAnsi="Times New Roman" w:eastAsia="宋体" w:cs="Times New Roman"/>
                      <w:bCs/>
                      <w:color w:val="auto"/>
                      <w:kern w:val="2"/>
                      <w:sz w:val="21"/>
                      <w:szCs w:val="21"/>
                      <w:highlight w:val="none"/>
                      <w:u w:val="single"/>
                      <w:lang w:val="en-US" w:eastAsia="zh-CN" w:bidi="ar-SA"/>
                    </w:rPr>
                  </w:pPr>
                  <w:r>
                    <w:rPr>
                      <w:rFonts w:hint="eastAsia"/>
                      <w:bCs/>
                      <w:color w:val="auto"/>
                      <w:sz w:val="21"/>
                      <w:szCs w:val="21"/>
                      <w:highlight w:val="none"/>
                      <w:u w:val="single"/>
                      <w:lang w:val="en-US" w:eastAsia="zh-CN"/>
                    </w:rPr>
                    <w:t>9</w:t>
                  </w:r>
                </w:p>
              </w:tc>
              <w:tc>
                <w:tcPr>
                  <w:tcW w:w="868" w:type="pct"/>
                  <w:vAlign w:val="center"/>
                </w:tcPr>
                <w:p w14:paraId="3637DA6E">
                  <w:pPr>
                    <w:jc w:val="center"/>
                    <w:rPr>
                      <w:rFonts w:hint="eastAsia" w:ascii="Times New Roman" w:hAnsi="Times New Roman" w:eastAsia="宋体" w:cs="Times New Roman"/>
                      <w:color w:val="auto"/>
                      <w:kern w:val="2"/>
                      <w:sz w:val="21"/>
                      <w:szCs w:val="21"/>
                      <w:highlight w:val="none"/>
                      <w:u w:val="single"/>
                      <w:lang w:val="en-US" w:eastAsia="zh-CN" w:bidi="ar-SA"/>
                    </w:rPr>
                  </w:pPr>
                  <w:r>
                    <w:rPr>
                      <w:color w:val="auto"/>
                      <w:sz w:val="21"/>
                      <w:szCs w:val="21"/>
                      <w:highlight w:val="none"/>
                      <w:u w:val="single"/>
                    </w:rPr>
                    <w:t>制氮机</w:t>
                  </w:r>
                </w:p>
              </w:tc>
              <w:tc>
                <w:tcPr>
                  <w:tcW w:w="389" w:type="pct"/>
                  <w:vAlign w:val="center"/>
                </w:tcPr>
                <w:p w14:paraId="2CED186F">
                  <w:pPr>
                    <w:jc w:val="center"/>
                    <w:rPr>
                      <w:rFonts w:ascii="Times New Roman" w:hAnsi="Times New Roman" w:eastAsia="宋体" w:cs="Times New Roman"/>
                      <w:color w:val="auto"/>
                      <w:kern w:val="2"/>
                      <w:sz w:val="21"/>
                      <w:szCs w:val="21"/>
                      <w:highlight w:val="none"/>
                      <w:u w:val="single"/>
                      <w:lang w:val="en-US" w:eastAsia="zh-CN" w:bidi="ar-SA"/>
                    </w:rPr>
                  </w:pPr>
                  <w:r>
                    <w:rPr>
                      <w:color w:val="auto"/>
                      <w:sz w:val="21"/>
                      <w:szCs w:val="21"/>
                      <w:highlight w:val="none"/>
                      <w:u w:val="single"/>
                    </w:rPr>
                    <w:t>1</w:t>
                  </w:r>
                </w:p>
              </w:tc>
              <w:tc>
                <w:tcPr>
                  <w:tcW w:w="389" w:type="pct"/>
                  <w:vAlign w:val="center"/>
                </w:tcPr>
                <w:p w14:paraId="5B24AA0F">
                  <w:pPr>
                    <w:jc w:val="center"/>
                    <w:rPr>
                      <w:rFonts w:ascii="Times New Roman" w:hAnsi="Times New Roman" w:eastAsia="宋体" w:cs="Times New Roman"/>
                      <w:bCs/>
                      <w:color w:val="auto"/>
                      <w:kern w:val="2"/>
                      <w:sz w:val="21"/>
                      <w:szCs w:val="21"/>
                      <w:highlight w:val="none"/>
                      <w:u w:val="single"/>
                      <w:lang w:val="en-US" w:eastAsia="zh-CN" w:bidi="ar-SA"/>
                    </w:rPr>
                  </w:pPr>
                  <w:r>
                    <w:rPr>
                      <w:bCs/>
                      <w:color w:val="auto"/>
                      <w:sz w:val="21"/>
                      <w:szCs w:val="21"/>
                      <w:highlight w:val="none"/>
                      <w:u w:val="single"/>
                    </w:rPr>
                    <w:t>台</w:t>
                  </w:r>
                </w:p>
              </w:tc>
              <w:tc>
                <w:tcPr>
                  <w:tcW w:w="1792" w:type="pct"/>
                  <w:vAlign w:val="center"/>
                </w:tcPr>
                <w:p w14:paraId="48D919A5">
                  <w:pPr>
                    <w:jc w:val="center"/>
                    <w:rPr>
                      <w:rFonts w:hint="eastAsia" w:ascii="Times New Roman" w:hAnsi="Times New Roman" w:eastAsia="宋体" w:cs="Times New Roman"/>
                      <w:color w:val="auto"/>
                      <w:kern w:val="2"/>
                      <w:sz w:val="21"/>
                      <w:szCs w:val="21"/>
                      <w:highlight w:val="none"/>
                      <w:u w:val="single"/>
                      <w:lang w:val="en-US" w:eastAsia="zh-CN" w:bidi="ar-SA"/>
                    </w:rPr>
                  </w:pPr>
                  <w:r>
                    <w:rPr>
                      <w:color w:val="auto"/>
                      <w:sz w:val="21"/>
                      <w:szCs w:val="21"/>
                      <w:highlight w:val="none"/>
                      <w:u w:val="single"/>
                    </w:rPr>
                    <w:t>ZSN-</w:t>
                  </w:r>
                  <w:r>
                    <w:rPr>
                      <w:rFonts w:hint="eastAsia"/>
                      <w:color w:val="auto"/>
                      <w:sz w:val="21"/>
                      <w:szCs w:val="21"/>
                      <w:highlight w:val="none"/>
                      <w:u w:val="single"/>
                      <w:lang w:val="en-US" w:eastAsia="zh-CN"/>
                    </w:rPr>
                    <w:t>5</w:t>
                  </w:r>
                  <w:r>
                    <w:rPr>
                      <w:color w:val="auto"/>
                      <w:sz w:val="21"/>
                      <w:szCs w:val="21"/>
                      <w:highlight w:val="none"/>
                      <w:u w:val="single"/>
                    </w:rPr>
                    <w:t>0</w:t>
                  </w:r>
                  <w:r>
                    <w:rPr>
                      <w:rFonts w:hint="eastAsia"/>
                      <w:color w:val="auto"/>
                      <w:sz w:val="21"/>
                      <w:szCs w:val="21"/>
                      <w:highlight w:val="none"/>
                      <w:u w:val="single"/>
                      <w:lang w:val="en-US" w:eastAsia="zh-CN"/>
                    </w:rPr>
                    <w:t>B</w:t>
                  </w:r>
                  <w:r>
                    <w:rPr>
                      <w:color w:val="auto"/>
                      <w:sz w:val="21"/>
                      <w:szCs w:val="21"/>
                      <w:highlight w:val="none"/>
                      <w:u w:val="single"/>
                    </w:rPr>
                    <w:t>,</w:t>
                  </w:r>
                  <w:r>
                    <w:rPr>
                      <w:rFonts w:hint="eastAsia"/>
                      <w:color w:val="auto"/>
                      <w:sz w:val="21"/>
                      <w:szCs w:val="21"/>
                      <w:highlight w:val="none"/>
                      <w:u w:val="single"/>
                      <w:lang w:val="en-US" w:eastAsia="zh-CN"/>
                    </w:rPr>
                    <w:t>5</w:t>
                  </w:r>
                  <w:r>
                    <w:rPr>
                      <w:color w:val="auto"/>
                      <w:sz w:val="21"/>
                      <w:szCs w:val="21"/>
                      <w:highlight w:val="none"/>
                      <w:u w:val="single"/>
                    </w:rPr>
                    <w:t>0N</w:t>
                  </w:r>
                  <w:r>
                    <w:rPr>
                      <w:color w:val="auto"/>
                      <w:sz w:val="21"/>
                      <w:szCs w:val="21"/>
                      <w:highlight w:val="none"/>
                      <w:u w:val="single"/>
                      <w:vertAlign w:val="superscript"/>
                    </w:rPr>
                    <w:t>3</w:t>
                  </w:r>
                  <w:r>
                    <w:rPr>
                      <w:color w:val="auto"/>
                      <w:sz w:val="21"/>
                      <w:szCs w:val="21"/>
                      <w:highlight w:val="none"/>
                      <w:u w:val="single"/>
                    </w:rPr>
                    <w:t>/h</w:t>
                  </w:r>
                </w:p>
              </w:tc>
              <w:tc>
                <w:tcPr>
                  <w:tcW w:w="1173" w:type="pct"/>
                  <w:vAlign w:val="center"/>
                </w:tcPr>
                <w:p w14:paraId="094D2D25">
                  <w:pPr>
                    <w:jc w:val="center"/>
                    <w:rPr>
                      <w:rFonts w:ascii="Times New Roman" w:hAnsi="Times New Roman" w:eastAsia="宋体" w:cs="Times New Roman"/>
                      <w:bCs/>
                      <w:color w:val="auto"/>
                      <w:kern w:val="2"/>
                      <w:sz w:val="21"/>
                      <w:szCs w:val="21"/>
                      <w:highlight w:val="none"/>
                      <w:u w:val="single"/>
                      <w:lang w:val="en-US" w:eastAsia="zh-CN" w:bidi="ar-SA"/>
                    </w:rPr>
                  </w:pPr>
                  <w:r>
                    <w:rPr>
                      <w:color w:val="auto"/>
                      <w:sz w:val="21"/>
                      <w:szCs w:val="21"/>
                      <w:highlight w:val="none"/>
                      <w:u w:val="single"/>
                    </w:rPr>
                    <w:t>氮气保护</w:t>
                  </w:r>
                </w:p>
              </w:tc>
            </w:tr>
            <w:tr w14:paraId="3AE563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Align w:val="center"/>
                </w:tcPr>
                <w:p w14:paraId="1566D1B2">
                  <w:pPr>
                    <w:jc w:val="center"/>
                    <w:rPr>
                      <w:rFonts w:hint="default" w:ascii="Times New Roman" w:hAnsi="Times New Roman" w:eastAsia="宋体" w:cs="Times New Roman"/>
                      <w:bCs/>
                      <w:color w:val="auto"/>
                      <w:kern w:val="2"/>
                      <w:sz w:val="21"/>
                      <w:szCs w:val="21"/>
                      <w:highlight w:val="none"/>
                      <w:u w:val="single"/>
                      <w:lang w:val="en-US" w:eastAsia="zh-CN" w:bidi="ar-SA"/>
                    </w:rPr>
                  </w:pPr>
                  <w:r>
                    <w:rPr>
                      <w:rFonts w:hint="eastAsia"/>
                      <w:bCs/>
                      <w:color w:val="auto"/>
                      <w:sz w:val="21"/>
                      <w:szCs w:val="21"/>
                      <w:highlight w:val="none"/>
                      <w:u w:val="single"/>
                      <w:lang w:val="en-US" w:eastAsia="zh-CN"/>
                    </w:rPr>
                    <w:t>10</w:t>
                  </w:r>
                </w:p>
              </w:tc>
              <w:tc>
                <w:tcPr>
                  <w:tcW w:w="868" w:type="pct"/>
                  <w:vAlign w:val="center"/>
                </w:tcPr>
                <w:p w14:paraId="47A54D49">
                  <w:pPr>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color w:val="auto"/>
                      <w:sz w:val="21"/>
                      <w:szCs w:val="21"/>
                      <w:highlight w:val="none"/>
                      <w:u w:val="single"/>
                      <w:lang w:eastAsia="zh-CN"/>
                    </w:rPr>
                    <w:t>料仓</w:t>
                  </w:r>
                </w:p>
              </w:tc>
              <w:tc>
                <w:tcPr>
                  <w:tcW w:w="389" w:type="pct"/>
                  <w:vAlign w:val="center"/>
                </w:tcPr>
                <w:p w14:paraId="12300E99">
                  <w:pPr>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color w:val="auto"/>
                      <w:sz w:val="21"/>
                      <w:szCs w:val="21"/>
                      <w:highlight w:val="none"/>
                      <w:u w:val="single"/>
                      <w:lang w:val="en-US" w:eastAsia="zh-CN"/>
                    </w:rPr>
                    <w:t>7</w:t>
                  </w:r>
                </w:p>
              </w:tc>
              <w:tc>
                <w:tcPr>
                  <w:tcW w:w="389" w:type="pct"/>
                  <w:vAlign w:val="center"/>
                </w:tcPr>
                <w:p w14:paraId="072DCB9F">
                  <w:pPr>
                    <w:jc w:val="center"/>
                    <w:rPr>
                      <w:rFonts w:hint="eastAsia" w:ascii="Times New Roman" w:hAnsi="Times New Roman" w:eastAsia="宋体" w:cs="Times New Roman"/>
                      <w:bCs/>
                      <w:color w:val="auto"/>
                      <w:kern w:val="2"/>
                      <w:sz w:val="21"/>
                      <w:szCs w:val="21"/>
                      <w:highlight w:val="none"/>
                      <w:u w:val="single"/>
                      <w:lang w:val="en-US" w:eastAsia="zh-CN" w:bidi="ar-SA"/>
                    </w:rPr>
                  </w:pPr>
                  <w:r>
                    <w:rPr>
                      <w:rFonts w:hint="eastAsia"/>
                      <w:bCs/>
                      <w:color w:val="auto"/>
                      <w:sz w:val="21"/>
                      <w:szCs w:val="21"/>
                      <w:highlight w:val="none"/>
                      <w:u w:val="single"/>
                      <w:lang w:eastAsia="zh-CN"/>
                    </w:rPr>
                    <w:t>个</w:t>
                  </w:r>
                </w:p>
              </w:tc>
              <w:tc>
                <w:tcPr>
                  <w:tcW w:w="1792" w:type="pct"/>
                  <w:vAlign w:val="center"/>
                </w:tcPr>
                <w:p w14:paraId="54DC02A9">
                  <w:pPr>
                    <w:jc w:val="center"/>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color w:val="auto"/>
                      <w:sz w:val="21"/>
                      <w:szCs w:val="21"/>
                      <w:highlight w:val="none"/>
                      <w:u w:val="single"/>
                      <w:lang w:val="en-US" w:eastAsia="zh-CN"/>
                    </w:rPr>
                    <w:t>10m</w:t>
                  </w:r>
                  <w:r>
                    <w:rPr>
                      <w:rFonts w:hint="eastAsia"/>
                      <w:color w:val="auto"/>
                      <w:sz w:val="21"/>
                      <w:szCs w:val="21"/>
                      <w:highlight w:val="none"/>
                      <w:u w:val="single"/>
                      <w:vertAlign w:val="superscript"/>
                      <w:lang w:val="en-US" w:eastAsia="zh-CN"/>
                    </w:rPr>
                    <w:t>3</w:t>
                  </w:r>
                  <w:r>
                    <w:rPr>
                      <w:rFonts w:hint="eastAsia"/>
                      <w:color w:val="auto"/>
                      <w:sz w:val="21"/>
                      <w:szCs w:val="21"/>
                      <w:highlight w:val="none"/>
                      <w:u w:val="single"/>
                      <w:vertAlign w:val="baseline"/>
                      <w:lang w:val="en-US" w:eastAsia="zh-CN"/>
                    </w:rPr>
                    <w:t>/个</w:t>
                  </w:r>
                </w:p>
              </w:tc>
              <w:tc>
                <w:tcPr>
                  <w:tcW w:w="1173" w:type="pct"/>
                  <w:vAlign w:val="center"/>
                </w:tcPr>
                <w:p w14:paraId="4E61BB34">
                  <w:pPr>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color w:val="auto"/>
                      <w:sz w:val="21"/>
                      <w:szCs w:val="21"/>
                      <w:highlight w:val="none"/>
                      <w:u w:val="single"/>
                      <w:lang w:eastAsia="zh-CN"/>
                    </w:rPr>
                    <w:t>暂存中间物料</w:t>
                  </w:r>
                </w:p>
              </w:tc>
            </w:tr>
            <w:tr w14:paraId="304CC7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Align w:val="center"/>
                </w:tcPr>
                <w:p w14:paraId="3BF32810">
                  <w:pPr>
                    <w:jc w:val="center"/>
                    <w:rPr>
                      <w:rFonts w:hint="eastAsia" w:ascii="Times New Roman" w:hAnsi="Times New Roman" w:eastAsia="宋体" w:cs="Times New Roman"/>
                      <w:bCs/>
                      <w:color w:val="auto"/>
                      <w:kern w:val="2"/>
                      <w:sz w:val="21"/>
                      <w:szCs w:val="21"/>
                      <w:highlight w:val="none"/>
                      <w:u w:val="single"/>
                      <w:lang w:val="en-US" w:eastAsia="zh-CN" w:bidi="ar-SA"/>
                    </w:rPr>
                  </w:pPr>
                  <w:r>
                    <w:rPr>
                      <w:rFonts w:hint="eastAsia"/>
                      <w:bCs/>
                      <w:color w:val="auto"/>
                      <w:sz w:val="21"/>
                      <w:szCs w:val="21"/>
                      <w:highlight w:val="none"/>
                      <w:u w:val="single"/>
                      <w:lang w:val="en-US" w:eastAsia="zh-CN"/>
                    </w:rPr>
                    <w:t>11</w:t>
                  </w:r>
                </w:p>
              </w:tc>
              <w:tc>
                <w:tcPr>
                  <w:tcW w:w="868" w:type="pct"/>
                  <w:vAlign w:val="center"/>
                </w:tcPr>
                <w:p w14:paraId="12F9FBE5">
                  <w:pPr>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color w:val="auto"/>
                      <w:sz w:val="21"/>
                      <w:szCs w:val="21"/>
                      <w:highlight w:val="none"/>
                      <w:u w:val="single"/>
                      <w:lang w:eastAsia="zh-CN"/>
                    </w:rPr>
                    <w:t>包装料仓</w:t>
                  </w:r>
                </w:p>
              </w:tc>
              <w:tc>
                <w:tcPr>
                  <w:tcW w:w="389" w:type="pct"/>
                  <w:vAlign w:val="center"/>
                </w:tcPr>
                <w:p w14:paraId="3D3256D9">
                  <w:pPr>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color w:val="auto"/>
                      <w:sz w:val="21"/>
                      <w:szCs w:val="21"/>
                      <w:highlight w:val="none"/>
                      <w:u w:val="single"/>
                      <w:lang w:val="en-US" w:eastAsia="zh-CN"/>
                    </w:rPr>
                    <w:t>1</w:t>
                  </w:r>
                </w:p>
              </w:tc>
              <w:tc>
                <w:tcPr>
                  <w:tcW w:w="389" w:type="pct"/>
                  <w:vAlign w:val="center"/>
                </w:tcPr>
                <w:p w14:paraId="52F953E1">
                  <w:pPr>
                    <w:jc w:val="center"/>
                    <w:rPr>
                      <w:rFonts w:hint="eastAsia" w:ascii="Times New Roman" w:hAnsi="Times New Roman" w:eastAsia="宋体" w:cs="Times New Roman"/>
                      <w:bCs/>
                      <w:color w:val="auto"/>
                      <w:kern w:val="2"/>
                      <w:sz w:val="21"/>
                      <w:szCs w:val="21"/>
                      <w:highlight w:val="none"/>
                      <w:u w:val="single"/>
                      <w:lang w:val="en-US" w:eastAsia="zh-CN" w:bidi="ar-SA"/>
                    </w:rPr>
                  </w:pPr>
                  <w:r>
                    <w:rPr>
                      <w:rFonts w:hint="eastAsia"/>
                      <w:bCs/>
                      <w:color w:val="auto"/>
                      <w:sz w:val="21"/>
                      <w:szCs w:val="21"/>
                      <w:highlight w:val="none"/>
                      <w:u w:val="single"/>
                      <w:lang w:eastAsia="zh-CN"/>
                    </w:rPr>
                    <w:t>个</w:t>
                  </w:r>
                </w:p>
              </w:tc>
              <w:tc>
                <w:tcPr>
                  <w:tcW w:w="1792" w:type="pct"/>
                  <w:vAlign w:val="center"/>
                </w:tcPr>
                <w:p w14:paraId="7C59B1E4">
                  <w:pPr>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color w:val="auto"/>
                      <w:sz w:val="21"/>
                      <w:szCs w:val="21"/>
                      <w:highlight w:val="none"/>
                      <w:u w:val="single"/>
                      <w:lang w:val="en-US" w:eastAsia="zh-CN"/>
                    </w:rPr>
                    <w:t>10m</w:t>
                  </w:r>
                  <w:r>
                    <w:rPr>
                      <w:rFonts w:hint="eastAsia"/>
                      <w:color w:val="auto"/>
                      <w:sz w:val="21"/>
                      <w:szCs w:val="21"/>
                      <w:highlight w:val="none"/>
                      <w:u w:val="single"/>
                      <w:vertAlign w:val="superscript"/>
                      <w:lang w:val="en-US" w:eastAsia="zh-CN"/>
                    </w:rPr>
                    <w:t>3</w:t>
                  </w:r>
                  <w:r>
                    <w:rPr>
                      <w:rFonts w:hint="eastAsia"/>
                      <w:color w:val="auto"/>
                      <w:sz w:val="21"/>
                      <w:szCs w:val="21"/>
                      <w:highlight w:val="none"/>
                      <w:u w:val="single"/>
                      <w:vertAlign w:val="baseline"/>
                      <w:lang w:val="en-US" w:eastAsia="zh-CN"/>
                    </w:rPr>
                    <w:t>/个</w:t>
                  </w:r>
                </w:p>
              </w:tc>
              <w:tc>
                <w:tcPr>
                  <w:tcW w:w="1173" w:type="pct"/>
                  <w:vAlign w:val="center"/>
                </w:tcPr>
                <w:p w14:paraId="08C71B35">
                  <w:pPr>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color w:val="auto"/>
                      <w:sz w:val="21"/>
                      <w:szCs w:val="21"/>
                      <w:highlight w:val="none"/>
                      <w:u w:val="single"/>
                      <w:lang w:eastAsia="zh-CN"/>
                    </w:rPr>
                    <w:t>暂存成品</w:t>
                  </w:r>
                </w:p>
              </w:tc>
            </w:tr>
            <w:tr w14:paraId="3AB02F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Align w:val="center"/>
                </w:tcPr>
                <w:p w14:paraId="0C07CF22">
                  <w:pPr>
                    <w:jc w:val="center"/>
                    <w:rPr>
                      <w:rFonts w:hint="default" w:ascii="Times New Roman" w:hAnsi="Times New Roman" w:eastAsia="宋体" w:cs="Times New Roman"/>
                      <w:bCs/>
                      <w:color w:val="auto"/>
                      <w:kern w:val="2"/>
                      <w:sz w:val="21"/>
                      <w:szCs w:val="21"/>
                      <w:highlight w:val="none"/>
                      <w:u w:val="single"/>
                      <w:lang w:val="en-US" w:eastAsia="zh-CN" w:bidi="ar-SA"/>
                    </w:rPr>
                  </w:pPr>
                  <w:r>
                    <w:rPr>
                      <w:rFonts w:hint="eastAsia"/>
                      <w:bCs/>
                      <w:color w:val="auto"/>
                      <w:sz w:val="21"/>
                      <w:szCs w:val="21"/>
                      <w:highlight w:val="none"/>
                      <w:u w:val="single"/>
                      <w:lang w:val="en-US" w:eastAsia="zh-CN"/>
                    </w:rPr>
                    <w:t>12</w:t>
                  </w:r>
                </w:p>
              </w:tc>
              <w:tc>
                <w:tcPr>
                  <w:tcW w:w="868" w:type="pct"/>
                  <w:vAlign w:val="center"/>
                </w:tcPr>
                <w:p w14:paraId="36528A69">
                  <w:pPr>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color w:val="auto"/>
                      <w:sz w:val="21"/>
                      <w:szCs w:val="21"/>
                      <w:highlight w:val="none"/>
                      <w:u w:val="single"/>
                      <w:lang w:eastAsia="zh-CN"/>
                    </w:rPr>
                    <w:t>汽液分离罐</w:t>
                  </w:r>
                </w:p>
              </w:tc>
              <w:tc>
                <w:tcPr>
                  <w:tcW w:w="389" w:type="pct"/>
                  <w:vAlign w:val="center"/>
                </w:tcPr>
                <w:p w14:paraId="552DCE14">
                  <w:pPr>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color w:val="auto"/>
                      <w:sz w:val="21"/>
                      <w:szCs w:val="21"/>
                      <w:highlight w:val="none"/>
                      <w:u w:val="single"/>
                      <w:lang w:val="en-US" w:eastAsia="zh-CN"/>
                    </w:rPr>
                    <w:t>5</w:t>
                  </w:r>
                </w:p>
              </w:tc>
              <w:tc>
                <w:tcPr>
                  <w:tcW w:w="389" w:type="pct"/>
                  <w:vAlign w:val="center"/>
                </w:tcPr>
                <w:p w14:paraId="075CB36F">
                  <w:pPr>
                    <w:jc w:val="center"/>
                    <w:rPr>
                      <w:rFonts w:hint="eastAsia" w:ascii="Times New Roman" w:hAnsi="Times New Roman" w:eastAsia="宋体" w:cs="Times New Roman"/>
                      <w:bCs/>
                      <w:color w:val="auto"/>
                      <w:kern w:val="2"/>
                      <w:sz w:val="21"/>
                      <w:szCs w:val="21"/>
                      <w:highlight w:val="none"/>
                      <w:u w:val="single"/>
                      <w:lang w:val="en-US" w:eastAsia="zh-CN" w:bidi="ar-SA"/>
                    </w:rPr>
                  </w:pPr>
                  <w:r>
                    <w:rPr>
                      <w:rFonts w:hint="eastAsia"/>
                      <w:bCs/>
                      <w:color w:val="auto"/>
                      <w:sz w:val="21"/>
                      <w:szCs w:val="21"/>
                      <w:highlight w:val="none"/>
                      <w:u w:val="single"/>
                      <w:lang w:eastAsia="zh-CN"/>
                    </w:rPr>
                    <w:t>个</w:t>
                  </w:r>
                </w:p>
              </w:tc>
              <w:tc>
                <w:tcPr>
                  <w:tcW w:w="1792" w:type="pct"/>
                  <w:vAlign w:val="center"/>
                </w:tcPr>
                <w:p w14:paraId="1A83C216">
                  <w:pPr>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color w:val="auto"/>
                      <w:sz w:val="21"/>
                      <w:szCs w:val="21"/>
                      <w:highlight w:val="none"/>
                      <w:u w:val="single"/>
                      <w:lang w:val="en-US" w:eastAsia="zh-CN"/>
                    </w:rPr>
                    <w:t>2m</w:t>
                  </w:r>
                  <w:r>
                    <w:rPr>
                      <w:rFonts w:hint="eastAsia"/>
                      <w:color w:val="auto"/>
                      <w:sz w:val="21"/>
                      <w:szCs w:val="21"/>
                      <w:highlight w:val="none"/>
                      <w:u w:val="single"/>
                      <w:vertAlign w:val="superscript"/>
                      <w:lang w:val="en-US" w:eastAsia="zh-CN"/>
                    </w:rPr>
                    <w:t>3</w:t>
                  </w:r>
                </w:p>
              </w:tc>
              <w:tc>
                <w:tcPr>
                  <w:tcW w:w="1173" w:type="pct"/>
                  <w:vAlign w:val="center"/>
                </w:tcPr>
                <w:p w14:paraId="4D232D4A">
                  <w:pPr>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color w:val="auto"/>
                      <w:sz w:val="21"/>
                      <w:szCs w:val="21"/>
                      <w:highlight w:val="none"/>
                      <w:u w:val="single"/>
                      <w:lang w:eastAsia="zh-CN"/>
                    </w:rPr>
                    <w:t>冷凝回用水汽</w:t>
                  </w:r>
                </w:p>
              </w:tc>
            </w:tr>
            <w:tr w14:paraId="237AA7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Align w:val="center"/>
                </w:tcPr>
                <w:p w14:paraId="366FAEB1">
                  <w:pPr>
                    <w:jc w:val="center"/>
                    <w:rPr>
                      <w:rFonts w:hint="default" w:ascii="Times New Roman" w:hAnsi="Times New Roman" w:eastAsia="宋体" w:cs="Times New Roman"/>
                      <w:bCs/>
                      <w:color w:val="auto"/>
                      <w:kern w:val="2"/>
                      <w:sz w:val="21"/>
                      <w:szCs w:val="21"/>
                      <w:highlight w:val="none"/>
                      <w:u w:val="single"/>
                      <w:lang w:val="en-US" w:eastAsia="zh-CN" w:bidi="ar-SA"/>
                    </w:rPr>
                  </w:pPr>
                  <w:r>
                    <w:rPr>
                      <w:rFonts w:hint="eastAsia"/>
                      <w:bCs/>
                      <w:color w:val="auto"/>
                      <w:sz w:val="21"/>
                      <w:szCs w:val="21"/>
                      <w:highlight w:val="none"/>
                      <w:u w:val="single"/>
                      <w:lang w:val="en-US" w:eastAsia="zh-CN"/>
                    </w:rPr>
                    <w:t>13</w:t>
                  </w:r>
                </w:p>
              </w:tc>
              <w:tc>
                <w:tcPr>
                  <w:tcW w:w="868" w:type="pct"/>
                  <w:vAlign w:val="center"/>
                </w:tcPr>
                <w:p w14:paraId="3CE53045">
                  <w:pPr>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color w:val="auto"/>
                      <w:sz w:val="21"/>
                      <w:szCs w:val="21"/>
                      <w:highlight w:val="none"/>
                      <w:u w:val="single"/>
                      <w:lang w:eastAsia="zh-CN"/>
                    </w:rPr>
                    <w:t>氮气储罐</w:t>
                  </w:r>
                </w:p>
              </w:tc>
              <w:tc>
                <w:tcPr>
                  <w:tcW w:w="389" w:type="pct"/>
                  <w:vAlign w:val="center"/>
                </w:tcPr>
                <w:p w14:paraId="07321FB2">
                  <w:pPr>
                    <w:jc w:val="center"/>
                    <w:rPr>
                      <w:rFonts w:hint="eastAsia" w:ascii="Times New Roman" w:hAnsi="Times New Roman" w:eastAsia="宋体" w:cs="Times New Roman"/>
                      <w:color w:val="auto"/>
                      <w:kern w:val="2"/>
                      <w:sz w:val="21"/>
                      <w:szCs w:val="21"/>
                      <w:highlight w:val="none"/>
                      <w:u w:val="single"/>
                      <w:lang w:val="en-US" w:eastAsia="zh-CN" w:bidi="ar-SA"/>
                    </w:rPr>
                  </w:pPr>
                  <w:r>
                    <w:rPr>
                      <w:color w:val="auto"/>
                      <w:sz w:val="21"/>
                      <w:szCs w:val="21"/>
                      <w:highlight w:val="none"/>
                      <w:u w:val="single"/>
                    </w:rPr>
                    <w:t>1</w:t>
                  </w:r>
                </w:p>
              </w:tc>
              <w:tc>
                <w:tcPr>
                  <w:tcW w:w="389" w:type="pct"/>
                  <w:vAlign w:val="center"/>
                </w:tcPr>
                <w:p w14:paraId="617A7780">
                  <w:pPr>
                    <w:jc w:val="center"/>
                    <w:textAlignment w:val="center"/>
                    <w:rPr>
                      <w:rFonts w:hint="eastAsia" w:ascii="Times New Roman" w:hAnsi="Times New Roman" w:eastAsia="宋体" w:cs="Times New Roman"/>
                      <w:color w:val="auto"/>
                      <w:kern w:val="2"/>
                      <w:sz w:val="21"/>
                      <w:szCs w:val="21"/>
                      <w:highlight w:val="none"/>
                      <w:u w:val="single"/>
                      <w:lang w:val="en-US" w:eastAsia="zh-CN" w:bidi="ar-SA"/>
                    </w:rPr>
                  </w:pPr>
                  <w:r>
                    <w:rPr>
                      <w:bCs/>
                      <w:color w:val="auto"/>
                      <w:sz w:val="21"/>
                      <w:szCs w:val="21"/>
                      <w:highlight w:val="none"/>
                      <w:u w:val="single"/>
                    </w:rPr>
                    <w:t>台</w:t>
                  </w:r>
                </w:p>
              </w:tc>
              <w:tc>
                <w:tcPr>
                  <w:tcW w:w="1792" w:type="pct"/>
                  <w:vAlign w:val="center"/>
                </w:tcPr>
                <w:p w14:paraId="72105B99">
                  <w:pPr>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color w:val="auto"/>
                      <w:sz w:val="21"/>
                      <w:szCs w:val="21"/>
                      <w:highlight w:val="none"/>
                      <w:u w:val="single"/>
                      <w:lang w:val="en-US" w:eastAsia="zh-CN"/>
                    </w:rPr>
                    <w:t>4m</w:t>
                  </w:r>
                  <w:r>
                    <w:rPr>
                      <w:rFonts w:hint="eastAsia"/>
                      <w:color w:val="auto"/>
                      <w:sz w:val="21"/>
                      <w:szCs w:val="21"/>
                      <w:highlight w:val="none"/>
                      <w:u w:val="single"/>
                      <w:vertAlign w:val="superscript"/>
                      <w:lang w:val="en-US" w:eastAsia="zh-CN"/>
                    </w:rPr>
                    <w:t>3</w:t>
                  </w:r>
                </w:p>
              </w:tc>
              <w:tc>
                <w:tcPr>
                  <w:tcW w:w="1173" w:type="pct"/>
                  <w:vAlign w:val="center"/>
                </w:tcPr>
                <w:p w14:paraId="13CB380A">
                  <w:pPr>
                    <w:jc w:val="center"/>
                    <w:rPr>
                      <w:rFonts w:hint="eastAsia" w:ascii="Times New Roman" w:hAnsi="Times New Roman" w:eastAsia="宋体" w:cs="Times New Roman"/>
                      <w:bCs/>
                      <w:color w:val="auto"/>
                      <w:kern w:val="2"/>
                      <w:sz w:val="21"/>
                      <w:szCs w:val="21"/>
                      <w:highlight w:val="none"/>
                      <w:u w:val="single"/>
                      <w:lang w:val="en-US" w:eastAsia="zh-CN" w:bidi="ar-SA"/>
                    </w:rPr>
                  </w:pPr>
                  <w:r>
                    <w:rPr>
                      <w:rFonts w:hint="eastAsia"/>
                      <w:color w:val="auto"/>
                      <w:sz w:val="21"/>
                      <w:szCs w:val="21"/>
                      <w:highlight w:val="none"/>
                      <w:u w:val="single"/>
                      <w:lang w:val="en-US" w:eastAsia="zh-CN"/>
                    </w:rPr>
                    <w:t>储存氮气</w:t>
                  </w:r>
                </w:p>
              </w:tc>
            </w:tr>
            <w:tr w14:paraId="0792BD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Align w:val="center"/>
                </w:tcPr>
                <w:p w14:paraId="4D2095C2">
                  <w:pPr>
                    <w:jc w:val="center"/>
                    <w:rPr>
                      <w:rFonts w:hint="eastAsia" w:ascii="Times New Roman" w:hAnsi="Times New Roman" w:eastAsia="宋体" w:cs="Times New Roman"/>
                      <w:bCs/>
                      <w:color w:val="auto"/>
                      <w:kern w:val="2"/>
                      <w:sz w:val="21"/>
                      <w:szCs w:val="21"/>
                      <w:highlight w:val="none"/>
                      <w:u w:val="single"/>
                      <w:lang w:val="en-US" w:eastAsia="zh-CN" w:bidi="ar-SA"/>
                    </w:rPr>
                  </w:pPr>
                  <w:r>
                    <w:rPr>
                      <w:rFonts w:hint="eastAsia"/>
                      <w:bCs/>
                      <w:color w:val="auto"/>
                      <w:sz w:val="21"/>
                      <w:szCs w:val="21"/>
                      <w:highlight w:val="none"/>
                      <w:u w:val="single"/>
                      <w:lang w:val="en-US" w:eastAsia="zh-CN"/>
                    </w:rPr>
                    <w:t>14</w:t>
                  </w:r>
                </w:p>
              </w:tc>
              <w:tc>
                <w:tcPr>
                  <w:tcW w:w="868" w:type="pct"/>
                  <w:vAlign w:val="center"/>
                </w:tcPr>
                <w:p w14:paraId="47227EC0">
                  <w:pPr>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color w:val="auto"/>
                      <w:sz w:val="21"/>
                      <w:szCs w:val="21"/>
                      <w:highlight w:val="none"/>
                      <w:u w:val="single"/>
                      <w:lang w:eastAsia="zh-CN"/>
                    </w:rPr>
                    <w:t>换热器</w:t>
                  </w:r>
                </w:p>
              </w:tc>
              <w:tc>
                <w:tcPr>
                  <w:tcW w:w="389" w:type="pct"/>
                  <w:vAlign w:val="center"/>
                </w:tcPr>
                <w:p w14:paraId="06FAA33F">
                  <w:pPr>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color w:val="auto"/>
                      <w:sz w:val="21"/>
                      <w:szCs w:val="21"/>
                      <w:highlight w:val="none"/>
                      <w:u w:val="single"/>
                      <w:lang w:val="en-US" w:eastAsia="zh-CN"/>
                    </w:rPr>
                    <w:t>6</w:t>
                  </w:r>
                </w:p>
              </w:tc>
              <w:tc>
                <w:tcPr>
                  <w:tcW w:w="389" w:type="pct"/>
                  <w:vAlign w:val="center"/>
                </w:tcPr>
                <w:p w14:paraId="70890AEC">
                  <w:pPr>
                    <w:jc w:val="center"/>
                    <w:rPr>
                      <w:rFonts w:hint="eastAsia" w:ascii="Times New Roman" w:hAnsi="Times New Roman" w:eastAsia="宋体" w:cs="Times New Roman"/>
                      <w:bCs/>
                      <w:color w:val="auto"/>
                      <w:kern w:val="2"/>
                      <w:sz w:val="21"/>
                      <w:szCs w:val="21"/>
                      <w:highlight w:val="none"/>
                      <w:u w:val="single"/>
                      <w:lang w:val="en-US" w:eastAsia="zh-CN" w:bidi="ar-SA"/>
                    </w:rPr>
                  </w:pPr>
                  <w:r>
                    <w:rPr>
                      <w:rFonts w:hint="eastAsia"/>
                      <w:bCs/>
                      <w:color w:val="auto"/>
                      <w:sz w:val="21"/>
                      <w:szCs w:val="21"/>
                      <w:highlight w:val="none"/>
                      <w:u w:val="single"/>
                      <w:lang w:eastAsia="zh-CN"/>
                    </w:rPr>
                    <w:t>台</w:t>
                  </w:r>
                </w:p>
              </w:tc>
              <w:tc>
                <w:tcPr>
                  <w:tcW w:w="1792" w:type="pct"/>
                  <w:vAlign w:val="center"/>
                </w:tcPr>
                <w:p w14:paraId="5A6D6121">
                  <w:pPr>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color w:val="auto"/>
                      <w:sz w:val="21"/>
                      <w:szCs w:val="21"/>
                      <w:highlight w:val="none"/>
                      <w:u w:val="single"/>
                      <w:lang w:val="en-US" w:eastAsia="zh-CN"/>
                    </w:rPr>
                    <w:t>F=20m</w:t>
                  </w:r>
                  <w:r>
                    <w:rPr>
                      <w:rFonts w:hint="eastAsia"/>
                      <w:color w:val="auto"/>
                      <w:sz w:val="21"/>
                      <w:szCs w:val="21"/>
                      <w:highlight w:val="none"/>
                      <w:u w:val="single"/>
                      <w:vertAlign w:val="superscript"/>
                      <w:lang w:val="en-US" w:eastAsia="zh-CN"/>
                    </w:rPr>
                    <w:t>2</w:t>
                  </w:r>
                  <w:r>
                    <w:rPr>
                      <w:rFonts w:hint="eastAsia"/>
                      <w:color w:val="auto"/>
                      <w:sz w:val="21"/>
                      <w:szCs w:val="21"/>
                      <w:highlight w:val="none"/>
                      <w:u w:val="single"/>
                      <w:lang w:val="en-US" w:eastAsia="zh-CN"/>
                    </w:rPr>
                    <w:t>,列管</w:t>
                  </w:r>
                </w:p>
              </w:tc>
              <w:tc>
                <w:tcPr>
                  <w:tcW w:w="1173" w:type="pct"/>
                  <w:vAlign w:val="center"/>
                </w:tcPr>
                <w:p w14:paraId="3244058B">
                  <w:pPr>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color w:val="auto"/>
                      <w:sz w:val="21"/>
                      <w:szCs w:val="21"/>
                      <w:highlight w:val="none"/>
                      <w:u w:val="single"/>
                      <w:lang w:eastAsia="zh-CN"/>
                    </w:rPr>
                    <w:t>换热</w:t>
                  </w:r>
                </w:p>
              </w:tc>
            </w:tr>
            <w:tr w14:paraId="48F5E7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Align w:val="center"/>
                </w:tcPr>
                <w:p w14:paraId="156688D3">
                  <w:pPr>
                    <w:jc w:val="center"/>
                    <w:rPr>
                      <w:rFonts w:hint="default" w:ascii="Times New Roman" w:hAnsi="Times New Roman" w:eastAsia="宋体" w:cs="Times New Roman"/>
                      <w:bCs/>
                      <w:color w:val="auto"/>
                      <w:kern w:val="2"/>
                      <w:sz w:val="21"/>
                      <w:szCs w:val="21"/>
                      <w:highlight w:val="none"/>
                      <w:u w:val="single"/>
                      <w:lang w:val="en-US" w:eastAsia="zh-CN" w:bidi="ar-SA"/>
                    </w:rPr>
                  </w:pPr>
                  <w:r>
                    <w:rPr>
                      <w:rFonts w:hint="eastAsia"/>
                      <w:bCs/>
                      <w:color w:val="auto"/>
                      <w:sz w:val="21"/>
                      <w:szCs w:val="21"/>
                      <w:highlight w:val="none"/>
                      <w:u w:val="single"/>
                      <w:lang w:val="en-US" w:eastAsia="zh-CN"/>
                    </w:rPr>
                    <w:t>15</w:t>
                  </w:r>
                </w:p>
              </w:tc>
              <w:tc>
                <w:tcPr>
                  <w:tcW w:w="868" w:type="pct"/>
                  <w:vAlign w:val="center"/>
                </w:tcPr>
                <w:p w14:paraId="6A8BC7E3">
                  <w:pPr>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color w:val="auto"/>
                      <w:sz w:val="21"/>
                      <w:szCs w:val="21"/>
                      <w:highlight w:val="none"/>
                      <w:u w:val="single"/>
                      <w:lang w:eastAsia="zh-CN"/>
                    </w:rPr>
                    <w:t>泵</w:t>
                  </w:r>
                </w:p>
              </w:tc>
              <w:tc>
                <w:tcPr>
                  <w:tcW w:w="389" w:type="pct"/>
                  <w:vAlign w:val="center"/>
                </w:tcPr>
                <w:p w14:paraId="62B23B92">
                  <w:pPr>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color w:val="auto"/>
                      <w:sz w:val="21"/>
                      <w:szCs w:val="21"/>
                      <w:highlight w:val="none"/>
                      <w:u w:val="single"/>
                      <w:lang w:val="en-US" w:eastAsia="zh-CN"/>
                    </w:rPr>
                    <w:t>6</w:t>
                  </w:r>
                </w:p>
              </w:tc>
              <w:tc>
                <w:tcPr>
                  <w:tcW w:w="389" w:type="pct"/>
                  <w:vAlign w:val="center"/>
                </w:tcPr>
                <w:p w14:paraId="60BE311B">
                  <w:pPr>
                    <w:jc w:val="center"/>
                    <w:rPr>
                      <w:rFonts w:hint="eastAsia" w:ascii="Times New Roman" w:hAnsi="Times New Roman" w:eastAsia="宋体" w:cs="Times New Roman"/>
                      <w:bCs/>
                      <w:color w:val="auto"/>
                      <w:kern w:val="2"/>
                      <w:sz w:val="21"/>
                      <w:szCs w:val="21"/>
                      <w:highlight w:val="none"/>
                      <w:u w:val="single"/>
                      <w:lang w:val="en-US" w:eastAsia="zh-CN" w:bidi="ar-SA"/>
                    </w:rPr>
                  </w:pPr>
                  <w:r>
                    <w:rPr>
                      <w:rFonts w:hint="eastAsia"/>
                      <w:bCs/>
                      <w:color w:val="auto"/>
                      <w:sz w:val="21"/>
                      <w:szCs w:val="21"/>
                      <w:highlight w:val="none"/>
                      <w:u w:val="single"/>
                      <w:lang w:eastAsia="zh-CN"/>
                    </w:rPr>
                    <w:t>台</w:t>
                  </w:r>
                </w:p>
              </w:tc>
              <w:tc>
                <w:tcPr>
                  <w:tcW w:w="1792" w:type="pct"/>
                  <w:vAlign w:val="center"/>
                </w:tcPr>
                <w:p w14:paraId="4AA9A0CD">
                  <w:pPr>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color w:val="auto"/>
                      <w:sz w:val="21"/>
                      <w:szCs w:val="21"/>
                      <w:highlight w:val="none"/>
                      <w:u w:val="single"/>
                      <w:lang w:val="en-US" w:eastAsia="zh-CN"/>
                    </w:rPr>
                    <w:t>Q=10m</w:t>
                  </w:r>
                  <w:r>
                    <w:rPr>
                      <w:rFonts w:hint="eastAsia"/>
                      <w:color w:val="auto"/>
                      <w:sz w:val="21"/>
                      <w:szCs w:val="21"/>
                      <w:highlight w:val="none"/>
                      <w:u w:val="single"/>
                      <w:vertAlign w:val="superscript"/>
                      <w:lang w:val="en-US" w:eastAsia="zh-CN"/>
                    </w:rPr>
                    <w:t>3</w:t>
                  </w:r>
                  <w:r>
                    <w:rPr>
                      <w:rFonts w:hint="eastAsia"/>
                      <w:color w:val="auto"/>
                      <w:sz w:val="21"/>
                      <w:szCs w:val="21"/>
                      <w:highlight w:val="none"/>
                      <w:u w:val="single"/>
                      <w:lang w:val="en-US" w:eastAsia="zh-CN"/>
                    </w:rPr>
                    <w:t>，H=20m</w:t>
                  </w:r>
                </w:p>
              </w:tc>
              <w:tc>
                <w:tcPr>
                  <w:tcW w:w="1173" w:type="pct"/>
                  <w:vAlign w:val="center"/>
                </w:tcPr>
                <w:p w14:paraId="58B1AD86">
                  <w:pPr>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color w:val="auto"/>
                      <w:sz w:val="21"/>
                      <w:szCs w:val="21"/>
                      <w:highlight w:val="none"/>
                      <w:u w:val="single"/>
                      <w:lang w:val="en-US" w:eastAsia="zh-CN"/>
                    </w:rPr>
                    <w:t>导热油或者循环水</w:t>
                  </w:r>
                </w:p>
              </w:tc>
            </w:tr>
            <w:tr w14:paraId="408D70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Align w:val="center"/>
                </w:tcPr>
                <w:p w14:paraId="11761EEA">
                  <w:pPr>
                    <w:jc w:val="center"/>
                    <w:rPr>
                      <w:rFonts w:hint="default" w:ascii="Times New Roman" w:hAnsi="Times New Roman" w:eastAsia="宋体" w:cs="Times New Roman"/>
                      <w:bCs/>
                      <w:color w:val="auto"/>
                      <w:kern w:val="2"/>
                      <w:sz w:val="21"/>
                      <w:szCs w:val="21"/>
                      <w:highlight w:val="none"/>
                      <w:u w:val="single"/>
                      <w:lang w:val="en-US" w:eastAsia="zh-CN" w:bidi="ar-SA"/>
                    </w:rPr>
                  </w:pPr>
                  <w:r>
                    <w:rPr>
                      <w:rFonts w:hint="eastAsia"/>
                      <w:bCs/>
                      <w:color w:val="auto"/>
                      <w:sz w:val="21"/>
                      <w:szCs w:val="21"/>
                      <w:highlight w:val="none"/>
                      <w:u w:val="single"/>
                      <w:lang w:val="en-US" w:eastAsia="zh-CN"/>
                    </w:rPr>
                    <w:t>16</w:t>
                  </w:r>
                </w:p>
              </w:tc>
              <w:tc>
                <w:tcPr>
                  <w:tcW w:w="868" w:type="pct"/>
                  <w:vAlign w:val="center"/>
                </w:tcPr>
                <w:p w14:paraId="3CBBBCC0">
                  <w:pPr>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color w:val="auto"/>
                      <w:sz w:val="21"/>
                      <w:szCs w:val="21"/>
                      <w:highlight w:val="none"/>
                      <w:u w:val="single"/>
                      <w:lang w:val="en-US" w:eastAsia="zh-CN"/>
                    </w:rPr>
                    <w:t>输料螺旋</w:t>
                  </w:r>
                </w:p>
              </w:tc>
              <w:tc>
                <w:tcPr>
                  <w:tcW w:w="389" w:type="pct"/>
                  <w:vAlign w:val="center"/>
                </w:tcPr>
                <w:p w14:paraId="4550EE36">
                  <w:pPr>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color w:val="auto"/>
                      <w:sz w:val="21"/>
                      <w:szCs w:val="21"/>
                      <w:highlight w:val="none"/>
                      <w:u w:val="single"/>
                      <w:lang w:val="en-US" w:eastAsia="zh-CN"/>
                    </w:rPr>
                    <w:t>10</w:t>
                  </w:r>
                </w:p>
              </w:tc>
              <w:tc>
                <w:tcPr>
                  <w:tcW w:w="389" w:type="pct"/>
                  <w:vAlign w:val="center"/>
                </w:tcPr>
                <w:p w14:paraId="36CE6733">
                  <w:pPr>
                    <w:jc w:val="center"/>
                    <w:rPr>
                      <w:rFonts w:hint="eastAsia" w:ascii="Times New Roman" w:hAnsi="Times New Roman" w:eastAsia="宋体" w:cs="Times New Roman"/>
                      <w:bCs/>
                      <w:color w:val="auto"/>
                      <w:kern w:val="2"/>
                      <w:sz w:val="21"/>
                      <w:szCs w:val="21"/>
                      <w:highlight w:val="none"/>
                      <w:u w:val="single"/>
                      <w:lang w:val="en-US" w:eastAsia="zh-CN" w:bidi="ar-SA"/>
                    </w:rPr>
                  </w:pPr>
                  <w:r>
                    <w:rPr>
                      <w:rFonts w:hint="eastAsia"/>
                      <w:bCs/>
                      <w:color w:val="auto"/>
                      <w:sz w:val="21"/>
                      <w:szCs w:val="21"/>
                      <w:highlight w:val="none"/>
                      <w:u w:val="single"/>
                      <w:lang w:eastAsia="zh-CN"/>
                    </w:rPr>
                    <w:t>条</w:t>
                  </w:r>
                </w:p>
              </w:tc>
              <w:tc>
                <w:tcPr>
                  <w:tcW w:w="1792" w:type="pct"/>
                  <w:vAlign w:val="center"/>
                </w:tcPr>
                <w:p w14:paraId="4E62F83A">
                  <w:pPr>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color w:val="auto"/>
                      <w:sz w:val="21"/>
                      <w:szCs w:val="21"/>
                      <w:highlight w:val="none"/>
                      <w:u w:val="single"/>
                      <w:lang w:val="en-US" w:eastAsia="zh-CN"/>
                    </w:rPr>
                    <w:t>定制</w:t>
                  </w:r>
                </w:p>
              </w:tc>
              <w:tc>
                <w:tcPr>
                  <w:tcW w:w="1173" w:type="pct"/>
                  <w:vAlign w:val="center"/>
                </w:tcPr>
                <w:p w14:paraId="412613B9">
                  <w:pPr>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color w:val="auto"/>
                      <w:sz w:val="21"/>
                      <w:szCs w:val="21"/>
                      <w:highlight w:val="none"/>
                      <w:u w:val="single"/>
                      <w:lang w:eastAsia="zh-CN"/>
                    </w:rPr>
                    <w:t>物料输送</w:t>
                  </w:r>
                </w:p>
              </w:tc>
            </w:tr>
            <w:tr w14:paraId="641752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Align w:val="center"/>
                </w:tcPr>
                <w:p w14:paraId="2683ACC8">
                  <w:pPr>
                    <w:jc w:val="center"/>
                    <w:rPr>
                      <w:rFonts w:hint="default" w:eastAsia="宋体"/>
                      <w:bCs/>
                      <w:color w:val="auto"/>
                      <w:sz w:val="21"/>
                      <w:szCs w:val="21"/>
                      <w:highlight w:val="none"/>
                      <w:u w:val="single"/>
                      <w:lang w:val="en-US" w:eastAsia="zh-CN"/>
                    </w:rPr>
                  </w:pPr>
                  <w:r>
                    <w:rPr>
                      <w:rFonts w:hint="eastAsia"/>
                      <w:bCs/>
                      <w:color w:val="auto"/>
                      <w:sz w:val="21"/>
                      <w:szCs w:val="21"/>
                      <w:highlight w:val="none"/>
                      <w:u w:val="single"/>
                      <w:lang w:val="en-US" w:eastAsia="zh-CN"/>
                    </w:rPr>
                    <w:t>17</w:t>
                  </w:r>
                </w:p>
              </w:tc>
              <w:tc>
                <w:tcPr>
                  <w:tcW w:w="868" w:type="pct"/>
                  <w:vAlign w:val="center"/>
                </w:tcPr>
                <w:p w14:paraId="3C09AEE5">
                  <w:pPr>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color w:val="auto"/>
                      <w:sz w:val="21"/>
                      <w:szCs w:val="21"/>
                      <w:highlight w:val="none"/>
                      <w:u w:val="single"/>
                      <w:lang w:eastAsia="zh-CN"/>
                    </w:rPr>
                    <w:t>电动葫芦</w:t>
                  </w:r>
                </w:p>
              </w:tc>
              <w:tc>
                <w:tcPr>
                  <w:tcW w:w="389" w:type="pct"/>
                  <w:vAlign w:val="center"/>
                </w:tcPr>
                <w:p w14:paraId="1E9BB0CA">
                  <w:pPr>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color w:val="auto"/>
                      <w:sz w:val="21"/>
                      <w:szCs w:val="21"/>
                      <w:highlight w:val="none"/>
                      <w:u w:val="single"/>
                      <w:lang w:val="en-US" w:eastAsia="zh-CN"/>
                    </w:rPr>
                    <w:t>2</w:t>
                  </w:r>
                </w:p>
              </w:tc>
              <w:tc>
                <w:tcPr>
                  <w:tcW w:w="389" w:type="pct"/>
                  <w:vAlign w:val="center"/>
                </w:tcPr>
                <w:p w14:paraId="1DD6C704">
                  <w:pPr>
                    <w:jc w:val="center"/>
                    <w:rPr>
                      <w:rFonts w:hint="eastAsia" w:ascii="Times New Roman" w:hAnsi="Times New Roman" w:eastAsia="宋体" w:cs="Times New Roman"/>
                      <w:bCs/>
                      <w:color w:val="auto"/>
                      <w:kern w:val="2"/>
                      <w:sz w:val="21"/>
                      <w:szCs w:val="21"/>
                      <w:highlight w:val="none"/>
                      <w:u w:val="single"/>
                      <w:lang w:val="en-US" w:eastAsia="zh-CN" w:bidi="ar-SA"/>
                    </w:rPr>
                  </w:pPr>
                  <w:r>
                    <w:rPr>
                      <w:rFonts w:hint="eastAsia"/>
                      <w:bCs/>
                      <w:color w:val="auto"/>
                      <w:sz w:val="21"/>
                      <w:szCs w:val="21"/>
                      <w:highlight w:val="none"/>
                      <w:u w:val="single"/>
                      <w:lang w:eastAsia="zh-CN"/>
                    </w:rPr>
                    <w:t>个</w:t>
                  </w:r>
                </w:p>
              </w:tc>
              <w:tc>
                <w:tcPr>
                  <w:tcW w:w="1792" w:type="pct"/>
                  <w:vAlign w:val="center"/>
                </w:tcPr>
                <w:p w14:paraId="3BCFE9AB">
                  <w:pPr>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color w:val="auto"/>
                      <w:sz w:val="21"/>
                      <w:szCs w:val="21"/>
                      <w:highlight w:val="none"/>
                      <w:u w:val="single"/>
                      <w:lang w:val="en-US" w:eastAsia="zh-CN"/>
                    </w:rPr>
                    <w:t>非防爆2t</w:t>
                  </w:r>
                </w:p>
              </w:tc>
              <w:tc>
                <w:tcPr>
                  <w:tcW w:w="1173" w:type="pct"/>
                  <w:vAlign w:val="center"/>
                </w:tcPr>
                <w:p w14:paraId="61F4E2D1">
                  <w:pPr>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color w:val="auto"/>
                      <w:sz w:val="21"/>
                      <w:szCs w:val="21"/>
                      <w:highlight w:val="none"/>
                      <w:u w:val="single"/>
                      <w:lang w:eastAsia="zh-CN"/>
                    </w:rPr>
                    <w:t>物料输送</w:t>
                  </w:r>
                </w:p>
              </w:tc>
            </w:tr>
            <w:tr w14:paraId="4E495F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Align w:val="center"/>
                </w:tcPr>
                <w:p w14:paraId="72AC76BA">
                  <w:pPr>
                    <w:jc w:val="center"/>
                    <w:rPr>
                      <w:rFonts w:hint="default" w:eastAsia="宋体"/>
                      <w:bCs/>
                      <w:color w:val="auto"/>
                      <w:sz w:val="21"/>
                      <w:szCs w:val="21"/>
                      <w:highlight w:val="none"/>
                      <w:u w:val="single"/>
                      <w:lang w:val="en-US" w:eastAsia="zh-CN"/>
                    </w:rPr>
                  </w:pPr>
                  <w:r>
                    <w:rPr>
                      <w:rFonts w:hint="eastAsia"/>
                      <w:bCs/>
                      <w:color w:val="auto"/>
                      <w:sz w:val="21"/>
                      <w:szCs w:val="21"/>
                      <w:highlight w:val="none"/>
                      <w:u w:val="single"/>
                      <w:lang w:val="en-US" w:eastAsia="zh-CN"/>
                    </w:rPr>
                    <w:t>18</w:t>
                  </w:r>
                </w:p>
              </w:tc>
              <w:tc>
                <w:tcPr>
                  <w:tcW w:w="868" w:type="pct"/>
                  <w:vAlign w:val="center"/>
                </w:tcPr>
                <w:p w14:paraId="2725619B">
                  <w:pPr>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color w:val="auto"/>
                      <w:sz w:val="21"/>
                      <w:szCs w:val="21"/>
                      <w:highlight w:val="none"/>
                      <w:u w:val="single"/>
                      <w:lang w:eastAsia="zh-CN"/>
                    </w:rPr>
                    <w:t>叉车</w:t>
                  </w:r>
                </w:p>
              </w:tc>
              <w:tc>
                <w:tcPr>
                  <w:tcW w:w="389" w:type="pct"/>
                  <w:vAlign w:val="center"/>
                </w:tcPr>
                <w:p w14:paraId="3CFD9080">
                  <w:pPr>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color w:val="auto"/>
                      <w:sz w:val="21"/>
                      <w:szCs w:val="21"/>
                      <w:highlight w:val="none"/>
                      <w:u w:val="single"/>
                      <w:lang w:val="en-US" w:eastAsia="zh-CN"/>
                    </w:rPr>
                    <w:t>5</w:t>
                  </w:r>
                </w:p>
              </w:tc>
              <w:tc>
                <w:tcPr>
                  <w:tcW w:w="389" w:type="pct"/>
                  <w:vAlign w:val="center"/>
                </w:tcPr>
                <w:p w14:paraId="5FACFD45">
                  <w:pPr>
                    <w:jc w:val="center"/>
                    <w:rPr>
                      <w:rFonts w:hint="eastAsia" w:ascii="Times New Roman" w:hAnsi="Times New Roman" w:eastAsia="宋体" w:cs="Times New Roman"/>
                      <w:bCs/>
                      <w:color w:val="auto"/>
                      <w:kern w:val="2"/>
                      <w:sz w:val="21"/>
                      <w:szCs w:val="21"/>
                      <w:highlight w:val="none"/>
                      <w:u w:val="single"/>
                      <w:lang w:val="en-US" w:eastAsia="zh-CN" w:bidi="ar-SA"/>
                    </w:rPr>
                  </w:pPr>
                  <w:r>
                    <w:rPr>
                      <w:rFonts w:hint="eastAsia"/>
                      <w:bCs/>
                      <w:color w:val="auto"/>
                      <w:sz w:val="21"/>
                      <w:szCs w:val="21"/>
                      <w:highlight w:val="none"/>
                      <w:u w:val="single"/>
                      <w:lang w:eastAsia="zh-CN"/>
                    </w:rPr>
                    <w:t>台</w:t>
                  </w:r>
                </w:p>
              </w:tc>
              <w:tc>
                <w:tcPr>
                  <w:tcW w:w="1792" w:type="pct"/>
                  <w:vAlign w:val="center"/>
                </w:tcPr>
                <w:p w14:paraId="327890AC">
                  <w:pPr>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color w:val="auto"/>
                      <w:sz w:val="21"/>
                      <w:szCs w:val="21"/>
                      <w:highlight w:val="none"/>
                      <w:u w:val="single"/>
                      <w:lang w:val="en-US" w:eastAsia="zh-CN"/>
                    </w:rPr>
                    <w:t>/</w:t>
                  </w:r>
                </w:p>
              </w:tc>
              <w:tc>
                <w:tcPr>
                  <w:tcW w:w="1173" w:type="pct"/>
                  <w:vAlign w:val="center"/>
                </w:tcPr>
                <w:p w14:paraId="14D459AC">
                  <w:pPr>
                    <w:jc w:val="center"/>
                    <w:rPr>
                      <w:rFonts w:ascii="Times New Roman" w:hAnsi="Times New Roman" w:eastAsia="宋体" w:cs="Times New Roman"/>
                      <w:color w:val="auto"/>
                      <w:kern w:val="2"/>
                      <w:sz w:val="21"/>
                      <w:szCs w:val="21"/>
                      <w:highlight w:val="none"/>
                      <w:u w:val="single"/>
                      <w:lang w:val="en-US" w:eastAsia="zh-CN" w:bidi="ar-SA"/>
                    </w:rPr>
                  </w:pPr>
                  <w:r>
                    <w:rPr>
                      <w:rFonts w:hint="eastAsia"/>
                      <w:color w:val="auto"/>
                      <w:sz w:val="21"/>
                      <w:szCs w:val="21"/>
                      <w:highlight w:val="none"/>
                      <w:u w:val="single"/>
                      <w:lang w:eastAsia="zh-CN"/>
                    </w:rPr>
                    <w:t>物料输送</w:t>
                  </w:r>
                </w:p>
              </w:tc>
            </w:tr>
            <w:tr w14:paraId="747436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Align w:val="center"/>
                </w:tcPr>
                <w:p w14:paraId="2F802C08">
                  <w:pPr>
                    <w:jc w:val="center"/>
                    <w:rPr>
                      <w:rFonts w:hint="default"/>
                      <w:bCs/>
                      <w:color w:val="auto"/>
                      <w:sz w:val="21"/>
                      <w:szCs w:val="21"/>
                      <w:highlight w:val="none"/>
                      <w:u w:val="single"/>
                      <w:lang w:val="en-US" w:eastAsia="zh-CN"/>
                    </w:rPr>
                  </w:pPr>
                  <w:r>
                    <w:rPr>
                      <w:rFonts w:hint="eastAsia"/>
                      <w:bCs/>
                      <w:color w:val="auto"/>
                      <w:sz w:val="21"/>
                      <w:szCs w:val="21"/>
                      <w:highlight w:val="none"/>
                      <w:u w:val="single"/>
                      <w:lang w:val="en-US" w:eastAsia="zh-CN"/>
                    </w:rPr>
                    <w:t>19</w:t>
                  </w:r>
                </w:p>
              </w:tc>
              <w:tc>
                <w:tcPr>
                  <w:tcW w:w="868" w:type="pct"/>
                  <w:vAlign w:val="center"/>
                </w:tcPr>
                <w:p w14:paraId="4751F059">
                  <w:pPr>
                    <w:ind w:left="0" w:leftChars="0" w:right="0" w:rightChars="0" w:firstLine="0" w:firstLineChars="0"/>
                    <w:jc w:val="center"/>
                    <w:rPr>
                      <w:rFonts w:hint="default"/>
                      <w:color w:val="auto"/>
                      <w:sz w:val="21"/>
                      <w:szCs w:val="21"/>
                      <w:highlight w:val="none"/>
                      <w:u w:val="single"/>
                      <w:lang w:val="en-US" w:eastAsia="zh-CN"/>
                    </w:rPr>
                  </w:pPr>
                  <w:r>
                    <w:rPr>
                      <w:rFonts w:hint="eastAsia"/>
                      <w:color w:val="auto"/>
                      <w:sz w:val="21"/>
                      <w:szCs w:val="21"/>
                      <w:highlight w:val="none"/>
                      <w:u w:val="single"/>
                      <w:lang w:val="en-US" w:eastAsia="zh-CN"/>
                    </w:rPr>
                    <w:t>提升机</w:t>
                  </w:r>
                </w:p>
              </w:tc>
              <w:tc>
                <w:tcPr>
                  <w:tcW w:w="389" w:type="pct"/>
                  <w:vAlign w:val="center"/>
                </w:tcPr>
                <w:p w14:paraId="27ACBEAA">
                  <w:pPr>
                    <w:jc w:val="center"/>
                    <w:rPr>
                      <w:rFonts w:hint="default"/>
                      <w:color w:val="auto"/>
                      <w:sz w:val="21"/>
                      <w:szCs w:val="21"/>
                      <w:highlight w:val="none"/>
                      <w:u w:val="single"/>
                      <w:lang w:val="en-US" w:eastAsia="zh-CN"/>
                    </w:rPr>
                  </w:pPr>
                  <w:r>
                    <w:rPr>
                      <w:rFonts w:hint="eastAsia"/>
                      <w:color w:val="auto"/>
                      <w:sz w:val="21"/>
                      <w:szCs w:val="21"/>
                      <w:highlight w:val="none"/>
                      <w:u w:val="single"/>
                      <w:lang w:val="en-US" w:eastAsia="zh-CN"/>
                    </w:rPr>
                    <w:t>2</w:t>
                  </w:r>
                </w:p>
              </w:tc>
              <w:tc>
                <w:tcPr>
                  <w:tcW w:w="389" w:type="pct"/>
                  <w:vAlign w:val="center"/>
                </w:tcPr>
                <w:p w14:paraId="7A62A80F">
                  <w:pPr>
                    <w:jc w:val="center"/>
                    <w:rPr>
                      <w:rFonts w:hint="default"/>
                      <w:bCs/>
                      <w:color w:val="auto"/>
                      <w:sz w:val="21"/>
                      <w:szCs w:val="21"/>
                      <w:highlight w:val="none"/>
                      <w:u w:val="single"/>
                      <w:lang w:val="en-US" w:eastAsia="zh-CN"/>
                    </w:rPr>
                  </w:pPr>
                  <w:r>
                    <w:rPr>
                      <w:rFonts w:hint="eastAsia"/>
                      <w:bCs/>
                      <w:color w:val="auto"/>
                      <w:sz w:val="21"/>
                      <w:szCs w:val="21"/>
                      <w:highlight w:val="none"/>
                      <w:u w:val="single"/>
                      <w:lang w:val="en-US" w:eastAsia="zh-CN"/>
                    </w:rPr>
                    <w:t>台</w:t>
                  </w:r>
                </w:p>
              </w:tc>
              <w:tc>
                <w:tcPr>
                  <w:tcW w:w="1792" w:type="pct"/>
                  <w:vAlign w:val="center"/>
                </w:tcPr>
                <w:p w14:paraId="72193D6E">
                  <w:pPr>
                    <w:jc w:val="center"/>
                    <w:rPr>
                      <w:rFonts w:hint="default"/>
                      <w:color w:val="auto"/>
                      <w:sz w:val="21"/>
                      <w:szCs w:val="21"/>
                      <w:highlight w:val="none"/>
                      <w:u w:val="single"/>
                      <w:lang w:val="en-US" w:eastAsia="zh-CN"/>
                    </w:rPr>
                  </w:pPr>
                  <w:r>
                    <w:rPr>
                      <w:rFonts w:hint="eastAsia"/>
                      <w:color w:val="auto"/>
                      <w:sz w:val="21"/>
                      <w:szCs w:val="21"/>
                      <w:highlight w:val="none"/>
                      <w:u w:val="single"/>
                      <w:lang w:val="en-US" w:eastAsia="zh-CN"/>
                    </w:rPr>
                    <w:t>5t/h</w:t>
                  </w:r>
                </w:p>
              </w:tc>
              <w:tc>
                <w:tcPr>
                  <w:tcW w:w="1173" w:type="pct"/>
                  <w:vAlign w:val="center"/>
                </w:tcPr>
                <w:p w14:paraId="56AEBF53">
                  <w:pPr>
                    <w:jc w:val="center"/>
                    <w:rPr>
                      <w:rFonts w:hint="eastAsia"/>
                      <w:color w:val="auto"/>
                      <w:sz w:val="21"/>
                      <w:szCs w:val="21"/>
                      <w:highlight w:val="none"/>
                      <w:u w:val="single"/>
                      <w:lang w:eastAsia="zh-CN"/>
                    </w:rPr>
                  </w:pPr>
                  <w:r>
                    <w:rPr>
                      <w:rFonts w:hint="eastAsia"/>
                      <w:color w:val="auto"/>
                      <w:sz w:val="21"/>
                      <w:szCs w:val="21"/>
                      <w:highlight w:val="none"/>
                      <w:u w:val="single"/>
                      <w:lang w:eastAsia="zh-CN"/>
                    </w:rPr>
                    <w:t>物料输送</w:t>
                  </w:r>
                </w:p>
              </w:tc>
            </w:tr>
          </w:tbl>
          <w:p w14:paraId="67C0225E">
            <w:pPr>
              <w:tabs>
                <w:tab w:val="left" w:pos="1026"/>
              </w:tabs>
              <w:wordWrap w:val="0"/>
              <w:topLinePunct/>
              <w:adjustRightInd w:val="0"/>
              <w:snapToGrid w:val="0"/>
              <w:spacing w:line="360" w:lineRule="auto"/>
              <w:ind w:left="480" w:leftChars="200"/>
              <w:rPr>
                <w:b/>
                <w:bCs/>
                <w:color w:val="2F5496"/>
                <w:szCs w:val="21"/>
              </w:rPr>
            </w:pPr>
            <w:r>
              <w:rPr>
                <w:rFonts w:hint="eastAsia"/>
                <w:b/>
                <w:bCs/>
                <w:szCs w:val="21"/>
              </w:rPr>
              <w:t>4、产品方案</w:t>
            </w:r>
          </w:p>
          <w:p w14:paraId="0927A24D">
            <w:pPr>
              <w:wordWrap w:val="0"/>
              <w:topLinePunct/>
              <w:adjustRightInd w:val="0"/>
              <w:snapToGrid w:val="0"/>
              <w:spacing w:line="360" w:lineRule="auto"/>
              <w:ind w:firstLine="480" w:firstLineChars="200"/>
              <w:rPr>
                <w:snapToGrid w:val="0"/>
                <w:szCs w:val="21"/>
              </w:rPr>
            </w:pPr>
            <w:r>
              <w:rPr>
                <w:rFonts w:hint="eastAsia"/>
                <w:snapToGrid w:val="0"/>
                <w:szCs w:val="21"/>
              </w:rPr>
              <w:t>本项目产品方案详见表2-7</w:t>
            </w:r>
            <w:r>
              <w:rPr>
                <w:rFonts w:hint="eastAsia"/>
                <w:snapToGrid w:val="0"/>
                <w:szCs w:val="21"/>
                <w:lang w:eastAsia="zh-CN"/>
              </w:rPr>
              <w:t>，产品质量标准见表</w:t>
            </w:r>
            <w:r>
              <w:rPr>
                <w:rFonts w:hint="eastAsia"/>
                <w:snapToGrid w:val="0"/>
                <w:szCs w:val="21"/>
                <w:lang w:val="en-US" w:eastAsia="zh-CN"/>
              </w:rPr>
              <w:t>2-8~2-10</w:t>
            </w:r>
            <w:r>
              <w:rPr>
                <w:rFonts w:hint="eastAsia"/>
                <w:snapToGrid w:val="0"/>
                <w:szCs w:val="21"/>
              </w:rPr>
              <w:t>。</w:t>
            </w:r>
          </w:p>
          <w:p w14:paraId="7A47EB29">
            <w:pPr>
              <w:spacing w:line="360" w:lineRule="auto"/>
              <w:jc w:val="center"/>
              <w:rPr>
                <w:b/>
                <w:u w:val="single"/>
              </w:rPr>
            </w:pPr>
            <w:r>
              <w:rPr>
                <w:b/>
                <w:u w:val="single"/>
              </w:rPr>
              <w:t>表2-</w:t>
            </w:r>
            <w:r>
              <w:rPr>
                <w:rFonts w:hint="eastAsia"/>
                <w:b/>
                <w:u w:val="single"/>
              </w:rPr>
              <w:t>7</w:t>
            </w:r>
            <w:r>
              <w:rPr>
                <w:b/>
                <w:u w:val="single"/>
              </w:rPr>
              <w:t xml:space="preserve">  </w:t>
            </w:r>
            <w:r>
              <w:rPr>
                <w:rFonts w:hint="eastAsia"/>
                <w:b/>
                <w:u w:val="single"/>
              </w:rPr>
              <w:t>主要产品方案一览表</w:t>
            </w:r>
          </w:p>
          <w:tbl>
            <w:tblPr>
              <w:tblStyle w:val="3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37"/>
              <w:gridCol w:w="2180"/>
              <w:gridCol w:w="2365"/>
              <w:gridCol w:w="2365"/>
            </w:tblGrid>
            <w:tr w14:paraId="45193A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050" w:type="pct"/>
                  <w:tcBorders>
                    <w:tl2br w:val="nil"/>
                    <w:tr2bl w:val="nil"/>
                  </w:tcBorders>
                  <w:vAlign w:val="center"/>
                </w:tcPr>
                <w:p w14:paraId="2C1A97B4">
                  <w:pPr>
                    <w:pStyle w:val="114"/>
                    <w:spacing w:line="240" w:lineRule="auto"/>
                    <w:ind w:firstLine="0" w:firstLineChars="0"/>
                    <w:jc w:val="center"/>
                    <w:rPr>
                      <w:b/>
                      <w:sz w:val="21"/>
                      <w:szCs w:val="21"/>
                      <w:u w:val="single"/>
                    </w:rPr>
                  </w:pPr>
                  <w:r>
                    <w:rPr>
                      <w:rFonts w:hint="eastAsia"/>
                      <w:b/>
                      <w:sz w:val="21"/>
                      <w:szCs w:val="21"/>
                      <w:u w:val="single"/>
                    </w:rPr>
                    <w:t>序号</w:t>
                  </w:r>
                </w:p>
              </w:tc>
              <w:tc>
                <w:tcPr>
                  <w:tcW w:w="1246" w:type="pct"/>
                  <w:tcBorders>
                    <w:tl2br w:val="nil"/>
                    <w:tr2bl w:val="nil"/>
                  </w:tcBorders>
                  <w:vAlign w:val="center"/>
                </w:tcPr>
                <w:p w14:paraId="1A874D60">
                  <w:pPr>
                    <w:pStyle w:val="114"/>
                    <w:spacing w:line="240" w:lineRule="auto"/>
                    <w:ind w:firstLine="0" w:firstLineChars="0"/>
                    <w:jc w:val="center"/>
                    <w:rPr>
                      <w:b/>
                      <w:sz w:val="21"/>
                      <w:szCs w:val="21"/>
                      <w:u w:val="single"/>
                    </w:rPr>
                  </w:pPr>
                  <w:r>
                    <w:rPr>
                      <w:rFonts w:hint="eastAsia"/>
                      <w:b/>
                      <w:sz w:val="21"/>
                      <w:szCs w:val="21"/>
                      <w:u w:val="single"/>
                    </w:rPr>
                    <w:t>产品名称</w:t>
                  </w:r>
                </w:p>
              </w:tc>
              <w:tc>
                <w:tcPr>
                  <w:tcW w:w="1351" w:type="pct"/>
                  <w:tcBorders>
                    <w:tl2br w:val="nil"/>
                    <w:tr2bl w:val="nil"/>
                  </w:tcBorders>
                  <w:vAlign w:val="center"/>
                </w:tcPr>
                <w:p w14:paraId="04357093">
                  <w:pPr>
                    <w:pStyle w:val="114"/>
                    <w:spacing w:line="240" w:lineRule="auto"/>
                    <w:ind w:firstLine="0" w:firstLineChars="0"/>
                    <w:jc w:val="center"/>
                    <w:rPr>
                      <w:b/>
                      <w:sz w:val="21"/>
                      <w:szCs w:val="21"/>
                      <w:u w:val="single"/>
                    </w:rPr>
                  </w:pPr>
                  <w:r>
                    <w:rPr>
                      <w:rFonts w:hint="eastAsia"/>
                      <w:b/>
                      <w:sz w:val="21"/>
                      <w:szCs w:val="21"/>
                      <w:u w:val="single"/>
                    </w:rPr>
                    <w:t>产量</w:t>
                  </w:r>
                </w:p>
              </w:tc>
              <w:tc>
                <w:tcPr>
                  <w:tcW w:w="1351" w:type="pct"/>
                  <w:tcBorders>
                    <w:tl2br w:val="nil"/>
                    <w:tr2bl w:val="nil"/>
                  </w:tcBorders>
                  <w:vAlign w:val="center"/>
                </w:tcPr>
                <w:p w14:paraId="0C1BFBC2">
                  <w:pPr>
                    <w:pStyle w:val="114"/>
                    <w:spacing w:line="240" w:lineRule="auto"/>
                    <w:ind w:firstLine="0" w:firstLineChars="0"/>
                    <w:jc w:val="center"/>
                    <w:rPr>
                      <w:rFonts w:hint="eastAsia" w:eastAsia="宋体"/>
                      <w:b/>
                      <w:sz w:val="21"/>
                      <w:szCs w:val="21"/>
                      <w:u w:val="single"/>
                      <w:lang w:eastAsia="zh-CN"/>
                    </w:rPr>
                  </w:pPr>
                  <w:r>
                    <w:rPr>
                      <w:rFonts w:hint="eastAsia"/>
                      <w:b/>
                      <w:sz w:val="21"/>
                      <w:szCs w:val="21"/>
                      <w:u w:val="single"/>
                      <w:lang w:eastAsia="zh-CN"/>
                    </w:rPr>
                    <w:t>备注</w:t>
                  </w:r>
                </w:p>
              </w:tc>
            </w:tr>
            <w:tr w14:paraId="2D72F5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050" w:type="pct"/>
                  <w:tcBorders>
                    <w:tl2br w:val="nil"/>
                    <w:tr2bl w:val="nil"/>
                  </w:tcBorders>
                  <w:vAlign w:val="center"/>
                </w:tcPr>
                <w:p w14:paraId="206FECCA">
                  <w:pPr>
                    <w:jc w:val="center"/>
                    <w:rPr>
                      <w:sz w:val="21"/>
                      <w:szCs w:val="21"/>
                      <w:u w:val="single"/>
                    </w:rPr>
                  </w:pPr>
                  <w:r>
                    <w:rPr>
                      <w:rFonts w:hint="eastAsia"/>
                      <w:sz w:val="21"/>
                      <w:szCs w:val="21"/>
                      <w:u w:val="single"/>
                    </w:rPr>
                    <w:t>1</w:t>
                  </w:r>
                </w:p>
              </w:tc>
              <w:tc>
                <w:tcPr>
                  <w:tcW w:w="1246" w:type="pct"/>
                  <w:tcBorders>
                    <w:tl2br w:val="nil"/>
                    <w:tr2bl w:val="nil"/>
                  </w:tcBorders>
                  <w:vAlign w:val="center"/>
                </w:tcPr>
                <w:p w14:paraId="5280576D">
                  <w:pPr>
                    <w:jc w:val="center"/>
                    <w:rPr>
                      <w:sz w:val="21"/>
                      <w:szCs w:val="21"/>
                      <w:u w:val="single"/>
                    </w:rPr>
                  </w:pPr>
                  <w:r>
                    <w:rPr>
                      <w:rFonts w:hint="eastAsia"/>
                      <w:sz w:val="21"/>
                      <w:szCs w:val="21"/>
                      <w:u w:val="single"/>
                    </w:rPr>
                    <w:t>焦磷酸哌嗪</w:t>
                  </w:r>
                </w:p>
              </w:tc>
              <w:tc>
                <w:tcPr>
                  <w:tcW w:w="1351" w:type="pct"/>
                  <w:tcBorders>
                    <w:tl2br w:val="nil"/>
                    <w:tr2bl w:val="nil"/>
                  </w:tcBorders>
                  <w:vAlign w:val="center"/>
                </w:tcPr>
                <w:p w14:paraId="3A49F571">
                  <w:pPr>
                    <w:jc w:val="center"/>
                    <w:rPr>
                      <w:sz w:val="21"/>
                      <w:szCs w:val="21"/>
                      <w:u w:val="single"/>
                    </w:rPr>
                  </w:pPr>
                  <w:r>
                    <w:rPr>
                      <w:rFonts w:hint="eastAsia"/>
                      <w:sz w:val="21"/>
                      <w:szCs w:val="21"/>
                      <w:u w:val="single"/>
                    </w:rPr>
                    <w:t>5000</w:t>
                  </w:r>
                </w:p>
              </w:tc>
              <w:tc>
                <w:tcPr>
                  <w:tcW w:w="1351" w:type="pct"/>
                  <w:vMerge w:val="restart"/>
                  <w:tcBorders>
                    <w:tl2br w:val="nil"/>
                    <w:tr2bl w:val="nil"/>
                  </w:tcBorders>
                  <w:vAlign w:val="center"/>
                </w:tcPr>
                <w:p w14:paraId="65CACD9C">
                  <w:pPr>
                    <w:jc w:val="center"/>
                    <w:rPr>
                      <w:rFonts w:hint="eastAsia" w:eastAsia="宋体"/>
                      <w:sz w:val="21"/>
                      <w:szCs w:val="21"/>
                      <w:u w:val="single"/>
                      <w:lang w:eastAsia="zh-CN"/>
                    </w:rPr>
                  </w:pPr>
                  <w:r>
                    <w:rPr>
                      <w:rFonts w:hint="eastAsia"/>
                      <w:sz w:val="21"/>
                      <w:szCs w:val="21"/>
                      <w:u w:val="single"/>
                    </w:rPr>
                    <w:t>产品包装采用内层为聚乙烯薄膜，外层为聚丙烯塑料编织袋双层扎口包装，每袋25kg</w:t>
                  </w:r>
                  <w:r>
                    <w:rPr>
                      <w:rFonts w:hint="eastAsia"/>
                      <w:sz w:val="21"/>
                      <w:szCs w:val="21"/>
                      <w:u w:val="single"/>
                      <w:lang w:eastAsia="zh-CN"/>
                    </w:rPr>
                    <w:t>。</w:t>
                  </w:r>
                </w:p>
              </w:tc>
            </w:tr>
            <w:tr w14:paraId="688376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050" w:type="pct"/>
                  <w:tcBorders>
                    <w:tl2br w:val="nil"/>
                    <w:tr2bl w:val="nil"/>
                  </w:tcBorders>
                  <w:vAlign w:val="center"/>
                </w:tcPr>
                <w:p w14:paraId="6DC778B7">
                  <w:pPr>
                    <w:jc w:val="center"/>
                    <w:rPr>
                      <w:sz w:val="21"/>
                      <w:szCs w:val="21"/>
                      <w:u w:val="single"/>
                    </w:rPr>
                  </w:pPr>
                  <w:r>
                    <w:rPr>
                      <w:rFonts w:hint="eastAsia"/>
                      <w:sz w:val="21"/>
                      <w:szCs w:val="21"/>
                      <w:u w:val="single"/>
                    </w:rPr>
                    <w:t>2</w:t>
                  </w:r>
                </w:p>
              </w:tc>
              <w:tc>
                <w:tcPr>
                  <w:tcW w:w="1246" w:type="pct"/>
                  <w:tcBorders>
                    <w:tl2br w:val="nil"/>
                    <w:tr2bl w:val="nil"/>
                  </w:tcBorders>
                  <w:vAlign w:val="center"/>
                </w:tcPr>
                <w:p w14:paraId="4DC0AC2F">
                  <w:pPr>
                    <w:jc w:val="center"/>
                    <w:rPr>
                      <w:sz w:val="21"/>
                      <w:szCs w:val="21"/>
                      <w:u w:val="single"/>
                    </w:rPr>
                  </w:pPr>
                  <w:r>
                    <w:rPr>
                      <w:rFonts w:hint="eastAsia"/>
                      <w:sz w:val="21"/>
                      <w:szCs w:val="21"/>
                      <w:u w:val="single"/>
                    </w:rPr>
                    <w:t>无卤阻燃剂</w:t>
                  </w:r>
                </w:p>
              </w:tc>
              <w:tc>
                <w:tcPr>
                  <w:tcW w:w="1351" w:type="pct"/>
                  <w:tcBorders>
                    <w:tl2br w:val="nil"/>
                    <w:tr2bl w:val="nil"/>
                  </w:tcBorders>
                  <w:vAlign w:val="center"/>
                </w:tcPr>
                <w:p w14:paraId="422E3DD7">
                  <w:pPr>
                    <w:jc w:val="center"/>
                    <w:rPr>
                      <w:sz w:val="21"/>
                      <w:szCs w:val="21"/>
                      <w:u w:val="single"/>
                    </w:rPr>
                  </w:pPr>
                  <w:r>
                    <w:rPr>
                      <w:rFonts w:hint="eastAsia"/>
                      <w:sz w:val="21"/>
                      <w:szCs w:val="21"/>
                      <w:u w:val="single"/>
                    </w:rPr>
                    <w:t>3750</w:t>
                  </w:r>
                </w:p>
              </w:tc>
              <w:tc>
                <w:tcPr>
                  <w:tcW w:w="1351" w:type="pct"/>
                  <w:vMerge w:val="continue"/>
                  <w:tcBorders>
                    <w:tl2br w:val="nil"/>
                    <w:tr2bl w:val="nil"/>
                  </w:tcBorders>
                  <w:vAlign w:val="center"/>
                </w:tcPr>
                <w:p w14:paraId="5870A0A5">
                  <w:pPr>
                    <w:jc w:val="center"/>
                    <w:rPr>
                      <w:rFonts w:hint="eastAsia"/>
                      <w:sz w:val="21"/>
                      <w:szCs w:val="21"/>
                      <w:u w:val="single"/>
                    </w:rPr>
                  </w:pPr>
                </w:p>
              </w:tc>
            </w:tr>
            <w:tr w14:paraId="5D6F58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050" w:type="pct"/>
                  <w:tcBorders>
                    <w:tl2br w:val="nil"/>
                    <w:tr2bl w:val="nil"/>
                  </w:tcBorders>
                  <w:vAlign w:val="center"/>
                </w:tcPr>
                <w:p w14:paraId="2598B647">
                  <w:pPr>
                    <w:jc w:val="center"/>
                    <w:rPr>
                      <w:sz w:val="21"/>
                      <w:szCs w:val="21"/>
                      <w:u w:val="single"/>
                    </w:rPr>
                  </w:pPr>
                  <w:r>
                    <w:rPr>
                      <w:rFonts w:hint="eastAsia"/>
                      <w:sz w:val="21"/>
                      <w:szCs w:val="21"/>
                      <w:u w:val="single"/>
                    </w:rPr>
                    <w:t>3</w:t>
                  </w:r>
                </w:p>
              </w:tc>
              <w:tc>
                <w:tcPr>
                  <w:tcW w:w="1246" w:type="pct"/>
                  <w:tcBorders>
                    <w:tl2br w:val="nil"/>
                    <w:tr2bl w:val="nil"/>
                  </w:tcBorders>
                  <w:vAlign w:val="center"/>
                </w:tcPr>
                <w:p w14:paraId="243FAC55">
                  <w:pPr>
                    <w:jc w:val="center"/>
                    <w:rPr>
                      <w:sz w:val="21"/>
                      <w:szCs w:val="21"/>
                      <w:u w:val="single"/>
                    </w:rPr>
                  </w:pPr>
                  <w:r>
                    <w:rPr>
                      <w:rFonts w:hint="eastAsia"/>
                      <w:sz w:val="21"/>
                      <w:szCs w:val="21"/>
                      <w:u w:val="single"/>
                    </w:rPr>
                    <w:t>功能阻燃母粒</w:t>
                  </w:r>
                </w:p>
              </w:tc>
              <w:tc>
                <w:tcPr>
                  <w:tcW w:w="1351" w:type="pct"/>
                  <w:tcBorders>
                    <w:tl2br w:val="nil"/>
                    <w:tr2bl w:val="nil"/>
                  </w:tcBorders>
                  <w:vAlign w:val="center"/>
                </w:tcPr>
                <w:p w14:paraId="26CD5D42">
                  <w:pPr>
                    <w:jc w:val="center"/>
                    <w:rPr>
                      <w:sz w:val="21"/>
                      <w:szCs w:val="21"/>
                      <w:u w:val="single"/>
                    </w:rPr>
                  </w:pPr>
                  <w:r>
                    <w:rPr>
                      <w:rFonts w:hint="eastAsia"/>
                      <w:sz w:val="21"/>
                      <w:szCs w:val="21"/>
                      <w:u w:val="single"/>
                    </w:rPr>
                    <w:t>6250</w:t>
                  </w:r>
                </w:p>
              </w:tc>
              <w:tc>
                <w:tcPr>
                  <w:tcW w:w="1351" w:type="pct"/>
                  <w:vMerge w:val="continue"/>
                  <w:tcBorders>
                    <w:tl2br w:val="nil"/>
                    <w:tr2bl w:val="nil"/>
                  </w:tcBorders>
                  <w:vAlign w:val="center"/>
                </w:tcPr>
                <w:p w14:paraId="2FE836BC">
                  <w:pPr>
                    <w:jc w:val="center"/>
                    <w:rPr>
                      <w:rFonts w:hint="eastAsia"/>
                      <w:sz w:val="21"/>
                      <w:szCs w:val="21"/>
                      <w:u w:val="single"/>
                    </w:rPr>
                  </w:pPr>
                </w:p>
              </w:tc>
            </w:tr>
          </w:tbl>
          <w:p w14:paraId="6BE2990B">
            <w:pPr>
              <w:spacing w:line="360" w:lineRule="auto"/>
              <w:jc w:val="center"/>
              <w:rPr>
                <w:rFonts w:hint="eastAsia" w:ascii="Times New Roman" w:hAnsi="Times New Roman" w:eastAsia="宋体" w:cs="Times New Roman"/>
                <w:b/>
                <w:u w:val="single"/>
                <w:lang w:val="en-US" w:eastAsia="zh-CN"/>
              </w:rPr>
            </w:pPr>
            <w:r>
              <w:rPr>
                <w:rFonts w:hint="eastAsia" w:ascii="Times New Roman" w:hAnsi="Times New Roman" w:eastAsia="宋体" w:cs="Times New Roman"/>
                <w:b/>
                <w:u w:val="single"/>
                <w:lang w:val="en-US" w:eastAsia="zh-CN"/>
              </w:rPr>
              <w:t>表2-8  焦磷酸哌嗪的质量标准</w:t>
            </w:r>
          </w:p>
          <w:tbl>
            <w:tblPr>
              <w:tblStyle w:val="37"/>
              <w:tblW w:w="4998"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442"/>
              <w:gridCol w:w="4305"/>
            </w:tblGrid>
            <w:tr w14:paraId="70E81C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9" w:type="pct"/>
                  <w:tcBorders>
                    <w:tl2br w:val="nil"/>
                    <w:tr2bl w:val="nil"/>
                  </w:tcBorders>
                  <w:noWrap w:val="0"/>
                  <w:vAlign w:val="center"/>
                </w:tcPr>
                <w:p w14:paraId="2206A59B">
                  <w:pPr>
                    <w:jc w:val="center"/>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外观</w:t>
                  </w:r>
                </w:p>
              </w:tc>
              <w:tc>
                <w:tcPr>
                  <w:tcW w:w="2460" w:type="pct"/>
                  <w:tcBorders>
                    <w:tl2br w:val="nil"/>
                    <w:tr2bl w:val="nil"/>
                  </w:tcBorders>
                  <w:noWrap w:val="0"/>
                  <w:vAlign w:val="center"/>
                </w:tcPr>
                <w:p w14:paraId="2633D146">
                  <w:pPr>
                    <w:jc w:val="center"/>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白色粉末</w:t>
                  </w:r>
                </w:p>
              </w:tc>
            </w:tr>
            <w:tr w14:paraId="414B6A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9" w:type="pct"/>
                  <w:tcBorders>
                    <w:tl2br w:val="nil"/>
                    <w:tr2bl w:val="nil"/>
                  </w:tcBorders>
                  <w:noWrap w:val="0"/>
                  <w:vAlign w:val="center"/>
                </w:tcPr>
                <w:p w14:paraId="31E207DA">
                  <w:pPr>
                    <w:jc w:val="center"/>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 xml:space="preserve">白度(F457)                     ≥  </w:t>
                  </w:r>
                </w:p>
              </w:tc>
              <w:tc>
                <w:tcPr>
                  <w:tcW w:w="2460" w:type="pct"/>
                  <w:tcBorders>
                    <w:tl2br w:val="nil"/>
                    <w:tr2bl w:val="nil"/>
                  </w:tcBorders>
                  <w:noWrap w:val="0"/>
                  <w:vAlign w:val="center"/>
                </w:tcPr>
                <w:p w14:paraId="7316D66A">
                  <w:pPr>
                    <w:jc w:val="center"/>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90</w:t>
                  </w:r>
                </w:p>
              </w:tc>
            </w:tr>
            <w:tr w14:paraId="57F73A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9" w:type="pct"/>
                  <w:tcBorders>
                    <w:tl2br w:val="nil"/>
                    <w:tr2bl w:val="nil"/>
                  </w:tcBorders>
                  <w:noWrap w:val="0"/>
                  <w:vAlign w:val="center"/>
                </w:tcPr>
                <w:p w14:paraId="343E0A3B">
                  <w:pPr>
                    <w:jc w:val="center"/>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氮(N)的质量分数/，%            ≥</w:t>
                  </w:r>
                </w:p>
              </w:tc>
              <w:tc>
                <w:tcPr>
                  <w:tcW w:w="2460" w:type="pct"/>
                  <w:tcBorders>
                    <w:tl2br w:val="nil"/>
                    <w:tr2bl w:val="nil"/>
                  </w:tcBorders>
                  <w:noWrap w:val="0"/>
                  <w:vAlign w:val="center"/>
                </w:tcPr>
                <w:p w14:paraId="7A300B16">
                  <w:pPr>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10</w:t>
                  </w:r>
                </w:p>
              </w:tc>
            </w:tr>
            <w:tr w14:paraId="39024D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9" w:type="pct"/>
                  <w:tcBorders>
                    <w:tl2br w:val="nil"/>
                    <w:tr2bl w:val="nil"/>
                  </w:tcBorders>
                  <w:noWrap w:val="0"/>
                  <w:vAlign w:val="center"/>
                </w:tcPr>
                <w:p w14:paraId="1AEA64FB">
                  <w:pPr>
                    <w:jc w:val="center"/>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磷(P)的质量分数/，%            ≥</w:t>
                  </w:r>
                </w:p>
              </w:tc>
              <w:tc>
                <w:tcPr>
                  <w:tcW w:w="2460" w:type="pct"/>
                  <w:tcBorders>
                    <w:tl2br w:val="nil"/>
                    <w:tr2bl w:val="nil"/>
                  </w:tcBorders>
                  <w:noWrap w:val="0"/>
                  <w:vAlign w:val="center"/>
                </w:tcPr>
                <w:p w14:paraId="0837EA39">
                  <w:pPr>
                    <w:jc w:val="center"/>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23</w:t>
                  </w:r>
                </w:p>
              </w:tc>
            </w:tr>
            <w:tr w14:paraId="084F90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9" w:type="pct"/>
                  <w:tcBorders>
                    <w:tl2br w:val="nil"/>
                    <w:tr2bl w:val="nil"/>
                  </w:tcBorders>
                  <w:noWrap w:val="0"/>
                  <w:vAlign w:val="center"/>
                </w:tcPr>
                <w:p w14:paraId="3CD287BD">
                  <w:pPr>
                    <w:jc w:val="center"/>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水分的质量分数/，%             ≤</w:t>
                  </w:r>
                </w:p>
              </w:tc>
              <w:tc>
                <w:tcPr>
                  <w:tcW w:w="2460" w:type="pct"/>
                  <w:tcBorders>
                    <w:tl2br w:val="nil"/>
                    <w:tr2bl w:val="nil"/>
                  </w:tcBorders>
                  <w:noWrap w:val="0"/>
                  <w:vAlign w:val="center"/>
                </w:tcPr>
                <w:p w14:paraId="50EC4398">
                  <w:pPr>
                    <w:jc w:val="center"/>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0.2</w:t>
                  </w:r>
                </w:p>
              </w:tc>
            </w:tr>
            <w:tr w14:paraId="2BA10B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9" w:type="pct"/>
                  <w:tcBorders>
                    <w:tl2br w:val="nil"/>
                    <w:tr2bl w:val="nil"/>
                  </w:tcBorders>
                  <w:noWrap w:val="0"/>
                  <w:vAlign w:val="center"/>
                </w:tcPr>
                <w:p w14:paraId="1F949296">
                  <w:pPr>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粒径D50                        ≤</w:t>
                  </w:r>
                </w:p>
              </w:tc>
              <w:tc>
                <w:tcPr>
                  <w:tcW w:w="2460" w:type="pct"/>
                  <w:tcBorders>
                    <w:tl2br w:val="nil"/>
                    <w:tr2bl w:val="nil"/>
                  </w:tcBorders>
                  <w:noWrap w:val="0"/>
                  <w:vAlign w:val="center"/>
                </w:tcPr>
                <w:p w14:paraId="36B5038E">
                  <w:pPr>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10um</w:t>
                  </w:r>
                </w:p>
              </w:tc>
            </w:tr>
            <w:tr w14:paraId="0C0E60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9" w:type="pct"/>
                  <w:tcBorders>
                    <w:tl2br w:val="nil"/>
                    <w:tr2bl w:val="nil"/>
                  </w:tcBorders>
                  <w:noWrap w:val="0"/>
                  <w:vAlign w:val="center"/>
                </w:tcPr>
                <w:p w14:paraId="4EC18274">
                  <w:pPr>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PH</w:t>
                  </w:r>
                </w:p>
              </w:tc>
              <w:tc>
                <w:tcPr>
                  <w:tcW w:w="2460" w:type="pct"/>
                  <w:tcBorders>
                    <w:tl2br w:val="nil"/>
                    <w:tr2bl w:val="nil"/>
                  </w:tcBorders>
                  <w:noWrap w:val="0"/>
                  <w:vAlign w:val="center"/>
                </w:tcPr>
                <w:p w14:paraId="4911B705">
                  <w:pPr>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3-5</w:t>
                  </w:r>
                </w:p>
              </w:tc>
            </w:tr>
            <w:tr w14:paraId="04C74E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9" w:type="pct"/>
                  <w:tcBorders>
                    <w:tl2br w:val="nil"/>
                    <w:tr2bl w:val="nil"/>
                  </w:tcBorders>
                  <w:noWrap w:val="0"/>
                  <w:vAlign w:val="center"/>
                </w:tcPr>
                <w:p w14:paraId="1C7B4D12">
                  <w:pPr>
                    <w:jc w:val="center"/>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 xml:space="preserve">1.0%热失重温度， ℃            ≥ </w:t>
                  </w:r>
                </w:p>
              </w:tc>
              <w:tc>
                <w:tcPr>
                  <w:tcW w:w="2460" w:type="pct"/>
                  <w:tcBorders>
                    <w:tl2br w:val="nil"/>
                    <w:tr2bl w:val="nil"/>
                  </w:tcBorders>
                  <w:noWrap w:val="0"/>
                  <w:vAlign w:val="center"/>
                </w:tcPr>
                <w:p w14:paraId="7E6C91C8">
                  <w:pPr>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280</w:t>
                  </w:r>
                </w:p>
              </w:tc>
            </w:tr>
          </w:tbl>
          <w:p w14:paraId="3059CBEE">
            <w:pPr>
              <w:spacing w:line="360" w:lineRule="auto"/>
              <w:jc w:val="center"/>
              <w:rPr>
                <w:rFonts w:hint="eastAsia" w:ascii="Times New Roman" w:hAnsi="Times New Roman" w:eastAsia="宋体" w:cs="Times New Roman"/>
                <w:b/>
                <w:u w:val="single"/>
                <w:lang w:val="en-US" w:eastAsia="zh-CN"/>
              </w:rPr>
            </w:pPr>
            <w:r>
              <w:rPr>
                <w:rFonts w:hint="eastAsia" w:ascii="Times New Roman" w:hAnsi="Times New Roman" w:eastAsia="宋体" w:cs="Times New Roman"/>
                <w:b/>
                <w:u w:val="single"/>
                <w:lang w:val="en-US" w:eastAsia="zh-CN"/>
              </w:rPr>
              <w:t>表2-9  无卤阻燃剂的质量标准</w:t>
            </w:r>
          </w:p>
          <w:tbl>
            <w:tblPr>
              <w:tblStyle w:val="3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8"/>
              <w:gridCol w:w="3861"/>
            </w:tblGrid>
            <w:tr w14:paraId="6256E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98" w:type="pct"/>
                  <w:tcBorders>
                    <w:top w:val="single" w:color="auto" w:sz="12" w:space="0"/>
                  </w:tcBorders>
                  <w:noWrap w:val="0"/>
                  <w:vAlign w:val="center"/>
                </w:tcPr>
                <w:p w14:paraId="61954A09">
                  <w:pPr>
                    <w:jc w:val="center"/>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外观</w:t>
                  </w:r>
                </w:p>
              </w:tc>
              <w:tc>
                <w:tcPr>
                  <w:tcW w:w="2201" w:type="pct"/>
                  <w:tcBorders>
                    <w:top w:val="single" w:color="auto" w:sz="12" w:space="0"/>
                    <w:right w:val="single" w:color="auto" w:sz="12" w:space="0"/>
                  </w:tcBorders>
                  <w:noWrap w:val="0"/>
                  <w:vAlign w:val="center"/>
                </w:tcPr>
                <w:p w14:paraId="377A0C31">
                  <w:pPr>
                    <w:jc w:val="center"/>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白色粉末</w:t>
                  </w:r>
                </w:p>
              </w:tc>
            </w:tr>
            <w:tr w14:paraId="74762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98" w:type="pct"/>
                  <w:tcBorders>
                    <w:left w:val="single" w:color="auto" w:sz="4" w:space="0"/>
                  </w:tcBorders>
                  <w:noWrap w:val="0"/>
                  <w:vAlign w:val="center"/>
                </w:tcPr>
                <w:p w14:paraId="02B896DE">
                  <w:pPr>
                    <w:jc w:val="center"/>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 xml:space="preserve">白度(F457)                     ≥  </w:t>
                  </w:r>
                </w:p>
              </w:tc>
              <w:tc>
                <w:tcPr>
                  <w:tcW w:w="2201" w:type="pct"/>
                  <w:tcBorders>
                    <w:right w:val="single" w:color="auto" w:sz="12" w:space="0"/>
                  </w:tcBorders>
                  <w:noWrap w:val="0"/>
                  <w:vAlign w:val="center"/>
                </w:tcPr>
                <w:p w14:paraId="435AB061">
                  <w:pPr>
                    <w:jc w:val="center"/>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90</w:t>
                  </w:r>
                </w:p>
              </w:tc>
            </w:tr>
            <w:tr w14:paraId="204BA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98" w:type="pct"/>
                  <w:tcBorders>
                    <w:left w:val="single" w:color="auto" w:sz="4" w:space="0"/>
                  </w:tcBorders>
                  <w:noWrap w:val="0"/>
                  <w:vAlign w:val="center"/>
                </w:tcPr>
                <w:p w14:paraId="18F666B9">
                  <w:pPr>
                    <w:jc w:val="center"/>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氮(N)的质量分数/，%            ≥</w:t>
                  </w:r>
                </w:p>
              </w:tc>
              <w:tc>
                <w:tcPr>
                  <w:tcW w:w="2201" w:type="pct"/>
                  <w:tcBorders>
                    <w:right w:val="single" w:color="auto" w:sz="12" w:space="0"/>
                  </w:tcBorders>
                  <w:noWrap w:val="0"/>
                  <w:vAlign w:val="center"/>
                </w:tcPr>
                <w:p w14:paraId="072CB5E6">
                  <w:pPr>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19</w:t>
                  </w:r>
                </w:p>
              </w:tc>
            </w:tr>
            <w:tr w14:paraId="18592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98" w:type="pct"/>
                  <w:tcBorders>
                    <w:left w:val="single" w:color="auto" w:sz="4" w:space="0"/>
                  </w:tcBorders>
                  <w:noWrap w:val="0"/>
                  <w:vAlign w:val="center"/>
                </w:tcPr>
                <w:p w14:paraId="565AEB6B">
                  <w:pPr>
                    <w:jc w:val="center"/>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磷(P)的质量分数/，%            ≥</w:t>
                  </w:r>
                </w:p>
              </w:tc>
              <w:tc>
                <w:tcPr>
                  <w:tcW w:w="2201" w:type="pct"/>
                  <w:tcBorders>
                    <w:right w:val="single" w:color="auto" w:sz="12" w:space="0"/>
                  </w:tcBorders>
                  <w:noWrap w:val="0"/>
                  <w:vAlign w:val="center"/>
                </w:tcPr>
                <w:p w14:paraId="2E01BD73">
                  <w:pPr>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19</w:t>
                  </w:r>
                </w:p>
              </w:tc>
            </w:tr>
            <w:tr w14:paraId="6A5F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98" w:type="pct"/>
                  <w:tcBorders>
                    <w:left w:val="single" w:color="auto" w:sz="4" w:space="0"/>
                  </w:tcBorders>
                  <w:noWrap w:val="0"/>
                  <w:vAlign w:val="center"/>
                </w:tcPr>
                <w:p w14:paraId="3394AD9C">
                  <w:pPr>
                    <w:jc w:val="center"/>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水分的质量分数/，%             ≤</w:t>
                  </w:r>
                </w:p>
              </w:tc>
              <w:tc>
                <w:tcPr>
                  <w:tcW w:w="2201" w:type="pct"/>
                  <w:tcBorders>
                    <w:right w:val="single" w:color="auto" w:sz="12" w:space="0"/>
                  </w:tcBorders>
                  <w:noWrap w:val="0"/>
                  <w:vAlign w:val="center"/>
                </w:tcPr>
                <w:p w14:paraId="5AE43D7D">
                  <w:pPr>
                    <w:jc w:val="center"/>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0.2</w:t>
                  </w:r>
                </w:p>
              </w:tc>
            </w:tr>
            <w:tr w14:paraId="164D1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98" w:type="pct"/>
                  <w:tcBorders>
                    <w:left w:val="single" w:color="auto" w:sz="4" w:space="0"/>
                  </w:tcBorders>
                  <w:noWrap w:val="0"/>
                  <w:vAlign w:val="center"/>
                </w:tcPr>
                <w:p w14:paraId="63669F14">
                  <w:pPr>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粒径D50                        ≤</w:t>
                  </w:r>
                </w:p>
              </w:tc>
              <w:tc>
                <w:tcPr>
                  <w:tcW w:w="2201" w:type="pct"/>
                  <w:tcBorders>
                    <w:right w:val="single" w:color="auto" w:sz="12" w:space="0"/>
                  </w:tcBorders>
                  <w:noWrap w:val="0"/>
                  <w:vAlign w:val="center"/>
                </w:tcPr>
                <w:p w14:paraId="7BBB0DC8">
                  <w:pPr>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10um</w:t>
                  </w:r>
                </w:p>
              </w:tc>
            </w:tr>
            <w:tr w14:paraId="7F487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98" w:type="pct"/>
                  <w:tcBorders>
                    <w:left w:val="single" w:color="auto" w:sz="4" w:space="0"/>
                  </w:tcBorders>
                  <w:noWrap w:val="0"/>
                  <w:vAlign w:val="center"/>
                </w:tcPr>
                <w:p w14:paraId="0954E8E0">
                  <w:pPr>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PH</w:t>
                  </w:r>
                </w:p>
              </w:tc>
              <w:tc>
                <w:tcPr>
                  <w:tcW w:w="2201" w:type="pct"/>
                  <w:tcBorders>
                    <w:right w:val="single" w:color="auto" w:sz="12" w:space="0"/>
                  </w:tcBorders>
                  <w:noWrap w:val="0"/>
                  <w:vAlign w:val="center"/>
                </w:tcPr>
                <w:p w14:paraId="64B3EFA0">
                  <w:pPr>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4-6</w:t>
                  </w:r>
                </w:p>
              </w:tc>
            </w:tr>
            <w:tr w14:paraId="461C4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98" w:type="pct"/>
                  <w:tcBorders>
                    <w:left w:val="single" w:color="auto" w:sz="4" w:space="0"/>
                    <w:bottom w:val="single" w:color="auto" w:sz="12" w:space="0"/>
                  </w:tcBorders>
                  <w:noWrap w:val="0"/>
                  <w:vAlign w:val="center"/>
                </w:tcPr>
                <w:p w14:paraId="1F194E3F">
                  <w:pPr>
                    <w:jc w:val="center"/>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 xml:space="preserve">1.0%热失重温度， ℃            ≥ </w:t>
                  </w:r>
                </w:p>
              </w:tc>
              <w:tc>
                <w:tcPr>
                  <w:tcW w:w="2201" w:type="pct"/>
                  <w:tcBorders>
                    <w:bottom w:val="single" w:color="auto" w:sz="12" w:space="0"/>
                    <w:right w:val="single" w:color="auto" w:sz="12" w:space="0"/>
                  </w:tcBorders>
                  <w:noWrap w:val="0"/>
                  <w:vAlign w:val="center"/>
                </w:tcPr>
                <w:p w14:paraId="0CD6EE82">
                  <w:pPr>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290</w:t>
                  </w:r>
                </w:p>
              </w:tc>
            </w:tr>
          </w:tbl>
          <w:p w14:paraId="16D996F0">
            <w:pPr>
              <w:spacing w:line="360" w:lineRule="auto"/>
              <w:jc w:val="center"/>
              <w:rPr>
                <w:rFonts w:hint="eastAsia" w:ascii="Times New Roman" w:hAnsi="Times New Roman" w:eastAsia="宋体" w:cs="Times New Roman"/>
                <w:b/>
                <w:u w:val="single"/>
                <w:lang w:val="en-US" w:eastAsia="zh-CN"/>
              </w:rPr>
            </w:pPr>
            <w:r>
              <w:rPr>
                <w:rFonts w:hint="eastAsia" w:ascii="Times New Roman" w:hAnsi="Times New Roman" w:eastAsia="宋体" w:cs="Times New Roman"/>
                <w:b/>
                <w:u w:val="single"/>
                <w:lang w:val="en-US" w:eastAsia="zh-CN"/>
              </w:rPr>
              <w:t>表2-10功能母粒质量标准</w:t>
            </w:r>
          </w:p>
          <w:tbl>
            <w:tblPr>
              <w:tblStyle w:val="37"/>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23"/>
              <w:gridCol w:w="1743"/>
              <w:gridCol w:w="1754"/>
              <w:gridCol w:w="1763"/>
              <w:gridCol w:w="1768"/>
            </w:tblGrid>
            <w:tr w14:paraId="1EFEC8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78" w:type="dxa"/>
                  <w:vMerge w:val="restart"/>
                  <w:tcBorders>
                    <w:tl2br w:val="nil"/>
                    <w:tr2bl w:val="nil"/>
                  </w:tcBorders>
                  <w:vAlign w:val="center"/>
                </w:tcPr>
                <w:p w14:paraId="6CB1F636">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sz w:val="21"/>
                      <w:szCs w:val="21"/>
                      <w:u w:val="single"/>
                      <w:vertAlign w:val="baseline"/>
                      <w:lang w:val="en-US" w:eastAsia="zh-CN"/>
                    </w:rPr>
                  </w:pPr>
                  <w:r>
                    <w:rPr>
                      <w:rFonts w:hint="default" w:ascii="Times New Roman" w:hAnsi="Times New Roman" w:eastAsia="宋体" w:cs="Times New Roman"/>
                      <w:b w:val="0"/>
                      <w:bCs/>
                      <w:sz w:val="21"/>
                      <w:szCs w:val="21"/>
                      <w:u w:val="single"/>
                      <w:vertAlign w:val="baseline"/>
                      <w:lang w:val="en-US" w:eastAsia="zh-CN"/>
                    </w:rPr>
                    <w:t>项目</w:t>
                  </w:r>
                </w:p>
              </w:tc>
              <w:tc>
                <w:tcPr>
                  <w:tcW w:w="1778" w:type="dxa"/>
                  <w:vMerge w:val="restart"/>
                  <w:tcBorders>
                    <w:tl2br w:val="nil"/>
                    <w:tr2bl w:val="nil"/>
                  </w:tcBorders>
                  <w:vAlign w:val="center"/>
                </w:tcPr>
                <w:p w14:paraId="0B5BD3F3">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sz w:val="21"/>
                      <w:szCs w:val="21"/>
                      <w:u w:val="single"/>
                      <w:vertAlign w:val="baseline"/>
                      <w:lang w:val="en-US" w:eastAsia="zh-CN"/>
                    </w:rPr>
                  </w:pPr>
                  <w:r>
                    <w:rPr>
                      <w:rFonts w:hint="default" w:ascii="Times New Roman" w:hAnsi="Times New Roman" w:eastAsia="宋体" w:cs="Times New Roman"/>
                      <w:b w:val="0"/>
                      <w:bCs/>
                      <w:sz w:val="21"/>
                      <w:szCs w:val="21"/>
                      <w:u w:val="single"/>
                      <w:vertAlign w:val="baseline"/>
                      <w:lang w:val="en-US" w:eastAsia="zh-CN"/>
                    </w:rPr>
                    <w:t>单位</w:t>
                  </w:r>
                </w:p>
              </w:tc>
              <w:tc>
                <w:tcPr>
                  <w:tcW w:w="5341" w:type="dxa"/>
                  <w:gridSpan w:val="3"/>
                  <w:tcBorders>
                    <w:tl2br w:val="nil"/>
                    <w:tr2bl w:val="nil"/>
                  </w:tcBorders>
                  <w:vAlign w:val="center"/>
                </w:tcPr>
                <w:p w14:paraId="5A5FD0C7">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sz w:val="21"/>
                      <w:szCs w:val="21"/>
                      <w:u w:val="single"/>
                      <w:vertAlign w:val="baseline"/>
                      <w:lang w:val="en-US" w:eastAsia="zh-CN"/>
                    </w:rPr>
                  </w:pPr>
                  <w:r>
                    <w:rPr>
                      <w:rFonts w:hint="default" w:ascii="Times New Roman" w:hAnsi="Times New Roman" w:eastAsia="宋体" w:cs="Times New Roman"/>
                      <w:b w:val="0"/>
                      <w:bCs/>
                      <w:sz w:val="21"/>
                      <w:szCs w:val="21"/>
                      <w:u w:val="single"/>
                      <w:vertAlign w:val="baseline"/>
                      <w:lang w:val="en-US" w:eastAsia="zh-CN"/>
                    </w:rPr>
                    <w:t>产品名称</w:t>
                  </w:r>
                </w:p>
              </w:tc>
            </w:tr>
            <w:tr w14:paraId="3A3C9F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78" w:type="dxa"/>
                  <w:vMerge w:val="continue"/>
                  <w:tcBorders>
                    <w:tl2br w:val="nil"/>
                    <w:tr2bl w:val="nil"/>
                  </w:tcBorders>
                  <w:vAlign w:val="center"/>
                </w:tcPr>
                <w:p w14:paraId="65F84C41">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sz w:val="21"/>
                      <w:szCs w:val="21"/>
                      <w:u w:val="single"/>
                      <w:vertAlign w:val="baseline"/>
                      <w:lang w:val="en-US" w:eastAsia="zh-CN"/>
                    </w:rPr>
                  </w:pPr>
                </w:p>
              </w:tc>
              <w:tc>
                <w:tcPr>
                  <w:tcW w:w="1778" w:type="dxa"/>
                  <w:vMerge w:val="continue"/>
                  <w:tcBorders>
                    <w:tl2br w:val="nil"/>
                    <w:tr2bl w:val="nil"/>
                  </w:tcBorders>
                  <w:vAlign w:val="center"/>
                </w:tcPr>
                <w:p w14:paraId="0F628411">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sz w:val="21"/>
                      <w:szCs w:val="21"/>
                      <w:u w:val="single"/>
                      <w:vertAlign w:val="baseline"/>
                      <w:lang w:val="en-US" w:eastAsia="zh-CN"/>
                    </w:rPr>
                  </w:pPr>
                </w:p>
              </w:tc>
              <w:tc>
                <w:tcPr>
                  <w:tcW w:w="5341" w:type="dxa"/>
                  <w:gridSpan w:val="3"/>
                  <w:tcBorders>
                    <w:tl2br w:val="nil"/>
                    <w:tr2bl w:val="nil"/>
                  </w:tcBorders>
                  <w:vAlign w:val="center"/>
                </w:tcPr>
                <w:p w14:paraId="11CC317B">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sz w:val="21"/>
                      <w:szCs w:val="21"/>
                      <w:u w:val="single"/>
                      <w:vertAlign w:val="baseline"/>
                      <w:lang w:val="en-US" w:eastAsia="zh-CN"/>
                    </w:rPr>
                  </w:pPr>
                  <w:r>
                    <w:rPr>
                      <w:rFonts w:hint="default" w:ascii="Times New Roman" w:hAnsi="Times New Roman" w:eastAsia="宋体" w:cs="Times New Roman"/>
                      <w:b w:val="0"/>
                      <w:bCs/>
                      <w:sz w:val="21"/>
                      <w:szCs w:val="21"/>
                      <w:u w:val="single"/>
                      <w:vertAlign w:val="baseline"/>
                      <w:lang w:val="en-US" w:eastAsia="zh-CN"/>
                    </w:rPr>
                    <w:t>高效阻燃母粒</w:t>
                  </w:r>
                </w:p>
              </w:tc>
            </w:tr>
            <w:tr w14:paraId="6E6C02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78" w:type="dxa"/>
                  <w:vMerge w:val="continue"/>
                  <w:tcBorders>
                    <w:tl2br w:val="nil"/>
                    <w:tr2bl w:val="nil"/>
                  </w:tcBorders>
                  <w:vAlign w:val="center"/>
                </w:tcPr>
                <w:p w14:paraId="705ACCC0">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sz w:val="21"/>
                      <w:szCs w:val="21"/>
                      <w:u w:val="single"/>
                      <w:vertAlign w:val="baseline"/>
                      <w:lang w:val="en-US" w:eastAsia="zh-CN"/>
                    </w:rPr>
                  </w:pPr>
                </w:p>
              </w:tc>
              <w:tc>
                <w:tcPr>
                  <w:tcW w:w="1778" w:type="dxa"/>
                  <w:vMerge w:val="continue"/>
                  <w:tcBorders>
                    <w:tl2br w:val="nil"/>
                    <w:tr2bl w:val="nil"/>
                  </w:tcBorders>
                  <w:vAlign w:val="center"/>
                </w:tcPr>
                <w:p w14:paraId="6FEE6CB9">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sz w:val="21"/>
                      <w:szCs w:val="21"/>
                      <w:u w:val="single"/>
                      <w:vertAlign w:val="baseline"/>
                      <w:lang w:val="en-US" w:eastAsia="zh-CN"/>
                    </w:rPr>
                  </w:pPr>
                </w:p>
              </w:tc>
              <w:tc>
                <w:tcPr>
                  <w:tcW w:w="1779" w:type="dxa"/>
                  <w:tcBorders>
                    <w:tl2br w:val="nil"/>
                    <w:tr2bl w:val="nil"/>
                  </w:tcBorders>
                  <w:vAlign w:val="center"/>
                </w:tcPr>
                <w:p w14:paraId="67A9A027">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sz w:val="21"/>
                      <w:szCs w:val="21"/>
                      <w:u w:val="single"/>
                      <w:vertAlign w:val="baseline"/>
                      <w:lang w:val="en-US" w:eastAsia="zh-CN"/>
                    </w:rPr>
                  </w:pPr>
                  <w:r>
                    <w:rPr>
                      <w:rFonts w:hint="default" w:ascii="Times New Roman" w:hAnsi="Times New Roman" w:eastAsia="宋体" w:cs="Times New Roman"/>
                      <w:b w:val="0"/>
                      <w:bCs/>
                      <w:sz w:val="21"/>
                      <w:szCs w:val="21"/>
                      <w:u w:val="single"/>
                      <w:vertAlign w:val="baseline"/>
                      <w:lang w:val="en-US" w:eastAsia="zh-CN"/>
                    </w:rPr>
                    <w:t>PPTV01-A</w:t>
                  </w:r>
                </w:p>
              </w:tc>
              <w:tc>
                <w:tcPr>
                  <w:tcW w:w="1781" w:type="dxa"/>
                  <w:tcBorders>
                    <w:tl2br w:val="nil"/>
                    <w:tr2bl w:val="nil"/>
                  </w:tcBorders>
                  <w:vAlign w:val="center"/>
                </w:tcPr>
                <w:p w14:paraId="6A1AE17F">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sz w:val="21"/>
                      <w:szCs w:val="21"/>
                      <w:u w:val="single"/>
                      <w:vertAlign w:val="baseline"/>
                      <w:lang w:val="en-US" w:eastAsia="zh-CN"/>
                    </w:rPr>
                  </w:pPr>
                  <w:r>
                    <w:rPr>
                      <w:rFonts w:hint="default" w:ascii="Times New Roman" w:hAnsi="Times New Roman" w:eastAsia="宋体" w:cs="Times New Roman"/>
                      <w:b w:val="0"/>
                      <w:bCs/>
                      <w:sz w:val="21"/>
                      <w:szCs w:val="21"/>
                      <w:u w:val="single"/>
                      <w:vertAlign w:val="baseline"/>
                      <w:lang w:val="en-US" w:eastAsia="zh-CN"/>
                    </w:rPr>
                    <w:t>PPTV01-WS</w:t>
                  </w:r>
                </w:p>
              </w:tc>
              <w:tc>
                <w:tcPr>
                  <w:tcW w:w="1781" w:type="dxa"/>
                  <w:tcBorders>
                    <w:tl2br w:val="nil"/>
                    <w:tr2bl w:val="nil"/>
                  </w:tcBorders>
                  <w:vAlign w:val="center"/>
                </w:tcPr>
                <w:p w14:paraId="133DAB28">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sz w:val="21"/>
                      <w:szCs w:val="21"/>
                      <w:u w:val="single"/>
                      <w:vertAlign w:val="baseline"/>
                      <w:lang w:val="en-US" w:eastAsia="zh-CN"/>
                    </w:rPr>
                  </w:pPr>
                  <w:r>
                    <w:rPr>
                      <w:rFonts w:hint="default" w:ascii="Times New Roman" w:hAnsi="Times New Roman" w:eastAsia="宋体" w:cs="Times New Roman"/>
                      <w:b w:val="0"/>
                      <w:bCs/>
                      <w:sz w:val="21"/>
                      <w:szCs w:val="21"/>
                      <w:u w:val="single"/>
                      <w:vertAlign w:val="baseline"/>
                      <w:lang w:val="en-US" w:eastAsia="zh-CN"/>
                    </w:rPr>
                    <w:t>PPTV01-WSL</w:t>
                  </w:r>
                </w:p>
              </w:tc>
            </w:tr>
            <w:tr w14:paraId="69B652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78" w:type="dxa"/>
                  <w:tcBorders>
                    <w:tl2br w:val="nil"/>
                    <w:tr2bl w:val="nil"/>
                  </w:tcBorders>
                  <w:vAlign w:val="center"/>
                </w:tcPr>
                <w:p w14:paraId="1700B9E1">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sz w:val="21"/>
                      <w:szCs w:val="21"/>
                      <w:u w:val="single"/>
                      <w:vertAlign w:val="baseline"/>
                      <w:lang w:val="en-US" w:eastAsia="zh-CN"/>
                    </w:rPr>
                  </w:pPr>
                  <w:r>
                    <w:rPr>
                      <w:rFonts w:hint="default" w:ascii="Times New Roman" w:hAnsi="Times New Roman" w:eastAsia="宋体" w:cs="Times New Roman"/>
                      <w:b w:val="0"/>
                      <w:bCs/>
                      <w:sz w:val="21"/>
                      <w:szCs w:val="21"/>
                      <w:u w:val="single"/>
                      <w:vertAlign w:val="baseline"/>
                      <w:lang w:val="en-US" w:eastAsia="zh-CN"/>
                    </w:rPr>
                    <w:t>熔体流动速率</w:t>
                  </w:r>
                </w:p>
              </w:tc>
              <w:tc>
                <w:tcPr>
                  <w:tcW w:w="1778" w:type="dxa"/>
                  <w:tcBorders>
                    <w:tl2br w:val="nil"/>
                    <w:tr2bl w:val="nil"/>
                  </w:tcBorders>
                  <w:vAlign w:val="center"/>
                </w:tcPr>
                <w:p w14:paraId="77C76945">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sz w:val="21"/>
                      <w:szCs w:val="21"/>
                      <w:u w:val="single"/>
                      <w:vertAlign w:val="baseline"/>
                      <w:lang w:val="en-US" w:eastAsia="zh-CN"/>
                    </w:rPr>
                  </w:pPr>
                  <w:r>
                    <w:rPr>
                      <w:rFonts w:hint="eastAsia" w:ascii="Times New Roman" w:hAnsi="Times New Roman" w:eastAsia="宋体" w:cs="Times New Roman"/>
                      <w:b w:val="0"/>
                      <w:bCs/>
                      <w:sz w:val="21"/>
                      <w:szCs w:val="21"/>
                      <w:u w:val="single"/>
                      <w:vertAlign w:val="baseline"/>
                      <w:lang w:val="en-US" w:eastAsia="zh-CN"/>
                    </w:rPr>
                    <w:t>g/10min</w:t>
                  </w:r>
                </w:p>
              </w:tc>
              <w:tc>
                <w:tcPr>
                  <w:tcW w:w="5341" w:type="dxa"/>
                  <w:gridSpan w:val="3"/>
                  <w:tcBorders>
                    <w:tl2br w:val="nil"/>
                    <w:tr2bl w:val="nil"/>
                  </w:tcBorders>
                  <w:vAlign w:val="center"/>
                </w:tcPr>
                <w:p w14:paraId="1BEE2E1D">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sz w:val="21"/>
                      <w:szCs w:val="21"/>
                      <w:u w:val="single"/>
                      <w:vertAlign w:val="baseline"/>
                      <w:lang w:val="en-US" w:eastAsia="zh-CN"/>
                    </w:rPr>
                  </w:pPr>
                  <w:r>
                    <w:rPr>
                      <w:rFonts w:hint="eastAsia" w:ascii="宋体" w:hAnsi="宋体" w:eastAsia="宋体" w:cs="宋体"/>
                      <w:b w:val="0"/>
                      <w:bCs/>
                      <w:sz w:val="21"/>
                      <w:szCs w:val="21"/>
                      <w:u w:val="single"/>
                      <w:vertAlign w:val="baseline"/>
                      <w:lang w:val="en-US" w:eastAsia="zh-CN"/>
                    </w:rPr>
                    <w:t>≦</w:t>
                  </w:r>
                  <w:r>
                    <w:rPr>
                      <w:rFonts w:hint="eastAsia" w:ascii="Times New Roman" w:hAnsi="Times New Roman" w:eastAsia="宋体" w:cs="Times New Roman"/>
                      <w:b w:val="0"/>
                      <w:bCs/>
                      <w:sz w:val="21"/>
                      <w:szCs w:val="21"/>
                      <w:u w:val="single"/>
                      <w:vertAlign w:val="baseline"/>
                      <w:lang w:val="en-US" w:eastAsia="zh-CN"/>
                    </w:rPr>
                    <w:t>10</w:t>
                  </w:r>
                </w:p>
              </w:tc>
            </w:tr>
            <w:tr w14:paraId="7BF981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78" w:type="dxa"/>
                  <w:tcBorders>
                    <w:tl2br w:val="nil"/>
                    <w:tr2bl w:val="nil"/>
                  </w:tcBorders>
                  <w:vAlign w:val="center"/>
                </w:tcPr>
                <w:p w14:paraId="7B2B068E">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sz w:val="21"/>
                      <w:szCs w:val="21"/>
                      <w:u w:val="single"/>
                      <w:vertAlign w:val="baseline"/>
                      <w:lang w:val="en-US" w:eastAsia="zh-CN"/>
                    </w:rPr>
                  </w:pPr>
                  <w:r>
                    <w:rPr>
                      <w:rFonts w:hint="default" w:ascii="Times New Roman" w:hAnsi="Times New Roman" w:eastAsia="宋体" w:cs="Times New Roman"/>
                      <w:b w:val="0"/>
                      <w:bCs/>
                      <w:sz w:val="21"/>
                      <w:szCs w:val="21"/>
                      <w:u w:val="single"/>
                      <w:vertAlign w:val="baseline"/>
                      <w:lang w:val="en-US" w:eastAsia="zh-CN"/>
                    </w:rPr>
                    <w:t>密度</w:t>
                  </w:r>
                </w:p>
              </w:tc>
              <w:tc>
                <w:tcPr>
                  <w:tcW w:w="1778" w:type="dxa"/>
                  <w:tcBorders>
                    <w:tl2br w:val="nil"/>
                    <w:tr2bl w:val="nil"/>
                  </w:tcBorders>
                  <w:vAlign w:val="center"/>
                </w:tcPr>
                <w:p w14:paraId="1B266EA6">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sz w:val="21"/>
                      <w:szCs w:val="21"/>
                      <w:u w:val="single"/>
                      <w:vertAlign w:val="superscript"/>
                      <w:lang w:val="en-US" w:eastAsia="zh-CN"/>
                    </w:rPr>
                  </w:pPr>
                  <w:r>
                    <w:rPr>
                      <w:rFonts w:hint="eastAsia" w:ascii="Times New Roman" w:hAnsi="Times New Roman" w:eastAsia="宋体" w:cs="Times New Roman"/>
                      <w:b w:val="0"/>
                      <w:bCs/>
                      <w:sz w:val="21"/>
                      <w:szCs w:val="21"/>
                      <w:u w:val="single"/>
                      <w:vertAlign w:val="baseline"/>
                      <w:lang w:val="en-US" w:eastAsia="zh-CN"/>
                    </w:rPr>
                    <w:t>g/cm</w:t>
                  </w:r>
                  <w:r>
                    <w:rPr>
                      <w:rFonts w:hint="eastAsia" w:ascii="Times New Roman" w:hAnsi="Times New Roman" w:eastAsia="宋体" w:cs="Times New Roman"/>
                      <w:b w:val="0"/>
                      <w:bCs/>
                      <w:sz w:val="21"/>
                      <w:szCs w:val="21"/>
                      <w:u w:val="single"/>
                      <w:vertAlign w:val="superscript"/>
                      <w:lang w:val="en-US" w:eastAsia="zh-CN"/>
                    </w:rPr>
                    <w:t>3</w:t>
                  </w:r>
                </w:p>
              </w:tc>
              <w:tc>
                <w:tcPr>
                  <w:tcW w:w="1779" w:type="dxa"/>
                  <w:tcBorders>
                    <w:tl2br w:val="nil"/>
                    <w:tr2bl w:val="nil"/>
                  </w:tcBorders>
                  <w:vAlign w:val="center"/>
                </w:tcPr>
                <w:p w14:paraId="192C6C46">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sz w:val="21"/>
                      <w:szCs w:val="21"/>
                      <w:u w:val="single"/>
                      <w:vertAlign w:val="baseline"/>
                      <w:lang w:val="en-US" w:eastAsia="zh-CN"/>
                    </w:rPr>
                  </w:pPr>
                  <w:r>
                    <w:rPr>
                      <w:rFonts w:hint="eastAsia" w:ascii="Times New Roman" w:hAnsi="Times New Roman" w:eastAsia="宋体" w:cs="Times New Roman"/>
                      <w:b w:val="0"/>
                      <w:bCs/>
                      <w:sz w:val="21"/>
                      <w:szCs w:val="21"/>
                      <w:u w:val="single"/>
                      <w:vertAlign w:val="baseline"/>
                      <w:lang w:val="en-US" w:eastAsia="zh-CN"/>
                    </w:rPr>
                    <w:t>1.00</w:t>
                  </w:r>
                  <w:r>
                    <w:rPr>
                      <w:rFonts w:hint="default" w:ascii="Times New Roman" w:hAnsi="Times New Roman" w:eastAsia="宋体" w:cs="Times New Roman"/>
                      <w:b w:val="0"/>
                      <w:bCs/>
                      <w:sz w:val="21"/>
                      <w:szCs w:val="21"/>
                      <w:u w:val="single"/>
                      <w:vertAlign w:val="baseline"/>
                      <w:lang w:val="en-US" w:eastAsia="zh-CN"/>
                    </w:rPr>
                    <w:t>±</w:t>
                  </w:r>
                  <w:r>
                    <w:rPr>
                      <w:rFonts w:hint="eastAsia" w:ascii="Times New Roman" w:hAnsi="Times New Roman" w:eastAsia="宋体" w:cs="Times New Roman"/>
                      <w:b w:val="0"/>
                      <w:bCs/>
                      <w:sz w:val="21"/>
                      <w:szCs w:val="21"/>
                      <w:u w:val="single"/>
                      <w:vertAlign w:val="baseline"/>
                      <w:lang w:val="en-US" w:eastAsia="zh-CN"/>
                    </w:rPr>
                    <w:t>0.02</w:t>
                  </w:r>
                </w:p>
              </w:tc>
              <w:tc>
                <w:tcPr>
                  <w:tcW w:w="1781" w:type="dxa"/>
                  <w:tcBorders>
                    <w:tl2br w:val="nil"/>
                    <w:tr2bl w:val="nil"/>
                  </w:tcBorders>
                  <w:vAlign w:val="center"/>
                </w:tcPr>
                <w:p w14:paraId="4AE4047F">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sz w:val="21"/>
                      <w:szCs w:val="21"/>
                      <w:u w:val="single"/>
                      <w:vertAlign w:val="baseline"/>
                      <w:lang w:val="en-US" w:eastAsia="zh-CN"/>
                    </w:rPr>
                  </w:pPr>
                  <w:r>
                    <w:rPr>
                      <w:rFonts w:hint="eastAsia" w:ascii="Times New Roman" w:hAnsi="Times New Roman" w:eastAsia="宋体" w:cs="Times New Roman"/>
                      <w:b w:val="0"/>
                      <w:bCs/>
                      <w:sz w:val="21"/>
                      <w:szCs w:val="21"/>
                      <w:u w:val="single"/>
                      <w:vertAlign w:val="baseline"/>
                      <w:lang w:val="en-US" w:eastAsia="zh-CN"/>
                    </w:rPr>
                    <w:t>1.20</w:t>
                  </w:r>
                  <w:r>
                    <w:rPr>
                      <w:rFonts w:hint="default" w:ascii="Times New Roman" w:hAnsi="Times New Roman" w:eastAsia="宋体" w:cs="Times New Roman"/>
                      <w:b w:val="0"/>
                      <w:bCs/>
                      <w:sz w:val="21"/>
                      <w:szCs w:val="21"/>
                      <w:u w:val="single"/>
                      <w:vertAlign w:val="baseline"/>
                      <w:lang w:val="en-US" w:eastAsia="zh-CN"/>
                    </w:rPr>
                    <w:t>±</w:t>
                  </w:r>
                  <w:r>
                    <w:rPr>
                      <w:rFonts w:hint="eastAsia" w:ascii="Times New Roman" w:hAnsi="Times New Roman" w:eastAsia="宋体" w:cs="Times New Roman"/>
                      <w:b w:val="0"/>
                      <w:bCs/>
                      <w:sz w:val="21"/>
                      <w:szCs w:val="21"/>
                      <w:u w:val="single"/>
                      <w:vertAlign w:val="baseline"/>
                      <w:lang w:val="en-US" w:eastAsia="zh-CN"/>
                    </w:rPr>
                    <w:t>0.02</w:t>
                  </w:r>
                </w:p>
              </w:tc>
              <w:tc>
                <w:tcPr>
                  <w:tcW w:w="1781" w:type="dxa"/>
                  <w:tcBorders>
                    <w:tl2br w:val="nil"/>
                    <w:tr2bl w:val="nil"/>
                  </w:tcBorders>
                  <w:vAlign w:val="center"/>
                </w:tcPr>
                <w:p w14:paraId="1E5834F5">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sz w:val="21"/>
                      <w:szCs w:val="21"/>
                      <w:u w:val="single"/>
                      <w:vertAlign w:val="baseline"/>
                      <w:lang w:val="en-US" w:eastAsia="zh-CN"/>
                    </w:rPr>
                  </w:pPr>
                  <w:r>
                    <w:rPr>
                      <w:rFonts w:hint="eastAsia" w:ascii="Times New Roman" w:hAnsi="Times New Roman" w:eastAsia="宋体" w:cs="Times New Roman"/>
                      <w:b w:val="0"/>
                      <w:bCs/>
                      <w:sz w:val="21"/>
                      <w:szCs w:val="21"/>
                      <w:u w:val="single"/>
                      <w:vertAlign w:val="baseline"/>
                      <w:lang w:val="en-US" w:eastAsia="zh-CN"/>
                    </w:rPr>
                    <w:t>1.40</w:t>
                  </w:r>
                  <w:r>
                    <w:rPr>
                      <w:rFonts w:hint="default" w:ascii="Times New Roman" w:hAnsi="Times New Roman" w:eastAsia="宋体" w:cs="Times New Roman"/>
                      <w:b w:val="0"/>
                      <w:bCs/>
                      <w:sz w:val="21"/>
                      <w:szCs w:val="21"/>
                      <w:u w:val="single"/>
                      <w:vertAlign w:val="baseline"/>
                      <w:lang w:val="en-US" w:eastAsia="zh-CN"/>
                    </w:rPr>
                    <w:t>±</w:t>
                  </w:r>
                  <w:r>
                    <w:rPr>
                      <w:rFonts w:hint="eastAsia" w:ascii="Times New Roman" w:hAnsi="Times New Roman" w:eastAsia="宋体" w:cs="Times New Roman"/>
                      <w:b w:val="0"/>
                      <w:bCs/>
                      <w:sz w:val="21"/>
                      <w:szCs w:val="21"/>
                      <w:u w:val="single"/>
                      <w:vertAlign w:val="baseline"/>
                      <w:lang w:val="en-US" w:eastAsia="zh-CN"/>
                    </w:rPr>
                    <w:t>0.02</w:t>
                  </w:r>
                </w:p>
              </w:tc>
            </w:tr>
            <w:tr w14:paraId="3AD733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78" w:type="dxa"/>
                  <w:tcBorders>
                    <w:tl2br w:val="nil"/>
                    <w:tr2bl w:val="nil"/>
                  </w:tcBorders>
                  <w:vAlign w:val="center"/>
                </w:tcPr>
                <w:p w14:paraId="552C4183">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sz w:val="21"/>
                      <w:szCs w:val="21"/>
                      <w:u w:val="single"/>
                      <w:vertAlign w:val="baseline"/>
                      <w:lang w:val="en-US" w:eastAsia="zh-CN"/>
                    </w:rPr>
                  </w:pPr>
                  <w:r>
                    <w:rPr>
                      <w:rFonts w:hint="default" w:ascii="Times New Roman" w:hAnsi="Times New Roman" w:eastAsia="宋体" w:cs="Times New Roman"/>
                      <w:b w:val="0"/>
                      <w:bCs/>
                      <w:sz w:val="21"/>
                      <w:szCs w:val="21"/>
                      <w:u w:val="single"/>
                      <w:vertAlign w:val="baseline"/>
                      <w:lang w:val="en-US" w:eastAsia="zh-CN"/>
                    </w:rPr>
                    <w:t>挥发分</w:t>
                  </w:r>
                </w:p>
              </w:tc>
              <w:tc>
                <w:tcPr>
                  <w:tcW w:w="1778" w:type="dxa"/>
                  <w:tcBorders>
                    <w:tl2br w:val="nil"/>
                    <w:tr2bl w:val="nil"/>
                  </w:tcBorders>
                  <w:vAlign w:val="center"/>
                </w:tcPr>
                <w:p w14:paraId="248DE537">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sz w:val="21"/>
                      <w:szCs w:val="21"/>
                      <w:u w:val="single"/>
                      <w:vertAlign w:val="baseline"/>
                      <w:lang w:val="en-US" w:eastAsia="zh-CN"/>
                    </w:rPr>
                  </w:pPr>
                  <w:r>
                    <w:rPr>
                      <w:rFonts w:hint="eastAsia" w:ascii="Times New Roman" w:hAnsi="Times New Roman" w:eastAsia="宋体" w:cs="Times New Roman"/>
                      <w:b w:val="0"/>
                      <w:bCs/>
                      <w:sz w:val="21"/>
                      <w:szCs w:val="21"/>
                      <w:u w:val="single"/>
                      <w:vertAlign w:val="baseline"/>
                      <w:lang w:val="en-US" w:eastAsia="zh-CN"/>
                    </w:rPr>
                    <w:t>%</w:t>
                  </w:r>
                </w:p>
              </w:tc>
              <w:tc>
                <w:tcPr>
                  <w:tcW w:w="5341" w:type="dxa"/>
                  <w:gridSpan w:val="3"/>
                  <w:tcBorders>
                    <w:tl2br w:val="nil"/>
                    <w:tr2bl w:val="nil"/>
                  </w:tcBorders>
                  <w:vAlign w:val="center"/>
                </w:tcPr>
                <w:p w14:paraId="053A4729">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sz w:val="21"/>
                      <w:szCs w:val="21"/>
                      <w:u w:val="single"/>
                      <w:vertAlign w:val="baseline"/>
                      <w:lang w:val="en-US" w:eastAsia="zh-CN"/>
                    </w:rPr>
                  </w:pPr>
                  <w:r>
                    <w:rPr>
                      <w:rFonts w:hint="eastAsia" w:ascii="宋体" w:hAnsi="宋体" w:eastAsia="宋体" w:cs="宋体"/>
                      <w:b w:val="0"/>
                      <w:bCs/>
                      <w:sz w:val="21"/>
                      <w:szCs w:val="21"/>
                      <w:u w:val="single"/>
                      <w:vertAlign w:val="baseline"/>
                      <w:lang w:val="en-US" w:eastAsia="zh-CN"/>
                    </w:rPr>
                    <w:t>≦0.25</w:t>
                  </w:r>
                </w:p>
              </w:tc>
            </w:tr>
            <w:tr w14:paraId="17706B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78" w:type="dxa"/>
                  <w:tcBorders>
                    <w:tl2br w:val="nil"/>
                    <w:tr2bl w:val="nil"/>
                  </w:tcBorders>
                  <w:vAlign w:val="center"/>
                </w:tcPr>
                <w:p w14:paraId="4066CEF3">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sz w:val="21"/>
                      <w:szCs w:val="21"/>
                      <w:u w:val="single"/>
                      <w:vertAlign w:val="baseline"/>
                      <w:lang w:val="en-US" w:eastAsia="zh-CN"/>
                    </w:rPr>
                  </w:pPr>
                  <w:r>
                    <w:rPr>
                      <w:rFonts w:hint="default" w:ascii="Times New Roman" w:hAnsi="Times New Roman" w:eastAsia="宋体" w:cs="Times New Roman"/>
                      <w:b w:val="0"/>
                      <w:bCs/>
                      <w:sz w:val="21"/>
                      <w:szCs w:val="21"/>
                      <w:u w:val="single"/>
                      <w:vertAlign w:val="baseline"/>
                      <w:lang w:val="en-US" w:eastAsia="zh-CN"/>
                    </w:rPr>
                    <w:t>灰分</w:t>
                  </w:r>
                </w:p>
              </w:tc>
              <w:tc>
                <w:tcPr>
                  <w:tcW w:w="1778" w:type="dxa"/>
                  <w:tcBorders>
                    <w:tl2br w:val="nil"/>
                    <w:tr2bl w:val="nil"/>
                  </w:tcBorders>
                  <w:vAlign w:val="center"/>
                </w:tcPr>
                <w:p w14:paraId="1BBBBD4B">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sz w:val="21"/>
                      <w:szCs w:val="21"/>
                      <w:u w:val="single"/>
                      <w:vertAlign w:val="baseline"/>
                      <w:lang w:val="en-US" w:eastAsia="zh-CN"/>
                    </w:rPr>
                  </w:pPr>
                  <w:r>
                    <w:rPr>
                      <w:rFonts w:hint="eastAsia" w:ascii="Times New Roman" w:hAnsi="Times New Roman" w:eastAsia="宋体" w:cs="Times New Roman"/>
                      <w:b w:val="0"/>
                      <w:bCs/>
                      <w:sz w:val="21"/>
                      <w:szCs w:val="21"/>
                      <w:u w:val="single"/>
                      <w:vertAlign w:val="baseline"/>
                      <w:lang w:val="en-US" w:eastAsia="zh-CN"/>
                    </w:rPr>
                    <w:t>%</w:t>
                  </w:r>
                </w:p>
              </w:tc>
              <w:tc>
                <w:tcPr>
                  <w:tcW w:w="5341" w:type="dxa"/>
                  <w:gridSpan w:val="3"/>
                  <w:tcBorders>
                    <w:tl2br w:val="nil"/>
                    <w:tr2bl w:val="nil"/>
                  </w:tcBorders>
                  <w:vAlign w:val="center"/>
                </w:tcPr>
                <w:p w14:paraId="64CA5627">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sz w:val="21"/>
                      <w:szCs w:val="21"/>
                      <w:u w:val="single"/>
                      <w:vertAlign w:val="baseline"/>
                      <w:lang w:val="en-US" w:eastAsia="zh-CN"/>
                    </w:rPr>
                  </w:pPr>
                  <w:r>
                    <w:rPr>
                      <w:rFonts w:hint="eastAsia" w:ascii="宋体" w:hAnsi="宋体" w:eastAsia="宋体" w:cs="宋体"/>
                      <w:b w:val="0"/>
                      <w:bCs/>
                      <w:sz w:val="21"/>
                      <w:szCs w:val="21"/>
                      <w:u w:val="single"/>
                      <w:vertAlign w:val="baseline"/>
                      <w:lang w:val="en-US" w:eastAsia="zh-CN"/>
                    </w:rPr>
                    <w:t>≦1</w:t>
                  </w:r>
                </w:p>
              </w:tc>
            </w:tr>
            <w:tr w14:paraId="65FB54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78" w:type="dxa"/>
                  <w:tcBorders>
                    <w:tl2br w:val="nil"/>
                    <w:tr2bl w:val="nil"/>
                  </w:tcBorders>
                  <w:vAlign w:val="center"/>
                </w:tcPr>
                <w:p w14:paraId="7210AEA9">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sz w:val="21"/>
                      <w:szCs w:val="21"/>
                      <w:u w:val="single"/>
                      <w:vertAlign w:val="baseline"/>
                      <w:lang w:val="en-US" w:eastAsia="zh-CN"/>
                    </w:rPr>
                  </w:pPr>
                  <w:r>
                    <w:rPr>
                      <w:rFonts w:hint="default" w:ascii="Times New Roman" w:hAnsi="Times New Roman" w:eastAsia="宋体" w:cs="Times New Roman"/>
                      <w:b w:val="0"/>
                      <w:bCs/>
                      <w:sz w:val="21"/>
                      <w:szCs w:val="21"/>
                      <w:u w:val="single"/>
                      <w:vertAlign w:val="baseline"/>
                      <w:lang w:val="en-US" w:eastAsia="zh-CN"/>
                    </w:rPr>
                    <w:t>氧指数</w:t>
                  </w:r>
                </w:p>
              </w:tc>
              <w:tc>
                <w:tcPr>
                  <w:tcW w:w="1778" w:type="dxa"/>
                  <w:tcBorders>
                    <w:tl2br w:val="nil"/>
                    <w:tr2bl w:val="nil"/>
                  </w:tcBorders>
                  <w:vAlign w:val="center"/>
                </w:tcPr>
                <w:p w14:paraId="5F70558A">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sz w:val="21"/>
                      <w:szCs w:val="21"/>
                      <w:u w:val="single"/>
                      <w:vertAlign w:val="baseline"/>
                      <w:lang w:val="en-US" w:eastAsia="zh-CN"/>
                    </w:rPr>
                  </w:pPr>
                  <w:r>
                    <w:rPr>
                      <w:rFonts w:hint="eastAsia" w:ascii="Times New Roman" w:hAnsi="Times New Roman" w:eastAsia="宋体" w:cs="Times New Roman"/>
                      <w:b w:val="0"/>
                      <w:bCs/>
                      <w:sz w:val="21"/>
                      <w:szCs w:val="21"/>
                      <w:u w:val="single"/>
                      <w:vertAlign w:val="baseline"/>
                      <w:lang w:val="en-US" w:eastAsia="zh-CN"/>
                    </w:rPr>
                    <w:t>%</w:t>
                  </w:r>
                </w:p>
              </w:tc>
              <w:tc>
                <w:tcPr>
                  <w:tcW w:w="5341" w:type="dxa"/>
                  <w:gridSpan w:val="3"/>
                  <w:tcBorders>
                    <w:tl2br w:val="nil"/>
                    <w:tr2bl w:val="nil"/>
                  </w:tcBorders>
                  <w:vAlign w:val="center"/>
                </w:tcPr>
                <w:p w14:paraId="042FE6F2">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sz w:val="21"/>
                      <w:szCs w:val="21"/>
                      <w:u w:val="single"/>
                      <w:vertAlign w:val="baseline"/>
                      <w:lang w:val="en-US" w:eastAsia="zh-CN"/>
                    </w:rPr>
                  </w:pPr>
                  <w:r>
                    <w:rPr>
                      <w:rFonts w:hint="eastAsia" w:ascii="宋体" w:hAnsi="宋体" w:eastAsia="宋体" w:cs="宋体"/>
                      <w:b w:val="0"/>
                      <w:bCs/>
                      <w:sz w:val="21"/>
                      <w:szCs w:val="21"/>
                      <w:u w:val="single"/>
                      <w:vertAlign w:val="baseline"/>
                      <w:lang w:val="en-US" w:eastAsia="zh-CN"/>
                    </w:rPr>
                    <w:t>≦28</w:t>
                  </w:r>
                </w:p>
              </w:tc>
            </w:tr>
          </w:tbl>
          <w:p w14:paraId="33371FA9">
            <w:pPr>
              <w:rPr>
                <w:rFonts w:hint="eastAsia" w:eastAsiaTheme="minorEastAsia"/>
                <w:color w:val="FF0000"/>
                <w:lang w:eastAsia="zh-CN"/>
              </w:rPr>
            </w:pPr>
          </w:p>
          <w:p w14:paraId="2ED83BDB">
            <w:pPr>
              <w:wordWrap w:val="0"/>
              <w:topLinePunct/>
              <w:adjustRightInd w:val="0"/>
              <w:snapToGrid w:val="0"/>
              <w:spacing w:line="360" w:lineRule="auto"/>
              <w:ind w:firstLine="482" w:firstLineChars="200"/>
              <w:rPr>
                <w:b/>
                <w:bCs/>
                <w:szCs w:val="21"/>
              </w:rPr>
            </w:pPr>
            <w:r>
              <w:rPr>
                <w:rFonts w:hint="eastAsia"/>
                <w:b/>
                <w:bCs/>
                <w:szCs w:val="21"/>
              </w:rPr>
              <w:t>5、公用工程</w:t>
            </w:r>
          </w:p>
          <w:p w14:paraId="48E57BB4">
            <w:pPr>
              <w:keepNext w:val="0"/>
              <w:keepLines w:val="0"/>
              <w:pageBreakBefore w:val="0"/>
              <w:widowControl w:val="0"/>
              <w:tabs>
                <w:tab w:val="left" w:pos="1026"/>
              </w:tabs>
              <w:kinsoku/>
              <w:wordWrap w:val="0"/>
              <w:overflowPunct/>
              <w:topLinePunct/>
              <w:autoSpaceDE/>
              <w:autoSpaceDN/>
              <w:bidi w:val="0"/>
              <w:adjustRightInd/>
              <w:snapToGrid/>
              <w:spacing w:line="360" w:lineRule="auto"/>
              <w:ind w:firstLine="482" w:firstLineChars="200"/>
              <w:textAlignment w:val="auto"/>
              <w:rPr>
                <w:b/>
                <w:bCs/>
                <w:szCs w:val="21"/>
              </w:rPr>
            </w:pPr>
            <w:r>
              <w:rPr>
                <w:rFonts w:hint="eastAsia"/>
                <w:b/>
                <w:bCs/>
                <w:szCs w:val="21"/>
              </w:rPr>
              <w:t>（1）给水</w:t>
            </w:r>
          </w:p>
          <w:p w14:paraId="2BF71DCA">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sz w:val="24"/>
                <w:szCs w:val="24"/>
                <w:highlight w:val="none"/>
                <w:u w:val="single"/>
              </w:rPr>
            </w:pPr>
            <w:r>
              <w:rPr>
                <w:rFonts w:hint="eastAsia"/>
                <w:sz w:val="24"/>
                <w:szCs w:val="24"/>
                <w:highlight w:val="none"/>
                <w:u w:val="single"/>
              </w:rPr>
              <w:t>本项目用水主要包括循环冷却水补水</w:t>
            </w:r>
            <w:r>
              <w:rPr>
                <w:rFonts w:hint="eastAsia"/>
                <w:sz w:val="24"/>
                <w:szCs w:val="24"/>
                <w:highlight w:val="none"/>
                <w:u w:val="single"/>
                <w:lang w:eastAsia="zh-CN"/>
              </w:rPr>
              <w:t>、</w:t>
            </w:r>
            <w:r>
              <w:rPr>
                <w:rFonts w:hint="eastAsia"/>
                <w:sz w:val="24"/>
                <w:szCs w:val="24"/>
                <w:highlight w:val="none"/>
                <w:u w:val="single"/>
              </w:rPr>
              <w:t>生活用水</w:t>
            </w:r>
            <w:r>
              <w:rPr>
                <w:rFonts w:hint="eastAsia"/>
                <w:sz w:val="24"/>
                <w:szCs w:val="24"/>
                <w:highlight w:val="none"/>
                <w:u w:val="single"/>
                <w:lang w:eastAsia="zh-CN"/>
              </w:rPr>
              <w:t>及化验室用水</w:t>
            </w:r>
            <w:r>
              <w:rPr>
                <w:rFonts w:hint="eastAsia"/>
                <w:sz w:val="24"/>
                <w:szCs w:val="24"/>
                <w:highlight w:val="none"/>
                <w:u w:val="single"/>
              </w:rPr>
              <w:t>。</w:t>
            </w:r>
          </w:p>
          <w:p w14:paraId="101D4DCC">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eastAsia="宋体"/>
                <w:sz w:val="24"/>
                <w:szCs w:val="24"/>
                <w:highlight w:val="none"/>
                <w:u w:val="single"/>
                <w:lang w:val="en-US" w:eastAsia="zh-CN"/>
              </w:rPr>
            </w:pPr>
            <w:r>
              <w:rPr>
                <w:rFonts w:hint="eastAsia"/>
                <w:sz w:val="24"/>
                <w:szCs w:val="24"/>
                <w:highlight w:val="none"/>
                <w:u w:val="single"/>
              </w:rPr>
              <w:t>根据建设单位提供的资料，本项目</w:t>
            </w:r>
            <w:r>
              <w:rPr>
                <w:rFonts w:hint="eastAsia"/>
                <w:sz w:val="24"/>
                <w:szCs w:val="24"/>
                <w:highlight w:val="none"/>
                <w:u w:val="single"/>
                <w:lang w:eastAsia="zh-CN"/>
              </w:rPr>
              <w:t>烘干工序间接冷却</w:t>
            </w:r>
            <w:r>
              <w:rPr>
                <w:rFonts w:hint="eastAsia"/>
                <w:sz w:val="24"/>
                <w:szCs w:val="24"/>
                <w:highlight w:val="none"/>
                <w:u w:val="single"/>
              </w:rPr>
              <w:t>循环水</w:t>
            </w:r>
            <w:r>
              <w:rPr>
                <w:rFonts w:hint="eastAsia"/>
                <w:sz w:val="24"/>
                <w:szCs w:val="24"/>
                <w:highlight w:val="none"/>
                <w:u w:val="single"/>
                <w:lang w:eastAsia="zh-CN"/>
              </w:rPr>
              <w:t>量为</w:t>
            </w:r>
            <w:r>
              <w:rPr>
                <w:rFonts w:hint="eastAsia"/>
                <w:sz w:val="24"/>
                <w:szCs w:val="24"/>
                <w:highlight w:val="none"/>
                <w:u w:val="single"/>
                <w:lang w:val="en-US" w:eastAsia="zh-CN"/>
              </w:rPr>
              <w:t>45万</w:t>
            </w:r>
            <w:r>
              <w:rPr>
                <w:rFonts w:hint="eastAsia"/>
                <w:sz w:val="24"/>
                <w:szCs w:val="24"/>
                <w:highlight w:val="none"/>
                <w:u w:val="single"/>
              </w:rPr>
              <w:t>m</w:t>
            </w:r>
            <w:r>
              <w:rPr>
                <w:rFonts w:hint="eastAsia"/>
                <w:sz w:val="24"/>
                <w:szCs w:val="24"/>
                <w:highlight w:val="none"/>
                <w:u w:val="single"/>
                <w:vertAlign w:val="superscript"/>
              </w:rPr>
              <w:t>3</w:t>
            </w:r>
            <w:r>
              <w:rPr>
                <w:rFonts w:hint="eastAsia"/>
                <w:sz w:val="24"/>
                <w:szCs w:val="24"/>
                <w:u w:val="single"/>
              </w:rPr>
              <w:t>，</w:t>
            </w:r>
            <w:r>
              <w:rPr>
                <w:rFonts w:hint="eastAsia"/>
                <w:sz w:val="24"/>
                <w:szCs w:val="24"/>
                <w:u w:val="single"/>
                <w:lang w:eastAsia="zh-CN"/>
              </w:rPr>
              <w:t>估算循环冷却水年损耗量为循环水量</w:t>
            </w:r>
            <w:r>
              <w:rPr>
                <w:rFonts w:hint="eastAsia"/>
                <w:sz w:val="24"/>
                <w:szCs w:val="24"/>
                <w:u w:val="single"/>
                <w:lang w:val="en-US" w:eastAsia="zh-CN"/>
              </w:rPr>
              <w:t>0.2%，则烘干工序循环水</w:t>
            </w:r>
            <w:r>
              <w:rPr>
                <w:rFonts w:hint="eastAsia"/>
                <w:sz w:val="24"/>
                <w:szCs w:val="24"/>
                <w:highlight w:val="none"/>
                <w:u w:val="single"/>
              </w:rPr>
              <w:t>补水为</w:t>
            </w:r>
            <w:r>
              <w:rPr>
                <w:rFonts w:hint="eastAsia"/>
                <w:sz w:val="24"/>
                <w:szCs w:val="24"/>
                <w:highlight w:val="none"/>
                <w:u w:val="single"/>
                <w:lang w:val="en-US" w:eastAsia="zh-CN"/>
              </w:rPr>
              <w:t>900</w:t>
            </w:r>
            <w:r>
              <w:rPr>
                <w:rFonts w:hint="eastAsia"/>
                <w:sz w:val="24"/>
                <w:szCs w:val="24"/>
                <w:highlight w:val="none"/>
                <w:u w:val="single"/>
              </w:rPr>
              <w:t>m</w:t>
            </w:r>
            <w:r>
              <w:rPr>
                <w:rFonts w:hint="eastAsia"/>
                <w:sz w:val="24"/>
                <w:szCs w:val="24"/>
                <w:highlight w:val="none"/>
                <w:u w:val="single"/>
                <w:vertAlign w:val="superscript"/>
              </w:rPr>
              <w:t>3</w:t>
            </w:r>
            <w:r>
              <w:rPr>
                <w:rFonts w:hint="eastAsia"/>
                <w:sz w:val="24"/>
                <w:szCs w:val="24"/>
                <w:highlight w:val="none"/>
                <w:u w:val="single"/>
              </w:rPr>
              <w:t>/a</w:t>
            </w:r>
            <w:r>
              <w:rPr>
                <w:rFonts w:hint="eastAsia"/>
                <w:sz w:val="24"/>
                <w:szCs w:val="24"/>
                <w:highlight w:val="none"/>
                <w:u w:val="single"/>
                <w:lang w:eastAsia="zh-CN"/>
              </w:rPr>
              <w:t>；挤出造粒工序直接冷却循环水量为</w:t>
            </w:r>
            <w:r>
              <w:rPr>
                <w:rFonts w:hint="eastAsia"/>
                <w:sz w:val="24"/>
                <w:szCs w:val="24"/>
                <w:highlight w:val="none"/>
                <w:u w:val="single"/>
                <w:lang w:val="en-US" w:eastAsia="zh-CN"/>
              </w:rPr>
              <w:t>1.5</w:t>
            </w:r>
            <w:r>
              <w:rPr>
                <w:rFonts w:hint="eastAsia"/>
                <w:sz w:val="24"/>
                <w:szCs w:val="24"/>
                <w:highlight w:val="none"/>
                <w:u w:val="single"/>
              </w:rPr>
              <w:t>m</w:t>
            </w:r>
            <w:r>
              <w:rPr>
                <w:rFonts w:hint="eastAsia"/>
                <w:sz w:val="24"/>
                <w:szCs w:val="24"/>
                <w:highlight w:val="none"/>
                <w:u w:val="single"/>
                <w:vertAlign w:val="superscript"/>
              </w:rPr>
              <w:t>3</w:t>
            </w:r>
            <w:r>
              <w:rPr>
                <w:rFonts w:hint="eastAsia"/>
                <w:sz w:val="24"/>
                <w:szCs w:val="24"/>
                <w:u w:val="single"/>
              </w:rPr>
              <w:t>，</w:t>
            </w:r>
            <w:r>
              <w:rPr>
                <w:rFonts w:hint="eastAsia"/>
                <w:sz w:val="24"/>
                <w:szCs w:val="24"/>
                <w:u w:val="single"/>
                <w:lang w:eastAsia="zh-CN"/>
              </w:rPr>
              <w:t>年损耗量为循环水量的</w:t>
            </w:r>
            <w:r>
              <w:rPr>
                <w:rFonts w:hint="eastAsia"/>
                <w:sz w:val="24"/>
                <w:szCs w:val="24"/>
                <w:u w:val="single"/>
                <w:lang w:val="en-US" w:eastAsia="zh-CN"/>
              </w:rPr>
              <w:t>1%，该部分冷却水每半年更换1次，每次更换量为</w:t>
            </w:r>
            <w:r>
              <w:rPr>
                <w:rFonts w:hint="eastAsia"/>
                <w:sz w:val="24"/>
                <w:szCs w:val="24"/>
                <w:highlight w:val="none"/>
                <w:u w:val="single"/>
                <w:lang w:val="en-US" w:eastAsia="zh-CN"/>
              </w:rPr>
              <w:t>1.5</w:t>
            </w:r>
            <w:r>
              <w:rPr>
                <w:rFonts w:hint="eastAsia"/>
                <w:sz w:val="24"/>
                <w:szCs w:val="24"/>
                <w:highlight w:val="none"/>
                <w:u w:val="single"/>
              </w:rPr>
              <w:t>m</w:t>
            </w:r>
            <w:r>
              <w:rPr>
                <w:rFonts w:hint="eastAsia"/>
                <w:sz w:val="24"/>
                <w:szCs w:val="24"/>
                <w:highlight w:val="none"/>
                <w:u w:val="single"/>
                <w:vertAlign w:val="superscript"/>
              </w:rPr>
              <w:t>3</w:t>
            </w:r>
            <w:r>
              <w:rPr>
                <w:rFonts w:hint="eastAsia"/>
                <w:sz w:val="24"/>
                <w:szCs w:val="24"/>
                <w:u w:val="single"/>
              </w:rPr>
              <w:t>，</w:t>
            </w:r>
            <w:r>
              <w:rPr>
                <w:rFonts w:hint="eastAsia"/>
                <w:sz w:val="24"/>
                <w:szCs w:val="24"/>
                <w:u w:val="single"/>
                <w:lang w:val="en-US" w:eastAsia="zh-CN"/>
              </w:rPr>
              <w:t>则</w:t>
            </w:r>
            <w:r>
              <w:rPr>
                <w:rFonts w:hint="eastAsia"/>
                <w:sz w:val="24"/>
                <w:szCs w:val="24"/>
                <w:highlight w:val="none"/>
                <w:u w:val="single"/>
                <w:lang w:eastAsia="zh-CN"/>
              </w:rPr>
              <w:t>挤出造粒工序冷却水补水量为</w:t>
            </w:r>
            <w:r>
              <w:rPr>
                <w:rFonts w:hint="eastAsia"/>
                <w:sz w:val="24"/>
                <w:szCs w:val="24"/>
                <w:highlight w:val="none"/>
                <w:u w:val="single"/>
                <w:lang w:val="en-US" w:eastAsia="zh-CN"/>
              </w:rPr>
              <w:t>3.015</w:t>
            </w:r>
            <w:r>
              <w:rPr>
                <w:rFonts w:hint="eastAsia"/>
                <w:sz w:val="24"/>
                <w:szCs w:val="24"/>
                <w:highlight w:val="none"/>
                <w:u w:val="single"/>
              </w:rPr>
              <w:t>m</w:t>
            </w:r>
            <w:r>
              <w:rPr>
                <w:rFonts w:hint="eastAsia"/>
                <w:sz w:val="24"/>
                <w:szCs w:val="24"/>
                <w:highlight w:val="none"/>
                <w:u w:val="single"/>
                <w:vertAlign w:val="superscript"/>
              </w:rPr>
              <w:t>3</w:t>
            </w:r>
            <w:r>
              <w:rPr>
                <w:rFonts w:hint="eastAsia"/>
                <w:sz w:val="24"/>
                <w:szCs w:val="24"/>
                <w:highlight w:val="none"/>
                <w:u w:val="single"/>
              </w:rPr>
              <w:t>/a</w:t>
            </w:r>
            <w:r>
              <w:rPr>
                <w:rFonts w:hint="eastAsia"/>
                <w:sz w:val="24"/>
                <w:szCs w:val="24"/>
                <w:highlight w:val="none"/>
                <w:u w:val="single"/>
                <w:lang w:eastAsia="zh-CN"/>
              </w:rPr>
              <w:t>。</w:t>
            </w:r>
          </w:p>
          <w:p w14:paraId="424AF60C">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sz w:val="24"/>
                <w:szCs w:val="24"/>
                <w:u w:val="single"/>
              </w:rPr>
            </w:pPr>
            <w:r>
              <w:rPr>
                <w:sz w:val="24"/>
                <w:szCs w:val="24"/>
                <w:u w:val="single"/>
              </w:rPr>
              <w:t>本项目</w:t>
            </w:r>
            <w:r>
              <w:rPr>
                <w:rFonts w:hint="eastAsia"/>
                <w:sz w:val="24"/>
                <w:szCs w:val="24"/>
                <w:u w:val="single"/>
              </w:rPr>
              <w:t>生活用水</w:t>
            </w:r>
            <w:r>
              <w:rPr>
                <w:sz w:val="24"/>
                <w:szCs w:val="24"/>
                <w:u w:val="single"/>
              </w:rPr>
              <w:t>用量为</w:t>
            </w:r>
            <w:r>
              <w:rPr>
                <w:rFonts w:hint="eastAsia"/>
                <w:sz w:val="24"/>
                <w:szCs w:val="24"/>
                <w:u w:val="single"/>
                <w:lang w:val="en-US" w:eastAsia="zh-CN"/>
              </w:rPr>
              <w:t>456</w:t>
            </w:r>
            <w:r>
              <w:rPr>
                <w:sz w:val="24"/>
                <w:szCs w:val="24"/>
                <w:u w:val="single"/>
              </w:rPr>
              <w:t>m</w:t>
            </w:r>
            <w:r>
              <w:rPr>
                <w:sz w:val="24"/>
                <w:szCs w:val="24"/>
                <w:u w:val="single"/>
                <w:vertAlign w:val="superscript"/>
              </w:rPr>
              <w:t>3</w:t>
            </w:r>
            <w:r>
              <w:rPr>
                <w:sz w:val="24"/>
                <w:szCs w:val="24"/>
                <w:u w:val="single"/>
              </w:rPr>
              <w:t>/a。</w:t>
            </w:r>
          </w:p>
          <w:p w14:paraId="0A020225">
            <w:pPr>
              <w:pStyle w:val="1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sz w:val="24"/>
                <w:szCs w:val="24"/>
                <w:u w:val="single"/>
                <w:lang w:val="en-US" w:eastAsia="zh-CN"/>
              </w:rPr>
            </w:pPr>
            <w:r>
              <w:rPr>
                <w:rFonts w:hint="eastAsia"/>
                <w:sz w:val="24"/>
                <w:szCs w:val="24"/>
                <w:u w:val="single"/>
                <w:lang w:val="en-US" w:eastAsia="zh-CN"/>
              </w:rPr>
              <w:t>化验室用水为18.5</w:t>
            </w:r>
            <w:r>
              <w:rPr>
                <w:rFonts w:hint="eastAsia"/>
                <w:sz w:val="24"/>
                <w:szCs w:val="24"/>
                <w:highlight w:val="none"/>
                <w:u w:val="single"/>
              </w:rPr>
              <w:t>m</w:t>
            </w:r>
            <w:r>
              <w:rPr>
                <w:rFonts w:hint="eastAsia"/>
                <w:sz w:val="24"/>
                <w:szCs w:val="24"/>
                <w:highlight w:val="none"/>
                <w:u w:val="single"/>
                <w:vertAlign w:val="superscript"/>
              </w:rPr>
              <w:t>3</w:t>
            </w:r>
            <w:r>
              <w:rPr>
                <w:rFonts w:hint="eastAsia"/>
                <w:sz w:val="24"/>
                <w:szCs w:val="24"/>
                <w:highlight w:val="none"/>
                <w:u w:val="single"/>
              </w:rPr>
              <w:t>/a</w:t>
            </w:r>
            <w:r>
              <w:rPr>
                <w:rFonts w:hint="eastAsia"/>
                <w:sz w:val="24"/>
                <w:szCs w:val="24"/>
                <w:highlight w:val="none"/>
                <w:u w:val="single"/>
                <w:lang w:eastAsia="zh-CN"/>
              </w:rPr>
              <w:t>。</w:t>
            </w:r>
          </w:p>
          <w:p w14:paraId="318206D0">
            <w:pPr>
              <w:pStyle w:val="1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color w:val="000000" w:themeColor="text1"/>
                <w:sz w:val="24"/>
                <w:szCs w:val="24"/>
                <w:u w:val="single"/>
                <w14:textFill>
                  <w14:solidFill>
                    <w14:schemeClr w14:val="tx1"/>
                  </w14:solidFill>
                </w14:textFill>
              </w:rPr>
            </w:pPr>
            <w:r>
              <w:rPr>
                <w:rFonts w:hint="eastAsia"/>
                <w:sz w:val="24"/>
                <w:szCs w:val="24"/>
                <w:u w:val="single"/>
              </w:rPr>
              <w:t>综上，本项目年用水量为</w:t>
            </w:r>
            <w:r>
              <w:rPr>
                <w:rFonts w:hint="eastAsia"/>
                <w:sz w:val="24"/>
                <w:szCs w:val="24"/>
                <w:u w:val="single"/>
                <w:lang w:val="en-US" w:eastAsia="zh-CN"/>
              </w:rPr>
              <w:t>1378</w:t>
            </w:r>
            <w:r>
              <w:rPr>
                <w:sz w:val="24"/>
                <w:szCs w:val="24"/>
                <w:u w:val="single"/>
              </w:rPr>
              <w:t>m</w:t>
            </w:r>
            <w:r>
              <w:rPr>
                <w:sz w:val="24"/>
                <w:szCs w:val="24"/>
                <w:u w:val="single"/>
                <w:vertAlign w:val="superscript"/>
              </w:rPr>
              <w:t>3</w:t>
            </w:r>
            <w:r>
              <w:rPr>
                <w:sz w:val="24"/>
                <w:szCs w:val="24"/>
                <w:u w:val="single"/>
              </w:rPr>
              <w:t>/a（</w:t>
            </w:r>
            <w:r>
              <w:rPr>
                <w:rFonts w:hint="eastAsia"/>
                <w:sz w:val="24"/>
                <w:szCs w:val="24"/>
                <w:u w:val="single"/>
              </w:rPr>
              <w:t>0.</w:t>
            </w:r>
            <w:r>
              <w:rPr>
                <w:rFonts w:hint="eastAsia"/>
                <w:sz w:val="24"/>
                <w:szCs w:val="24"/>
                <w:u w:val="single"/>
                <w:lang w:val="en-US" w:eastAsia="zh-CN"/>
              </w:rPr>
              <w:t>17</w:t>
            </w:r>
            <w:r>
              <w:rPr>
                <w:sz w:val="24"/>
                <w:szCs w:val="24"/>
                <w:u w:val="single"/>
              </w:rPr>
              <w:t>m</w:t>
            </w:r>
            <w:r>
              <w:rPr>
                <w:sz w:val="24"/>
                <w:szCs w:val="24"/>
                <w:u w:val="single"/>
                <w:vertAlign w:val="superscript"/>
              </w:rPr>
              <w:t>3</w:t>
            </w:r>
            <w:r>
              <w:rPr>
                <w:sz w:val="24"/>
                <w:szCs w:val="24"/>
                <w:u w:val="single"/>
              </w:rPr>
              <w:t>/h）</w:t>
            </w:r>
            <w:r>
              <w:rPr>
                <w:rFonts w:hint="eastAsia"/>
                <w:sz w:val="24"/>
                <w:szCs w:val="24"/>
                <w:u w:val="single"/>
              </w:rPr>
              <w:t>，</w:t>
            </w:r>
            <w:r>
              <w:rPr>
                <w:rFonts w:hint="eastAsia"/>
                <w:sz w:val="24"/>
                <w:szCs w:val="24"/>
                <w:u w:val="single"/>
                <w:lang w:eastAsia="zh-CN"/>
              </w:rPr>
              <w:t>其中烘干冷凝回用水</w:t>
            </w:r>
            <w:r>
              <w:rPr>
                <w:rFonts w:hint="eastAsia"/>
                <w:sz w:val="24"/>
                <w:szCs w:val="24"/>
                <w:u w:val="single"/>
                <w:lang w:val="en-US" w:eastAsia="zh-CN"/>
              </w:rPr>
              <w:t>749</w:t>
            </w:r>
            <w:r>
              <w:rPr>
                <w:sz w:val="24"/>
                <w:szCs w:val="24"/>
                <w:u w:val="single"/>
              </w:rPr>
              <w:t>m</w:t>
            </w:r>
            <w:r>
              <w:rPr>
                <w:sz w:val="24"/>
                <w:szCs w:val="24"/>
                <w:u w:val="single"/>
                <w:vertAlign w:val="superscript"/>
              </w:rPr>
              <w:t>3</w:t>
            </w:r>
            <w:r>
              <w:rPr>
                <w:sz w:val="24"/>
                <w:szCs w:val="24"/>
                <w:u w:val="single"/>
              </w:rPr>
              <w:t>/a</w:t>
            </w:r>
            <w:r>
              <w:rPr>
                <w:rFonts w:hint="eastAsia"/>
                <w:sz w:val="24"/>
                <w:szCs w:val="24"/>
                <w:u w:val="single"/>
                <w:lang w:eastAsia="zh-CN"/>
              </w:rPr>
              <w:t>，新鲜水</w:t>
            </w:r>
            <w:r>
              <w:rPr>
                <w:rFonts w:hint="eastAsia"/>
                <w:sz w:val="24"/>
                <w:szCs w:val="24"/>
                <w:u w:val="single"/>
                <w:lang w:val="en-US" w:eastAsia="zh-CN"/>
              </w:rPr>
              <w:t>629</w:t>
            </w:r>
            <w:r>
              <w:rPr>
                <w:sz w:val="24"/>
                <w:szCs w:val="24"/>
                <w:u w:val="single"/>
              </w:rPr>
              <w:t>m</w:t>
            </w:r>
            <w:r>
              <w:rPr>
                <w:sz w:val="24"/>
                <w:szCs w:val="24"/>
                <w:u w:val="single"/>
                <w:vertAlign w:val="superscript"/>
              </w:rPr>
              <w:t>3</w:t>
            </w:r>
            <w:r>
              <w:rPr>
                <w:sz w:val="24"/>
                <w:szCs w:val="24"/>
                <w:u w:val="single"/>
              </w:rPr>
              <w:t>/a（</w:t>
            </w:r>
            <w:r>
              <w:rPr>
                <w:rFonts w:hint="eastAsia"/>
                <w:sz w:val="24"/>
                <w:szCs w:val="24"/>
                <w:u w:val="single"/>
              </w:rPr>
              <w:t>0.</w:t>
            </w:r>
            <w:r>
              <w:rPr>
                <w:rFonts w:hint="eastAsia"/>
                <w:sz w:val="24"/>
                <w:szCs w:val="24"/>
                <w:u w:val="single"/>
                <w:lang w:val="en-US" w:eastAsia="zh-CN"/>
              </w:rPr>
              <w:t>08</w:t>
            </w:r>
            <w:r>
              <w:rPr>
                <w:sz w:val="24"/>
                <w:szCs w:val="24"/>
                <w:u w:val="single"/>
              </w:rPr>
              <w:t>m</w:t>
            </w:r>
            <w:r>
              <w:rPr>
                <w:sz w:val="24"/>
                <w:szCs w:val="24"/>
                <w:u w:val="single"/>
                <w:vertAlign w:val="superscript"/>
              </w:rPr>
              <w:t>3</w:t>
            </w:r>
            <w:r>
              <w:rPr>
                <w:sz w:val="24"/>
                <w:szCs w:val="24"/>
                <w:u w:val="single"/>
              </w:rPr>
              <w:t>/h）</w:t>
            </w:r>
            <w:r>
              <w:rPr>
                <w:rFonts w:hint="eastAsia"/>
                <w:sz w:val="24"/>
                <w:szCs w:val="24"/>
                <w:u w:val="single"/>
                <w:lang w:eastAsia="zh-CN"/>
              </w:rPr>
              <w:t>，</w:t>
            </w:r>
            <w:r>
              <w:rPr>
                <w:color w:val="000000" w:themeColor="text1"/>
                <w:sz w:val="24"/>
                <w:szCs w:val="24"/>
                <w:u w:val="single"/>
                <w14:textFill>
                  <w14:solidFill>
                    <w14:schemeClr w14:val="tx1"/>
                  </w14:solidFill>
                </w14:textFill>
              </w:rPr>
              <w:t>公司用水取自经开区水厂自来水管网供水，供水能力为208.3m</w:t>
            </w:r>
            <w:r>
              <w:rPr>
                <w:color w:val="000000" w:themeColor="text1"/>
                <w:sz w:val="24"/>
                <w:szCs w:val="24"/>
                <w:u w:val="single"/>
                <w:vertAlign w:val="superscript"/>
                <w14:textFill>
                  <w14:solidFill>
                    <w14:schemeClr w14:val="tx1"/>
                  </w14:solidFill>
                </w14:textFill>
              </w:rPr>
              <w:t>3</w:t>
            </w:r>
            <w:r>
              <w:rPr>
                <w:color w:val="000000" w:themeColor="text1"/>
                <w:sz w:val="24"/>
                <w:szCs w:val="24"/>
                <w:u w:val="single"/>
                <w14:textFill>
                  <w14:solidFill>
                    <w14:schemeClr w14:val="tx1"/>
                  </w14:solidFill>
                </w14:textFill>
              </w:rPr>
              <w:t>/h，现用水量为81.53m</w:t>
            </w:r>
            <w:r>
              <w:rPr>
                <w:color w:val="000000" w:themeColor="text1"/>
                <w:sz w:val="24"/>
                <w:szCs w:val="24"/>
                <w:u w:val="single"/>
                <w:vertAlign w:val="superscript"/>
                <w14:textFill>
                  <w14:solidFill>
                    <w14:schemeClr w14:val="tx1"/>
                  </w14:solidFill>
                </w14:textFill>
              </w:rPr>
              <w:t>3</w:t>
            </w:r>
            <w:r>
              <w:rPr>
                <w:color w:val="000000" w:themeColor="text1"/>
                <w:sz w:val="24"/>
                <w:szCs w:val="24"/>
                <w:u w:val="single"/>
                <w14:textFill>
                  <w14:solidFill>
                    <w14:schemeClr w14:val="tx1"/>
                  </w14:solidFill>
                </w14:textFill>
              </w:rPr>
              <w:t>/h，富余126.77m</w:t>
            </w:r>
            <w:r>
              <w:rPr>
                <w:color w:val="000000" w:themeColor="text1"/>
                <w:sz w:val="24"/>
                <w:szCs w:val="24"/>
                <w:u w:val="single"/>
                <w:vertAlign w:val="superscript"/>
                <w14:textFill>
                  <w14:solidFill>
                    <w14:schemeClr w14:val="tx1"/>
                  </w14:solidFill>
                </w14:textFill>
              </w:rPr>
              <w:t>3</w:t>
            </w:r>
            <w:r>
              <w:rPr>
                <w:color w:val="000000" w:themeColor="text1"/>
                <w:sz w:val="24"/>
                <w:szCs w:val="24"/>
                <w:u w:val="single"/>
                <w14:textFill>
                  <w14:solidFill>
                    <w14:schemeClr w14:val="tx1"/>
                  </w14:solidFill>
                </w14:textFill>
              </w:rPr>
              <w:t>/h</w:t>
            </w:r>
            <w:r>
              <w:rPr>
                <w:rStyle w:val="44"/>
                <w:rFonts w:hint="eastAsia"/>
                <w:color w:val="000000" w:themeColor="text1"/>
                <w:sz w:val="24"/>
                <w:szCs w:val="24"/>
                <w:u w:val="single"/>
                <w14:textFill>
                  <w14:solidFill>
                    <w14:schemeClr w14:val="tx1"/>
                  </w14:solidFill>
                </w14:textFill>
              </w:rPr>
              <w:t>，</w:t>
            </w:r>
            <w:r>
              <w:rPr>
                <w:color w:val="000000" w:themeColor="text1"/>
                <w:sz w:val="24"/>
                <w:szCs w:val="24"/>
                <w:u w:val="single"/>
                <w14:textFill>
                  <w14:solidFill>
                    <w14:schemeClr w14:val="tx1"/>
                  </w14:solidFill>
                </w14:textFill>
              </w:rPr>
              <w:t>可满足拟建工程用水需求。</w:t>
            </w:r>
            <w:r>
              <w:rPr>
                <w:rFonts w:hint="eastAsia"/>
                <w:color w:val="000000" w:themeColor="text1"/>
                <w:sz w:val="24"/>
                <w:szCs w:val="24"/>
                <w:u w:val="single"/>
                <w14:textFill>
                  <w14:solidFill>
                    <w14:schemeClr w14:val="tx1"/>
                  </w14:solidFill>
                </w14:textFill>
              </w:rPr>
              <w:t>项目水平衡图见图2-1。</w:t>
            </w:r>
          </w:p>
          <w:p w14:paraId="7A1BBCC0">
            <w:pPr>
              <w:pStyle w:val="35"/>
              <w:ind w:left="0" w:leftChars="0" w:firstLine="0"/>
            </w:pPr>
            <w:r>
              <w:object>
                <v:shape id="_x0000_i1025" o:spt="75" type="#_x0000_t75" style="height:275.7pt;width:439.05pt;" o:ole="t" filled="f" o:preferrelative="t" stroked="f" coordsize="21600,21600">
                  <v:path/>
                  <v:fill on="f" focussize="0,0"/>
                  <v:stroke on="f"/>
                  <v:imagedata r:id="rId12" o:title=""/>
                  <o:lock v:ext="edit" aspectratio="t"/>
                  <w10:wrap type="none"/>
                  <w10:anchorlock/>
                </v:shape>
                <o:OLEObject Type="Embed" ProgID="Visio.Drawing.15" ShapeID="_x0000_i1025" DrawAspect="Content" ObjectID="_1468075725" r:id="rId11">
                  <o:LockedField>false</o:LockedField>
                </o:OLEObject>
              </w:object>
            </w:r>
          </w:p>
          <w:p w14:paraId="1D3C2CD3">
            <w:pPr>
              <w:spacing w:line="360" w:lineRule="auto"/>
              <w:jc w:val="center"/>
              <w:rPr>
                <w:b/>
                <w:u w:val="single"/>
              </w:rPr>
            </w:pPr>
            <w:r>
              <w:rPr>
                <w:rFonts w:hint="eastAsia"/>
                <w:b/>
                <w:u w:val="single"/>
              </w:rPr>
              <w:t>图2-1</w:t>
            </w:r>
            <w:r>
              <w:rPr>
                <w:b/>
                <w:u w:val="single"/>
              </w:rPr>
              <w:t xml:space="preserve">  </w:t>
            </w:r>
            <w:r>
              <w:rPr>
                <w:rFonts w:hint="eastAsia"/>
                <w:b/>
                <w:u w:val="single"/>
              </w:rPr>
              <w:t>本项目水平衡图 （单位m</w:t>
            </w:r>
            <w:r>
              <w:rPr>
                <w:rFonts w:hint="eastAsia"/>
                <w:b/>
                <w:u w:val="single"/>
                <w:vertAlign w:val="superscript"/>
              </w:rPr>
              <w:t>3</w:t>
            </w:r>
            <w:r>
              <w:rPr>
                <w:rFonts w:hint="eastAsia"/>
                <w:b/>
                <w:u w:val="single"/>
              </w:rPr>
              <w:t>/a）</w:t>
            </w:r>
          </w:p>
          <w:p w14:paraId="00CE1E9B">
            <w:pPr>
              <w:tabs>
                <w:tab w:val="left" w:pos="1026"/>
              </w:tabs>
              <w:wordWrap w:val="0"/>
              <w:topLinePunct/>
              <w:spacing w:before="120" w:beforeLines="50" w:line="360" w:lineRule="auto"/>
              <w:ind w:firstLine="482" w:firstLineChars="200"/>
              <w:rPr>
                <w:b/>
                <w:bCs/>
                <w:szCs w:val="21"/>
              </w:rPr>
            </w:pPr>
            <w:r>
              <w:rPr>
                <w:b/>
                <w:bCs/>
                <w:szCs w:val="21"/>
              </w:rPr>
              <w:t>（</w:t>
            </w:r>
            <w:r>
              <w:rPr>
                <w:rFonts w:hint="eastAsia"/>
                <w:b/>
                <w:bCs/>
                <w:szCs w:val="21"/>
              </w:rPr>
              <w:t>2</w:t>
            </w:r>
            <w:r>
              <w:rPr>
                <w:b/>
                <w:bCs/>
                <w:szCs w:val="21"/>
              </w:rPr>
              <w:t>）</w:t>
            </w:r>
            <w:r>
              <w:rPr>
                <w:rFonts w:hint="eastAsia"/>
                <w:b/>
                <w:bCs/>
                <w:szCs w:val="21"/>
              </w:rPr>
              <w:t>排水</w:t>
            </w:r>
          </w:p>
          <w:p w14:paraId="30E0E350">
            <w:pPr>
              <w:wordWrap w:val="0"/>
              <w:topLinePunct/>
              <w:adjustRightInd w:val="0"/>
              <w:snapToGrid w:val="0"/>
              <w:spacing w:line="360" w:lineRule="auto"/>
              <w:ind w:firstLine="480" w:firstLineChars="200"/>
              <w:rPr>
                <w:b/>
                <w:snapToGrid w:val="0"/>
                <w:kern w:val="0"/>
                <w:szCs w:val="21"/>
              </w:rPr>
            </w:pPr>
            <w:r>
              <w:rPr>
                <w:snapToGrid w:val="0"/>
                <w:szCs w:val="21"/>
              </w:rPr>
              <w:t>厂区采用雨污分流制排水。本项目生活污水经化粪池预处理后，通过市政污水管网进入</w:t>
            </w:r>
            <w:r>
              <w:rPr>
                <w:rFonts w:hint="eastAsia"/>
                <w:color w:val="000000" w:themeColor="text1"/>
                <w14:textFill>
                  <w14:solidFill>
                    <w14:schemeClr w14:val="tx1"/>
                  </w14:solidFill>
                </w14:textFill>
              </w:rPr>
              <w:t>松木污水处理厂</w:t>
            </w:r>
            <w:r>
              <w:rPr>
                <w:snapToGrid w:val="0"/>
                <w:szCs w:val="21"/>
              </w:rPr>
              <w:t>深度处理，</w:t>
            </w:r>
            <w:r>
              <w:rPr>
                <w:rFonts w:hint="eastAsia"/>
                <w:snapToGrid w:val="0"/>
                <w:szCs w:val="21"/>
                <w:lang w:eastAsia="zh-CN"/>
              </w:rPr>
              <w:t>挤出冷却废水、化验废水经丰联公司废水处理站预处理后由市政管网进入</w:t>
            </w:r>
            <w:r>
              <w:rPr>
                <w:rFonts w:hint="eastAsia"/>
                <w:color w:val="000000" w:themeColor="text1"/>
                <w14:textFill>
                  <w14:solidFill>
                    <w14:schemeClr w14:val="tx1"/>
                  </w14:solidFill>
                </w14:textFill>
              </w:rPr>
              <w:t>松木污水处理厂</w:t>
            </w:r>
            <w:r>
              <w:rPr>
                <w:snapToGrid w:val="0"/>
                <w:szCs w:val="21"/>
              </w:rPr>
              <w:t>深度处理，</w:t>
            </w:r>
            <w:r>
              <w:rPr>
                <w:rFonts w:hint="eastAsia"/>
                <w:snapToGrid w:val="0"/>
                <w:szCs w:val="21"/>
              </w:rPr>
              <w:t>松木</w:t>
            </w:r>
            <w:r>
              <w:rPr>
                <w:color w:val="000000" w:themeColor="text1"/>
                <w14:textFill>
                  <w14:solidFill>
                    <w14:schemeClr w14:val="tx1"/>
                  </w14:solidFill>
                </w14:textFill>
              </w:rPr>
              <w:t>污水处理厂</w:t>
            </w:r>
            <w:r>
              <w:rPr>
                <w:snapToGrid w:val="0"/>
                <w:szCs w:val="21"/>
              </w:rPr>
              <w:t>出水执行《城镇污水处理厂污染物排放标准》（GB18918-2002）一级</w:t>
            </w:r>
            <w:r>
              <w:rPr>
                <w:rFonts w:hint="eastAsia"/>
                <w:snapToGrid w:val="0"/>
                <w:szCs w:val="21"/>
              </w:rPr>
              <w:t>A</w:t>
            </w:r>
            <w:r>
              <w:rPr>
                <w:snapToGrid w:val="0"/>
                <w:szCs w:val="21"/>
              </w:rPr>
              <w:t>标准排入湘江。</w:t>
            </w:r>
          </w:p>
          <w:p w14:paraId="02E8571C">
            <w:pPr>
              <w:tabs>
                <w:tab w:val="left" w:pos="1026"/>
              </w:tabs>
              <w:wordWrap w:val="0"/>
              <w:topLinePunct/>
              <w:spacing w:before="120" w:beforeLines="50" w:line="360" w:lineRule="auto"/>
              <w:ind w:firstLine="482" w:firstLineChars="200"/>
              <w:rPr>
                <w:bCs/>
                <w:szCs w:val="21"/>
              </w:rPr>
            </w:pPr>
            <w:r>
              <w:rPr>
                <w:b/>
                <w:bCs/>
                <w:szCs w:val="21"/>
              </w:rPr>
              <w:t>（</w:t>
            </w:r>
            <w:r>
              <w:rPr>
                <w:rFonts w:hint="eastAsia"/>
                <w:b/>
                <w:bCs/>
                <w:szCs w:val="21"/>
              </w:rPr>
              <w:t>3</w:t>
            </w:r>
            <w:r>
              <w:rPr>
                <w:b/>
                <w:bCs/>
                <w:szCs w:val="21"/>
              </w:rPr>
              <w:t>）</w:t>
            </w:r>
            <w:r>
              <w:rPr>
                <w:rFonts w:hint="eastAsia"/>
                <w:b/>
                <w:bCs/>
                <w:szCs w:val="21"/>
              </w:rPr>
              <w:t>供电</w:t>
            </w:r>
          </w:p>
          <w:p w14:paraId="6D323C04">
            <w:pPr>
              <w:keepNext w:val="0"/>
              <w:keepLines w:val="0"/>
              <w:pageBreakBefore w:val="0"/>
              <w:widowControl w:val="0"/>
              <w:tabs>
                <w:tab w:val="left" w:pos="1026"/>
              </w:tabs>
              <w:kinsoku/>
              <w:wordWrap w:val="0"/>
              <w:overflowPunct/>
              <w:topLinePunct/>
              <w:autoSpaceDE/>
              <w:autoSpaceDN/>
              <w:bidi w:val="0"/>
              <w:adjustRightInd/>
              <w:snapToGrid/>
              <w:spacing w:line="360" w:lineRule="auto"/>
              <w:ind w:firstLine="480" w:firstLineChars="200"/>
              <w:textAlignment w:val="auto"/>
              <w:rPr>
                <w:b/>
                <w:bCs/>
                <w:szCs w:val="21"/>
              </w:rPr>
            </w:pPr>
            <w:r>
              <w:rPr>
                <w:szCs w:val="21"/>
              </w:rPr>
              <w:t>本项目建成后年耗电量约</w:t>
            </w:r>
            <w:r>
              <w:rPr>
                <w:rFonts w:hint="eastAsia"/>
                <w:szCs w:val="21"/>
                <w:lang w:val="en-US" w:eastAsia="zh-CN"/>
              </w:rPr>
              <w:t>320</w:t>
            </w:r>
            <w:r>
              <w:rPr>
                <w:szCs w:val="21"/>
              </w:rPr>
              <w:t>万千瓦时，由市政电网供电。</w:t>
            </w:r>
          </w:p>
          <w:p w14:paraId="428438BA">
            <w:pPr>
              <w:keepNext w:val="0"/>
              <w:keepLines w:val="0"/>
              <w:pageBreakBefore w:val="0"/>
              <w:widowControl w:val="0"/>
              <w:tabs>
                <w:tab w:val="left" w:pos="1026"/>
              </w:tabs>
              <w:kinsoku/>
              <w:wordWrap w:val="0"/>
              <w:overflowPunct/>
              <w:topLinePunct/>
              <w:autoSpaceDE/>
              <w:autoSpaceDN/>
              <w:bidi w:val="0"/>
              <w:adjustRightInd/>
              <w:snapToGrid/>
              <w:spacing w:line="360" w:lineRule="auto"/>
              <w:ind w:firstLine="482" w:firstLineChars="200"/>
              <w:textAlignment w:val="auto"/>
              <w:rPr>
                <w:rFonts w:hint="eastAsia" w:eastAsia="宋体"/>
                <w:b/>
                <w:bCs/>
                <w:szCs w:val="21"/>
                <w:lang w:eastAsia="zh-CN"/>
              </w:rPr>
            </w:pPr>
            <w:r>
              <w:rPr>
                <w:rFonts w:hint="eastAsia"/>
                <w:b/>
                <w:bCs/>
                <w:szCs w:val="21"/>
                <w:lang w:eastAsia="zh-CN"/>
              </w:rPr>
              <w:t>（</w:t>
            </w:r>
            <w:r>
              <w:rPr>
                <w:rFonts w:hint="eastAsia"/>
                <w:b/>
                <w:bCs/>
                <w:szCs w:val="21"/>
                <w:lang w:val="en-US" w:eastAsia="zh-CN"/>
              </w:rPr>
              <w:t>4</w:t>
            </w:r>
            <w:r>
              <w:rPr>
                <w:rFonts w:hint="eastAsia"/>
                <w:b/>
                <w:bCs/>
                <w:szCs w:val="21"/>
                <w:lang w:eastAsia="zh-CN"/>
              </w:rPr>
              <w:t>）供热</w:t>
            </w:r>
          </w:p>
          <w:p w14:paraId="1AA06E11">
            <w:pPr>
              <w:keepNext w:val="0"/>
              <w:keepLines w:val="0"/>
              <w:pageBreakBefore w:val="0"/>
              <w:widowControl w:val="0"/>
              <w:tabs>
                <w:tab w:val="left" w:pos="1026"/>
              </w:tabs>
              <w:kinsoku/>
              <w:wordWrap w:val="0"/>
              <w:overflowPunct/>
              <w:topLinePunct/>
              <w:autoSpaceDE/>
              <w:autoSpaceDN/>
              <w:bidi w:val="0"/>
              <w:adjustRightInd/>
              <w:snapToGrid/>
              <w:spacing w:line="360" w:lineRule="auto"/>
              <w:ind w:firstLine="480" w:firstLineChars="200"/>
              <w:textAlignment w:val="auto"/>
              <w:rPr>
                <w:rFonts w:hint="eastAsia"/>
                <w:szCs w:val="21"/>
              </w:rPr>
            </w:pPr>
            <w:r>
              <w:rPr>
                <w:rFonts w:hint="eastAsia"/>
                <w:szCs w:val="21"/>
              </w:rPr>
              <w:t>该项目拟设1台模温机，为干燥机供热。模温机内介质为导热油，采用天然气为燃料加热导热油。该项目不设天然气储存，天然气直接由园区管网输送至调压装置，经调压装置输送至模温机。模温机拟布置在厂房东北角，拟在厂房东外墙北端预留天然气调压装置安装区域</w:t>
            </w:r>
          </w:p>
          <w:p w14:paraId="3AADDF21">
            <w:pPr>
              <w:keepNext w:val="0"/>
              <w:keepLines w:val="0"/>
              <w:pageBreakBefore w:val="0"/>
              <w:widowControl w:val="0"/>
              <w:tabs>
                <w:tab w:val="left" w:pos="1026"/>
              </w:tabs>
              <w:kinsoku/>
              <w:wordWrap w:val="0"/>
              <w:overflowPunct/>
              <w:topLinePunct/>
              <w:autoSpaceDE/>
              <w:autoSpaceDN/>
              <w:bidi w:val="0"/>
              <w:adjustRightInd/>
              <w:snapToGrid/>
              <w:spacing w:line="360" w:lineRule="auto"/>
              <w:ind w:firstLine="482" w:firstLineChars="200"/>
              <w:textAlignment w:val="auto"/>
              <w:rPr>
                <w:rFonts w:hint="eastAsia" w:eastAsia="宋体"/>
                <w:b/>
                <w:bCs/>
                <w:szCs w:val="21"/>
                <w:lang w:eastAsia="zh-CN"/>
              </w:rPr>
            </w:pPr>
            <w:r>
              <w:rPr>
                <w:rFonts w:hint="eastAsia"/>
                <w:b/>
                <w:bCs/>
                <w:szCs w:val="21"/>
                <w:lang w:eastAsia="zh-CN"/>
              </w:rPr>
              <w:t>（</w:t>
            </w:r>
            <w:r>
              <w:rPr>
                <w:rFonts w:hint="eastAsia"/>
                <w:b/>
                <w:bCs/>
                <w:szCs w:val="21"/>
                <w:lang w:val="en-US" w:eastAsia="zh-CN"/>
              </w:rPr>
              <w:t>5</w:t>
            </w:r>
            <w:r>
              <w:rPr>
                <w:rFonts w:hint="eastAsia"/>
                <w:b/>
                <w:bCs/>
                <w:szCs w:val="21"/>
                <w:lang w:eastAsia="zh-CN"/>
              </w:rPr>
              <w:t>）供气</w:t>
            </w:r>
          </w:p>
          <w:p w14:paraId="5698BFB4">
            <w:pPr>
              <w:tabs>
                <w:tab w:val="left" w:pos="1026"/>
              </w:tabs>
              <w:wordWrap w:val="0"/>
              <w:topLinePunct/>
              <w:spacing w:before="120" w:beforeLines="50" w:line="360" w:lineRule="auto"/>
              <w:ind w:firstLine="480" w:firstLineChars="200"/>
              <w:rPr>
                <w:rFonts w:hint="eastAsia"/>
                <w:b w:val="0"/>
                <w:bCs w:val="0"/>
                <w:szCs w:val="21"/>
              </w:rPr>
            </w:pPr>
            <w:r>
              <w:rPr>
                <w:rFonts w:hint="eastAsia"/>
                <w:b w:val="0"/>
                <w:bCs w:val="0"/>
                <w:szCs w:val="21"/>
              </w:rPr>
              <w:t>1）氮气系统</w:t>
            </w:r>
          </w:p>
          <w:p w14:paraId="1BC87171">
            <w:pPr>
              <w:keepNext w:val="0"/>
              <w:keepLines w:val="0"/>
              <w:pageBreakBefore w:val="0"/>
              <w:widowControl w:val="0"/>
              <w:tabs>
                <w:tab w:val="left" w:pos="1026"/>
              </w:tabs>
              <w:kinsoku/>
              <w:wordWrap w:val="0"/>
              <w:overflowPunct/>
              <w:topLinePunct/>
              <w:autoSpaceDE/>
              <w:autoSpaceDN/>
              <w:bidi w:val="0"/>
              <w:adjustRightInd/>
              <w:snapToGrid/>
              <w:spacing w:line="360" w:lineRule="auto"/>
              <w:ind w:firstLine="480" w:firstLineChars="200"/>
              <w:textAlignment w:val="auto"/>
              <w:rPr>
                <w:rFonts w:hint="eastAsia"/>
                <w:b w:val="0"/>
                <w:bCs w:val="0"/>
                <w:szCs w:val="21"/>
              </w:rPr>
            </w:pPr>
            <w:r>
              <w:rPr>
                <w:rFonts w:hint="eastAsia"/>
                <w:b w:val="0"/>
                <w:bCs w:val="0"/>
                <w:szCs w:val="21"/>
              </w:rPr>
              <w:t>焦磷酸哌嗪湿品高温烘干及冷却降温过程需要氮气保护，拟配备空压制氮机及氮气缓冲罐，布置在厂房东北角公用工程区。</w:t>
            </w:r>
          </w:p>
          <w:p w14:paraId="23895C84">
            <w:pPr>
              <w:keepNext w:val="0"/>
              <w:keepLines w:val="0"/>
              <w:pageBreakBefore w:val="0"/>
              <w:widowControl w:val="0"/>
              <w:tabs>
                <w:tab w:val="left" w:pos="1026"/>
              </w:tabs>
              <w:kinsoku/>
              <w:wordWrap w:val="0"/>
              <w:overflowPunct/>
              <w:topLinePunct/>
              <w:autoSpaceDE/>
              <w:autoSpaceDN/>
              <w:bidi w:val="0"/>
              <w:adjustRightInd/>
              <w:snapToGrid/>
              <w:spacing w:line="360" w:lineRule="auto"/>
              <w:ind w:firstLine="480" w:firstLineChars="200"/>
              <w:textAlignment w:val="auto"/>
              <w:rPr>
                <w:rFonts w:hint="eastAsia"/>
                <w:b w:val="0"/>
                <w:bCs w:val="0"/>
                <w:szCs w:val="21"/>
              </w:rPr>
            </w:pPr>
            <w:r>
              <w:rPr>
                <w:rFonts w:hint="eastAsia"/>
                <w:b w:val="0"/>
                <w:bCs w:val="0"/>
                <w:szCs w:val="21"/>
              </w:rPr>
              <w:t>2）压缩空气系统</w:t>
            </w:r>
          </w:p>
          <w:p w14:paraId="4FE5BD62">
            <w:pPr>
              <w:keepNext w:val="0"/>
              <w:keepLines w:val="0"/>
              <w:pageBreakBefore w:val="0"/>
              <w:widowControl w:val="0"/>
              <w:tabs>
                <w:tab w:val="left" w:pos="1026"/>
              </w:tabs>
              <w:kinsoku/>
              <w:wordWrap w:val="0"/>
              <w:overflowPunct/>
              <w:topLinePunct/>
              <w:autoSpaceDE/>
              <w:autoSpaceDN/>
              <w:bidi w:val="0"/>
              <w:adjustRightInd/>
              <w:snapToGrid/>
              <w:spacing w:line="360" w:lineRule="auto"/>
              <w:ind w:firstLine="480" w:firstLineChars="200"/>
              <w:textAlignment w:val="auto"/>
              <w:rPr>
                <w:rFonts w:hint="eastAsia"/>
                <w:b w:val="0"/>
                <w:bCs w:val="0"/>
                <w:szCs w:val="21"/>
              </w:rPr>
            </w:pPr>
            <w:r>
              <w:rPr>
                <w:rFonts w:hint="eastAsia"/>
                <w:b w:val="0"/>
                <w:bCs w:val="0"/>
                <w:szCs w:val="21"/>
              </w:rPr>
              <w:t>本项目压缩空气主要为制氮机服务，拟与氮气系统共用空压制氮机，并配备压缩空气缓冲罐，布置在厂房东北角公用工程区</w:t>
            </w:r>
          </w:p>
          <w:p w14:paraId="14CB8D2F">
            <w:pPr>
              <w:keepNext w:val="0"/>
              <w:keepLines w:val="0"/>
              <w:pageBreakBefore w:val="0"/>
              <w:widowControl w:val="0"/>
              <w:tabs>
                <w:tab w:val="left" w:pos="1026"/>
              </w:tabs>
              <w:kinsoku/>
              <w:wordWrap w:val="0"/>
              <w:overflowPunct/>
              <w:topLinePunct/>
              <w:autoSpaceDE/>
              <w:autoSpaceDN/>
              <w:bidi w:val="0"/>
              <w:adjustRightInd/>
              <w:snapToGrid/>
              <w:spacing w:line="360" w:lineRule="auto"/>
              <w:ind w:firstLine="480" w:firstLineChars="200"/>
              <w:textAlignment w:val="auto"/>
              <w:rPr>
                <w:rFonts w:hint="eastAsia" w:eastAsia="宋体"/>
                <w:b w:val="0"/>
                <w:bCs w:val="0"/>
                <w:szCs w:val="21"/>
                <w:lang w:eastAsia="zh-CN"/>
              </w:rPr>
            </w:pPr>
            <w:r>
              <w:rPr>
                <w:rFonts w:hint="eastAsia"/>
                <w:b w:val="0"/>
                <w:bCs w:val="0"/>
                <w:szCs w:val="21"/>
                <w:lang w:val="en-US" w:eastAsia="zh-CN"/>
              </w:rPr>
              <w:t>3</w:t>
            </w:r>
            <w:r>
              <w:rPr>
                <w:rFonts w:hint="eastAsia"/>
                <w:b w:val="0"/>
                <w:bCs w:val="0"/>
                <w:szCs w:val="21"/>
                <w:lang w:eastAsia="zh-CN"/>
              </w:rPr>
              <w:t>）天然气</w:t>
            </w:r>
          </w:p>
          <w:p w14:paraId="605BD99A">
            <w:pPr>
              <w:keepNext w:val="0"/>
              <w:keepLines w:val="0"/>
              <w:pageBreakBefore w:val="0"/>
              <w:widowControl w:val="0"/>
              <w:tabs>
                <w:tab w:val="left" w:pos="1026"/>
              </w:tabs>
              <w:kinsoku/>
              <w:wordWrap w:val="0"/>
              <w:overflowPunct/>
              <w:topLinePunct/>
              <w:autoSpaceDE/>
              <w:autoSpaceDN/>
              <w:bidi w:val="0"/>
              <w:adjustRightInd/>
              <w:snapToGrid/>
              <w:spacing w:line="360" w:lineRule="auto"/>
              <w:ind w:firstLine="480" w:firstLineChars="200"/>
              <w:textAlignment w:val="auto"/>
              <w:rPr>
                <w:b w:val="0"/>
                <w:bCs w:val="0"/>
                <w:szCs w:val="21"/>
              </w:rPr>
            </w:pPr>
            <w:r>
              <w:rPr>
                <w:rFonts w:hint="eastAsia"/>
                <w:b w:val="0"/>
                <w:bCs w:val="0"/>
                <w:szCs w:val="21"/>
              </w:rPr>
              <w:t>本项目天然气来自园区供气管网，供气管径DN125、压力0.4MPa，供气能力为550Nm</w:t>
            </w:r>
            <w:r>
              <w:rPr>
                <w:rFonts w:hint="eastAsia"/>
                <w:b w:val="0"/>
                <w:bCs w:val="0"/>
                <w:szCs w:val="21"/>
                <w:vertAlign w:val="superscript"/>
              </w:rPr>
              <w:t>3</w:t>
            </w:r>
            <w:r>
              <w:rPr>
                <w:rFonts w:hint="eastAsia"/>
                <w:b w:val="0"/>
                <w:bCs w:val="0"/>
                <w:szCs w:val="21"/>
              </w:rPr>
              <w:t>/h，可满足本项目需求。</w:t>
            </w:r>
          </w:p>
          <w:p w14:paraId="479A745A">
            <w:pPr>
              <w:tabs>
                <w:tab w:val="left" w:pos="273"/>
              </w:tabs>
              <w:wordWrap w:val="0"/>
              <w:topLinePunct/>
              <w:spacing w:before="120" w:beforeLines="50" w:line="360" w:lineRule="auto"/>
              <w:ind w:firstLine="482" w:firstLineChars="200"/>
              <w:rPr>
                <w:b/>
                <w:bCs/>
                <w:szCs w:val="21"/>
              </w:rPr>
            </w:pPr>
            <w:r>
              <w:rPr>
                <w:b/>
                <w:bCs/>
                <w:szCs w:val="21"/>
              </w:rPr>
              <w:t>6</w:t>
            </w:r>
            <w:r>
              <w:rPr>
                <w:rFonts w:hint="eastAsia"/>
                <w:b/>
                <w:bCs/>
                <w:szCs w:val="21"/>
              </w:rPr>
              <w:t>、</w:t>
            </w:r>
            <w:r>
              <w:rPr>
                <w:b/>
                <w:bCs/>
                <w:szCs w:val="21"/>
              </w:rPr>
              <w:t>项目平面布置</w:t>
            </w:r>
          </w:p>
          <w:p w14:paraId="62FCCDA6">
            <w:pPr>
              <w:spacing w:line="360" w:lineRule="auto"/>
              <w:ind w:firstLine="472" w:firstLineChars="200"/>
              <w:rPr>
                <w:spacing w:val="-2"/>
                <w:szCs w:val="21"/>
              </w:rPr>
            </w:pPr>
            <w:r>
              <w:rPr>
                <w:spacing w:val="-2"/>
                <w:szCs w:val="21"/>
              </w:rPr>
              <w:t>本项目位于</w:t>
            </w:r>
            <w:r>
              <w:rPr>
                <w:rFonts w:hint="eastAsia"/>
                <w:spacing w:val="-2"/>
                <w:szCs w:val="21"/>
              </w:rPr>
              <w:t>松木经开区</w:t>
            </w:r>
            <w:r>
              <w:rPr>
                <w:spacing w:val="-2"/>
                <w:szCs w:val="21"/>
              </w:rPr>
              <w:t>，周边均为园区道路，租赁</w:t>
            </w:r>
            <w:r>
              <w:rPr>
                <w:rFonts w:hint="eastAsia"/>
                <w:kern w:val="0"/>
                <w:szCs w:val="21"/>
              </w:rPr>
              <w:t>产业孵化基地31#标准厂房</w:t>
            </w:r>
            <w:r>
              <w:rPr>
                <w:spacing w:val="-2"/>
                <w:szCs w:val="21"/>
              </w:rPr>
              <w:t>，本项目厂房出入口位于</w:t>
            </w:r>
            <w:r>
              <w:rPr>
                <w:rFonts w:hint="eastAsia"/>
                <w:spacing w:val="-2"/>
                <w:szCs w:val="21"/>
              </w:rPr>
              <w:t>西侧</w:t>
            </w:r>
            <w:r>
              <w:rPr>
                <w:spacing w:val="-2"/>
                <w:szCs w:val="21"/>
              </w:rPr>
              <w:t>，</w:t>
            </w:r>
            <w:r>
              <w:rPr>
                <w:rFonts w:hint="eastAsia"/>
                <w:spacing w:val="-2"/>
                <w:szCs w:val="21"/>
              </w:rPr>
              <w:t>厂房北侧为库区，包括原料堆存区、辅料堆存区、成品堆存区，西北侧为成品打包托盘区</w:t>
            </w:r>
            <w:r>
              <w:rPr>
                <w:spacing w:val="-2"/>
                <w:szCs w:val="21"/>
              </w:rPr>
              <w:t>。</w:t>
            </w:r>
            <w:r>
              <w:rPr>
                <w:rFonts w:hint="eastAsia"/>
                <w:spacing w:val="-2"/>
                <w:szCs w:val="21"/>
              </w:rPr>
              <w:t>南侧主要功能为生产加工区，包括干燥粉碎装置区、造粒装置区。办公室布置位于</w:t>
            </w:r>
            <w:r>
              <w:rPr>
                <w:rFonts w:hint="eastAsia"/>
                <w:spacing w:val="-2"/>
                <w:szCs w:val="21"/>
                <w:highlight w:val="none"/>
              </w:rPr>
              <w:t>车间东侧</w:t>
            </w:r>
            <w:r>
              <w:rPr>
                <w:rFonts w:hint="eastAsia"/>
                <w:spacing w:val="-2"/>
                <w:szCs w:val="21"/>
              </w:rPr>
              <w:t>。</w:t>
            </w:r>
            <w:r>
              <w:rPr>
                <w:spacing w:val="-2"/>
                <w:szCs w:val="21"/>
              </w:rPr>
              <w:t>项目车间分区明确，各生产工序均在生产车间内进行，整体布置紧凑，布局基本合理。项目总平面布置基本合理可行，厂区的布置见附图2。</w:t>
            </w:r>
          </w:p>
          <w:p w14:paraId="3DE200B9">
            <w:pPr>
              <w:wordWrap w:val="0"/>
              <w:topLinePunct/>
              <w:adjustRightInd w:val="0"/>
              <w:snapToGrid w:val="0"/>
              <w:spacing w:line="360" w:lineRule="auto"/>
              <w:ind w:firstLine="480" w:firstLineChars="200"/>
            </w:pPr>
          </w:p>
        </w:tc>
      </w:tr>
      <w:tr w14:paraId="3ADE1E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61" w:hRule="atLeast"/>
          <w:jc w:val="center"/>
        </w:trPr>
        <w:tc>
          <w:tcPr>
            <w:tcW w:w="187" w:type="pct"/>
            <w:vAlign w:val="center"/>
          </w:tcPr>
          <w:p w14:paraId="59ECF07A">
            <w:pPr>
              <w:pStyle w:val="32"/>
              <w:wordWrap w:val="0"/>
              <w:topLinePunct/>
              <w:adjustRightInd w:val="0"/>
              <w:snapToGrid w:val="0"/>
              <w:spacing w:before="0" w:beforeAutospacing="0" w:after="0" w:afterAutospacing="0"/>
              <w:jc w:val="center"/>
              <w:rPr>
                <w:rFonts w:hint="default" w:ascii="Times New Roman" w:hAnsi="Times New Roman" w:eastAsia="宋体" w:cs="Times New Roman"/>
                <w:color w:val="2F5496"/>
                <w:kern w:val="0"/>
                <w:sz w:val="24"/>
                <w:szCs w:val="24"/>
                <w:lang w:val="en-US" w:eastAsia="zh-CN" w:bidi="ar-SA"/>
              </w:rPr>
            </w:pPr>
            <w:r>
              <w:rPr>
                <w:rFonts w:hint="default" w:ascii="Times New Roman" w:hAnsi="Times New Roman" w:cs="Times New Roman"/>
                <w:szCs w:val="24"/>
              </w:rPr>
              <w:t>工艺流程和产排污环节</w:t>
            </w:r>
          </w:p>
        </w:tc>
        <w:tc>
          <w:tcPr>
            <w:tcW w:w="4812" w:type="pct"/>
            <w:vAlign w:val="top"/>
          </w:tcPr>
          <w:p w14:paraId="330B98CB">
            <w:pPr>
              <w:spacing w:before="120" w:beforeLines="50" w:line="360" w:lineRule="auto"/>
              <w:rPr>
                <w:rFonts w:hint="eastAsia" w:ascii="Times New Roman" w:hAnsi="Times New Roman" w:eastAsia="宋体" w:cs="Times New Roman"/>
                <w:b/>
                <w:bCs/>
                <w:highlight w:val="none"/>
                <w:lang w:eastAsia="zh-CN"/>
              </w:rPr>
            </w:pPr>
            <w:r>
              <w:rPr>
                <w:rFonts w:hint="eastAsia" w:cs="Times New Roman"/>
                <w:b/>
                <w:bCs/>
                <w:highlight w:val="none"/>
                <w:lang w:eastAsia="zh-CN"/>
              </w:rPr>
              <w:t>营运期工艺流程及产污环节</w:t>
            </w:r>
          </w:p>
          <w:p w14:paraId="2FB271F2">
            <w:pPr>
              <w:adjustRightInd w:val="0"/>
              <w:snapToGrid w:val="0"/>
              <w:spacing w:line="360" w:lineRule="auto"/>
              <w:ind w:firstLine="482" w:firstLineChars="200"/>
              <w:rPr>
                <w:rFonts w:hint="eastAsia" w:ascii="Times New Roman" w:hAnsi="Times New Roman" w:eastAsia="宋体" w:cs="Times New Roman"/>
                <w:b/>
                <w:bCs/>
                <w:lang w:eastAsia="zh-CN"/>
              </w:rPr>
            </w:pPr>
            <w:r>
              <w:rPr>
                <w:rFonts w:hint="eastAsia" w:cs="Times New Roman"/>
                <w:b/>
                <w:bCs/>
                <w:lang w:val="en-US" w:eastAsia="zh-CN"/>
              </w:rPr>
              <w:t>1</w:t>
            </w:r>
            <w:r>
              <w:rPr>
                <w:rFonts w:hint="default" w:ascii="Times New Roman" w:hAnsi="Times New Roman" w:cs="Times New Roman"/>
                <w:b/>
                <w:bCs/>
              </w:rPr>
              <w:t>、</w:t>
            </w:r>
            <w:r>
              <w:rPr>
                <w:rFonts w:hint="eastAsia" w:cs="Times New Roman"/>
                <w:b/>
                <w:bCs/>
                <w:lang w:eastAsia="zh-CN"/>
              </w:rPr>
              <w:t>工艺流程说明</w:t>
            </w:r>
          </w:p>
          <w:p w14:paraId="30261E25">
            <w:pPr>
              <w:adjustRightInd w:val="0"/>
              <w:snapToGrid w:val="0"/>
              <w:spacing w:line="360" w:lineRule="auto"/>
              <w:ind w:firstLine="480" w:firstLineChars="20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废气：G1：粉尘废气；G2：天然气燃烧废气；G3：有机废气；</w:t>
            </w:r>
          </w:p>
          <w:p w14:paraId="77A95877">
            <w:pPr>
              <w:adjustRightInd w:val="0"/>
              <w:snapToGrid w:val="0"/>
              <w:spacing w:line="360" w:lineRule="auto"/>
              <w:ind w:firstLine="480" w:firstLineChars="20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噪声：N1：设备噪声。</w:t>
            </w:r>
          </w:p>
          <w:p w14:paraId="38FDAD4B">
            <w:pPr>
              <w:bidi w:val="0"/>
              <w:spacing w:line="360" w:lineRule="auto"/>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t>工艺流程</w:t>
            </w:r>
            <w:r>
              <w:rPr>
                <w:rFonts w:hint="eastAsia" w:cs="Times New Roman"/>
                <w:b/>
                <w:bCs/>
                <w:sz w:val="24"/>
                <w:szCs w:val="32"/>
                <w:lang w:val="en-US" w:eastAsia="zh-CN"/>
              </w:rPr>
              <w:t>简述</w:t>
            </w:r>
            <w:r>
              <w:rPr>
                <w:rFonts w:hint="default" w:ascii="Times New Roman" w:hAnsi="Times New Roman" w:cs="Times New Roman"/>
                <w:b/>
                <w:bCs/>
                <w:sz w:val="24"/>
                <w:szCs w:val="32"/>
                <w:lang w:val="en-US" w:eastAsia="zh-CN"/>
              </w:rPr>
              <w:t>：</w:t>
            </w:r>
          </w:p>
          <w:p w14:paraId="36DFDF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kern w:val="2"/>
                <w:sz w:val="24"/>
                <w:szCs w:val="32"/>
                <w:u w:val="single"/>
                <w:lang w:val="en-US" w:eastAsia="zh-CN" w:bidi="ar-SA"/>
              </w:rPr>
            </w:pPr>
            <w:r>
              <w:rPr>
                <w:rFonts w:hint="eastAsia" w:cs="Times New Roman"/>
                <w:b/>
                <w:bCs/>
                <w:color w:val="auto"/>
                <w:kern w:val="2"/>
                <w:sz w:val="24"/>
                <w:szCs w:val="32"/>
                <w:u w:val="single"/>
                <w:lang w:val="en-US" w:eastAsia="zh-CN" w:bidi="ar-SA"/>
              </w:rPr>
              <w:t>本项目生产过程均为物理过程，不涉及化学反应。</w:t>
            </w:r>
          </w:p>
          <w:p w14:paraId="5ED85A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eastAsia"/>
                <w:color w:val="auto"/>
                <w:sz w:val="24"/>
                <w:szCs w:val="24"/>
                <w:highlight w:val="none"/>
                <w:u w:val="single"/>
                <w:lang w:val="en-US" w:eastAsia="zh-CN"/>
              </w:rPr>
              <w:t>工艺流程涉密删除。</w:t>
            </w:r>
          </w:p>
        </w:tc>
      </w:tr>
      <w:tr w14:paraId="3F4CBE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187" w:type="pct"/>
            <w:vAlign w:val="center"/>
          </w:tcPr>
          <w:p w14:paraId="0E5B9EA4">
            <w:pPr>
              <w:pStyle w:val="32"/>
              <w:wordWrap w:val="0"/>
              <w:topLinePunct/>
              <w:adjustRightInd w:val="0"/>
              <w:snapToGrid w:val="0"/>
              <w:spacing w:before="0" w:beforeAutospacing="0" w:after="0" w:afterAutospacing="0"/>
              <w:jc w:val="center"/>
              <w:rPr>
                <w:rFonts w:hint="default" w:ascii="Times New Roman" w:hAnsi="Times New Roman" w:eastAsia="宋体" w:cs="Times New Roman"/>
                <w:b/>
                <w:color w:val="2F5496"/>
                <w:kern w:val="0"/>
                <w:sz w:val="24"/>
                <w:szCs w:val="24"/>
                <w:lang w:val="en-US" w:eastAsia="zh-CN" w:bidi="ar-SA"/>
              </w:rPr>
            </w:pPr>
            <w:r>
              <w:rPr>
                <w:rFonts w:hint="default" w:ascii="Times New Roman" w:hAnsi="Times New Roman" w:cs="Times New Roman"/>
                <w:b/>
                <w:kern w:val="2"/>
                <w:szCs w:val="24"/>
              </w:rPr>
              <w:t>与项目有关的原有环境污染问题</w:t>
            </w:r>
          </w:p>
        </w:tc>
        <w:tc>
          <w:tcPr>
            <w:tcW w:w="4812" w:type="pct"/>
            <w:vAlign w:val="center"/>
          </w:tcPr>
          <w:p w14:paraId="321F292C">
            <w:pPr>
              <w:spacing w:line="360" w:lineRule="auto"/>
              <w:ind w:firstLine="480" w:firstLineChars="200"/>
              <w:rPr>
                <w:rFonts w:hint="default" w:ascii="Times New Roman" w:hAnsi="Times New Roman" w:cs="Times New Roman"/>
                <w:bCs/>
                <w:u w:val="single"/>
                <w:lang w:val="en-US" w:eastAsia="zh-CN"/>
              </w:rPr>
            </w:pPr>
            <w:r>
              <w:rPr>
                <w:rFonts w:hint="default" w:ascii="Times New Roman" w:hAnsi="Times New Roman" w:cs="Times New Roman"/>
                <w:bCs/>
                <w:u w:val="none"/>
                <w:lang w:val="en-US" w:eastAsia="zh-CN"/>
              </w:rPr>
              <w:t>本项目</w:t>
            </w:r>
            <w:r>
              <w:rPr>
                <w:rFonts w:hint="default" w:ascii="Times New Roman" w:hAnsi="Times New Roman" w:cs="Times New Roman"/>
                <w:bCs/>
                <w:kern w:val="0"/>
                <w:sz w:val="24"/>
                <w:u w:val="none"/>
                <w:lang w:val="en-US" w:eastAsia="zh-CN"/>
              </w:rPr>
              <w:t>拟</w:t>
            </w:r>
            <w:r>
              <w:rPr>
                <w:rFonts w:hint="default" w:ascii="Times New Roman" w:hAnsi="Times New Roman" w:cs="Times New Roman"/>
                <w:spacing w:val="-2"/>
                <w:szCs w:val="21"/>
                <w:u w:val="none"/>
              </w:rPr>
              <w:t>租</w:t>
            </w:r>
            <w:r>
              <w:rPr>
                <w:rFonts w:hint="default" w:ascii="Times New Roman" w:hAnsi="Times New Roman" w:cs="Times New Roman"/>
                <w:spacing w:val="-2"/>
                <w:szCs w:val="21"/>
              </w:rPr>
              <w:t>赁</w:t>
            </w:r>
            <w:r>
              <w:rPr>
                <w:rFonts w:hint="eastAsia" w:cs="Times New Roman"/>
                <w:kern w:val="0"/>
                <w:szCs w:val="21"/>
                <w:lang w:val="en-US" w:eastAsia="zh-CN"/>
              </w:rPr>
              <w:t>产业孵化基地31#标准厂房新建</w:t>
            </w:r>
            <w:r>
              <w:rPr>
                <w:rFonts w:hint="eastAsia" w:cs="Times New Roman"/>
                <w:bCs/>
                <w:kern w:val="0"/>
                <w:sz w:val="24"/>
                <w:lang w:val="en-US" w:eastAsia="zh-CN"/>
              </w:rPr>
              <w:t>年产1.5万吨无卤阻燃材料及功能母粒项目</w:t>
            </w:r>
            <w:r>
              <w:rPr>
                <w:rFonts w:hint="eastAsia" w:ascii="Times New Roman" w:hAnsi="Times New Roman" w:cs="Times New Roman"/>
                <w:bCs/>
                <w:color w:val="auto"/>
                <w:u w:val="none"/>
                <w:lang w:val="en-US" w:eastAsia="zh-CN"/>
              </w:rPr>
              <w:t>。</w:t>
            </w:r>
            <w:r>
              <w:rPr>
                <w:rFonts w:hint="default" w:ascii="Times New Roman" w:hAnsi="Times New Roman" w:cs="Times New Roman"/>
                <w:bCs/>
                <w:color w:val="auto"/>
                <w:u w:val="none"/>
                <w:lang w:val="en-US" w:eastAsia="zh-CN"/>
              </w:rPr>
              <w:t>根据建设方提供的资料及现场调查，该厂房</w:t>
            </w:r>
            <w:r>
              <w:rPr>
                <w:rFonts w:hint="eastAsia" w:cs="Times New Roman"/>
                <w:bCs/>
                <w:color w:val="auto"/>
                <w:u w:val="none"/>
                <w:lang w:val="en-US" w:eastAsia="zh-CN"/>
              </w:rPr>
              <w:t>建成后未开展生产，一直处于闲置状态</w:t>
            </w:r>
            <w:r>
              <w:rPr>
                <w:rFonts w:hint="eastAsia" w:ascii="Times New Roman" w:hAnsi="Times New Roman" w:cs="Times New Roman"/>
                <w:color w:val="auto"/>
                <w:u w:val="none"/>
                <w:lang w:eastAsia="zh-CN"/>
              </w:rPr>
              <w:t>，</w:t>
            </w:r>
            <w:r>
              <w:rPr>
                <w:rFonts w:hint="eastAsia" w:cs="Times New Roman"/>
                <w:color w:val="auto"/>
                <w:u w:val="none"/>
                <w:lang w:eastAsia="zh-CN"/>
              </w:rPr>
              <w:t>因此</w:t>
            </w:r>
            <w:r>
              <w:rPr>
                <w:rFonts w:hint="eastAsia" w:ascii="Times New Roman" w:hAnsi="Times New Roman" w:cs="Times New Roman"/>
                <w:color w:val="auto"/>
                <w:u w:val="none"/>
                <w:lang w:eastAsia="zh-CN"/>
              </w:rPr>
              <w:t>厂区现状</w:t>
            </w:r>
            <w:r>
              <w:rPr>
                <w:rFonts w:hint="default" w:ascii="Times New Roman" w:hAnsi="Times New Roman" w:cs="Times New Roman"/>
                <w:bCs/>
                <w:color w:val="auto"/>
                <w:u w:val="none"/>
                <w:lang w:val="en-US" w:eastAsia="zh-CN"/>
              </w:rPr>
              <w:t>没有与本项目有关的环境问题</w:t>
            </w:r>
            <w:r>
              <w:rPr>
                <w:rFonts w:hint="eastAsia" w:cs="Times New Roman"/>
                <w:bCs/>
                <w:color w:val="auto"/>
                <w:u w:val="none"/>
                <w:lang w:val="en-US" w:eastAsia="zh-CN"/>
              </w:rPr>
              <w:t>。</w:t>
            </w:r>
          </w:p>
          <w:p w14:paraId="50F3905A">
            <w:pPr>
              <w:spacing w:line="360" w:lineRule="auto"/>
              <w:ind w:firstLine="480" w:firstLineChars="200"/>
              <w:rPr>
                <w:rFonts w:hint="default" w:ascii="Times New Roman" w:hAnsi="Times New Roman" w:cs="Times New Roman"/>
                <w:bCs/>
                <w:u w:val="none"/>
                <w:lang w:val="en-US" w:eastAsia="zh-CN"/>
              </w:rPr>
            </w:pPr>
          </w:p>
          <w:p w14:paraId="7B8281B4">
            <w:pPr>
              <w:spacing w:line="360" w:lineRule="auto"/>
              <w:ind w:firstLine="480" w:firstLineChars="200"/>
              <w:rPr>
                <w:rFonts w:hint="default" w:ascii="Times New Roman" w:hAnsi="Times New Roman" w:cs="Times New Roman"/>
                <w:bCs/>
                <w:u w:val="none"/>
                <w:lang w:val="en-US" w:eastAsia="zh-CN"/>
              </w:rPr>
            </w:pPr>
          </w:p>
          <w:p w14:paraId="7CAC7CA7">
            <w:pPr>
              <w:spacing w:line="360" w:lineRule="auto"/>
              <w:ind w:firstLine="480" w:firstLineChars="200"/>
              <w:rPr>
                <w:rFonts w:hint="default" w:ascii="Times New Roman" w:hAnsi="Times New Roman" w:cs="Times New Roman"/>
                <w:bCs/>
                <w:u w:val="none"/>
                <w:lang w:val="en-US" w:eastAsia="zh-CN"/>
              </w:rPr>
            </w:pPr>
          </w:p>
          <w:p w14:paraId="5B5895CA">
            <w:pPr>
              <w:spacing w:line="360" w:lineRule="auto"/>
              <w:ind w:firstLine="480" w:firstLineChars="200"/>
              <w:rPr>
                <w:rFonts w:hint="default" w:ascii="Times New Roman" w:hAnsi="Times New Roman" w:cs="Times New Roman"/>
                <w:bCs/>
                <w:u w:val="none"/>
                <w:lang w:val="en-US" w:eastAsia="zh-CN"/>
              </w:rPr>
            </w:pPr>
          </w:p>
          <w:p w14:paraId="5045BDE0">
            <w:pPr>
              <w:spacing w:line="360" w:lineRule="auto"/>
              <w:ind w:firstLine="480" w:firstLineChars="200"/>
              <w:rPr>
                <w:rFonts w:hint="default" w:ascii="Times New Roman" w:hAnsi="Times New Roman" w:cs="Times New Roman"/>
                <w:bCs/>
                <w:u w:val="none"/>
                <w:lang w:val="en-US" w:eastAsia="zh-CN"/>
              </w:rPr>
            </w:pPr>
          </w:p>
          <w:p w14:paraId="1CB9D49D">
            <w:pPr>
              <w:spacing w:line="360" w:lineRule="auto"/>
              <w:ind w:firstLine="480" w:firstLineChars="200"/>
              <w:rPr>
                <w:rFonts w:hint="default" w:ascii="Times New Roman" w:hAnsi="Times New Roman" w:cs="Times New Roman"/>
                <w:bCs/>
                <w:u w:val="none"/>
                <w:lang w:val="en-US" w:eastAsia="zh-CN"/>
              </w:rPr>
            </w:pPr>
          </w:p>
          <w:p w14:paraId="144BCF5C">
            <w:pPr>
              <w:spacing w:line="360" w:lineRule="auto"/>
              <w:ind w:firstLine="480" w:firstLineChars="200"/>
              <w:rPr>
                <w:rFonts w:hint="default" w:ascii="Times New Roman" w:hAnsi="Times New Roman" w:cs="Times New Roman"/>
                <w:bCs/>
                <w:u w:val="none"/>
                <w:lang w:val="en-US" w:eastAsia="zh-CN"/>
              </w:rPr>
            </w:pPr>
          </w:p>
          <w:p w14:paraId="1DF54B85">
            <w:pPr>
              <w:spacing w:line="360" w:lineRule="auto"/>
              <w:ind w:firstLine="480" w:firstLineChars="200"/>
              <w:rPr>
                <w:rFonts w:hint="default" w:ascii="Times New Roman" w:hAnsi="Times New Roman" w:cs="Times New Roman"/>
                <w:bCs/>
                <w:u w:val="none"/>
                <w:lang w:val="en-US" w:eastAsia="zh-CN"/>
              </w:rPr>
            </w:pPr>
          </w:p>
          <w:p w14:paraId="21C0739D">
            <w:pPr>
              <w:spacing w:line="360" w:lineRule="auto"/>
              <w:ind w:firstLine="480" w:firstLineChars="200"/>
              <w:rPr>
                <w:rFonts w:hint="default" w:ascii="Times New Roman" w:hAnsi="Times New Roman" w:cs="Times New Roman"/>
                <w:bCs/>
                <w:u w:val="none"/>
                <w:lang w:val="en-US" w:eastAsia="zh-CN"/>
              </w:rPr>
            </w:pPr>
          </w:p>
          <w:p w14:paraId="3A651099">
            <w:pPr>
              <w:spacing w:line="360" w:lineRule="auto"/>
              <w:ind w:firstLine="480" w:firstLineChars="200"/>
              <w:rPr>
                <w:rFonts w:hint="default" w:ascii="Times New Roman" w:hAnsi="Times New Roman" w:cs="Times New Roman"/>
                <w:bCs/>
                <w:u w:val="none"/>
                <w:lang w:val="en-US" w:eastAsia="zh-CN"/>
              </w:rPr>
            </w:pPr>
          </w:p>
          <w:p w14:paraId="6DF4FC43">
            <w:pPr>
              <w:spacing w:line="360" w:lineRule="auto"/>
              <w:ind w:firstLine="480" w:firstLineChars="200"/>
              <w:rPr>
                <w:rFonts w:hint="default" w:ascii="Times New Roman" w:hAnsi="Times New Roman" w:cs="Times New Roman"/>
                <w:bCs/>
                <w:u w:val="none"/>
                <w:lang w:val="en-US" w:eastAsia="zh-CN"/>
              </w:rPr>
            </w:pPr>
          </w:p>
          <w:p w14:paraId="61876636">
            <w:pPr>
              <w:spacing w:line="360" w:lineRule="auto"/>
              <w:ind w:firstLine="480" w:firstLineChars="200"/>
              <w:rPr>
                <w:rFonts w:hint="default" w:ascii="Times New Roman" w:hAnsi="Times New Roman" w:cs="Times New Roman"/>
                <w:bCs/>
                <w:u w:val="none"/>
                <w:lang w:val="en-US" w:eastAsia="zh-CN"/>
              </w:rPr>
            </w:pPr>
          </w:p>
          <w:p w14:paraId="7C3DE281">
            <w:pPr>
              <w:spacing w:line="360" w:lineRule="auto"/>
              <w:ind w:firstLine="480" w:firstLineChars="200"/>
              <w:rPr>
                <w:rFonts w:hint="default" w:ascii="Times New Roman" w:hAnsi="Times New Roman" w:cs="Times New Roman"/>
                <w:bCs/>
                <w:u w:val="none"/>
                <w:lang w:val="en-US" w:eastAsia="zh-CN"/>
              </w:rPr>
            </w:pPr>
          </w:p>
          <w:p w14:paraId="007DEE08">
            <w:pPr>
              <w:spacing w:line="360" w:lineRule="auto"/>
              <w:ind w:firstLine="480" w:firstLineChars="200"/>
              <w:rPr>
                <w:rFonts w:hint="default" w:ascii="Times New Roman" w:hAnsi="Times New Roman" w:cs="Times New Roman"/>
                <w:bCs/>
                <w:u w:val="none"/>
                <w:lang w:val="en-US" w:eastAsia="zh-CN"/>
              </w:rPr>
            </w:pPr>
          </w:p>
          <w:p w14:paraId="5B519F57">
            <w:pPr>
              <w:spacing w:line="360" w:lineRule="auto"/>
              <w:ind w:firstLine="480" w:firstLineChars="200"/>
              <w:rPr>
                <w:rFonts w:hint="default" w:ascii="Times New Roman" w:hAnsi="Times New Roman" w:cs="Times New Roman"/>
                <w:bCs/>
                <w:u w:val="none"/>
                <w:lang w:val="en-US" w:eastAsia="zh-CN"/>
              </w:rPr>
            </w:pPr>
          </w:p>
          <w:p w14:paraId="3684F91E">
            <w:pPr>
              <w:spacing w:line="360" w:lineRule="auto"/>
              <w:ind w:firstLine="480" w:firstLineChars="200"/>
              <w:rPr>
                <w:rFonts w:hint="default" w:ascii="Times New Roman" w:hAnsi="Times New Roman" w:cs="Times New Roman"/>
                <w:bCs/>
                <w:u w:val="none"/>
                <w:lang w:val="en-US" w:eastAsia="zh-CN"/>
              </w:rPr>
            </w:pPr>
          </w:p>
          <w:p w14:paraId="14B7B97A">
            <w:pPr>
              <w:spacing w:line="360" w:lineRule="auto"/>
              <w:ind w:firstLine="480" w:firstLineChars="200"/>
              <w:rPr>
                <w:rFonts w:hint="default" w:ascii="Times New Roman" w:hAnsi="Times New Roman" w:cs="Times New Roman"/>
                <w:bCs/>
                <w:u w:val="none"/>
                <w:lang w:val="en-US" w:eastAsia="zh-CN"/>
              </w:rPr>
            </w:pPr>
          </w:p>
          <w:p w14:paraId="7CB765A0">
            <w:pPr>
              <w:spacing w:line="360" w:lineRule="auto"/>
              <w:ind w:firstLine="480" w:firstLineChars="200"/>
              <w:rPr>
                <w:rFonts w:hint="default" w:ascii="Times New Roman" w:hAnsi="Times New Roman" w:cs="Times New Roman"/>
                <w:bCs/>
                <w:u w:val="none"/>
                <w:lang w:val="en-US" w:eastAsia="zh-CN"/>
              </w:rPr>
            </w:pPr>
          </w:p>
          <w:p w14:paraId="4981DD54">
            <w:pPr>
              <w:spacing w:line="360" w:lineRule="auto"/>
              <w:ind w:firstLine="480" w:firstLineChars="200"/>
              <w:rPr>
                <w:rFonts w:hint="default" w:ascii="Times New Roman" w:hAnsi="Times New Roman" w:cs="Times New Roman"/>
                <w:bCs/>
                <w:u w:val="none"/>
                <w:lang w:val="en-US" w:eastAsia="zh-CN"/>
              </w:rPr>
            </w:pPr>
          </w:p>
          <w:p w14:paraId="23029B96">
            <w:pPr>
              <w:spacing w:line="360" w:lineRule="auto"/>
              <w:ind w:firstLine="480" w:firstLineChars="200"/>
              <w:rPr>
                <w:rFonts w:hint="default" w:ascii="Times New Roman" w:hAnsi="Times New Roman" w:cs="Times New Roman"/>
                <w:bCs/>
                <w:u w:val="none"/>
                <w:lang w:val="en-US" w:eastAsia="zh-CN"/>
              </w:rPr>
            </w:pPr>
          </w:p>
          <w:p w14:paraId="516F3911">
            <w:pPr>
              <w:spacing w:line="360" w:lineRule="auto"/>
              <w:ind w:firstLine="480" w:firstLineChars="200"/>
              <w:rPr>
                <w:rFonts w:hint="default" w:ascii="Times New Roman" w:hAnsi="Times New Roman" w:cs="Times New Roman"/>
                <w:bCs/>
                <w:u w:val="none"/>
                <w:lang w:val="en-US" w:eastAsia="zh-CN"/>
              </w:rPr>
            </w:pPr>
          </w:p>
          <w:p w14:paraId="54E03D50">
            <w:pPr>
              <w:spacing w:line="360" w:lineRule="auto"/>
              <w:ind w:firstLine="480" w:firstLineChars="200"/>
              <w:rPr>
                <w:rFonts w:hint="default" w:ascii="Times New Roman" w:hAnsi="Times New Roman" w:cs="Times New Roman"/>
                <w:bCs/>
                <w:u w:val="none"/>
                <w:lang w:val="en-US" w:eastAsia="zh-CN"/>
              </w:rPr>
            </w:pPr>
          </w:p>
          <w:p w14:paraId="541553C2">
            <w:pPr>
              <w:spacing w:line="360" w:lineRule="auto"/>
              <w:ind w:firstLine="480" w:firstLineChars="200"/>
              <w:rPr>
                <w:rFonts w:hint="default" w:ascii="Times New Roman" w:hAnsi="Times New Roman" w:cs="Times New Roman"/>
                <w:bCs/>
                <w:u w:val="none"/>
                <w:lang w:val="en-US" w:eastAsia="zh-CN"/>
              </w:rPr>
            </w:pPr>
          </w:p>
          <w:p w14:paraId="4A9C1AC8">
            <w:pPr>
              <w:spacing w:line="360" w:lineRule="auto"/>
              <w:ind w:firstLine="480" w:firstLineChars="200"/>
              <w:rPr>
                <w:rFonts w:hint="default" w:ascii="Times New Roman" w:hAnsi="Times New Roman" w:cs="Times New Roman"/>
                <w:bCs/>
                <w:u w:val="none"/>
                <w:lang w:val="en-US" w:eastAsia="zh-CN"/>
              </w:rPr>
            </w:pPr>
          </w:p>
          <w:p w14:paraId="75A7BAFE">
            <w:pPr>
              <w:spacing w:line="360" w:lineRule="auto"/>
              <w:ind w:firstLine="480" w:firstLineChars="200"/>
              <w:rPr>
                <w:rFonts w:hint="default" w:ascii="Times New Roman" w:hAnsi="Times New Roman" w:cs="Times New Roman"/>
                <w:bCs/>
                <w:u w:val="single"/>
                <w:lang w:val="en-US" w:eastAsia="zh-CN"/>
              </w:rPr>
            </w:pPr>
          </w:p>
          <w:p w14:paraId="1BD18DBE">
            <w:pPr>
              <w:spacing w:line="360" w:lineRule="auto"/>
              <w:ind w:firstLine="480" w:firstLineChars="200"/>
              <w:rPr>
                <w:rFonts w:hint="default" w:ascii="Times New Roman" w:hAnsi="Times New Roman" w:cs="Times New Roman"/>
                <w:bCs/>
                <w:u w:val="single"/>
                <w:lang w:val="en-US" w:eastAsia="zh-CN"/>
              </w:rPr>
            </w:pPr>
          </w:p>
          <w:p w14:paraId="58138981">
            <w:pPr>
              <w:spacing w:line="360" w:lineRule="auto"/>
              <w:ind w:firstLine="480" w:firstLineChars="200"/>
              <w:rPr>
                <w:rFonts w:hint="default" w:ascii="Times New Roman" w:hAnsi="Times New Roman" w:cs="Times New Roman"/>
                <w:bCs/>
                <w:u w:val="single"/>
                <w:lang w:val="en-US" w:eastAsia="zh-CN"/>
              </w:rPr>
            </w:pPr>
          </w:p>
          <w:p w14:paraId="6C667573">
            <w:pPr>
              <w:spacing w:line="360" w:lineRule="auto"/>
              <w:ind w:firstLine="480" w:firstLineChars="200"/>
              <w:rPr>
                <w:rFonts w:hint="default" w:ascii="Times New Roman" w:hAnsi="Times New Roman" w:cs="Times New Roman"/>
                <w:bCs/>
                <w:u w:val="single"/>
                <w:lang w:val="en-US" w:eastAsia="zh-CN"/>
              </w:rPr>
            </w:pPr>
          </w:p>
          <w:p w14:paraId="3306E125">
            <w:pPr>
              <w:spacing w:line="360" w:lineRule="auto"/>
              <w:ind w:firstLine="480" w:firstLineChars="200"/>
              <w:rPr>
                <w:rFonts w:hint="default" w:ascii="Times New Roman" w:hAnsi="Times New Roman" w:cs="Times New Roman"/>
                <w:bCs/>
                <w:u w:val="single"/>
                <w:lang w:val="en-US" w:eastAsia="zh-CN"/>
              </w:rPr>
            </w:pPr>
          </w:p>
          <w:p w14:paraId="1C9E9216">
            <w:pPr>
              <w:spacing w:line="360" w:lineRule="auto"/>
              <w:ind w:firstLine="480" w:firstLineChars="200"/>
              <w:rPr>
                <w:rFonts w:hint="default" w:ascii="Times New Roman" w:hAnsi="Times New Roman" w:eastAsia="宋体" w:cs="Times New Roman"/>
                <w:kern w:val="2"/>
                <w:sz w:val="24"/>
                <w:szCs w:val="24"/>
                <w:lang w:val="en-US" w:eastAsia="zh-CN" w:bidi="ar-SA"/>
              </w:rPr>
            </w:pPr>
          </w:p>
        </w:tc>
      </w:tr>
    </w:tbl>
    <w:p w14:paraId="15D8BBE3">
      <w:pPr>
        <w:sectPr>
          <w:pgSz w:w="11906" w:h="16838"/>
          <w:pgMar w:top="1417" w:right="1134" w:bottom="1417" w:left="1417" w:header="851" w:footer="1049" w:gutter="0"/>
          <w:pgBorders>
            <w:top w:val="none" w:sz="0" w:space="0"/>
            <w:left w:val="none" w:sz="0" w:space="0"/>
            <w:bottom w:val="none" w:sz="0" w:space="0"/>
            <w:right w:val="none" w:sz="0" w:space="0"/>
          </w:pgBorders>
          <w:cols w:space="720" w:num="1"/>
          <w:docGrid w:linePitch="312" w:charSpace="0"/>
        </w:sectPr>
      </w:pPr>
    </w:p>
    <w:p w14:paraId="54C1089E">
      <w:pPr>
        <w:pStyle w:val="73"/>
        <w:wordWrap w:val="0"/>
        <w:topLinePunct/>
        <w:rPr>
          <w:rFonts w:ascii="Times New Roman" w:hAnsi="Times New Roman"/>
          <w:b/>
          <w:bCs/>
        </w:rPr>
      </w:pPr>
      <w:bookmarkStart w:id="5" w:name="_Toc4362"/>
      <w:r>
        <w:rPr>
          <w:rFonts w:ascii="Times New Roman" w:hAnsi="Times New Roman"/>
          <w:b/>
          <w:bCs/>
        </w:rPr>
        <w:t>三、区域环境质量现状、环境保护目标及评价标准</w:t>
      </w:r>
      <w:bookmarkEnd w:id="5"/>
    </w:p>
    <w:tbl>
      <w:tblPr>
        <w:tblStyle w:val="36"/>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5"/>
        <w:gridCol w:w="9147"/>
      </w:tblGrid>
      <w:tr w14:paraId="5C4EB3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38" w:hRule="atLeast"/>
          <w:jc w:val="center"/>
        </w:trPr>
        <w:tc>
          <w:tcPr>
            <w:tcW w:w="294" w:type="pct"/>
            <w:vAlign w:val="center"/>
          </w:tcPr>
          <w:p w14:paraId="571AABE4">
            <w:pPr>
              <w:adjustRightInd w:val="0"/>
              <w:snapToGrid w:val="0"/>
              <w:jc w:val="center"/>
              <w:rPr>
                <w:color w:val="2F5496"/>
                <w:kern w:val="0"/>
                <w:szCs w:val="21"/>
              </w:rPr>
            </w:pPr>
            <w:r>
              <w:rPr>
                <w:b/>
                <w:bCs/>
                <w:kern w:val="0"/>
                <w:szCs w:val="21"/>
              </w:rPr>
              <w:t>区域环境质量现状</w:t>
            </w:r>
          </w:p>
        </w:tc>
        <w:tc>
          <w:tcPr>
            <w:tcW w:w="4705" w:type="pct"/>
          </w:tcPr>
          <w:p w14:paraId="0DE14FDF">
            <w:pPr>
              <w:wordWrap w:val="0"/>
              <w:topLinePunct/>
              <w:spacing w:line="360" w:lineRule="auto"/>
              <w:ind w:firstLine="482" w:firstLineChars="200"/>
              <w:rPr>
                <w:b/>
                <w:kern w:val="0"/>
                <w:szCs w:val="21"/>
              </w:rPr>
            </w:pPr>
            <w:bookmarkStart w:id="6" w:name="_Toc61258040"/>
            <w:r>
              <w:rPr>
                <w:b/>
                <w:kern w:val="0"/>
                <w:szCs w:val="21"/>
              </w:rPr>
              <w:t>1、大气环境质量现状监测及评价</w:t>
            </w:r>
            <w:bookmarkEnd w:id="6"/>
          </w:p>
          <w:p w14:paraId="3C38503F">
            <w:pPr>
              <w:snapToGrid w:val="0"/>
              <w:spacing w:line="360" w:lineRule="auto"/>
              <w:ind w:firstLine="480" w:firstLineChars="200"/>
              <w:jc w:val="left"/>
            </w:pPr>
            <w:r>
              <w:t xml:space="preserve">（1）区域环境空气质量达标判定 </w:t>
            </w:r>
          </w:p>
          <w:p w14:paraId="4665E24A">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本报告收集了衡阳市生态环境局网站公开发布的《关于202</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年12月及1-12月全市环境质量状况的通报》中衡阳市城区202</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年环境空气质量常规监测点衡阳化工总厂的监测统计资料，监测点考核区域为松木经开区，即本项目所在地区域。该监测点具体数据如下：</w:t>
            </w:r>
          </w:p>
          <w:p w14:paraId="3195D5E5">
            <w:pPr>
              <w:spacing w:line="480" w:lineRule="exact"/>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w:t>
            </w:r>
            <w:r>
              <w:rPr>
                <w:rFonts w:hint="eastAsia"/>
                <w:b/>
                <w:color w:val="000000" w:themeColor="text1"/>
                <w:sz w:val="21"/>
                <w:szCs w:val="21"/>
                <w14:textFill>
                  <w14:solidFill>
                    <w14:schemeClr w14:val="tx1"/>
                  </w14:solidFill>
                </w14:textFill>
              </w:rPr>
              <w:t>3</w:t>
            </w:r>
            <w:r>
              <w:rPr>
                <w:b/>
                <w:color w:val="000000" w:themeColor="text1"/>
                <w:sz w:val="21"/>
                <w:szCs w:val="21"/>
                <w14:textFill>
                  <w14:solidFill>
                    <w14:schemeClr w14:val="tx1"/>
                  </w14:solidFill>
                </w14:textFill>
              </w:rPr>
              <w:t>-1 项目所在区域空气质量现状评价表</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49"/>
              <w:gridCol w:w="2929"/>
              <w:gridCol w:w="1763"/>
              <w:gridCol w:w="1585"/>
              <w:gridCol w:w="948"/>
              <w:gridCol w:w="927"/>
            </w:tblGrid>
            <w:tr w14:paraId="48C22D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420" w:type="pct"/>
                  <w:shd w:val="clear" w:color="auto" w:fill="auto"/>
                  <w:noWrap/>
                  <w:vAlign w:val="center"/>
                </w:tcPr>
                <w:p w14:paraId="713AF4F3">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w:t>
                  </w:r>
                </w:p>
              </w:tc>
              <w:tc>
                <w:tcPr>
                  <w:tcW w:w="1793" w:type="pct"/>
                  <w:shd w:val="clear" w:color="auto" w:fill="auto"/>
                  <w:noWrap/>
                  <w:vAlign w:val="center"/>
                </w:tcPr>
                <w:p w14:paraId="41C14979">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年评价指标</w:t>
                  </w:r>
                </w:p>
              </w:tc>
              <w:tc>
                <w:tcPr>
                  <w:tcW w:w="842" w:type="pct"/>
                  <w:shd w:val="clear" w:color="auto" w:fill="auto"/>
                  <w:noWrap/>
                  <w:vAlign w:val="center"/>
                </w:tcPr>
                <w:p w14:paraId="1D15D536">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现状浓度/（μg/m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p>
              </w:tc>
              <w:tc>
                <w:tcPr>
                  <w:tcW w:w="890" w:type="pct"/>
                  <w:shd w:val="clear" w:color="auto" w:fill="auto"/>
                  <w:noWrap/>
                  <w:vAlign w:val="center"/>
                </w:tcPr>
                <w:p w14:paraId="08A3C912">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标准值/（</w:t>
                  </w:r>
                  <w:r>
                    <w:rPr>
                      <w:snapToGrid w:val="0"/>
                      <w:color w:val="000000" w:themeColor="text1"/>
                      <w:sz w:val="21"/>
                      <w:szCs w:val="21"/>
                      <w14:textFill>
                        <w14:solidFill>
                          <w14:schemeClr w14:val="tx1"/>
                        </w14:solidFill>
                      </w14:textFill>
                    </w:rPr>
                    <w:t>μ</w:t>
                  </w:r>
                  <w:r>
                    <w:rPr>
                      <w:color w:val="000000" w:themeColor="text1"/>
                      <w:sz w:val="21"/>
                      <w:szCs w:val="21"/>
                      <w14:textFill>
                        <w14:solidFill>
                          <w14:schemeClr w14:val="tx1"/>
                        </w14:solidFill>
                      </w14:textFill>
                    </w:rPr>
                    <w:t>g/m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p>
              </w:tc>
              <w:tc>
                <w:tcPr>
                  <w:tcW w:w="532" w:type="pct"/>
                  <w:shd w:val="clear" w:color="auto" w:fill="auto"/>
                  <w:noWrap/>
                  <w:vAlign w:val="center"/>
                </w:tcPr>
                <w:p w14:paraId="17450DE8">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占标率/%</w:t>
                  </w:r>
                </w:p>
              </w:tc>
              <w:tc>
                <w:tcPr>
                  <w:tcW w:w="520" w:type="pct"/>
                  <w:shd w:val="clear" w:color="auto" w:fill="auto"/>
                  <w:noWrap/>
                  <w:vAlign w:val="center"/>
                </w:tcPr>
                <w:p w14:paraId="62491AFA">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达标情况</w:t>
                  </w:r>
                </w:p>
              </w:tc>
            </w:tr>
            <w:tr w14:paraId="2C9E7F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shd w:val="clear" w:color="auto" w:fill="auto"/>
                  <w:noWrap/>
                  <w:vAlign w:val="center"/>
                </w:tcPr>
                <w:p w14:paraId="7DFC31C4">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SO</w:t>
                  </w:r>
                  <w:r>
                    <w:rPr>
                      <w:color w:val="000000" w:themeColor="text1"/>
                      <w:sz w:val="21"/>
                      <w:szCs w:val="21"/>
                      <w:vertAlign w:val="subscript"/>
                      <w14:textFill>
                        <w14:solidFill>
                          <w14:schemeClr w14:val="tx1"/>
                        </w14:solidFill>
                      </w14:textFill>
                    </w:rPr>
                    <w:t>2</w:t>
                  </w:r>
                </w:p>
              </w:tc>
              <w:tc>
                <w:tcPr>
                  <w:tcW w:w="1793" w:type="pct"/>
                  <w:shd w:val="clear" w:color="auto" w:fill="auto"/>
                  <w:noWrap/>
                  <w:vAlign w:val="center"/>
                </w:tcPr>
                <w:p w14:paraId="3A07E38E">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年平均质量浓度</w:t>
                  </w:r>
                </w:p>
              </w:tc>
              <w:tc>
                <w:tcPr>
                  <w:tcW w:w="842" w:type="pct"/>
                  <w:shd w:val="clear" w:color="auto" w:fill="auto"/>
                  <w:noWrap/>
                  <w:vAlign w:val="center"/>
                </w:tcPr>
                <w:p w14:paraId="24223945">
                  <w:pPr>
                    <w:jc w:val="center"/>
                    <w:rPr>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12</w:t>
                  </w:r>
                </w:p>
              </w:tc>
              <w:tc>
                <w:tcPr>
                  <w:tcW w:w="890" w:type="pct"/>
                  <w:shd w:val="clear" w:color="auto" w:fill="auto"/>
                  <w:noWrap/>
                  <w:vAlign w:val="center"/>
                </w:tcPr>
                <w:p w14:paraId="4DFA38CC">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60</w:t>
                  </w:r>
                </w:p>
              </w:tc>
              <w:tc>
                <w:tcPr>
                  <w:tcW w:w="532" w:type="pct"/>
                  <w:shd w:val="clear" w:color="auto" w:fill="auto"/>
                  <w:noWrap/>
                  <w:vAlign w:val="center"/>
                </w:tcPr>
                <w:p w14:paraId="6D75491A">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w:t>
                  </w:r>
                </w:p>
              </w:tc>
              <w:tc>
                <w:tcPr>
                  <w:tcW w:w="520" w:type="pct"/>
                  <w:shd w:val="clear" w:color="auto" w:fill="auto"/>
                  <w:noWrap/>
                  <w:vAlign w:val="center"/>
                </w:tcPr>
                <w:p w14:paraId="2E2DDB11">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34615C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shd w:val="clear" w:color="auto" w:fill="auto"/>
                  <w:noWrap/>
                  <w:vAlign w:val="center"/>
                </w:tcPr>
                <w:p w14:paraId="34716817">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NO</w:t>
                  </w:r>
                  <w:r>
                    <w:rPr>
                      <w:color w:val="000000" w:themeColor="text1"/>
                      <w:sz w:val="21"/>
                      <w:szCs w:val="21"/>
                      <w:vertAlign w:val="subscript"/>
                      <w14:textFill>
                        <w14:solidFill>
                          <w14:schemeClr w14:val="tx1"/>
                        </w14:solidFill>
                      </w14:textFill>
                    </w:rPr>
                    <w:t>2</w:t>
                  </w:r>
                </w:p>
              </w:tc>
              <w:tc>
                <w:tcPr>
                  <w:tcW w:w="1793" w:type="pct"/>
                  <w:shd w:val="clear" w:color="auto" w:fill="auto"/>
                  <w:noWrap/>
                  <w:vAlign w:val="center"/>
                </w:tcPr>
                <w:p w14:paraId="63067A8F">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年平均质量浓度</w:t>
                  </w:r>
                </w:p>
              </w:tc>
              <w:tc>
                <w:tcPr>
                  <w:tcW w:w="842" w:type="pct"/>
                  <w:shd w:val="clear" w:color="auto" w:fill="auto"/>
                  <w:noWrap/>
                  <w:vAlign w:val="center"/>
                </w:tcPr>
                <w:p w14:paraId="31D8324F">
                  <w:pPr>
                    <w:jc w:val="center"/>
                    <w:rPr>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17</w:t>
                  </w:r>
                </w:p>
              </w:tc>
              <w:tc>
                <w:tcPr>
                  <w:tcW w:w="890" w:type="pct"/>
                  <w:shd w:val="clear" w:color="auto" w:fill="auto"/>
                  <w:noWrap/>
                  <w:vAlign w:val="center"/>
                </w:tcPr>
                <w:p w14:paraId="286A08A1">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40</w:t>
                  </w:r>
                </w:p>
              </w:tc>
              <w:tc>
                <w:tcPr>
                  <w:tcW w:w="532" w:type="pct"/>
                  <w:shd w:val="clear" w:color="auto" w:fill="auto"/>
                  <w:noWrap/>
                  <w:vAlign w:val="center"/>
                </w:tcPr>
                <w:p w14:paraId="2CCBA9FE">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42.5</w:t>
                  </w:r>
                </w:p>
              </w:tc>
              <w:tc>
                <w:tcPr>
                  <w:tcW w:w="520" w:type="pct"/>
                  <w:shd w:val="clear" w:color="auto" w:fill="auto"/>
                  <w:noWrap/>
                  <w:vAlign w:val="center"/>
                </w:tcPr>
                <w:p w14:paraId="1D30E738">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34C2E1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shd w:val="clear" w:color="auto" w:fill="auto"/>
                  <w:noWrap/>
                  <w:vAlign w:val="center"/>
                </w:tcPr>
                <w:p w14:paraId="150CE6A5">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PM</w:t>
                  </w:r>
                  <w:r>
                    <w:rPr>
                      <w:color w:val="000000" w:themeColor="text1"/>
                      <w:sz w:val="21"/>
                      <w:szCs w:val="21"/>
                      <w:vertAlign w:val="subscript"/>
                      <w14:textFill>
                        <w14:solidFill>
                          <w14:schemeClr w14:val="tx1"/>
                        </w14:solidFill>
                      </w14:textFill>
                    </w:rPr>
                    <w:t>10</w:t>
                  </w:r>
                </w:p>
              </w:tc>
              <w:tc>
                <w:tcPr>
                  <w:tcW w:w="1793" w:type="pct"/>
                  <w:shd w:val="clear" w:color="auto" w:fill="auto"/>
                  <w:noWrap/>
                  <w:vAlign w:val="center"/>
                </w:tcPr>
                <w:p w14:paraId="1A7AC2ED">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年平均质量浓度</w:t>
                  </w:r>
                </w:p>
              </w:tc>
              <w:tc>
                <w:tcPr>
                  <w:tcW w:w="842" w:type="pct"/>
                  <w:shd w:val="clear" w:color="auto" w:fill="auto"/>
                  <w:noWrap/>
                  <w:vAlign w:val="center"/>
                </w:tcPr>
                <w:p w14:paraId="3C1BED84">
                  <w:pPr>
                    <w:jc w:val="center"/>
                    <w:rPr>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59</w:t>
                  </w:r>
                </w:p>
              </w:tc>
              <w:tc>
                <w:tcPr>
                  <w:tcW w:w="890" w:type="pct"/>
                  <w:shd w:val="clear" w:color="auto" w:fill="auto"/>
                  <w:noWrap/>
                  <w:vAlign w:val="center"/>
                </w:tcPr>
                <w:p w14:paraId="0D0477EE">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70</w:t>
                  </w:r>
                </w:p>
              </w:tc>
              <w:tc>
                <w:tcPr>
                  <w:tcW w:w="532" w:type="pct"/>
                  <w:shd w:val="clear" w:color="auto" w:fill="auto"/>
                  <w:noWrap/>
                  <w:vAlign w:val="center"/>
                </w:tcPr>
                <w:p w14:paraId="1F392B72">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84.29</w:t>
                  </w:r>
                </w:p>
              </w:tc>
              <w:tc>
                <w:tcPr>
                  <w:tcW w:w="520" w:type="pct"/>
                  <w:shd w:val="clear" w:color="auto" w:fill="auto"/>
                  <w:noWrap/>
                  <w:vAlign w:val="center"/>
                </w:tcPr>
                <w:p w14:paraId="211C1B8F">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23E75A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shd w:val="clear" w:color="auto" w:fill="auto"/>
                  <w:noWrap/>
                  <w:vAlign w:val="center"/>
                </w:tcPr>
                <w:p w14:paraId="53ACCF52">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PM</w:t>
                  </w:r>
                  <w:r>
                    <w:rPr>
                      <w:color w:val="000000" w:themeColor="text1"/>
                      <w:sz w:val="21"/>
                      <w:szCs w:val="21"/>
                      <w:vertAlign w:val="subscript"/>
                      <w14:textFill>
                        <w14:solidFill>
                          <w14:schemeClr w14:val="tx1"/>
                        </w14:solidFill>
                      </w14:textFill>
                    </w:rPr>
                    <w:t>2.5</w:t>
                  </w:r>
                </w:p>
              </w:tc>
              <w:tc>
                <w:tcPr>
                  <w:tcW w:w="1793" w:type="pct"/>
                  <w:shd w:val="clear" w:color="auto" w:fill="auto"/>
                  <w:noWrap/>
                  <w:vAlign w:val="center"/>
                </w:tcPr>
                <w:p w14:paraId="4028C2F6">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年平均质量浓度</w:t>
                  </w:r>
                </w:p>
              </w:tc>
              <w:tc>
                <w:tcPr>
                  <w:tcW w:w="842" w:type="pct"/>
                  <w:shd w:val="clear" w:color="auto" w:fill="auto"/>
                  <w:noWrap/>
                  <w:vAlign w:val="center"/>
                </w:tcPr>
                <w:p w14:paraId="3B734E2B">
                  <w:pPr>
                    <w:jc w:val="center"/>
                    <w:rPr>
                      <w:b/>
                      <w:bCs/>
                      <w:color w:val="000000" w:themeColor="text1"/>
                      <w:sz w:val="21"/>
                      <w:szCs w:val="21"/>
                      <w14:textFill>
                        <w14:solidFill>
                          <w14:schemeClr w14:val="tx1"/>
                        </w14:solidFill>
                      </w14:textFill>
                    </w:rPr>
                  </w:pPr>
                  <w:r>
                    <w:rPr>
                      <w:rFonts w:hint="eastAsia"/>
                      <w:b/>
                      <w:bCs/>
                      <w:snapToGrid w:val="0"/>
                      <w:color w:val="000000" w:themeColor="text1"/>
                      <w:sz w:val="21"/>
                      <w:szCs w:val="21"/>
                      <w14:textFill>
                        <w14:solidFill>
                          <w14:schemeClr w14:val="tx1"/>
                        </w14:solidFill>
                      </w14:textFill>
                    </w:rPr>
                    <w:t>39</w:t>
                  </w:r>
                </w:p>
              </w:tc>
              <w:tc>
                <w:tcPr>
                  <w:tcW w:w="890" w:type="pct"/>
                  <w:shd w:val="clear" w:color="auto" w:fill="auto"/>
                  <w:noWrap/>
                  <w:vAlign w:val="center"/>
                </w:tcPr>
                <w:p w14:paraId="1FD2E90C">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35</w:t>
                  </w:r>
                </w:p>
              </w:tc>
              <w:tc>
                <w:tcPr>
                  <w:tcW w:w="532" w:type="pct"/>
                  <w:shd w:val="clear" w:color="auto" w:fill="auto"/>
                  <w:noWrap/>
                  <w:vAlign w:val="center"/>
                </w:tcPr>
                <w:p w14:paraId="23E54B59">
                  <w:pPr>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111.43</w:t>
                  </w:r>
                </w:p>
              </w:tc>
              <w:tc>
                <w:tcPr>
                  <w:tcW w:w="520" w:type="pct"/>
                  <w:shd w:val="clear" w:color="auto" w:fill="auto"/>
                  <w:noWrap/>
                  <w:vAlign w:val="center"/>
                </w:tcPr>
                <w:p w14:paraId="3D370A89">
                  <w:pPr>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超标</w:t>
                  </w:r>
                </w:p>
              </w:tc>
            </w:tr>
            <w:tr w14:paraId="668CF9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shd w:val="clear" w:color="auto" w:fill="auto"/>
                  <w:noWrap/>
                  <w:vAlign w:val="center"/>
                </w:tcPr>
                <w:p w14:paraId="7DD67381">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w:t>
                  </w:r>
                </w:p>
              </w:tc>
              <w:tc>
                <w:tcPr>
                  <w:tcW w:w="1793" w:type="pct"/>
                  <w:shd w:val="clear" w:color="auto" w:fill="auto"/>
                  <w:noWrap/>
                  <w:vAlign w:val="center"/>
                </w:tcPr>
                <w:p w14:paraId="75A02A6B">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第95 百分位数日平均质量浓度</w:t>
                  </w:r>
                </w:p>
              </w:tc>
              <w:tc>
                <w:tcPr>
                  <w:tcW w:w="842" w:type="pct"/>
                  <w:shd w:val="clear" w:color="auto" w:fill="auto"/>
                  <w:noWrap/>
                  <w:vAlign w:val="center"/>
                </w:tcPr>
                <w:p w14:paraId="21001BF1">
                  <w:pPr>
                    <w:jc w:val="center"/>
                    <w:rPr>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1000</w:t>
                  </w:r>
                </w:p>
              </w:tc>
              <w:tc>
                <w:tcPr>
                  <w:tcW w:w="890" w:type="pct"/>
                  <w:shd w:val="clear" w:color="auto" w:fill="auto"/>
                  <w:noWrap/>
                  <w:vAlign w:val="center"/>
                </w:tcPr>
                <w:p w14:paraId="2151021B">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4000</w:t>
                  </w:r>
                </w:p>
              </w:tc>
              <w:tc>
                <w:tcPr>
                  <w:tcW w:w="532" w:type="pct"/>
                  <w:shd w:val="clear" w:color="auto" w:fill="auto"/>
                  <w:noWrap/>
                  <w:vAlign w:val="center"/>
                </w:tcPr>
                <w:p w14:paraId="2BE166C1">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25</w:t>
                  </w:r>
                </w:p>
              </w:tc>
              <w:tc>
                <w:tcPr>
                  <w:tcW w:w="520" w:type="pct"/>
                  <w:shd w:val="clear" w:color="auto" w:fill="auto"/>
                  <w:noWrap/>
                  <w:vAlign w:val="center"/>
                </w:tcPr>
                <w:p w14:paraId="5DD898DB">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7AB88F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shd w:val="clear" w:color="auto" w:fill="auto"/>
                  <w:noWrap/>
                  <w:vAlign w:val="center"/>
                </w:tcPr>
                <w:p w14:paraId="6962008F">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O</w:t>
                  </w:r>
                  <w:r>
                    <w:rPr>
                      <w:color w:val="000000" w:themeColor="text1"/>
                      <w:sz w:val="21"/>
                      <w:szCs w:val="21"/>
                      <w:vertAlign w:val="subscript"/>
                      <w14:textFill>
                        <w14:solidFill>
                          <w14:schemeClr w14:val="tx1"/>
                        </w14:solidFill>
                      </w14:textFill>
                    </w:rPr>
                    <w:t>3</w:t>
                  </w:r>
                </w:p>
              </w:tc>
              <w:tc>
                <w:tcPr>
                  <w:tcW w:w="1793" w:type="pct"/>
                  <w:shd w:val="clear" w:color="auto" w:fill="auto"/>
                  <w:noWrap/>
                  <w:vAlign w:val="center"/>
                </w:tcPr>
                <w:p w14:paraId="336FBAED">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日最大8h 平均值第90百分位浓度</w:t>
                  </w:r>
                </w:p>
              </w:tc>
              <w:tc>
                <w:tcPr>
                  <w:tcW w:w="842" w:type="pct"/>
                  <w:shd w:val="clear" w:color="auto" w:fill="auto"/>
                  <w:noWrap/>
                  <w:vAlign w:val="center"/>
                </w:tcPr>
                <w:p w14:paraId="7FB60B27">
                  <w:pPr>
                    <w:jc w:val="center"/>
                    <w:rPr>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138</w:t>
                  </w:r>
                </w:p>
              </w:tc>
              <w:tc>
                <w:tcPr>
                  <w:tcW w:w="890" w:type="pct"/>
                  <w:shd w:val="clear" w:color="auto" w:fill="auto"/>
                  <w:noWrap/>
                  <w:vAlign w:val="center"/>
                </w:tcPr>
                <w:p w14:paraId="6629248B">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160</w:t>
                  </w:r>
                </w:p>
              </w:tc>
              <w:tc>
                <w:tcPr>
                  <w:tcW w:w="532" w:type="pct"/>
                  <w:shd w:val="clear" w:color="auto" w:fill="auto"/>
                  <w:noWrap/>
                  <w:vAlign w:val="center"/>
                </w:tcPr>
                <w:p w14:paraId="65BF6D4F">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86.25</w:t>
                  </w:r>
                </w:p>
              </w:tc>
              <w:tc>
                <w:tcPr>
                  <w:tcW w:w="520" w:type="pct"/>
                  <w:shd w:val="clear" w:color="auto" w:fill="auto"/>
                  <w:noWrap/>
                  <w:vAlign w:val="center"/>
                </w:tcPr>
                <w:p w14:paraId="07D80B6B">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bl>
          <w:p w14:paraId="7E290E31">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从监测数据结果分析，项目所在区域的基本污染物PM</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、CO和O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年平均质量浓度均符合《环境空气质量标准》（GB3095-2012）二级标准要求</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r>
              <w:rPr>
                <w:rFonts w:hint="eastAsia"/>
                <w:color w:val="000000" w:themeColor="text1"/>
                <w14:textFill>
                  <w14:solidFill>
                    <w14:schemeClr w14:val="tx1"/>
                  </w14:solidFill>
                </w14:textFill>
              </w:rPr>
              <w:t>不</w:t>
            </w:r>
            <w:r>
              <w:rPr>
                <w:color w:val="000000" w:themeColor="text1"/>
                <w14:textFill>
                  <w14:solidFill>
                    <w14:schemeClr w14:val="tx1"/>
                  </w14:solidFill>
                </w14:textFill>
              </w:rPr>
              <w:t>符合《环境空气质量标准》（GB3095-2012）二级标准要求。属于</w:t>
            </w:r>
            <w:r>
              <w:rPr>
                <w:rFonts w:hint="eastAsia"/>
                <w:color w:val="000000" w:themeColor="text1"/>
                <w14:textFill>
                  <w14:solidFill>
                    <w14:schemeClr w14:val="tx1"/>
                  </w14:solidFill>
                </w14:textFill>
              </w:rPr>
              <w:t>不</w:t>
            </w:r>
            <w:r>
              <w:rPr>
                <w:color w:val="000000" w:themeColor="text1"/>
                <w14:textFill>
                  <w14:solidFill>
                    <w14:schemeClr w14:val="tx1"/>
                  </w14:solidFill>
                </w14:textFill>
              </w:rPr>
              <w:t>达标区。</w:t>
            </w:r>
          </w:p>
          <w:p w14:paraId="0198F280">
            <w:pPr>
              <w:pStyle w:val="30"/>
              <w:spacing w:line="360" w:lineRule="auto"/>
              <w:ind w:left="0" w:leftChars="0" w:firstLine="480" w:firstLineChars="200"/>
            </w:pPr>
            <w:r>
              <w:t>（2）</w:t>
            </w:r>
            <w:r>
              <w:rPr>
                <w:rFonts w:hint="eastAsia"/>
              </w:rPr>
              <w:t>引用监测资料</w:t>
            </w:r>
          </w:p>
          <w:p w14:paraId="52B03B47">
            <w:pPr>
              <w:pStyle w:val="30"/>
              <w:spacing w:line="360" w:lineRule="auto"/>
              <w:ind w:left="0" w:leftChars="0" w:firstLine="480" w:firstLineChars="200"/>
            </w:pPr>
            <w:r>
              <w:t>本次环评收集了《湖南衡阳锦亿科技有限公司年产30万吨甲烷氯化物项目》2024年1月8日-14日的现状监测数据。本次收集的现状监测数据属于有效的历史监测数据，且监测点位位于主导风向下风向5km范围内，符合《环境影响评价技术导则 大气环境》（HJ2.2-2018）数据引用的相关要求。</w:t>
            </w:r>
            <w:r>
              <w:rPr>
                <w:rFonts w:hint="eastAsia"/>
              </w:rPr>
              <w:t>监测</w:t>
            </w:r>
            <w:r>
              <w:t>结果详见下表。</w:t>
            </w:r>
          </w:p>
          <w:p w14:paraId="745A1AF1">
            <w:pPr>
              <w:pStyle w:val="107"/>
              <w:adjustRightInd/>
              <w:snapToGrid w:val="0"/>
              <w:ind w:firstLine="0"/>
              <w:jc w:val="center"/>
              <w:rPr>
                <w:b/>
                <w:snapToGrid w:val="0"/>
                <w:color w:val="auto"/>
                <w:kern w:val="0"/>
                <w:szCs w:val="24"/>
              </w:rPr>
            </w:pPr>
            <w:r>
              <w:rPr>
                <w:b/>
                <w:snapToGrid w:val="0"/>
                <w:color w:val="auto"/>
                <w:kern w:val="0"/>
                <w:szCs w:val="24"/>
              </w:rPr>
              <w:t>表3-</w:t>
            </w:r>
            <w:r>
              <w:rPr>
                <w:rFonts w:hint="eastAsia"/>
                <w:b/>
                <w:snapToGrid w:val="0"/>
                <w:color w:val="auto"/>
                <w:kern w:val="0"/>
                <w:szCs w:val="24"/>
              </w:rPr>
              <w:t>2</w:t>
            </w:r>
            <w:r>
              <w:rPr>
                <w:b/>
                <w:snapToGrid w:val="0"/>
                <w:color w:val="auto"/>
                <w:kern w:val="0"/>
                <w:szCs w:val="24"/>
              </w:rPr>
              <w:t xml:space="preserve">  特征因子监测结果一览表（单位：</w:t>
            </w:r>
            <w:r>
              <w:rPr>
                <w:rFonts w:hint="eastAsia"/>
                <w:b/>
                <w:snapToGrid w:val="0"/>
                <w:color w:val="auto"/>
                <w:kern w:val="0"/>
                <w:szCs w:val="24"/>
              </w:rPr>
              <w:t>m</w:t>
            </w:r>
            <w:r>
              <w:rPr>
                <w:b/>
                <w:snapToGrid w:val="0"/>
                <w:color w:val="auto"/>
                <w:kern w:val="0"/>
                <w:szCs w:val="24"/>
              </w:rPr>
              <w:t>g</w:t>
            </w:r>
            <w:r>
              <w:rPr>
                <w:b/>
                <w:bCs/>
                <w:szCs w:val="24"/>
              </w:rPr>
              <w:t>/m</w:t>
            </w:r>
            <w:r>
              <w:rPr>
                <w:b/>
                <w:bCs/>
                <w:szCs w:val="24"/>
                <w:vertAlign w:val="superscript"/>
              </w:rPr>
              <w:t>3</w:t>
            </w:r>
            <w:r>
              <w:rPr>
                <w:b/>
                <w:snapToGrid w:val="0"/>
                <w:color w:val="auto"/>
                <w:kern w:val="0"/>
                <w:szCs w:val="24"/>
              </w:rPr>
              <w:t>）</w:t>
            </w:r>
          </w:p>
          <w:tbl>
            <w:tblPr>
              <w:tblStyle w:val="3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993"/>
              <w:gridCol w:w="1485"/>
              <w:gridCol w:w="1419"/>
              <w:gridCol w:w="917"/>
              <w:gridCol w:w="745"/>
              <w:gridCol w:w="1221"/>
              <w:gridCol w:w="904"/>
            </w:tblGrid>
            <w:tr w14:paraId="27F5D9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Align w:val="center"/>
                </w:tcPr>
                <w:p w14:paraId="71669DF9">
                  <w:pPr>
                    <w:jc w:val="center"/>
                    <w:rPr>
                      <w:b/>
                      <w:bCs/>
                      <w:sz w:val="21"/>
                      <w:szCs w:val="21"/>
                    </w:rPr>
                  </w:pPr>
                  <w:r>
                    <w:rPr>
                      <w:b/>
                      <w:bCs/>
                      <w:sz w:val="21"/>
                      <w:szCs w:val="21"/>
                    </w:rPr>
                    <w:t>监测点名称</w:t>
                  </w:r>
                </w:p>
              </w:tc>
              <w:tc>
                <w:tcPr>
                  <w:tcW w:w="993" w:type="dxa"/>
                  <w:vAlign w:val="center"/>
                </w:tcPr>
                <w:p w14:paraId="35C6DC4F">
                  <w:pPr>
                    <w:jc w:val="center"/>
                    <w:rPr>
                      <w:b/>
                      <w:bCs/>
                      <w:sz w:val="21"/>
                      <w:szCs w:val="21"/>
                    </w:rPr>
                  </w:pPr>
                  <w:r>
                    <w:rPr>
                      <w:b/>
                      <w:bCs/>
                      <w:sz w:val="21"/>
                      <w:szCs w:val="21"/>
                    </w:rPr>
                    <w:t>监测项目</w:t>
                  </w:r>
                </w:p>
              </w:tc>
              <w:tc>
                <w:tcPr>
                  <w:tcW w:w="1485" w:type="dxa"/>
                  <w:vAlign w:val="center"/>
                </w:tcPr>
                <w:p w14:paraId="15A141BD">
                  <w:pPr>
                    <w:jc w:val="center"/>
                    <w:rPr>
                      <w:b/>
                      <w:bCs/>
                      <w:sz w:val="21"/>
                      <w:szCs w:val="21"/>
                    </w:rPr>
                  </w:pPr>
                  <w:r>
                    <w:rPr>
                      <w:b/>
                      <w:bCs/>
                      <w:sz w:val="21"/>
                      <w:szCs w:val="21"/>
                    </w:rPr>
                    <w:t>浓度范围</w:t>
                  </w:r>
                </w:p>
              </w:tc>
              <w:tc>
                <w:tcPr>
                  <w:tcW w:w="1419" w:type="dxa"/>
                  <w:vAlign w:val="center"/>
                </w:tcPr>
                <w:p w14:paraId="20AEAC78">
                  <w:pPr>
                    <w:jc w:val="center"/>
                    <w:rPr>
                      <w:b/>
                      <w:bCs/>
                      <w:sz w:val="21"/>
                      <w:szCs w:val="21"/>
                    </w:rPr>
                  </w:pPr>
                  <w:r>
                    <w:rPr>
                      <w:rFonts w:hint="eastAsia"/>
                      <w:b/>
                      <w:bCs/>
                      <w:sz w:val="21"/>
                      <w:szCs w:val="21"/>
                    </w:rPr>
                    <w:t>最大浓度占标率</w:t>
                  </w:r>
                </w:p>
              </w:tc>
              <w:tc>
                <w:tcPr>
                  <w:tcW w:w="917" w:type="dxa"/>
                  <w:vAlign w:val="center"/>
                </w:tcPr>
                <w:p w14:paraId="4E9935D3">
                  <w:pPr>
                    <w:jc w:val="center"/>
                    <w:rPr>
                      <w:b/>
                      <w:bCs/>
                      <w:sz w:val="21"/>
                      <w:szCs w:val="21"/>
                    </w:rPr>
                  </w:pPr>
                  <w:r>
                    <w:rPr>
                      <w:rFonts w:hint="eastAsia"/>
                      <w:b/>
                      <w:bCs/>
                      <w:sz w:val="21"/>
                      <w:szCs w:val="21"/>
                    </w:rPr>
                    <w:t>评价标准</w:t>
                  </w:r>
                </w:p>
              </w:tc>
              <w:tc>
                <w:tcPr>
                  <w:tcW w:w="745" w:type="dxa"/>
                  <w:vAlign w:val="center"/>
                </w:tcPr>
                <w:p w14:paraId="716B50BE">
                  <w:pPr>
                    <w:jc w:val="center"/>
                    <w:rPr>
                      <w:b/>
                      <w:bCs/>
                      <w:sz w:val="21"/>
                      <w:szCs w:val="21"/>
                    </w:rPr>
                  </w:pPr>
                  <w:r>
                    <w:rPr>
                      <w:b/>
                      <w:bCs/>
                      <w:sz w:val="21"/>
                      <w:szCs w:val="21"/>
                    </w:rPr>
                    <w:t>超标率</w:t>
                  </w:r>
                </w:p>
              </w:tc>
              <w:tc>
                <w:tcPr>
                  <w:tcW w:w="1221" w:type="dxa"/>
                  <w:vAlign w:val="center"/>
                </w:tcPr>
                <w:p w14:paraId="6CC166F2">
                  <w:pPr>
                    <w:jc w:val="center"/>
                    <w:rPr>
                      <w:b/>
                      <w:bCs/>
                      <w:sz w:val="21"/>
                      <w:szCs w:val="21"/>
                    </w:rPr>
                  </w:pPr>
                  <w:r>
                    <w:rPr>
                      <w:b/>
                      <w:bCs/>
                      <w:sz w:val="21"/>
                      <w:szCs w:val="21"/>
                    </w:rPr>
                    <w:t>最大超标倍数</w:t>
                  </w:r>
                </w:p>
              </w:tc>
              <w:tc>
                <w:tcPr>
                  <w:tcW w:w="904" w:type="dxa"/>
                  <w:vAlign w:val="center"/>
                </w:tcPr>
                <w:p w14:paraId="05989BCC">
                  <w:pPr>
                    <w:jc w:val="center"/>
                    <w:rPr>
                      <w:b/>
                      <w:bCs/>
                      <w:sz w:val="21"/>
                      <w:szCs w:val="21"/>
                    </w:rPr>
                  </w:pPr>
                  <w:r>
                    <w:rPr>
                      <w:b/>
                      <w:bCs/>
                      <w:sz w:val="21"/>
                      <w:szCs w:val="21"/>
                    </w:rPr>
                    <w:t>评价结果</w:t>
                  </w:r>
                </w:p>
              </w:tc>
            </w:tr>
            <w:tr w14:paraId="7D1D07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Align w:val="center"/>
                </w:tcPr>
                <w:p w14:paraId="2C10F325">
                  <w:pPr>
                    <w:jc w:val="center"/>
                    <w:rPr>
                      <w:sz w:val="21"/>
                      <w:szCs w:val="21"/>
                    </w:rPr>
                  </w:pPr>
                  <w:r>
                    <w:rPr>
                      <w:rFonts w:hint="eastAsia"/>
                      <w:sz w:val="21"/>
                      <w:szCs w:val="21"/>
                    </w:rPr>
                    <w:t>经开区管委会</w:t>
                  </w:r>
                </w:p>
              </w:tc>
              <w:tc>
                <w:tcPr>
                  <w:tcW w:w="993" w:type="dxa"/>
                  <w:vAlign w:val="center"/>
                </w:tcPr>
                <w:p w14:paraId="5410782C">
                  <w:pPr>
                    <w:jc w:val="center"/>
                    <w:rPr>
                      <w:sz w:val="21"/>
                      <w:szCs w:val="21"/>
                    </w:rPr>
                  </w:pPr>
                  <w:r>
                    <w:rPr>
                      <w:sz w:val="21"/>
                      <w:szCs w:val="21"/>
                    </w:rPr>
                    <w:t>TVOC</w:t>
                  </w:r>
                </w:p>
              </w:tc>
              <w:tc>
                <w:tcPr>
                  <w:tcW w:w="1485" w:type="dxa"/>
                  <w:vAlign w:val="center"/>
                </w:tcPr>
                <w:p w14:paraId="20DBEFF6">
                  <w:pPr>
                    <w:jc w:val="center"/>
                    <w:rPr>
                      <w:sz w:val="21"/>
                      <w:szCs w:val="21"/>
                    </w:rPr>
                  </w:pPr>
                </w:p>
              </w:tc>
              <w:tc>
                <w:tcPr>
                  <w:tcW w:w="1419" w:type="dxa"/>
                  <w:vAlign w:val="center"/>
                </w:tcPr>
                <w:p w14:paraId="4B58ADC7">
                  <w:pPr>
                    <w:jc w:val="center"/>
                    <w:rPr>
                      <w:sz w:val="21"/>
                      <w:szCs w:val="21"/>
                    </w:rPr>
                  </w:pPr>
                </w:p>
              </w:tc>
              <w:tc>
                <w:tcPr>
                  <w:tcW w:w="917" w:type="dxa"/>
                  <w:vAlign w:val="center"/>
                </w:tcPr>
                <w:p w14:paraId="6C3304F6">
                  <w:pPr>
                    <w:jc w:val="center"/>
                    <w:rPr>
                      <w:sz w:val="21"/>
                      <w:szCs w:val="21"/>
                    </w:rPr>
                  </w:pPr>
                  <w:r>
                    <w:rPr>
                      <w:rFonts w:hint="eastAsia"/>
                      <w:sz w:val="21"/>
                      <w:szCs w:val="21"/>
                    </w:rPr>
                    <w:t>0.6</w:t>
                  </w:r>
                </w:p>
              </w:tc>
              <w:tc>
                <w:tcPr>
                  <w:tcW w:w="745" w:type="dxa"/>
                  <w:vAlign w:val="center"/>
                </w:tcPr>
                <w:p w14:paraId="635E43F6">
                  <w:pPr>
                    <w:jc w:val="center"/>
                    <w:rPr>
                      <w:sz w:val="21"/>
                      <w:szCs w:val="21"/>
                    </w:rPr>
                  </w:pPr>
                  <w:r>
                    <w:rPr>
                      <w:sz w:val="21"/>
                      <w:szCs w:val="21"/>
                    </w:rPr>
                    <w:t>0</w:t>
                  </w:r>
                </w:p>
              </w:tc>
              <w:tc>
                <w:tcPr>
                  <w:tcW w:w="1221" w:type="dxa"/>
                  <w:vAlign w:val="center"/>
                </w:tcPr>
                <w:p w14:paraId="6890D4FA">
                  <w:pPr>
                    <w:jc w:val="center"/>
                    <w:rPr>
                      <w:sz w:val="21"/>
                      <w:szCs w:val="21"/>
                    </w:rPr>
                  </w:pPr>
                  <w:r>
                    <w:rPr>
                      <w:sz w:val="21"/>
                      <w:szCs w:val="21"/>
                    </w:rPr>
                    <w:t>0</w:t>
                  </w:r>
                </w:p>
              </w:tc>
              <w:tc>
                <w:tcPr>
                  <w:tcW w:w="904" w:type="dxa"/>
                  <w:vAlign w:val="center"/>
                </w:tcPr>
                <w:p w14:paraId="1291BA9F">
                  <w:pPr>
                    <w:jc w:val="center"/>
                    <w:rPr>
                      <w:sz w:val="21"/>
                      <w:szCs w:val="21"/>
                    </w:rPr>
                  </w:pPr>
                  <w:r>
                    <w:rPr>
                      <w:sz w:val="21"/>
                      <w:szCs w:val="21"/>
                    </w:rPr>
                    <w:t>达标</w:t>
                  </w:r>
                </w:p>
              </w:tc>
            </w:tr>
          </w:tbl>
          <w:p w14:paraId="55D2A1CC">
            <w:pPr>
              <w:pStyle w:val="14"/>
              <w:snapToGrid/>
              <w:spacing w:before="120" w:beforeLines="50" w:after="0" w:line="360" w:lineRule="auto"/>
              <w:ind w:right="0" w:firstLine="480" w:firstLineChars="200"/>
            </w:pPr>
            <w:r>
              <w:rPr>
                <w:sz w:val="24"/>
              </w:rPr>
              <w:t>由</w:t>
            </w:r>
            <w:r>
              <w:rPr>
                <w:rFonts w:hint="eastAsia"/>
                <w:sz w:val="24"/>
              </w:rPr>
              <w:t>以上</w:t>
            </w:r>
            <w:r>
              <w:rPr>
                <w:sz w:val="24"/>
              </w:rPr>
              <w:t>数据可知，项目</w:t>
            </w:r>
            <w:r>
              <w:rPr>
                <w:rFonts w:hint="eastAsia"/>
                <w:sz w:val="24"/>
              </w:rPr>
              <w:t>所在区域</w:t>
            </w:r>
            <w:r>
              <w:rPr>
                <w:sz w:val="24"/>
              </w:rPr>
              <w:t>的TVOC满足《环境影响评价技术导则 大气环境》（HJ2.2-2018）附录D限值要求。</w:t>
            </w:r>
          </w:p>
          <w:p w14:paraId="4D758141">
            <w:pPr>
              <w:wordWrap w:val="0"/>
              <w:topLinePunct/>
              <w:adjustRightInd w:val="0"/>
              <w:snapToGrid w:val="0"/>
              <w:spacing w:line="360" w:lineRule="auto"/>
              <w:ind w:left="480" w:leftChars="200"/>
              <w:rPr>
                <w:b/>
                <w:kern w:val="0"/>
                <w:szCs w:val="21"/>
              </w:rPr>
            </w:pPr>
            <w:r>
              <w:rPr>
                <w:b/>
                <w:kern w:val="0"/>
                <w:szCs w:val="21"/>
              </w:rPr>
              <w:t>2、地表水环境质量现状监测与评价</w:t>
            </w:r>
          </w:p>
          <w:p w14:paraId="43A5754C">
            <w:pPr>
              <w:spacing w:line="360" w:lineRule="auto"/>
              <w:ind w:firstLine="480" w:firstLineChars="200"/>
            </w:pPr>
            <w:r>
              <w:rPr>
                <w:color w:val="000000" w:themeColor="text1"/>
                <w14:textFill>
                  <w14:solidFill>
                    <w14:schemeClr w14:val="tx1"/>
                  </w14:solidFill>
                </w14:textFill>
              </w:rPr>
              <w:t>本项目纳污水体为湘江，根据衡阳市生态环境局发布的《关于202</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年12月及1-12月全市环境质量状况的通报》，202</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年1月-12月湘江城北水厂断面（松木污水处理厂排口上游约11km）和鱼石村断面（松木污水处理厂排口下游约12km）水质均为II类。</w:t>
            </w:r>
            <w:r>
              <w:t>项目所在区域水环境质量达标。</w:t>
            </w:r>
          </w:p>
          <w:p w14:paraId="62015015">
            <w:pPr>
              <w:wordWrap w:val="0"/>
              <w:topLinePunct/>
              <w:adjustRightInd w:val="0"/>
              <w:snapToGrid w:val="0"/>
              <w:spacing w:line="360" w:lineRule="auto"/>
              <w:ind w:left="480" w:leftChars="200"/>
              <w:rPr>
                <w:b/>
                <w:color w:val="000000"/>
                <w:kern w:val="0"/>
                <w:szCs w:val="21"/>
              </w:rPr>
            </w:pPr>
            <w:r>
              <w:rPr>
                <w:b/>
                <w:color w:val="000000"/>
                <w:kern w:val="0"/>
                <w:szCs w:val="21"/>
              </w:rPr>
              <w:t>3、声环境质量现状监测与评价</w:t>
            </w:r>
          </w:p>
          <w:p w14:paraId="0E63E4E4">
            <w:pPr>
              <w:adjustRightInd w:val="0"/>
              <w:snapToGrid w:val="0"/>
              <w:spacing w:line="360" w:lineRule="auto"/>
              <w:ind w:firstLine="480" w:firstLineChars="200"/>
              <w:rPr>
                <w:kern w:val="0"/>
              </w:rPr>
            </w:pPr>
            <w:r>
              <w:rPr>
                <w:kern w:val="0"/>
              </w:rPr>
              <w:t>根据生态环境部办公厅 2020 年 12 月 24 日印发的《建设项目环境影响报告表编制技术指南（污染影响类）（试行）》中具体编制要求“声环境、厂界外周边 50 米范围内存在声环境保护目标的建设项目，应监测保护目标声环境质量现状并评价达标情况。各点位应监测昼夜间噪声，监测时间不少于 1 天，项目夜间不生产则仅监测昼间噪声。”结合现场调查，本项目厂界外周边 50 米范围内不存在声环境保护目标，因此不需要进行声环境质量监测。</w:t>
            </w:r>
          </w:p>
          <w:p w14:paraId="27567794">
            <w:pPr>
              <w:wordWrap w:val="0"/>
              <w:topLinePunct/>
              <w:adjustRightInd w:val="0"/>
              <w:snapToGrid w:val="0"/>
              <w:spacing w:line="360" w:lineRule="auto"/>
              <w:ind w:left="480" w:leftChars="200"/>
              <w:rPr>
                <w:rFonts w:hint="eastAsia" w:eastAsia="宋体"/>
                <w:b/>
                <w:bCs/>
                <w:kern w:val="0"/>
                <w:szCs w:val="21"/>
                <w:u w:val="single"/>
                <w:lang w:val="en-US" w:eastAsia="zh-CN"/>
              </w:rPr>
            </w:pPr>
            <w:r>
              <w:rPr>
                <w:rFonts w:hint="eastAsia"/>
                <w:b/>
                <w:bCs/>
                <w:kern w:val="0"/>
                <w:szCs w:val="21"/>
                <w:u w:val="single"/>
                <w:lang w:val="en-US" w:eastAsia="zh-CN"/>
              </w:rPr>
              <w:t>4、土壤环境</w:t>
            </w:r>
          </w:p>
          <w:p w14:paraId="3D948DEB">
            <w:pPr>
              <w:pStyle w:val="78"/>
              <w:adjustRightInd/>
              <w:snapToGrid/>
              <w:spacing w:line="360" w:lineRule="auto"/>
              <w:ind w:firstLine="480" w:firstLineChars="200"/>
              <w:jc w:val="both"/>
              <w:rPr>
                <w:rFonts w:hint="default" w:ascii="Times New Roman" w:hAnsi="Times New Roman" w:cs="Times New Roman"/>
                <w:u w:val="single"/>
                <w:lang w:val="en-US" w:eastAsia="zh-CN"/>
              </w:rPr>
            </w:pPr>
            <w:r>
              <w:rPr>
                <w:rFonts w:hint="default" w:ascii="Times New Roman" w:hAnsi="Times New Roman" w:eastAsia="宋体" w:cs="Times New Roman"/>
                <w:u w:val="single"/>
                <w:lang w:val="en-US" w:eastAsia="zh-CN"/>
              </w:rPr>
              <w:t>根据《建设项目环境影响报告表编制技术指南</w:t>
            </w:r>
            <w:r>
              <w:rPr>
                <w:rFonts w:hint="eastAsia" w:cs="Times New Roman"/>
                <w:u w:val="single"/>
                <w:lang w:val="en-US" w:eastAsia="zh-CN"/>
              </w:rPr>
              <w:t>（污染影响类）</w:t>
            </w:r>
            <w:r>
              <w:rPr>
                <w:rFonts w:hint="default" w:ascii="Times New Roman" w:hAnsi="Times New Roman" w:eastAsia="宋体" w:cs="Times New Roman"/>
                <w:u w:val="single"/>
                <w:lang w:val="en-US" w:eastAsia="zh-CN"/>
              </w:rPr>
              <w:t>》</w:t>
            </w:r>
            <w:r>
              <w:rPr>
                <w:rFonts w:hint="eastAsia" w:cs="Times New Roman"/>
                <w:u w:val="single"/>
                <w:lang w:val="en-US" w:eastAsia="zh-CN"/>
              </w:rPr>
              <w:t>（试行）内容</w:t>
            </w:r>
            <w:r>
              <w:rPr>
                <w:rFonts w:hint="default" w:ascii="Times New Roman" w:hAnsi="Times New Roman" w:eastAsia="宋体" w:cs="Times New Roman"/>
                <w:u w:val="single"/>
                <w:lang w:val="en-US" w:eastAsia="zh-CN"/>
              </w:rPr>
              <w:t>，</w:t>
            </w:r>
            <w:r>
              <w:rPr>
                <w:rFonts w:hint="eastAsia" w:cs="Times New Roman"/>
                <w:u w:val="single"/>
                <w:lang w:val="en-US" w:eastAsia="zh-CN"/>
              </w:rPr>
              <w:t>“</w:t>
            </w:r>
            <w:r>
              <w:rPr>
                <w:rFonts w:hint="default" w:ascii="Times New Roman" w:hAnsi="Times New Roman" w:cs="Times New Roman"/>
                <w:u w:val="single"/>
                <w:lang w:val="en-US" w:eastAsia="zh-CN"/>
              </w:rPr>
              <w:t>原则上不开展</w:t>
            </w:r>
            <w:r>
              <w:rPr>
                <w:rFonts w:hint="eastAsia" w:cs="Times New Roman"/>
                <w:u w:val="single"/>
                <w:lang w:val="en-US" w:eastAsia="zh-CN"/>
              </w:rPr>
              <w:t>土壤</w:t>
            </w:r>
            <w:r>
              <w:rPr>
                <w:rFonts w:hint="default" w:ascii="Times New Roman" w:hAnsi="Times New Roman" w:cs="Times New Roman"/>
                <w:u w:val="single"/>
                <w:lang w:val="en-US" w:eastAsia="zh-CN"/>
              </w:rPr>
              <w:t>环境质量现状调查。建设项目存在土壤环境污染途径的，应结合污染源、保护目标分布情况开展现状调查以留作背景值</w:t>
            </w:r>
            <w:r>
              <w:rPr>
                <w:rFonts w:hint="eastAsia" w:cs="Times New Roman"/>
                <w:u w:val="single"/>
                <w:lang w:val="en-US" w:eastAsia="zh-CN"/>
              </w:rPr>
              <w:t>”</w:t>
            </w:r>
            <w:r>
              <w:rPr>
                <w:rFonts w:hint="default" w:ascii="Times New Roman" w:hAnsi="Times New Roman" w:cs="Times New Roman"/>
                <w:u w:val="single"/>
                <w:lang w:val="en-US" w:eastAsia="zh-CN"/>
              </w:rPr>
              <w:t>。</w:t>
            </w:r>
            <w:r>
              <w:rPr>
                <w:rFonts w:hint="eastAsia" w:cs="Times New Roman"/>
                <w:u w:val="single"/>
                <w:lang w:val="en-US" w:eastAsia="zh-CN"/>
              </w:rPr>
              <w:t>本项目租赁场地地面已硬化，不存在土壤的环境污染途径。</w:t>
            </w:r>
          </w:p>
          <w:p w14:paraId="627B30FA">
            <w:pPr>
              <w:wordWrap w:val="0"/>
              <w:topLinePunct/>
              <w:adjustRightInd w:val="0"/>
              <w:snapToGrid w:val="0"/>
              <w:spacing w:line="360" w:lineRule="auto"/>
              <w:ind w:left="480" w:leftChars="200"/>
              <w:rPr>
                <w:rFonts w:hint="eastAsia" w:eastAsia="宋体"/>
                <w:b/>
                <w:bCs/>
                <w:kern w:val="0"/>
                <w:szCs w:val="21"/>
                <w:u w:val="single"/>
                <w:lang w:val="en-US" w:eastAsia="zh-CN"/>
              </w:rPr>
            </w:pPr>
            <w:r>
              <w:rPr>
                <w:rFonts w:hint="eastAsia"/>
                <w:b/>
                <w:bCs/>
                <w:kern w:val="0"/>
                <w:szCs w:val="21"/>
                <w:u w:val="single"/>
                <w:lang w:val="en-US" w:eastAsia="zh-CN"/>
              </w:rPr>
              <w:t>5、地下水环境</w:t>
            </w:r>
          </w:p>
          <w:p w14:paraId="4A5CD896">
            <w:pPr>
              <w:keepNext w:val="0"/>
              <w:keepLines w:val="0"/>
              <w:pageBreakBefore w:val="0"/>
              <w:widowControl w:val="0"/>
              <w:kinsoku/>
              <w:wordWrap w:val="0"/>
              <w:overflowPunct/>
              <w:topLinePunct/>
              <w:autoSpaceDE/>
              <w:autoSpaceDN/>
              <w:bidi w:val="0"/>
              <w:adjustRightInd w:val="0"/>
              <w:snapToGrid w:val="0"/>
              <w:spacing w:line="360" w:lineRule="auto"/>
              <w:ind w:left="0" w:leftChars="0" w:firstLine="480" w:firstLineChars="200"/>
              <w:textAlignment w:val="auto"/>
              <w:rPr>
                <w:b/>
                <w:bCs/>
                <w:kern w:val="0"/>
                <w:szCs w:val="21"/>
              </w:rPr>
            </w:pPr>
            <w:r>
              <w:rPr>
                <w:rFonts w:hint="default" w:ascii="Times New Roman" w:hAnsi="Times New Roman" w:eastAsia="宋体" w:cs="Times New Roman"/>
                <w:u w:val="single"/>
                <w:lang w:val="en-US" w:eastAsia="zh-CN"/>
              </w:rPr>
              <w:t>根据《建设项目环境影响报告表编制技术指南</w:t>
            </w:r>
            <w:r>
              <w:rPr>
                <w:rFonts w:hint="eastAsia" w:cs="Times New Roman"/>
                <w:u w:val="single"/>
                <w:lang w:val="en-US" w:eastAsia="zh-CN"/>
              </w:rPr>
              <w:t>（污染影响类）</w:t>
            </w:r>
            <w:r>
              <w:rPr>
                <w:rFonts w:hint="default" w:ascii="Times New Roman" w:hAnsi="Times New Roman" w:eastAsia="宋体" w:cs="Times New Roman"/>
                <w:u w:val="single"/>
                <w:lang w:val="en-US" w:eastAsia="zh-CN"/>
              </w:rPr>
              <w:t>》</w:t>
            </w:r>
            <w:r>
              <w:rPr>
                <w:rFonts w:hint="eastAsia" w:cs="Times New Roman"/>
                <w:u w:val="single"/>
                <w:lang w:val="en-US" w:eastAsia="zh-CN"/>
              </w:rPr>
              <w:t>（试行）内容</w:t>
            </w:r>
            <w:r>
              <w:rPr>
                <w:rFonts w:hint="default" w:ascii="Times New Roman" w:hAnsi="Times New Roman" w:eastAsia="宋体" w:cs="Times New Roman"/>
                <w:u w:val="single"/>
                <w:lang w:val="en-US" w:eastAsia="zh-CN"/>
              </w:rPr>
              <w:t>，</w:t>
            </w:r>
            <w:r>
              <w:rPr>
                <w:rFonts w:hint="eastAsia" w:cs="Times New Roman"/>
                <w:u w:val="single"/>
                <w:lang w:val="en-US" w:eastAsia="zh-CN"/>
              </w:rPr>
              <w:t>“</w:t>
            </w:r>
            <w:r>
              <w:rPr>
                <w:rFonts w:hint="default" w:ascii="Times New Roman" w:hAnsi="Times New Roman" w:cs="Times New Roman"/>
                <w:u w:val="single"/>
                <w:lang w:val="en-US" w:eastAsia="zh-CN"/>
              </w:rPr>
              <w:t>原则上不开展</w:t>
            </w:r>
            <w:r>
              <w:rPr>
                <w:rFonts w:hint="eastAsia" w:cs="Times New Roman"/>
                <w:u w:val="single"/>
                <w:lang w:val="en-US" w:eastAsia="zh-CN"/>
              </w:rPr>
              <w:t>地下水</w:t>
            </w:r>
            <w:r>
              <w:rPr>
                <w:rFonts w:hint="default" w:ascii="Times New Roman" w:hAnsi="Times New Roman" w:cs="Times New Roman"/>
                <w:u w:val="single"/>
                <w:lang w:val="en-US" w:eastAsia="zh-CN"/>
              </w:rPr>
              <w:t>环境质量现状调查。建设项目存在</w:t>
            </w:r>
            <w:r>
              <w:rPr>
                <w:rFonts w:hint="eastAsia" w:cs="Times New Roman"/>
                <w:u w:val="single"/>
                <w:lang w:val="en-US" w:eastAsia="zh-CN"/>
              </w:rPr>
              <w:t>地下水</w:t>
            </w:r>
            <w:r>
              <w:rPr>
                <w:rFonts w:hint="default" w:ascii="Times New Roman" w:hAnsi="Times New Roman" w:cs="Times New Roman"/>
                <w:u w:val="single"/>
                <w:lang w:val="en-US" w:eastAsia="zh-CN"/>
              </w:rPr>
              <w:t>环境污染途径的，应结合污染源、保护目标分布情况开展现状调查以留作背景值</w:t>
            </w:r>
            <w:r>
              <w:rPr>
                <w:rFonts w:hint="eastAsia" w:cs="Times New Roman"/>
                <w:u w:val="single"/>
                <w:lang w:val="en-US" w:eastAsia="zh-CN"/>
              </w:rPr>
              <w:t>”</w:t>
            </w:r>
            <w:r>
              <w:rPr>
                <w:rFonts w:hint="default" w:ascii="Times New Roman" w:hAnsi="Times New Roman" w:cs="Times New Roman"/>
                <w:u w:val="single"/>
                <w:lang w:val="en-US" w:eastAsia="zh-CN"/>
              </w:rPr>
              <w:t>。</w:t>
            </w:r>
            <w:r>
              <w:rPr>
                <w:rFonts w:hint="eastAsia" w:cs="Times New Roman"/>
                <w:u w:val="single"/>
                <w:lang w:val="en-US" w:eastAsia="zh-CN"/>
              </w:rPr>
              <w:t>本项目租赁场地地面已硬化，不存在地下水的环境污染途径。</w:t>
            </w:r>
          </w:p>
          <w:p w14:paraId="6FAE8BC7">
            <w:pPr>
              <w:wordWrap w:val="0"/>
              <w:topLinePunct/>
              <w:adjustRightInd w:val="0"/>
              <w:snapToGrid w:val="0"/>
              <w:spacing w:line="360" w:lineRule="auto"/>
              <w:ind w:left="480" w:leftChars="200"/>
              <w:rPr>
                <w:b/>
                <w:color w:val="000000"/>
                <w:kern w:val="0"/>
                <w:szCs w:val="21"/>
              </w:rPr>
            </w:pPr>
            <w:r>
              <w:rPr>
                <w:rFonts w:hint="eastAsia"/>
                <w:b/>
                <w:color w:val="000000"/>
                <w:kern w:val="0"/>
                <w:szCs w:val="21"/>
                <w:lang w:val="en-US" w:eastAsia="zh-CN"/>
              </w:rPr>
              <w:t>6、</w:t>
            </w:r>
            <w:r>
              <w:rPr>
                <w:b/>
                <w:color w:val="000000"/>
                <w:kern w:val="0"/>
                <w:szCs w:val="21"/>
              </w:rPr>
              <w:t>生态环境</w:t>
            </w:r>
          </w:p>
          <w:p w14:paraId="43E708DE">
            <w:pPr>
              <w:wordWrap w:val="0"/>
              <w:topLinePunct/>
              <w:adjustRightInd w:val="0"/>
              <w:snapToGrid w:val="0"/>
              <w:spacing w:line="360" w:lineRule="auto"/>
              <w:ind w:firstLine="480" w:firstLineChars="200"/>
              <w:rPr>
                <w:color w:val="2F5496"/>
                <w:kern w:val="0"/>
                <w:szCs w:val="21"/>
              </w:rPr>
            </w:pPr>
            <w:r>
              <w:rPr>
                <w:color w:val="000000"/>
                <w:kern w:val="0"/>
                <w:szCs w:val="21"/>
              </w:rPr>
              <w:t>本项目所在区域为</w:t>
            </w:r>
            <w:r>
              <w:rPr>
                <w:rFonts w:hint="eastAsia"/>
                <w:color w:val="000000"/>
                <w:kern w:val="0"/>
                <w:szCs w:val="21"/>
              </w:rPr>
              <w:t>湖南衡阳松木经开区</w:t>
            </w:r>
            <w:r>
              <w:rPr>
                <w:color w:val="000000"/>
                <w:kern w:val="0"/>
                <w:szCs w:val="21"/>
              </w:rPr>
              <w:t>，</w:t>
            </w:r>
            <w:r>
              <w:rPr>
                <w:rFonts w:hint="eastAsia"/>
                <w:color w:val="000000"/>
                <w:kern w:val="0"/>
                <w:szCs w:val="21"/>
              </w:rPr>
              <w:t>项目用地范围内不涉及生态环境保护目标，无需进行生态现状调查</w:t>
            </w:r>
            <w:r>
              <w:rPr>
                <w:color w:val="000000"/>
                <w:kern w:val="0"/>
                <w:szCs w:val="21"/>
              </w:rPr>
              <w:t>。</w:t>
            </w:r>
          </w:p>
        </w:tc>
      </w:tr>
      <w:tr w14:paraId="5A0A98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4" w:type="pct"/>
            <w:vAlign w:val="center"/>
          </w:tcPr>
          <w:p w14:paraId="6AB3B077">
            <w:pPr>
              <w:wordWrap w:val="0"/>
              <w:topLinePunct/>
              <w:adjustRightInd w:val="0"/>
              <w:snapToGrid w:val="0"/>
              <w:jc w:val="center"/>
              <w:rPr>
                <w:kern w:val="0"/>
                <w:szCs w:val="21"/>
              </w:rPr>
            </w:pPr>
            <w:r>
              <w:rPr>
                <w:kern w:val="0"/>
                <w:szCs w:val="21"/>
              </w:rPr>
              <w:t>环境</w:t>
            </w:r>
          </w:p>
          <w:p w14:paraId="0C885C10">
            <w:pPr>
              <w:wordWrap w:val="0"/>
              <w:topLinePunct/>
              <w:adjustRightInd w:val="0"/>
              <w:snapToGrid w:val="0"/>
              <w:jc w:val="center"/>
              <w:rPr>
                <w:kern w:val="0"/>
                <w:szCs w:val="21"/>
              </w:rPr>
            </w:pPr>
            <w:r>
              <w:rPr>
                <w:kern w:val="0"/>
                <w:szCs w:val="21"/>
              </w:rPr>
              <w:t>保护</w:t>
            </w:r>
          </w:p>
          <w:p w14:paraId="5DC5C081">
            <w:pPr>
              <w:wordWrap w:val="0"/>
              <w:topLinePunct/>
              <w:adjustRightInd w:val="0"/>
              <w:snapToGrid w:val="0"/>
              <w:jc w:val="center"/>
              <w:rPr>
                <w:color w:val="2F5496"/>
                <w:kern w:val="0"/>
                <w:szCs w:val="21"/>
              </w:rPr>
            </w:pPr>
            <w:r>
              <w:rPr>
                <w:kern w:val="0"/>
                <w:szCs w:val="21"/>
              </w:rPr>
              <w:t>目标</w:t>
            </w:r>
          </w:p>
        </w:tc>
        <w:tc>
          <w:tcPr>
            <w:tcW w:w="4705" w:type="pct"/>
            <w:vAlign w:val="center"/>
          </w:tcPr>
          <w:p w14:paraId="7EE96FBA">
            <w:pPr>
              <w:tabs>
                <w:tab w:val="left" w:pos="885"/>
              </w:tabs>
              <w:wordWrap w:val="0"/>
              <w:topLinePunct/>
              <w:adjustRightInd w:val="0"/>
              <w:snapToGrid w:val="0"/>
              <w:spacing w:line="360" w:lineRule="auto"/>
              <w:ind w:firstLine="480" w:firstLineChars="200"/>
              <w:rPr>
                <w:kern w:val="0"/>
              </w:rPr>
            </w:pPr>
            <w:r>
              <w:rPr>
                <w:rFonts w:hint="eastAsia"/>
                <w:bCs/>
                <w:kern w:val="0"/>
                <w:szCs w:val="21"/>
              </w:rPr>
              <w:t>项目厂界外500米范围内无地下水集中式饮用水水源和热水、矿泉水、温泉等特殊地下水资源，项目用地范围内无生态环境保护目标，本项目主要环境保护目标见表3-3</w:t>
            </w:r>
            <w:r>
              <w:rPr>
                <w:rStyle w:val="44"/>
                <w:kern w:val="0"/>
                <w:sz w:val="24"/>
              </w:rPr>
              <w:t>。</w:t>
            </w:r>
          </w:p>
          <w:p w14:paraId="0FAA89CA">
            <w:pPr>
              <w:pStyle w:val="107"/>
              <w:adjustRightInd/>
              <w:ind w:firstLine="0"/>
              <w:jc w:val="center"/>
              <w:rPr>
                <w:b/>
                <w:snapToGrid w:val="0"/>
                <w:color w:val="auto"/>
                <w:kern w:val="0"/>
                <w:sz w:val="22"/>
                <w:szCs w:val="22"/>
              </w:rPr>
            </w:pPr>
            <w:r>
              <w:rPr>
                <w:b/>
                <w:snapToGrid w:val="0"/>
                <w:color w:val="auto"/>
                <w:kern w:val="0"/>
                <w:sz w:val="22"/>
                <w:szCs w:val="22"/>
              </w:rPr>
              <w:t>表3-</w:t>
            </w:r>
            <w:r>
              <w:rPr>
                <w:rFonts w:hint="eastAsia"/>
                <w:b/>
                <w:snapToGrid w:val="0"/>
                <w:color w:val="auto"/>
                <w:kern w:val="0"/>
                <w:sz w:val="22"/>
                <w:szCs w:val="22"/>
              </w:rPr>
              <w:t>3</w:t>
            </w:r>
            <w:r>
              <w:rPr>
                <w:b/>
                <w:snapToGrid w:val="0"/>
                <w:color w:val="auto"/>
                <w:kern w:val="0"/>
                <w:sz w:val="22"/>
                <w:szCs w:val="22"/>
              </w:rPr>
              <w:t xml:space="preserve">  </w:t>
            </w:r>
            <w:r>
              <w:rPr>
                <w:rFonts w:hint="eastAsia"/>
                <w:b/>
                <w:snapToGrid w:val="0"/>
                <w:color w:val="auto"/>
                <w:kern w:val="0"/>
                <w:sz w:val="22"/>
                <w:szCs w:val="22"/>
              </w:rPr>
              <w:t>主要环境保护目标</w:t>
            </w:r>
          </w:p>
          <w:tbl>
            <w:tblPr>
              <w:tblStyle w:val="36"/>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93"/>
              <w:gridCol w:w="1139"/>
              <w:gridCol w:w="1125"/>
              <w:gridCol w:w="1109"/>
              <w:gridCol w:w="664"/>
              <w:gridCol w:w="1086"/>
              <w:gridCol w:w="726"/>
              <w:gridCol w:w="952"/>
              <w:gridCol w:w="1002"/>
            </w:tblGrid>
            <w:tr w14:paraId="04A131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Merge w:val="restart"/>
                  <w:vAlign w:val="center"/>
                </w:tcPr>
                <w:p w14:paraId="2245BB1D">
                  <w:pPr>
                    <w:pStyle w:val="10"/>
                    <w:widowControl w:val="0"/>
                    <w:wordWrap w:val="0"/>
                    <w:topLinePunct/>
                    <w:adjustRightInd w:val="0"/>
                    <w:snapToGrid w:val="0"/>
                    <w:ind w:firstLine="0"/>
                    <w:jc w:val="center"/>
                    <w:rPr>
                      <w:rFonts w:eastAsia="宋体"/>
                      <w:b/>
                      <w:w w:val="100"/>
                      <w:sz w:val="21"/>
                      <w:szCs w:val="21"/>
                      <w:u w:val="single"/>
                    </w:rPr>
                  </w:pPr>
                  <w:r>
                    <w:rPr>
                      <w:rFonts w:hint="eastAsia" w:eastAsia="宋体"/>
                      <w:b/>
                      <w:w w:val="100"/>
                      <w:sz w:val="21"/>
                      <w:szCs w:val="21"/>
                      <w:u w:val="single"/>
                    </w:rPr>
                    <w:t>环境要素</w:t>
                  </w:r>
                </w:p>
              </w:tc>
              <w:tc>
                <w:tcPr>
                  <w:tcW w:w="640" w:type="pct"/>
                  <w:vMerge w:val="restart"/>
                  <w:vAlign w:val="center"/>
                </w:tcPr>
                <w:p w14:paraId="2A6C3633">
                  <w:pPr>
                    <w:pStyle w:val="10"/>
                    <w:widowControl w:val="0"/>
                    <w:wordWrap w:val="0"/>
                    <w:topLinePunct/>
                    <w:adjustRightInd w:val="0"/>
                    <w:snapToGrid w:val="0"/>
                    <w:ind w:firstLine="0"/>
                    <w:jc w:val="center"/>
                    <w:rPr>
                      <w:rFonts w:eastAsia="宋体"/>
                      <w:b/>
                      <w:w w:val="100"/>
                      <w:sz w:val="21"/>
                      <w:szCs w:val="21"/>
                      <w:u w:val="single"/>
                    </w:rPr>
                  </w:pPr>
                  <w:r>
                    <w:rPr>
                      <w:rFonts w:eastAsia="宋体"/>
                      <w:b/>
                      <w:w w:val="100"/>
                      <w:sz w:val="21"/>
                      <w:szCs w:val="21"/>
                      <w:u w:val="single"/>
                    </w:rPr>
                    <w:t>名称</w:t>
                  </w:r>
                </w:p>
              </w:tc>
              <w:tc>
                <w:tcPr>
                  <w:tcW w:w="1255" w:type="pct"/>
                  <w:gridSpan w:val="2"/>
                  <w:vAlign w:val="center"/>
                </w:tcPr>
                <w:p w14:paraId="162FB03D">
                  <w:pPr>
                    <w:pStyle w:val="10"/>
                    <w:widowControl w:val="0"/>
                    <w:wordWrap w:val="0"/>
                    <w:topLinePunct/>
                    <w:adjustRightInd w:val="0"/>
                    <w:snapToGrid w:val="0"/>
                    <w:ind w:firstLine="0"/>
                    <w:jc w:val="center"/>
                    <w:rPr>
                      <w:rFonts w:eastAsia="宋体"/>
                      <w:b/>
                      <w:w w:val="100"/>
                      <w:sz w:val="21"/>
                      <w:szCs w:val="21"/>
                      <w:u w:val="single"/>
                    </w:rPr>
                  </w:pPr>
                  <w:r>
                    <w:rPr>
                      <w:rFonts w:eastAsia="宋体"/>
                      <w:b/>
                      <w:w w:val="100"/>
                      <w:sz w:val="21"/>
                      <w:szCs w:val="21"/>
                      <w:u w:val="single"/>
                    </w:rPr>
                    <w:t>坐标</w:t>
                  </w:r>
                </w:p>
              </w:tc>
              <w:tc>
                <w:tcPr>
                  <w:tcW w:w="373" w:type="pct"/>
                  <w:vMerge w:val="restart"/>
                  <w:vAlign w:val="center"/>
                </w:tcPr>
                <w:p w14:paraId="24C4B84D">
                  <w:pPr>
                    <w:pStyle w:val="10"/>
                    <w:widowControl w:val="0"/>
                    <w:wordWrap w:val="0"/>
                    <w:topLinePunct/>
                    <w:adjustRightInd w:val="0"/>
                    <w:snapToGrid w:val="0"/>
                    <w:ind w:firstLine="0"/>
                    <w:jc w:val="center"/>
                    <w:rPr>
                      <w:rFonts w:eastAsia="宋体"/>
                      <w:b/>
                      <w:w w:val="100"/>
                      <w:sz w:val="21"/>
                      <w:szCs w:val="21"/>
                      <w:u w:val="single"/>
                    </w:rPr>
                  </w:pPr>
                  <w:r>
                    <w:rPr>
                      <w:rFonts w:eastAsia="宋体"/>
                      <w:b/>
                      <w:w w:val="100"/>
                      <w:sz w:val="21"/>
                      <w:szCs w:val="21"/>
                      <w:u w:val="single"/>
                    </w:rPr>
                    <w:t>保护</w:t>
                  </w:r>
                </w:p>
                <w:p w14:paraId="66C6D754">
                  <w:pPr>
                    <w:pStyle w:val="10"/>
                    <w:widowControl w:val="0"/>
                    <w:wordWrap w:val="0"/>
                    <w:topLinePunct/>
                    <w:adjustRightInd w:val="0"/>
                    <w:snapToGrid w:val="0"/>
                    <w:ind w:firstLine="0"/>
                    <w:jc w:val="center"/>
                    <w:rPr>
                      <w:rFonts w:eastAsia="宋体"/>
                      <w:b/>
                      <w:w w:val="100"/>
                      <w:sz w:val="21"/>
                      <w:szCs w:val="21"/>
                      <w:u w:val="single"/>
                    </w:rPr>
                  </w:pPr>
                  <w:r>
                    <w:rPr>
                      <w:rFonts w:eastAsia="宋体"/>
                      <w:b/>
                      <w:w w:val="100"/>
                      <w:sz w:val="21"/>
                      <w:szCs w:val="21"/>
                      <w:u w:val="single"/>
                    </w:rPr>
                    <w:t>对象</w:t>
                  </w:r>
                </w:p>
              </w:tc>
              <w:tc>
                <w:tcPr>
                  <w:tcW w:w="609" w:type="pct"/>
                  <w:vMerge w:val="restart"/>
                  <w:vAlign w:val="center"/>
                </w:tcPr>
                <w:p w14:paraId="52829382">
                  <w:pPr>
                    <w:pStyle w:val="10"/>
                    <w:widowControl w:val="0"/>
                    <w:wordWrap w:val="0"/>
                    <w:topLinePunct/>
                    <w:adjustRightInd w:val="0"/>
                    <w:snapToGrid w:val="0"/>
                    <w:ind w:firstLine="0"/>
                    <w:jc w:val="center"/>
                    <w:rPr>
                      <w:rFonts w:eastAsia="宋体"/>
                      <w:b/>
                      <w:w w:val="100"/>
                      <w:sz w:val="21"/>
                      <w:szCs w:val="21"/>
                      <w:u w:val="single"/>
                    </w:rPr>
                  </w:pPr>
                  <w:r>
                    <w:rPr>
                      <w:rFonts w:eastAsia="宋体"/>
                      <w:b/>
                      <w:w w:val="100"/>
                      <w:sz w:val="21"/>
                      <w:szCs w:val="21"/>
                      <w:u w:val="single"/>
                    </w:rPr>
                    <w:t>保护</w:t>
                  </w:r>
                </w:p>
                <w:p w14:paraId="15A008CB">
                  <w:pPr>
                    <w:pStyle w:val="10"/>
                    <w:widowControl w:val="0"/>
                    <w:wordWrap w:val="0"/>
                    <w:topLinePunct/>
                    <w:adjustRightInd w:val="0"/>
                    <w:snapToGrid w:val="0"/>
                    <w:ind w:firstLine="0"/>
                    <w:jc w:val="center"/>
                    <w:rPr>
                      <w:rFonts w:eastAsia="宋体"/>
                      <w:b/>
                      <w:w w:val="100"/>
                      <w:sz w:val="21"/>
                      <w:szCs w:val="21"/>
                      <w:u w:val="single"/>
                    </w:rPr>
                  </w:pPr>
                  <w:r>
                    <w:rPr>
                      <w:rFonts w:eastAsia="宋体"/>
                      <w:b/>
                      <w:w w:val="100"/>
                      <w:sz w:val="21"/>
                      <w:szCs w:val="21"/>
                      <w:u w:val="single"/>
                    </w:rPr>
                    <w:t>内容</w:t>
                  </w:r>
                </w:p>
              </w:tc>
              <w:tc>
                <w:tcPr>
                  <w:tcW w:w="408" w:type="pct"/>
                  <w:vMerge w:val="restart"/>
                  <w:vAlign w:val="center"/>
                </w:tcPr>
                <w:p w14:paraId="009E1D49">
                  <w:pPr>
                    <w:pStyle w:val="10"/>
                    <w:widowControl w:val="0"/>
                    <w:wordWrap w:val="0"/>
                    <w:topLinePunct/>
                    <w:adjustRightInd w:val="0"/>
                    <w:snapToGrid w:val="0"/>
                    <w:ind w:firstLine="0"/>
                    <w:jc w:val="center"/>
                    <w:rPr>
                      <w:rFonts w:eastAsia="宋体"/>
                      <w:b/>
                      <w:w w:val="100"/>
                      <w:sz w:val="21"/>
                      <w:szCs w:val="21"/>
                      <w:u w:val="single"/>
                    </w:rPr>
                  </w:pPr>
                  <w:r>
                    <w:rPr>
                      <w:rFonts w:eastAsia="宋体"/>
                      <w:b/>
                      <w:w w:val="100"/>
                      <w:sz w:val="21"/>
                      <w:szCs w:val="21"/>
                      <w:u w:val="single"/>
                    </w:rPr>
                    <w:t>环境</w:t>
                  </w:r>
                </w:p>
                <w:p w14:paraId="0DFEC0B7">
                  <w:pPr>
                    <w:pStyle w:val="10"/>
                    <w:widowControl w:val="0"/>
                    <w:wordWrap w:val="0"/>
                    <w:topLinePunct/>
                    <w:adjustRightInd w:val="0"/>
                    <w:snapToGrid w:val="0"/>
                    <w:ind w:firstLine="0"/>
                    <w:jc w:val="center"/>
                    <w:rPr>
                      <w:rFonts w:eastAsia="宋体"/>
                      <w:b/>
                      <w:w w:val="100"/>
                      <w:sz w:val="21"/>
                      <w:szCs w:val="21"/>
                      <w:u w:val="single"/>
                    </w:rPr>
                  </w:pPr>
                  <w:r>
                    <w:rPr>
                      <w:rFonts w:eastAsia="宋体"/>
                      <w:b/>
                      <w:w w:val="100"/>
                      <w:sz w:val="21"/>
                      <w:szCs w:val="21"/>
                      <w:u w:val="single"/>
                    </w:rPr>
                    <w:t>功能区</w:t>
                  </w:r>
                </w:p>
              </w:tc>
              <w:tc>
                <w:tcPr>
                  <w:tcW w:w="535" w:type="pct"/>
                  <w:vMerge w:val="restart"/>
                  <w:vAlign w:val="center"/>
                </w:tcPr>
                <w:p w14:paraId="6B1AF7DC">
                  <w:pPr>
                    <w:pStyle w:val="10"/>
                    <w:widowControl w:val="0"/>
                    <w:wordWrap w:val="0"/>
                    <w:topLinePunct/>
                    <w:adjustRightInd w:val="0"/>
                    <w:snapToGrid w:val="0"/>
                    <w:ind w:firstLine="0"/>
                    <w:jc w:val="center"/>
                    <w:rPr>
                      <w:rFonts w:eastAsia="宋体"/>
                      <w:b/>
                      <w:w w:val="100"/>
                      <w:sz w:val="21"/>
                      <w:szCs w:val="21"/>
                      <w:u w:val="single"/>
                    </w:rPr>
                  </w:pPr>
                  <w:r>
                    <w:rPr>
                      <w:rFonts w:eastAsia="宋体"/>
                      <w:b/>
                      <w:w w:val="100"/>
                      <w:sz w:val="21"/>
                      <w:szCs w:val="21"/>
                      <w:u w:val="single"/>
                    </w:rPr>
                    <w:t>相对厂</w:t>
                  </w:r>
                </w:p>
                <w:p w14:paraId="0776366A">
                  <w:pPr>
                    <w:pStyle w:val="10"/>
                    <w:widowControl w:val="0"/>
                    <w:wordWrap w:val="0"/>
                    <w:topLinePunct/>
                    <w:adjustRightInd w:val="0"/>
                    <w:snapToGrid w:val="0"/>
                    <w:ind w:firstLine="0"/>
                    <w:jc w:val="center"/>
                    <w:rPr>
                      <w:rFonts w:eastAsia="宋体"/>
                      <w:b/>
                      <w:w w:val="100"/>
                      <w:sz w:val="21"/>
                      <w:szCs w:val="21"/>
                      <w:u w:val="single"/>
                    </w:rPr>
                  </w:pPr>
                  <w:r>
                    <w:rPr>
                      <w:rFonts w:eastAsia="宋体"/>
                      <w:b/>
                      <w:w w:val="100"/>
                      <w:sz w:val="21"/>
                      <w:szCs w:val="21"/>
                      <w:u w:val="single"/>
                    </w:rPr>
                    <w:t>址方位</w:t>
                  </w:r>
                </w:p>
              </w:tc>
              <w:tc>
                <w:tcPr>
                  <w:tcW w:w="562" w:type="pct"/>
                  <w:vMerge w:val="restart"/>
                  <w:vAlign w:val="center"/>
                </w:tcPr>
                <w:p w14:paraId="658726E4">
                  <w:pPr>
                    <w:pStyle w:val="10"/>
                    <w:widowControl w:val="0"/>
                    <w:wordWrap w:val="0"/>
                    <w:topLinePunct/>
                    <w:adjustRightInd w:val="0"/>
                    <w:snapToGrid w:val="0"/>
                    <w:ind w:firstLine="0"/>
                    <w:jc w:val="center"/>
                    <w:rPr>
                      <w:rFonts w:eastAsia="宋体"/>
                      <w:b/>
                      <w:w w:val="100"/>
                      <w:sz w:val="21"/>
                      <w:szCs w:val="21"/>
                      <w:u w:val="single"/>
                    </w:rPr>
                  </w:pPr>
                  <w:r>
                    <w:rPr>
                      <w:rFonts w:eastAsia="宋体"/>
                      <w:b/>
                      <w:w w:val="100"/>
                      <w:sz w:val="21"/>
                      <w:szCs w:val="21"/>
                      <w:u w:val="single"/>
                    </w:rPr>
                    <w:t>相对厂</w:t>
                  </w:r>
                </w:p>
                <w:p w14:paraId="3C2FC8CB">
                  <w:pPr>
                    <w:pStyle w:val="10"/>
                    <w:widowControl w:val="0"/>
                    <w:wordWrap w:val="0"/>
                    <w:topLinePunct/>
                    <w:adjustRightInd w:val="0"/>
                    <w:snapToGrid w:val="0"/>
                    <w:ind w:firstLine="0"/>
                    <w:jc w:val="center"/>
                    <w:rPr>
                      <w:rFonts w:eastAsia="宋体"/>
                      <w:b/>
                      <w:w w:val="100"/>
                      <w:sz w:val="21"/>
                      <w:szCs w:val="21"/>
                      <w:u w:val="single"/>
                    </w:rPr>
                  </w:pPr>
                  <w:r>
                    <w:rPr>
                      <w:rFonts w:eastAsia="宋体"/>
                      <w:b/>
                      <w:w w:val="100"/>
                      <w:sz w:val="21"/>
                      <w:szCs w:val="21"/>
                      <w:u w:val="single"/>
                    </w:rPr>
                    <w:t>房距离</w:t>
                  </w:r>
                </w:p>
              </w:tc>
            </w:tr>
            <w:tr w14:paraId="61988E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Merge w:val="continue"/>
                  <w:vAlign w:val="center"/>
                </w:tcPr>
                <w:p w14:paraId="74062034">
                  <w:pPr>
                    <w:pStyle w:val="10"/>
                    <w:widowControl w:val="0"/>
                    <w:wordWrap w:val="0"/>
                    <w:topLinePunct/>
                    <w:adjustRightInd w:val="0"/>
                    <w:snapToGrid w:val="0"/>
                    <w:ind w:firstLine="0"/>
                    <w:jc w:val="center"/>
                    <w:rPr>
                      <w:rFonts w:eastAsia="宋体"/>
                      <w:w w:val="100"/>
                      <w:sz w:val="21"/>
                      <w:szCs w:val="21"/>
                      <w:u w:val="single"/>
                    </w:rPr>
                  </w:pPr>
                </w:p>
              </w:tc>
              <w:tc>
                <w:tcPr>
                  <w:tcW w:w="640" w:type="pct"/>
                  <w:vMerge w:val="continue"/>
                  <w:vAlign w:val="center"/>
                </w:tcPr>
                <w:p w14:paraId="27A87BBC">
                  <w:pPr>
                    <w:pStyle w:val="10"/>
                    <w:widowControl w:val="0"/>
                    <w:wordWrap w:val="0"/>
                    <w:topLinePunct/>
                    <w:adjustRightInd w:val="0"/>
                    <w:snapToGrid w:val="0"/>
                    <w:ind w:firstLine="0"/>
                    <w:jc w:val="center"/>
                    <w:rPr>
                      <w:rFonts w:eastAsia="宋体"/>
                      <w:w w:val="100"/>
                      <w:sz w:val="21"/>
                      <w:szCs w:val="21"/>
                      <w:u w:val="single"/>
                    </w:rPr>
                  </w:pPr>
                </w:p>
              </w:tc>
              <w:tc>
                <w:tcPr>
                  <w:tcW w:w="632" w:type="pct"/>
                  <w:vAlign w:val="center"/>
                </w:tcPr>
                <w:p w14:paraId="1E8F4CBD">
                  <w:pPr>
                    <w:pStyle w:val="10"/>
                    <w:widowControl w:val="0"/>
                    <w:wordWrap w:val="0"/>
                    <w:topLinePunct/>
                    <w:adjustRightInd w:val="0"/>
                    <w:snapToGrid w:val="0"/>
                    <w:ind w:firstLine="0"/>
                    <w:jc w:val="center"/>
                    <w:rPr>
                      <w:rFonts w:hint="default" w:eastAsia="宋体"/>
                      <w:b/>
                      <w:w w:val="100"/>
                      <w:sz w:val="21"/>
                      <w:szCs w:val="21"/>
                      <w:u w:val="single"/>
                      <w:lang w:val="en-US" w:eastAsia="zh-CN"/>
                    </w:rPr>
                  </w:pPr>
                  <w:r>
                    <w:rPr>
                      <w:rFonts w:eastAsia="宋体"/>
                      <w:b/>
                      <w:w w:val="100"/>
                      <w:sz w:val="21"/>
                      <w:szCs w:val="21"/>
                      <w:u w:val="single"/>
                    </w:rPr>
                    <w:t>经度</w:t>
                  </w:r>
                  <w:r>
                    <w:rPr>
                      <w:rFonts w:hint="eastAsia" w:eastAsia="宋体"/>
                      <w:b/>
                      <w:w w:val="100"/>
                      <w:sz w:val="21"/>
                      <w:szCs w:val="21"/>
                      <w:u w:val="single"/>
                      <w:lang w:val="en-US" w:eastAsia="zh-CN"/>
                    </w:rPr>
                    <w:t>E°</w:t>
                  </w:r>
                </w:p>
              </w:tc>
              <w:tc>
                <w:tcPr>
                  <w:tcW w:w="623" w:type="pct"/>
                  <w:vAlign w:val="center"/>
                </w:tcPr>
                <w:p w14:paraId="246139B1">
                  <w:pPr>
                    <w:pStyle w:val="10"/>
                    <w:widowControl w:val="0"/>
                    <w:wordWrap w:val="0"/>
                    <w:topLinePunct/>
                    <w:adjustRightInd w:val="0"/>
                    <w:snapToGrid w:val="0"/>
                    <w:ind w:firstLine="0"/>
                    <w:jc w:val="center"/>
                    <w:rPr>
                      <w:rFonts w:hint="default" w:eastAsia="宋体"/>
                      <w:b/>
                      <w:w w:val="100"/>
                      <w:sz w:val="21"/>
                      <w:szCs w:val="21"/>
                      <w:u w:val="single"/>
                      <w:lang w:val="en-US" w:eastAsia="zh-CN"/>
                    </w:rPr>
                  </w:pPr>
                  <w:r>
                    <w:rPr>
                      <w:rFonts w:eastAsia="宋体"/>
                      <w:b/>
                      <w:w w:val="100"/>
                      <w:sz w:val="21"/>
                      <w:szCs w:val="21"/>
                      <w:u w:val="single"/>
                    </w:rPr>
                    <w:t>纬度</w:t>
                  </w:r>
                  <w:r>
                    <w:rPr>
                      <w:rFonts w:hint="eastAsia" w:eastAsia="宋体"/>
                      <w:b/>
                      <w:w w:val="100"/>
                      <w:sz w:val="21"/>
                      <w:szCs w:val="21"/>
                      <w:u w:val="single"/>
                      <w:lang w:val="en-US" w:eastAsia="zh-CN"/>
                    </w:rPr>
                    <w:t>N°</w:t>
                  </w:r>
                </w:p>
              </w:tc>
              <w:tc>
                <w:tcPr>
                  <w:tcW w:w="373" w:type="pct"/>
                  <w:vMerge w:val="continue"/>
                  <w:vAlign w:val="center"/>
                </w:tcPr>
                <w:p w14:paraId="7D1098D2">
                  <w:pPr>
                    <w:pStyle w:val="10"/>
                    <w:widowControl w:val="0"/>
                    <w:wordWrap w:val="0"/>
                    <w:topLinePunct/>
                    <w:adjustRightInd w:val="0"/>
                    <w:snapToGrid w:val="0"/>
                    <w:ind w:firstLine="0"/>
                    <w:jc w:val="center"/>
                    <w:rPr>
                      <w:rFonts w:eastAsia="宋体"/>
                      <w:w w:val="100"/>
                      <w:sz w:val="21"/>
                      <w:szCs w:val="21"/>
                      <w:u w:val="single"/>
                    </w:rPr>
                  </w:pPr>
                </w:p>
              </w:tc>
              <w:tc>
                <w:tcPr>
                  <w:tcW w:w="609" w:type="pct"/>
                  <w:vMerge w:val="continue"/>
                  <w:vAlign w:val="center"/>
                </w:tcPr>
                <w:p w14:paraId="66B5B72B">
                  <w:pPr>
                    <w:pStyle w:val="10"/>
                    <w:widowControl w:val="0"/>
                    <w:wordWrap w:val="0"/>
                    <w:topLinePunct/>
                    <w:adjustRightInd w:val="0"/>
                    <w:snapToGrid w:val="0"/>
                    <w:ind w:firstLine="0"/>
                    <w:jc w:val="center"/>
                    <w:rPr>
                      <w:rFonts w:eastAsia="宋体"/>
                      <w:w w:val="100"/>
                      <w:sz w:val="21"/>
                      <w:szCs w:val="21"/>
                      <w:u w:val="single"/>
                    </w:rPr>
                  </w:pPr>
                </w:p>
              </w:tc>
              <w:tc>
                <w:tcPr>
                  <w:tcW w:w="408" w:type="pct"/>
                  <w:vMerge w:val="continue"/>
                  <w:vAlign w:val="center"/>
                </w:tcPr>
                <w:p w14:paraId="0DEC7A4B">
                  <w:pPr>
                    <w:pStyle w:val="10"/>
                    <w:widowControl w:val="0"/>
                    <w:wordWrap w:val="0"/>
                    <w:topLinePunct/>
                    <w:adjustRightInd w:val="0"/>
                    <w:snapToGrid w:val="0"/>
                    <w:ind w:firstLine="0"/>
                    <w:jc w:val="center"/>
                    <w:rPr>
                      <w:rFonts w:eastAsia="宋体"/>
                      <w:w w:val="100"/>
                      <w:sz w:val="21"/>
                      <w:szCs w:val="21"/>
                      <w:u w:val="single"/>
                    </w:rPr>
                  </w:pPr>
                </w:p>
              </w:tc>
              <w:tc>
                <w:tcPr>
                  <w:tcW w:w="535" w:type="pct"/>
                  <w:vMerge w:val="continue"/>
                  <w:vAlign w:val="center"/>
                </w:tcPr>
                <w:p w14:paraId="631094E2">
                  <w:pPr>
                    <w:pStyle w:val="10"/>
                    <w:widowControl w:val="0"/>
                    <w:wordWrap w:val="0"/>
                    <w:topLinePunct/>
                    <w:adjustRightInd w:val="0"/>
                    <w:snapToGrid w:val="0"/>
                    <w:ind w:firstLine="0"/>
                    <w:jc w:val="center"/>
                    <w:rPr>
                      <w:rFonts w:eastAsia="宋体"/>
                      <w:w w:val="100"/>
                      <w:sz w:val="21"/>
                      <w:szCs w:val="21"/>
                      <w:u w:val="single"/>
                    </w:rPr>
                  </w:pPr>
                </w:p>
              </w:tc>
              <w:tc>
                <w:tcPr>
                  <w:tcW w:w="562" w:type="pct"/>
                  <w:vMerge w:val="continue"/>
                  <w:vAlign w:val="center"/>
                </w:tcPr>
                <w:p w14:paraId="170E63CB">
                  <w:pPr>
                    <w:pStyle w:val="10"/>
                    <w:widowControl w:val="0"/>
                    <w:wordWrap w:val="0"/>
                    <w:topLinePunct/>
                    <w:adjustRightInd w:val="0"/>
                    <w:snapToGrid w:val="0"/>
                    <w:ind w:firstLine="0"/>
                    <w:jc w:val="center"/>
                    <w:rPr>
                      <w:rFonts w:eastAsia="宋体"/>
                      <w:w w:val="100"/>
                      <w:sz w:val="21"/>
                      <w:szCs w:val="21"/>
                      <w:u w:val="single"/>
                    </w:rPr>
                  </w:pPr>
                </w:p>
              </w:tc>
            </w:tr>
            <w:tr w14:paraId="531691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Align w:val="center"/>
                </w:tcPr>
                <w:p w14:paraId="13B27711">
                  <w:pPr>
                    <w:pStyle w:val="2"/>
                    <w:wordWrap w:val="0"/>
                    <w:topLinePunct/>
                    <w:autoSpaceDE/>
                    <w:autoSpaceDN/>
                    <w:snapToGrid w:val="0"/>
                    <w:jc w:val="center"/>
                    <w:rPr>
                      <w:rFonts w:ascii="Times New Roman" w:hAnsi="Times New Roman" w:cs="Times New Roman"/>
                      <w:color w:val="auto"/>
                      <w:sz w:val="21"/>
                      <w:szCs w:val="21"/>
                      <w:u w:val="single"/>
                    </w:rPr>
                  </w:pPr>
                  <w:r>
                    <w:rPr>
                      <w:rFonts w:hint="eastAsia" w:ascii="Times New Roman" w:hAnsi="Times New Roman" w:cs="Times New Roman"/>
                      <w:color w:val="auto"/>
                      <w:sz w:val="21"/>
                      <w:szCs w:val="21"/>
                      <w:u w:val="single"/>
                    </w:rPr>
                    <w:t>大气环境</w:t>
                  </w:r>
                </w:p>
              </w:tc>
              <w:tc>
                <w:tcPr>
                  <w:tcW w:w="640" w:type="pct"/>
                  <w:vAlign w:val="center"/>
                </w:tcPr>
                <w:p w14:paraId="16A8C5C6">
                  <w:pPr>
                    <w:pStyle w:val="2"/>
                    <w:wordWrap w:val="0"/>
                    <w:topLinePunct/>
                    <w:autoSpaceDE/>
                    <w:autoSpaceDN/>
                    <w:snapToGrid w:val="0"/>
                    <w:jc w:val="center"/>
                    <w:rPr>
                      <w:rFonts w:ascii="Times New Roman" w:hAnsi="Times New Roman" w:cs="Times New Roman"/>
                      <w:color w:val="auto"/>
                      <w:sz w:val="21"/>
                      <w:szCs w:val="21"/>
                      <w:u w:val="single"/>
                    </w:rPr>
                  </w:pPr>
                  <w:r>
                    <w:rPr>
                      <w:rFonts w:hint="eastAsia" w:ascii="Times New Roman" w:hAnsi="Times New Roman" w:cs="Times New Roman"/>
                      <w:color w:val="auto"/>
                      <w:sz w:val="21"/>
                      <w:szCs w:val="21"/>
                      <w:u w:val="single"/>
                    </w:rPr>
                    <w:t>松木经开区公租房</w:t>
                  </w:r>
                </w:p>
              </w:tc>
              <w:tc>
                <w:tcPr>
                  <w:tcW w:w="632" w:type="pct"/>
                  <w:vAlign w:val="center"/>
                </w:tcPr>
                <w:p w14:paraId="2C1BE7D2">
                  <w:pPr>
                    <w:pStyle w:val="2"/>
                    <w:wordWrap w:val="0"/>
                    <w:topLinePunct/>
                    <w:autoSpaceDE/>
                    <w:autoSpaceDN/>
                    <w:snapToGrid w:val="0"/>
                    <w:jc w:val="center"/>
                    <w:rPr>
                      <w:rFonts w:ascii="Times New Roman" w:hAnsi="Times New Roman" w:cs="Times New Roman"/>
                      <w:color w:val="auto"/>
                      <w:sz w:val="21"/>
                      <w:szCs w:val="21"/>
                      <w:u w:val="single"/>
                    </w:rPr>
                  </w:pPr>
                  <w:r>
                    <w:rPr>
                      <w:rFonts w:ascii="Times New Roman" w:hAnsi="Times New Roman" w:cs="Times New Roman"/>
                      <w:color w:val="auto"/>
                      <w:sz w:val="21"/>
                      <w:szCs w:val="21"/>
                      <w:u w:val="single"/>
                    </w:rPr>
                    <w:t>112.6226</w:t>
                  </w:r>
                  <w:r>
                    <w:rPr>
                      <w:rFonts w:hint="eastAsia" w:ascii="Times New Roman" w:hAnsi="Times New Roman" w:cs="Times New Roman"/>
                      <w:color w:val="auto"/>
                      <w:sz w:val="21"/>
                      <w:szCs w:val="21"/>
                      <w:u w:val="single"/>
                    </w:rPr>
                    <w:t>4</w:t>
                  </w:r>
                </w:p>
              </w:tc>
              <w:tc>
                <w:tcPr>
                  <w:tcW w:w="623" w:type="pct"/>
                  <w:vAlign w:val="center"/>
                </w:tcPr>
                <w:p w14:paraId="49EDFC63">
                  <w:pPr>
                    <w:pStyle w:val="2"/>
                    <w:wordWrap w:val="0"/>
                    <w:topLinePunct/>
                    <w:autoSpaceDE/>
                    <w:autoSpaceDN/>
                    <w:snapToGrid w:val="0"/>
                    <w:jc w:val="center"/>
                    <w:rPr>
                      <w:rFonts w:ascii="Times New Roman" w:hAnsi="Times New Roman" w:cs="Times New Roman"/>
                      <w:color w:val="auto"/>
                      <w:sz w:val="21"/>
                      <w:szCs w:val="21"/>
                      <w:u w:val="single"/>
                    </w:rPr>
                  </w:pPr>
                  <w:r>
                    <w:rPr>
                      <w:rFonts w:ascii="Times New Roman" w:hAnsi="Times New Roman" w:cs="Times New Roman"/>
                      <w:color w:val="auto"/>
                      <w:sz w:val="21"/>
                      <w:szCs w:val="21"/>
                      <w:u w:val="single"/>
                    </w:rPr>
                    <w:t>26.9674</w:t>
                  </w:r>
                  <w:r>
                    <w:rPr>
                      <w:rFonts w:hint="eastAsia" w:ascii="Times New Roman" w:hAnsi="Times New Roman" w:cs="Times New Roman"/>
                      <w:color w:val="auto"/>
                      <w:sz w:val="21"/>
                      <w:szCs w:val="21"/>
                      <w:u w:val="single"/>
                    </w:rPr>
                    <w:t>7</w:t>
                  </w:r>
                </w:p>
              </w:tc>
              <w:tc>
                <w:tcPr>
                  <w:tcW w:w="373" w:type="pct"/>
                  <w:vAlign w:val="center"/>
                </w:tcPr>
                <w:p w14:paraId="609432A5">
                  <w:pPr>
                    <w:pStyle w:val="2"/>
                    <w:wordWrap w:val="0"/>
                    <w:topLinePunct/>
                    <w:autoSpaceDE/>
                    <w:autoSpaceDN/>
                    <w:snapToGrid w:val="0"/>
                    <w:jc w:val="center"/>
                    <w:rPr>
                      <w:rFonts w:ascii="Times New Roman" w:hAnsi="Times New Roman" w:cs="Times New Roman"/>
                      <w:color w:val="auto"/>
                      <w:sz w:val="21"/>
                      <w:szCs w:val="21"/>
                      <w:u w:val="single"/>
                    </w:rPr>
                  </w:pPr>
                  <w:r>
                    <w:rPr>
                      <w:rFonts w:ascii="Times New Roman" w:hAnsi="Times New Roman" w:cs="Times New Roman"/>
                      <w:color w:val="auto"/>
                      <w:sz w:val="21"/>
                      <w:szCs w:val="21"/>
                      <w:u w:val="single"/>
                    </w:rPr>
                    <w:t>居民</w:t>
                  </w:r>
                </w:p>
              </w:tc>
              <w:tc>
                <w:tcPr>
                  <w:tcW w:w="609" w:type="pct"/>
                  <w:vAlign w:val="center"/>
                </w:tcPr>
                <w:p w14:paraId="045AD301">
                  <w:pPr>
                    <w:pStyle w:val="2"/>
                    <w:wordWrap w:val="0"/>
                    <w:topLinePunct/>
                    <w:autoSpaceDE/>
                    <w:autoSpaceDN/>
                    <w:snapToGrid w:val="0"/>
                    <w:jc w:val="center"/>
                    <w:rPr>
                      <w:rFonts w:ascii="Times New Roman" w:hAnsi="Times New Roman" w:cs="Times New Roman"/>
                      <w:color w:val="auto"/>
                      <w:sz w:val="21"/>
                      <w:szCs w:val="21"/>
                      <w:u w:val="single"/>
                    </w:rPr>
                  </w:pPr>
                  <w:r>
                    <w:rPr>
                      <w:rFonts w:ascii="Times New Roman" w:hAnsi="Times New Roman" w:cs="Times New Roman"/>
                      <w:color w:val="auto"/>
                      <w:sz w:val="21"/>
                      <w:szCs w:val="21"/>
                      <w:u w:val="single"/>
                    </w:rPr>
                    <w:t>约</w:t>
                  </w:r>
                  <w:r>
                    <w:rPr>
                      <w:rFonts w:hint="eastAsia" w:ascii="Times New Roman" w:hAnsi="Times New Roman" w:cs="Times New Roman"/>
                      <w:color w:val="auto"/>
                      <w:sz w:val="21"/>
                      <w:szCs w:val="21"/>
                      <w:u w:val="single"/>
                    </w:rPr>
                    <w:t>900</w:t>
                  </w:r>
                  <w:r>
                    <w:rPr>
                      <w:rFonts w:ascii="Times New Roman" w:hAnsi="Times New Roman" w:cs="Times New Roman"/>
                      <w:color w:val="auto"/>
                      <w:sz w:val="21"/>
                      <w:szCs w:val="21"/>
                      <w:u w:val="single"/>
                    </w:rPr>
                    <w:t>人</w:t>
                  </w:r>
                </w:p>
              </w:tc>
              <w:tc>
                <w:tcPr>
                  <w:tcW w:w="408" w:type="pct"/>
                  <w:vAlign w:val="center"/>
                </w:tcPr>
                <w:p w14:paraId="78A98FBC">
                  <w:pPr>
                    <w:pStyle w:val="2"/>
                    <w:wordWrap w:val="0"/>
                    <w:topLinePunct/>
                    <w:autoSpaceDE/>
                    <w:autoSpaceDN/>
                    <w:snapToGrid w:val="0"/>
                    <w:jc w:val="center"/>
                    <w:rPr>
                      <w:rFonts w:ascii="Times New Roman" w:hAnsi="Times New Roman" w:cs="Times New Roman"/>
                      <w:color w:val="auto"/>
                      <w:sz w:val="21"/>
                      <w:szCs w:val="21"/>
                      <w:u w:val="single"/>
                    </w:rPr>
                  </w:pPr>
                  <w:r>
                    <w:rPr>
                      <w:rFonts w:ascii="Times New Roman" w:hAnsi="Times New Roman" w:cs="Times New Roman"/>
                      <w:color w:val="auto"/>
                      <w:sz w:val="21"/>
                      <w:szCs w:val="21"/>
                      <w:u w:val="single"/>
                    </w:rPr>
                    <w:t>二类</w:t>
                  </w:r>
                </w:p>
              </w:tc>
              <w:tc>
                <w:tcPr>
                  <w:tcW w:w="535" w:type="pct"/>
                  <w:vAlign w:val="center"/>
                </w:tcPr>
                <w:p w14:paraId="1C6EF134">
                  <w:pPr>
                    <w:pStyle w:val="2"/>
                    <w:wordWrap w:val="0"/>
                    <w:topLinePunct/>
                    <w:autoSpaceDE/>
                    <w:autoSpaceDN/>
                    <w:snapToGrid w:val="0"/>
                    <w:jc w:val="center"/>
                    <w:rPr>
                      <w:rFonts w:ascii="Times New Roman" w:hAnsi="Times New Roman" w:cs="Times New Roman"/>
                      <w:color w:val="auto"/>
                      <w:sz w:val="21"/>
                      <w:szCs w:val="21"/>
                      <w:u w:val="single"/>
                    </w:rPr>
                  </w:pPr>
                  <w:r>
                    <w:rPr>
                      <w:rFonts w:ascii="Times New Roman" w:hAnsi="Times New Roman" w:cs="Times New Roman"/>
                      <w:color w:val="auto"/>
                      <w:sz w:val="21"/>
                      <w:szCs w:val="21"/>
                      <w:u w:val="single"/>
                    </w:rPr>
                    <w:t>西</w:t>
                  </w:r>
                  <w:r>
                    <w:rPr>
                      <w:rFonts w:hint="eastAsia" w:ascii="Times New Roman" w:hAnsi="Times New Roman" w:cs="Times New Roman"/>
                      <w:color w:val="auto"/>
                      <w:sz w:val="21"/>
                      <w:szCs w:val="21"/>
                      <w:u w:val="single"/>
                    </w:rPr>
                    <w:t>南</w:t>
                  </w:r>
                  <w:r>
                    <w:rPr>
                      <w:rFonts w:ascii="Times New Roman" w:hAnsi="Times New Roman" w:cs="Times New Roman"/>
                      <w:color w:val="auto"/>
                      <w:sz w:val="21"/>
                      <w:szCs w:val="21"/>
                      <w:u w:val="single"/>
                    </w:rPr>
                    <w:t>侧</w:t>
                  </w:r>
                </w:p>
              </w:tc>
              <w:tc>
                <w:tcPr>
                  <w:tcW w:w="562" w:type="pct"/>
                  <w:vAlign w:val="center"/>
                </w:tcPr>
                <w:p w14:paraId="28DAFD7E">
                  <w:pPr>
                    <w:pStyle w:val="2"/>
                    <w:wordWrap w:val="0"/>
                    <w:topLinePunct/>
                    <w:autoSpaceDE/>
                    <w:autoSpaceDN/>
                    <w:snapToGrid w:val="0"/>
                    <w:jc w:val="center"/>
                    <w:rPr>
                      <w:rFonts w:ascii="Times New Roman" w:hAnsi="Times New Roman" w:cs="Times New Roman"/>
                      <w:color w:val="auto"/>
                      <w:sz w:val="21"/>
                      <w:szCs w:val="21"/>
                      <w:u w:val="single"/>
                    </w:rPr>
                  </w:pPr>
                  <w:r>
                    <w:rPr>
                      <w:rFonts w:hint="eastAsia" w:ascii="Times New Roman" w:hAnsi="Times New Roman" w:cs="Times New Roman"/>
                      <w:color w:val="auto"/>
                      <w:sz w:val="21"/>
                      <w:szCs w:val="21"/>
                      <w:u w:val="single"/>
                    </w:rPr>
                    <w:t>440</w:t>
                  </w:r>
                  <w:r>
                    <w:rPr>
                      <w:rFonts w:ascii="Times New Roman" w:hAnsi="Times New Roman" w:cs="Times New Roman"/>
                      <w:color w:val="auto"/>
                      <w:sz w:val="21"/>
                      <w:szCs w:val="21"/>
                      <w:u w:val="single"/>
                    </w:rPr>
                    <w:t>-</w:t>
                  </w:r>
                  <w:r>
                    <w:rPr>
                      <w:rFonts w:hint="eastAsia" w:ascii="Times New Roman" w:hAnsi="Times New Roman" w:cs="Times New Roman"/>
                      <w:color w:val="auto"/>
                      <w:sz w:val="21"/>
                      <w:szCs w:val="21"/>
                      <w:u w:val="single"/>
                    </w:rPr>
                    <w:t>940</w:t>
                  </w:r>
                  <w:r>
                    <w:rPr>
                      <w:rFonts w:ascii="Times New Roman" w:hAnsi="Times New Roman" w:cs="Times New Roman"/>
                      <w:color w:val="auto"/>
                      <w:sz w:val="21"/>
                      <w:szCs w:val="21"/>
                      <w:u w:val="single"/>
                    </w:rPr>
                    <w:t>m</w:t>
                  </w:r>
                </w:p>
              </w:tc>
            </w:tr>
            <w:tr w14:paraId="59E3D5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Align w:val="center"/>
                </w:tcPr>
                <w:p w14:paraId="5B5419DD">
                  <w:pPr>
                    <w:pStyle w:val="2"/>
                    <w:wordWrap w:val="0"/>
                    <w:topLinePunct/>
                    <w:autoSpaceDE/>
                    <w:autoSpaceDN/>
                    <w:snapToGrid w:val="0"/>
                    <w:jc w:val="center"/>
                    <w:rPr>
                      <w:rFonts w:ascii="Times New Roman" w:hAnsi="Times New Roman" w:cs="Times New Roman"/>
                      <w:color w:val="auto"/>
                      <w:sz w:val="21"/>
                      <w:szCs w:val="21"/>
                      <w:u w:val="single"/>
                    </w:rPr>
                  </w:pPr>
                  <w:r>
                    <w:rPr>
                      <w:rFonts w:hint="eastAsia" w:ascii="Times New Roman" w:hAnsi="Times New Roman" w:cs="Times New Roman"/>
                      <w:color w:val="auto"/>
                      <w:sz w:val="21"/>
                      <w:szCs w:val="21"/>
                      <w:u w:val="single"/>
                    </w:rPr>
                    <w:t>声环境</w:t>
                  </w:r>
                </w:p>
              </w:tc>
              <w:tc>
                <w:tcPr>
                  <w:tcW w:w="640" w:type="pct"/>
                  <w:vAlign w:val="center"/>
                </w:tcPr>
                <w:p w14:paraId="5F5F5B84">
                  <w:pPr>
                    <w:pStyle w:val="2"/>
                    <w:wordWrap w:val="0"/>
                    <w:topLinePunct/>
                    <w:autoSpaceDE/>
                    <w:autoSpaceDN/>
                    <w:snapToGrid w:val="0"/>
                    <w:jc w:val="center"/>
                    <w:rPr>
                      <w:rFonts w:ascii="Times New Roman" w:hAnsi="Times New Roman" w:cs="Times New Roman"/>
                      <w:color w:val="auto"/>
                      <w:sz w:val="21"/>
                      <w:szCs w:val="21"/>
                      <w:u w:val="single"/>
                    </w:rPr>
                  </w:pPr>
                  <w:r>
                    <w:rPr>
                      <w:rFonts w:hint="eastAsia" w:ascii="Times New Roman" w:hAnsi="Times New Roman" w:cs="Times New Roman"/>
                      <w:color w:val="auto"/>
                      <w:sz w:val="21"/>
                      <w:szCs w:val="21"/>
                      <w:u w:val="single"/>
                    </w:rPr>
                    <w:t>/</w:t>
                  </w:r>
                </w:p>
              </w:tc>
              <w:tc>
                <w:tcPr>
                  <w:tcW w:w="632" w:type="pct"/>
                  <w:vAlign w:val="center"/>
                </w:tcPr>
                <w:p w14:paraId="3B6F5F91">
                  <w:pPr>
                    <w:pStyle w:val="2"/>
                    <w:wordWrap w:val="0"/>
                    <w:topLinePunct/>
                    <w:autoSpaceDE/>
                    <w:autoSpaceDN/>
                    <w:snapToGrid w:val="0"/>
                    <w:jc w:val="center"/>
                    <w:rPr>
                      <w:rFonts w:ascii="Times New Roman" w:hAnsi="Times New Roman" w:cs="Times New Roman"/>
                      <w:color w:val="auto"/>
                      <w:sz w:val="21"/>
                      <w:szCs w:val="21"/>
                      <w:u w:val="single"/>
                    </w:rPr>
                  </w:pPr>
                  <w:r>
                    <w:rPr>
                      <w:rFonts w:hint="eastAsia" w:ascii="Times New Roman" w:hAnsi="Times New Roman" w:cs="Times New Roman"/>
                      <w:color w:val="auto"/>
                      <w:sz w:val="21"/>
                      <w:szCs w:val="21"/>
                      <w:u w:val="single"/>
                    </w:rPr>
                    <w:t>/</w:t>
                  </w:r>
                </w:p>
              </w:tc>
              <w:tc>
                <w:tcPr>
                  <w:tcW w:w="623" w:type="pct"/>
                  <w:vAlign w:val="center"/>
                </w:tcPr>
                <w:p w14:paraId="237BD410">
                  <w:pPr>
                    <w:pStyle w:val="2"/>
                    <w:wordWrap w:val="0"/>
                    <w:topLinePunct/>
                    <w:autoSpaceDE/>
                    <w:autoSpaceDN/>
                    <w:snapToGrid w:val="0"/>
                    <w:jc w:val="center"/>
                    <w:rPr>
                      <w:rFonts w:ascii="Times New Roman" w:hAnsi="Times New Roman" w:cs="Times New Roman"/>
                      <w:color w:val="auto"/>
                      <w:sz w:val="21"/>
                      <w:szCs w:val="21"/>
                      <w:u w:val="single"/>
                    </w:rPr>
                  </w:pPr>
                  <w:r>
                    <w:rPr>
                      <w:rFonts w:hint="eastAsia" w:ascii="Times New Roman" w:hAnsi="Times New Roman" w:cs="Times New Roman"/>
                      <w:color w:val="auto"/>
                      <w:sz w:val="21"/>
                      <w:szCs w:val="21"/>
                      <w:u w:val="single"/>
                    </w:rPr>
                    <w:t>/</w:t>
                  </w:r>
                </w:p>
              </w:tc>
              <w:tc>
                <w:tcPr>
                  <w:tcW w:w="373" w:type="pct"/>
                  <w:vAlign w:val="center"/>
                </w:tcPr>
                <w:p w14:paraId="494EC474">
                  <w:pPr>
                    <w:pStyle w:val="2"/>
                    <w:wordWrap w:val="0"/>
                    <w:topLinePunct/>
                    <w:autoSpaceDE/>
                    <w:autoSpaceDN/>
                    <w:snapToGrid w:val="0"/>
                    <w:jc w:val="center"/>
                    <w:rPr>
                      <w:rFonts w:ascii="Times New Roman" w:hAnsi="Times New Roman" w:cs="Times New Roman"/>
                      <w:color w:val="auto"/>
                      <w:sz w:val="21"/>
                      <w:szCs w:val="21"/>
                      <w:u w:val="single"/>
                    </w:rPr>
                  </w:pPr>
                  <w:r>
                    <w:rPr>
                      <w:rFonts w:hint="eastAsia" w:ascii="Times New Roman" w:hAnsi="Times New Roman" w:cs="Times New Roman"/>
                      <w:color w:val="auto"/>
                      <w:sz w:val="21"/>
                      <w:szCs w:val="21"/>
                      <w:u w:val="single"/>
                    </w:rPr>
                    <w:t>/</w:t>
                  </w:r>
                </w:p>
              </w:tc>
              <w:tc>
                <w:tcPr>
                  <w:tcW w:w="609" w:type="pct"/>
                  <w:vAlign w:val="center"/>
                </w:tcPr>
                <w:p w14:paraId="50FAD63F">
                  <w:pPr>
                    <w:pStyle w:val="2"/>
                    <w:wordWrap w:val="0"/>
                    <w:topLinePunct/>
                    <w:autoSpaceDE/>
                    <w:autoSpaceDN/>
                    <w:snapToGrid w:val="0"/>
                    <w:jc w:val="center"/>
                    <w:rPr>
                      <w:rFonts w:ascii="Times New Roman" w:hAnsi="Times New Roman" w:cs="Times New Roman"/>
                      <w:color w:val="auto"/>
                      <w:sz w:val="21"/>
                      <w:szCs w:val="21"/>
                      <w:u w:val="single"/>
                    </w:rPr>
                  </w:pPr>
                  <w:r>
                    <w:rPr>
                      <w:rFonts w:hint="eastAsia" w:ascii="Times New Roman" w:hAnsi="Times New Roman" w:cs="Times New Roman"/>
                      <w:color w:val="auto"/>
                      <w:sz w:val="21"/>
                      <w:szCs w:val="21"/>
                      <w:u w:val="single"/>
                    </w:rPr>
                    <w:t>/</w:t>
                  </w:r>
                </w:p>
              </w:tc>
              <w:tc>
                <w:tcPr>
                  <w:tcW w:w="408" w:type="pct"/>
                  <w:vAlign w:val="center"/>
                </w:tcPr>
                <w:p w14:paraId="56209FC2">
                  <w:pPr>
                    <w:pStyle w:val="2"/>
                    <w:wordWrap w:val="0"/>
                    <w:topLinePunct/>
                    <w:autoSpaceDE/>
                    <w:autoSpaceDN/>
                    <w:snapToGrid w:val="0"/>
                    <w:jc w:val="center"/>
                    <w:rPr>
                      <w:rFonts w:ascii="Times New Roman" w:hAnsi="Times New Roman" w:cs="Times New Roman"/>
                      <w:color w:val="auto"/>
                      <w:sz w:val="21"/>
                      <w:szCs w:val="21"/>
                      <w:u w:val="single"/>
                    </w:rPr>
                  </w:pPr>
                  <w:r>
                    <w:rPr>
                      <w:rFonts w:hint="eastAsia" w:ascii="Times New Roman" w:hAnsi="Times New Roman" w:cs="Times New Roman"/>
                      <w:color w:val="auto"/>
                      <w:sz w:val="21"/>
                      <w:szCs w:val="21"/>
                      <w:u w:val="single"/>
                    </w:rPr>
                    <w:t>/</w:t>
                  </w:r>
                </w:p>
              </w:tc>
              <w:tc>
                <w:tcPr>
                  <w:tcW w:w="535" w:type="pct"/>
                  <w:vAlign w:val="center"/>
                </w:tcPr>
                <w:p w14:paraId="2789779C">
                  <w:pPr>
                    <w:pStyle w:val="2"/>
                    <w:wordWrap w:val="0"/>
                    <w:topLinePunct/>
                    <w:autoSpaceDE/>
                    <w:autoSpaceDN/>
                    <w:snapToGrid w:val="0"/>
                    <w:jc w:val="center"/>
                    <w:rPr>
                      <w:rFonts w:ascii="Times New Roman" w:hAnsi="Times New Roman" w:cs="Times New Roman"/>
                      <w:color w:val="auto"/>
                      <w:sz w:val="21"/>
                      <w:szCs w:val="21"/>
                      <w:u w:val="single"/>
                    </w:rPr>
                  </w:pPr>
                  <w:r>
                    <w:rPr>
                      <w:rFonts w:hint="eastAsia" w:ascii="Times New Roman" w:hAnsi="Times New Roman" w:cs="Times New Roman"/>
                      <w:color w:val="auto"/>
                      <w:sz w:val="21"/>
                      <w:szCs w:val="21"/>
                      <w:u w:val="single"/>
                    </w:rPr>
                    <w:t>/</w:t>
                  </w:r>
                </w:p>
              </w:tc>
              <w:tc>
                <w:tcPr>
                  <w:tcW w:w="562" w:type="pct"/>
                  <w:vAlign w:val="center"/>
                </w:tcPr>
                <w:p w14:paraId="0D9352AD">
                  <w:pPr>
                    <w:pStyle w:val="2"/>
                    <w:wordWrap w:val="0"/>
                    <w:topLinePunct/>
                    <w:autoSpaceDE/>
                    <w:autoSpaceDN/>
                    <w:snapToGrid w:val="0"/>
                    <w:jc w:val="center"/>
                    <w:rPr>
                      <w:rFonts w:ascii="Times New Roman" w:hAnsi="Times New Roman" w:cs="Times New Roman"/>
                      <w:color w:val="auto"/>
                      <w:sz w:val="21"/>
                      <w:szCs w:val="21"/>
                      <w:u w:val="single"/>
                    </w:rPr>
                  </w:pPr>
                  <w:r>
                    <w:rPr>
                      <w:rFonts w:hint="eastAsia" w:ascii="Times New Roman" w:hAnsi="Times New Roman" w:cs="Times New Roman"/>
                      <w:color w:val="auto"/>
                      <w:sz w:val="21"/>
                      <w:szCs w:val="21"/>
                      <w:u w:val="single"/>
                    </w:rPr>
                    <w:t>/</w:t>
                  </w:r>
                </w:p>
              </w:tc>
            </w:tr>
            <w:tr w14:paraId="4ABAB8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Align w:val="center"/>
                </w:tcPr>
                <w:p w14:paraId="28CA8B28">
                  <w:pPr>
                    <w:pStyle w:val="2"/>
                    <w:wordWrap w:val="0"/>
                    <w:topLinePunct/>
                    <w:autoSpaceDE/>
                    <w:autoSpaceDN/>
                    <w:snapToGrid w:val="0"/>
                    <w:jc w:val="center"/>
                    <w:rPr>
                      <w:rFonts w:ascii="Times New Roman" w:hAnsi="Times New Roman" w:cs="Times New Roman"/>
                      <w:color w:val="auto"/>
                      <w:sz w:val="21"/>
                      <w:szCs w:val="21"/>
                      <w:u w:val="single"/>
                    </w:rPr>
                  </w:pPr>
                  <w:r>
                    <w:rPr>
                      <w:rFonts w:hint="eastAsia" w:ascii="Times New Roman" w:hAnsi="Times New Roman" w:cs="Times New Roman"/>
                      <w:color w:val="auto"/>
                      <w:sz w:val="21"/>
                      <w:szCs w:val="21"/>
                      <w:u w:val="single"/>
                    </w:rPr>
                    <w:t>地表水</w:t>
                  </w:r>
                </w:p>
              </w:tc>
              <w:tc>
                <w:tcPr>
                  <w:tcW w:w="640" w:type="pct"/>
                  <w:vAlign w:val="center"/>
                </w:tcPr>
                <w:p w14:paraId="00C2BFF9">
                  <w:pPr>
                    <w:pStyle w:val="2"/>
                    <w:wordWrap w:val="0"/>
                    <w:topLinePunct/>
                    <w:autoSpaceDE/>
                    <w:autoSpaceDN/>
                    <w:snapToGrid w:val="0"/>
                    <w:jc w:val="center"/>
                    <w:rPr>
                      <w:rFonts w:ascii="Times New Roman" w:hAnsi="Times New Roman" w:cs="Times New Roman"/>
                      <w:color w:val="auto"/>
                      <w:sz w:val="21"/>
                      <w:szCs w:val="21"/>
                      <w:u w:val="single"/>
                    </w:rPr>
                  </w:pPr>
                  <w:r>
                    <w:rPr>
                      <w:rFonts w:hint="eastAsia" w:ascii="Times New Roman" w:hAnsi="Times New Roman" w:cs="Times New Roman"/>
                      <w:color w:val="auto"/>
                      <w:sz w:val="21"/>
                      <w:szCs w:val="21"/>
                      <w:u w:val="single"/>
                    </w:rPr>
                    <w:t>湘江</w:t>
                  </w:r>
                </w:p>
              </w:tc>
              <w:tc>
                <w:tcPr>
                  <w:tcW w:w="2238" w:type="pct"/>
                  <w:gridSpan w:val="4"/>
                  <w:vAlign w:val="center"/>
                </w:tcPr>
                <w:p w14:paraId="7364B0A9">
                  <w:pPr>
                    <w:pStyle w:val="2"/>
                    <w:wordWrap w:val="0"/>
                    <w:topLinePunct/>
                    <w:autoSpaceDE/>
                    <w:autoSpaceDN/>
                    <w:snapToGrid w:val="0"/>
                    <w:jc w:val="center"/>
                    <w:rPr>
                      <w:rFonts w:ascii="Times New Roman" w:hAnsi="Times New Roman" w:cs="Times New Roman"/>
                      <w:color w:val="auto"/>
                      <w:sz w:val="21"/>
                      <w:szCs w:val="21"/>
                      <w:u w:val="single"/>
                    </w:rPr>
                  </w:pPr>
                  <w:r>
                    <w:rPr>
                      <w:rFonts w:hint="eastAsia" w:ascii="Times New Roman" w:hAnsi="Times New Roman" w:cs="Times New Roman"/>
                      <w:color w:val="auto"/>
                      <w:sz w:val="21"/>
                      <w:szCs w:val="21"/>
                      <w:u w:val="single"/>
                    </w:rPr>
                    <w:t>松木污水处理厂排污口上游500m至下游3000m江段</w:t>
                  </w:r>
                </w:p>
              </w:tc>
              <w:tc>
                <w:tcPr>
                  <w:tcW w:w="408" w:type="pct"/>
                  <w:vAlign w:val="center"/>
                </w:tcPr>
                <w:p w14:paraId="79B2C78B">
                  <w:pPr>
                    <w:pStyle w:val="2"/>
                    <w:wordWrap w:val="0"/>
                    <w:topLinePunct/>
                    <w:autoSpaceDE/>
                    <w:autoSpaceDN/>
                    <w:snapToGrid w:val="0"/>
                    <w:jc w:val="center"/>
                    <w:rPr>
                      <w:rFonts w:ascii="Times New Roman" w:hAnsi="Times New Roman" w:cs="Times New Roman"/>
                      <w:color w:val="auto"/>
                      <w:sz w:val="21"/>
                      <w:szCs w:val="21"/>
                      <w:u w:val="single"/>
                    </w:rPr>
                  </w:pPr>
                  <w:r>
                    <w:rPr>
                      <w:rFonts w:hint="eastAsia" w:hAnsi="宋体"/>
                      <w:color w:val="auto"/>
                      <w:sz w:val="21"/>
                      <w:szCs w:val="21"/>
                      <w:u w:val="single"/>
                    </w:rPr>
                    <w:t>Ⅱ</w:t>
                  </w:r>
                  <w:r>
                    <w:rPr>
                      <w:rFonts w:hint="eastAsia" w:ascii="Times New Roman" w:hAnsi="Times New Roman" w:cs="Times New Roman"/>
                      <w:color w:val="auto"/>
                      <w:sz w:val="21"/>
                      <w:szCs w:val="21"/>
                      <w:u w:val="single"/>
                    </w:rPr>
                    <w:t>类</w:t>
                  </w:r>
                </w:p>
              </w:tc>
              <w:tc>
                <w:tcPr>
                  <w:tcW w:w="535" w:type="pct"/>
                  <w:vAlign w:val="center"/>
                </w:tcPr>
                <w:p w14:paraId="3265FECF">
                  <w:pPr>
                    <w:pStyle w:val="2"/>
                    <w:wordWrap w:val="0"/>
                    <w:topLinePunct/>
                    <w:autoSpaceDE/>
                    <w:autoSpaceDN/>
                    <w:snapToGrid w:val="0"/>
                    <w:jc w:val="center"/>
                    <w:rPr>
                      <w:rFonts w:ascii="Times New Roman" w:hAnsi="Times New Roman" w:cs="Times New Roman"/>
                      <w:color w:val="auto"/>
                      <w:sz w:val="21"/>
                      <w:szCs w:val="21"/>
                      <w:u w:val="single"/>
                    </w:rPr>
                  </w:pPr>
                  <w:r>
                    <w:rPr>
                      <w:rFonts w:hint="eastAsia" w:ascii="Times New Roman" w:hAnsi="Times New Roman" w:cs="Times New Roman"/>
                      <w:color w:val="auto"/>
                      <w:sz w:val="21"/>
                      <w:szCs w:val="21"/>
                      <w:u w:val="single"/>
                    </w:rPr>
                    <w:t>东侧</w:t>
                  </w:r>
                </w:p>
              </w:tc>
              <w:tc>
                <w:tcPr>
                  <w:tcW w:w="562" w:type="pct"/>
                  <w:vAlign w:val="center"/>
                </w:tcPr>
                <w:p w14:paraId="163C7A9A">
                  <w:pPr>
                    <w:pStyle w:val="2"/>
                    <w:wordWrap w:val="0"/>
                    <w:topLinePunct/>
                    <w:autoSpaceDE/>
                    <w:autoSpaceDN/>
                    <w:snapToGrid w:val="0"/>
                    <w:jc w:val="center"/>
                    <w:rPr>
                      <w:rFonts w:ascii="Times New Roman" w:hAnsi="Times New Roman" w:cs="Times New Roman"/>
                      <w:color w:val="auto"/>
                      <w:sz w:val="21"/>
                      <w:szCs w:val="21"/>
                      <w:u w:val="single"/>
                    </w:rPr>
                  </w:pPr>
                  <w:r>
                    <w:rPr>
                      <w:rFonts w:hint="eastAsia" w:ascii="Times New Roman" w:hAnsi="Times New Roman" w:cs="Times New Roman"/>
                      <w:color w:val="auto"/>
                      <w:sz w:val="21"/>
                      <w:szCs w:val="21"/>
                      <w:u w:val="single"/>
                    </w:rPr>
                    <w:t>2450</w:t>
                  </w:r>
                </w:p>
              </w:tc>
            </w:tr>
            <w:tr w14:paraId="232585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Align w:val="center"/>
                </w:tcPr>
                <w:p w14:paraId="5318AF51">
                  <w:pPr>
                    <w:pStyle w:val="2"/>
                    <w:wordWrap w:val="0"/>
                    <w:topLinePunct/>
                    <w:autoSpaceDE/>
                    <w:autoSpaceDN/>
                    <w:snapToGrid w:val="0"/>
                    <w:jc w:val="center"/>
                    <w:rPr>
                      <w:rFonts w:ascii="Times New Roman" w:hAnsi="Times New Roman" w:cs="Times New Roman"/>
                      <w:color w:val="auto"/>
                      <w:sz w:val="21"/>
                      <w:szCs w:val="21"/>
                      <w:u w:val="single"/>
                    </w:rPr>
                  </w:pPr>
                  <w:r>
                    <w:rPr>
                      <w:rFonts w:hint="eastAsia" w:ascii="Times New Roman" w:hAnsi="Times New Roman" w:cs="Times New Roman"/>
                      <w:color w:val="auto"/>
                      <w:sz w:val="21"/>
                      <w:szCs w:val="21"/>
                      <w:u w:val="single"/>
                    </w:rPr>
                    <w:t>地下水</w:t>
                  </w:r>
                </w:p>
              </w:tc>
              <w:tc>
                <w:tcPr>
                  <w:tcW w:w="640" w:type="pct"/>
                  <w:vAlign w:val="center"/>
                </w:tcPr>
                <w:p w14:paraId="6CCB9FFA">
                  <w:pPr>
                    <w:pStyle w:val="2"/>
                    <w:wordWrap w:val="0"/>
                    <w:topLinePunct/>
                    <w:autoSpaceDE/>
                    <w:autoSpaceDN/>
                    <w:snapToGrid w:val="0"/>
                    <w:jc w:val="center"/>
                    <w:rPr>
                      <w:rFonts w:ascii="Times New Roman" w:hAnsi="Times New Roman" w:cs="Times New Roman"/>
                      <w:color w:val="auto"/>
                      <w:sz w:val="21"/>
                      <w:szCs w:val="21"/>
                      <w:u w:val="single"/>
                    </w:rPr>
                  </w:pPr>
                  <w:r>
                    <w:rPr>
                      <w:rFonts w:hint="eastAsia" w:ascii="Times New Roman" w:hAnsi="Times New Roman" w:cs="Times New Roman"/>
                      <w:color w:val="auto"/>
                      <w:sz w:val="21"/>
                      <w:szCs w:val="21"/>
                      <w:u w:val="single"/>
                    </w:rPr>
                    <w:t>/</w:t>
                  </w:r>
                </w:p>
              </w:tc>
              <w:tc>
                <w:tcPr>
                  <w:tcW w:w="632" w:type="pct"/>
                  <w:vAlign w:val="center"/>
                </w:tcPr>
                <w:p w14:paraId="37D0389A">
                  <w:pPr>
                    <w:pStyle w:val="2"/>
                    <w:wordWrap w:val="0"/>
                    <w:topLinePunct/>
                    <w:autoSpaceDE/>
                    <w:autoSpaceDN/>
                    <w:snapToGrid w:val="0"/>
                    <w:jc w:val="center"/>
                    <w:rPr>
                      <w:rFonts w:ascii="Times New Roman" w:hAnsi="Times New Roman" w:cs="Times New Roman"/>
                      <w:color w:val="auto"/>
                      <w:sz w:val="21"/>
                      <w:szCs w:val="21"/>
                      <w:u w:val="single"/>
                    </w:rPr>
                  </w:pPr>
                  <w:r>
                    <w:rPr>
                      <w:rFonts w:hint="eastAsia" w:ascii="Times New Roman" w:hAnsi="Times New Roman" w:cs="Times New Roman"/>
                      <w:color w:val="auto"/>
                      <w:sz w:val="21"/>
                      <w:szCs w:val="21"/>
                      <w:u w:val="single"/>
                    </w:rPr>
                    <w:t>/</w:t>
                  </w:r>
                </w:p>
              </w:tc>
              <w:tc>
                <w:tcPr>
                  <w:tcW w:w="623" w:type="pct"/>
                  <w:vAlign w:val="center"/>
                </w:tcPr>
                <w:p w14:paraId="5BBCDD7F">
                  <w:pPr>
                    <w:pStyle w:val="2"/>
                    <w:wordWrap w:val="0"/>
                    <w:topLinePunct/>
                    <w:autoSpaceDE/>
                    <w:autoSpaceDN/>
                    <w:snapToGrid w:val="0"/>
                    <w:jc w:val="center"/>
                    <w:rPr>
                      <w:rFonts w:ascii="Times New Roman" w:hAnsi="Times New Roman" w:cs="Times New Roman"/>
                      <w:color w:val="auto"/>
                      <w:sz w:val="21"/>
                      <w:szCs w:val="21"/>
                      <w:u w:val="single"/>
                    </w:rPr>
                  </w:pPr>
                  <w:r>
                    <w:rPr>
                      <w:rFonts w:hint="eastAsia" w:ascii="Times New Roman" w:hAnsi="Times New Roman" w:cs="Times New Roman"/>
                      <w:color w:val="auto"/>
                      <w:sz w:val="21"/>
                      <w:szCs w:val="21"/>
                      <w:u w:val="single"/>
                    </w:rPr>
                    <w:t>/</w:t>
                  </w:r>
                </w:p>
              </w:tc>
              <w:tc>
                <w:tcPr>
                  <w:tcW w:w="373" w:type="pct"/>
                  <w:vAlign w:val="center"/>
                </w:tcPr>
                <w:p w14:paraId="412466FD">
                  <w:pPr>
                    <w:pStyle w:val="2"/>
                    <w:wordWrap w:val="0"/>
                    <w:topLinePunct/>
                    <w:autoSpaceDE/>
                    <w:autoSpaceDN/>
                    <w:snapToGrid w:val="0"/>
                    <w:jc w:val="center"/>
                    <w:rPr>
                      <w:rFonts w:ascii="Times New Roman" w:hAnsi="Times New Roman" w:cs="Times New Roman"/>
                      <w:color w:val="auto"/>
                      <w:sz w:val="21"/>
                      <w:szCs w:val="21"/>
                      <w:u w:val="single"/>
                    </w:rPr>
                  </w:pPr>
                  <w:r>
                    <w:rPr>
                      <w:rFonts w:hint="eastAsia" w:ascii="Times New Roman" w:hAnsi="Times New Roman" w:cs="Times New Roman"/>
                      <w:color w:val="auto"/>
                      <w:sz w:val="21"/>
                      <w:szCs w:val="21"/>
                      <w:u w:val="single"/>
                    </w:rPr>
                    <w:t>/</w:t>
                  </w:r>
                </w:p>
              </w:tc>
              <w:tc>
                <w:tcPr>
                  <w:tcW w:w="609" w:type="pct"/>
                  <w:vAlign w:val="center"/>
                </w:tcPr>
                <w:p w14:paraId="4776147D">
                  <w:pPr>
                    <w:pStyle w:val="2"/>
                    <w:wordWrap w:val="0"/>
                    <w:topLinePunct/>
                    <w:autoSpaceDE/>
                    <w:autoSpaceDN/>
                    <w:snapToGrid w:val="0"/>
                    <w:jc w:val="center"/>
                    <w:rPr>
                      <w:rFonts w:ascii="Times New Roman" w:hAnsi="Times New Roman" w:cs="Times New Roman"/>
                      <w:color w:val="auto"/>
                      <w:sz w:val="21"/>
                      <w:szCs w:val="21"/>
                      <w:u w:val="single"/>
                    </w:rPr>
                  </w:pPr>
                  <w:r>
                    <w:rPr>
                      <w:rFonts w:hint="eastAsia" w:ascii="Times New Roman" w:hAnsi="Times New Roman" w:cs="Times New Roman"/>
                      <w:color w:val="auto"/>
                      <w:sz w:val="21"/>
                      <w:szCs w:val="21"/>
                      <w:u w:val="single"/>
                    </w:rPr>
                    <w:t>/</w:t>
                  </w:r>
                </w:p>
              </w:tc>
              <w:tc>
                <w:tcPr>
                  <w:tcW w:w="408" w:type="pct"/>
                  <w:vAlign w:val="center"/>
                </w:tcPr>
                <w:p w14:paraId="19870F34">
                  <w:pPr>
                    <w:pStyle w:val="2"/>
                    <w:wordWrap w:val="0"/>
                    <w:topLinePunct/>
                    <w:autoSpaceDE/>
                    <w:autoSpaceDN/>
                    <w:snapToGrid w:val="0"/>
                    <w:jc w:val="center"/>
                    <w:rPr>
                      <w:rFonts w:ascii="Times New Roman" w:hAnsi="Times New Roman" w:cs="Times New Roman"/>
                      <w:color w:val="auto"/>
                      <w:sz w:val="21"/>
                      <w:szCs w:val="21"/>
                      <w:u w:val="single"/>
                    </w:rPr>
                  </w:pPr>
                  <w:r>
                    <w:rPr>
                      <w:rFonts w:hint="eastAsia" w:ascii="Times New Roman" w:hAnsi="Times New Roman" w:cs="Times New Roman"/>
                      <w:color w:val="auto"/>
                      <w:sz w:val="21"/>
                      <w:szCs w:val="21"/>
                      <w:u w:val="single"/>
                    </w:rPr>
                    <w:t>/</w:t>
                  </w:r>
                </w:p>
              </w:tc>
              <w:tc>
                <w:tcPr>
                  <w:tcW w:w="535" w:type="pct"/>
                  <w:vAlign w:val="center"/>
                </w:tcPr>
                <w:p w14:paraId="07A351BB">
                  <w:pPr>
                    <w:pStyle w:val="2"/>
                    <w:wordWrap w:val="0"/>
                    <w:topLinePunct/>
                    <w:autoSpaceDE/>
                    <w:autoSpaceDN/>
                    <w:snapToGrid w:val="0"/>
                    <w:jc w:val="center"/>
                    <w:rPr>
                      <w:rFonts w:ascii="Times New Roman" w:hAnsi="Times New Roman" w:cs="Times New Roman"/>
                      <w:color w:val="auto"/>
                      <w:sz w:val="21"/>
                      <w:szCs w:val="21"/>
                      <w:u w:val="single"/>
                    </w:rPr>
                  </w:pPr>
                  <w:r>
                    <w:rPr>
                      <w:rFonts w:hint="eastAsia" w:ascii="Times New Roman" w:hAnsi="Times New Roman" w:cs="Times New Roman"/>
                      <w:color w:val="auto"/>
                      <w:sz w:val="21"/>
                      <w:szCs w:val="21"/>
                      <w:u w:val="single"/>
                    </w:rPr>
                    <w:t>/</w:t>
                  </w:r>
                </w:p>
              </w:tc>
              <w:tc>
                <w:tcPr>
                  <w:tcW w:w="562" w:type="pct"/>
                  <w:vAlign w:val="center"/>
                </w:tcPr>
                <w:p w14:paraId="0EF3C7A7">
                  <w:pPr>
                    <w:pStyle w:val="2"/>
                    <w:wordWrap w:val="0"/>
                    <w:topLinePunct/>
                    <w:autoSpaceDE/>
                    <w:autoSpaceDN/>
                    <w:snapToGrid w:val="0"/>
                    <w:jc w:val="center"/>
                    <w:rPr>
                      <w:rFonts w:ascii="Times New Roman" w:hAnsi="Times New Roman" w:cs="Times New Roman"/>
                      <w:color w:val="auto"/>
                      <w:sz w:val="21"/>
                      <w:szCs w:val="21"/>
                      <w:u w:val="single"/>
                    </w:rPr>
                  </w:pPr>
                  <w:r>
                    <w:rPr>
                      <w:rFonts w:hint="eastAsia" w:ascii="Times New Roman" w:hAnsi="Times New Roman" w:cs="Times New Roman"/>
                      <w:color w:val="auto"/>
                      <w:sz w:val="21"/>
                      <w:szCs w:val="21"/>
                      <w:u w:val="single"/>
                    </w:rPr>
                    <w:t>/</w:t>
                  </w:r>
                </w:p>
              </w:tc>
            </w:tr>
            <w:tr w14:paraId="2C87A4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Align w:val="center"/>
                </w:tcPr>
                <w:p w14:paraId="639CA66D">
                  <w:pPr>
                    <w:pStyle w:val="2"/>
                    <w:wordWrap w:val="0"/>
                    <w:topLinePunct/>
                    <w:autoSpaceDE/>
                    <w:autoSpaceDN/>
                    <w:snapToGrid w:val="0"/>
                    <w:jc w:val="center"/>
                    <w:rPr>
                      <w:rFonts w:hint="eastAsia" w:ascii="Times New Roman" w:hAnsi="Times New Roman" w:eastAsia="宋体" w:cs="Times New Roman"/>
                      <w:color w:val="auto"/>
                      <w:sz w:val="21"/>
                      <w:szCs w:val="21"/>
                      <w:u w:val="single"/>
                      <w:lang w:eastAsia="zh-CN"/>
                    </w:rPr>
                  </w:pPr>
                  <w:r>
                    <w:rPr>
                      <w:rFonts w:hint="eastAsia" w:ascii="Times New Roman" w:hAnsi="Times New Roman" w:cs="Times New Roman"/>
                      <w:color w:val="auto"/>
                      <w:sz w:val="21"/>
                      <w:szCs w:val="21"/>
                      <w:u w:val="single"/>
                      <w:lang w:eastAsia="zh-CN"/>
                    </w:rPr>
                    <w:t>生态</w:t>
                  </w:r>
                </w:p>
              </w:tc>
              <w:tc>
                <w:tcPr>
                  <w:tcW w:w="1895" w:type="pct"/>
                  <w:gridSpan w:val="3"/>
                  <w:vAlign w:val="center"/>
                </w:tcPr>
                <w:p w14:paraId="5AA4F63D">
                  <w:pPr>
                    <w:pStyle w:val="2"/>
                    <w:wordWrap w:val="0"/>
                    <w:topLinePunct/>
                    <w:autoSpaceDE/>
                    <w:autoSpaceDN/>
                    <w:snapToGrid w:val="0"/>
                    <w:jc w:val="center"/>
                    <w:rPr>
                      <w:rFonts w:hint="eastAsia" w:ascii="Times New Roman" w:hAnsi="Times New Roman" w:cs="Times New Roman"/>
                      <w:color w:val="auto"/>
                      <w:sz w:val="21"/>
                      <w:szCs w:val="21"/>
                      <w:u w:val="single"/>
                    </w:rPr>
                  </w:pPr>
                  <w:r>
                    <w:rPr>
                      <w:rFonts w:hint="eastAsia" w:ascii="Times New Roman" w:hAnsi="Times New Roman" w:cs="Times New Roman"/>
                      <w:color w:val="auto"/>
                      <w:sz w:val="21"/>
                      <w:szCs w:val="21"/>
                      <w:u w:val="single"/>
                    </w:rPr>
                    <w:t>湘江衡阳段四大家鱼种质资源保护区</w:t>
                  </w:r>
                </w:p>
              </w:tc>
              <w:tc>
                <w:tcPr>
                  <w:tcW w:w="983" w:type="pct"/>
                  <w:gridSpan w:val="2"/>
                  <w:vAlign w:val="center"/>
                </w:tcPr>
                <w:p w14:paraId="28DED200">
                  <w:pPr>
                    <w:pStyle w:val="2"/>
                    <w:wordWrap w:val="0"/>
                    <w:topLinePunct/>
                    <w:autoSpaceDE/>
                    <w:autoSpaceDN/>
                    <w:snapToGrid w:val="0"/>
                    <w:jc w:val="center"/>
                    <w:rPr>
                      <w:rFonts w:hint="eastAsia" w:ascii="Times New Roman" w:hAnsi="Times New Roman" w:cs="Times New Roman"/>
                      <w:color w:val="auto"/>
                      <w:sz w:val="21"/>
                      <w:szCs w:val="21"/>
                      <w:u w:val="single"/>
                    </w:rPr>
                  </w:pPr>
                  <w:r>
                    <w:rPr>
                      <w:rFonts w:hint="eastAsia" w:ascii="Times New Roman" w:hAnsi="Times New Roman" w:cs="Times New Roman"/>
                      <w:color w:val="auto"/>
                      <w:sz w:val="21"/>
                      <w:szCs w:val="21"/>
                      <w:u w:val="single"/>
                    </w:rPr>
                    <w:t>水生动植物资源</w:t>
                  </w:r>
                </w:p>
              </w:tc>
              <w:tc>
                <w:tcPr>
                  <w:tcW w:w="1506" w:type="pct"/>
                  <w:gridSpan w:val="3"/>
                  <w:vAlign w:val="center"/>
                </w:tcPr>
                <w:p w14:paraId="7BB07DC0">
                  <w:pPr>
                    <w:pStyle w:val="2"/>
                    <w:wordWrap w:val="0"/>
                    <w:topLinePunct/>
                    <w:autoSpaceDE/>
                    <w:autoSpaceDN/>
                    <w:snapToGrid w:val="0"/>
                    <w:jc w:val="center"/>
                    <w:rPr>
                      <w:rFonts w:hint="eastAsia" w:ascii="Times New Roman" w:hAnsi="Times New Roman" w:cs="Times New Roman"/>
                      <w:color w:val="auto"/>
                      <w:sz w:val="21"/>
                      <w:szCs w:val="21"/>
                      <w:u w:val="single"/>
                    </w:rPr>
                  </w:pPr>
                  <w:r>
                    <w:rPr>
                      <w:rFonts w:hint="default" w:ascii="Times New Roman" w:hAnsi="Times New Roman" w:eastAsia="宋体" w:cs="Times New Roman"/>
                      <w:color w:val="auto"/>
                      <w:sz w:val="21"/>
                      <w:szCs w:val="21"/>
                      <w:u w:val="single"/>
                    </w:rPr>
                    <w:t>本项目依托园区污水处理厂，其排污口位于实验区内</w:t>
                  </w:r>
                </w:p>
              </w:tc>
            </w:tr>
          </w:tbl>
          <w:p w14:paraId="65993F7C">
            <w:pPr>
              <w:tabs>
                <w:tab w:val="left" w:pos="885"/>
              </w:tabs>
              <w:wordWrap w:val="0"/>
              <w:topLinePunct/>
              <w:adjustRightInd w:val="0"/>
              <w:snapToGrid w:val="0"/>
              <w:spacing w:line="360" w:lineRule="auto"/>
              <w:ind w:firstLine="480" w:firstLineChars="200"/>
              <w:rPr>
                <w:color w:val="2F5496"/>
                <w:kern w:val="0"/>
                <w:szCs w:val="21"/>
              </w:rPr>
            </w:pPr>
          </w:p>
        </w:tc>
      </w:tr>
      <w:tr w14:paraId="647136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4" w:type="pct"/>
            <w:tcMar>
              <w:left w:w="28" w:type="dxa"/>
              <w:right w:w="28" w:type="dxa"/>
            </w:tcMar>
            <w:vAlign w:val="center"/>
          </w:tcPr>
          <w:p w14:paraId="009D2A29">
            <w:pPr>
              <w:wordWrap w:val="0"/>
              <w:topLinePunct/>
              <w:adjustRightInd w:val="0"/>
              <w:snapToGrid w:val="0"/>
              <w:jc w:val="center"/>
              <w:rPr>
                <w:kern w:val="0"/>
                <w:szCs w:val="21"/>
              </w:rPr>
            </w:pPr>
            <w:r>
              <w:rPr>
                <w:kern w:val="0"/>
                <w:szCs w:val="21"/>
              </w:rPr>
              <w:t>污染</w:t>
            </w:r>
          </w:p>
          <w:p w14:paraId="437ABB7A">
            <w:pPr>
              <w:wordWrap w:val="0"/>
              <w:topLinePunct/>
              <w:adjustRightInd w:val="0"/>
              <w:snapToGrid w:val="0"/>
              <w:jc w:val="center"/>
              <w:rPr>
                <w:kern w:val="0"/>
                <w:szCs w:val="21"/>
              </w:rPr>
            </w:pPr>
            <w:r>
              <w:rPr>
                <w:kern w:val="0"/>
                <w:szCs w:val="21"/>
              </w:rPr>
              <w:t>物排</w:t>
            </w:r>
          </w:p>
          <w:p w14:paraId="1F5AAA3D">
            <w:pPr>
              <w:wordWrap w:val="0"/>
              <w:topLinePunct/>
              <w:adjustRightInd w:val="0"/>
              <w:snapToGrid w:val="0"/>
              <w:jc w:val="center"/>
              <w:rPr>
                <w:kern w:val="0"/>
                <w:szCs w:val="21"/>
              </w:rPr>
            </w:pPr>
            <w:r>
              <w:rPr>
                <w:kern w:val="0"/>
                <w:szCs w:val="21"/>
              </w:rPr>
              <w:t>放控</w:t>
            </w:r>
          </w:p>
          <w:p w14:paraId="4F2FD034">
            <w:pPr>
              <w:wordWrap w:val="0"/>
              <w:topLinePunct/>
              <w:adjustRightInd w:val="0"/>
              <w:snapToGrid w:val="0"/>
              <w:jc w:val="center"/>
              <w:rPr>
                <w:kern w:val="0"/>
                <w:szCs w:val="21"/>
              </w:rPr>
            </w:pPr>
            <w:r>
              <w:rPr>
                <w:kern w:val="0"/>
                <w:szCs w:val="21"/>
              </w:rPr>
              <w:t>制标</w:t>
            </w:r>
          </w:p>
          <w:p w14:paraId="56DD9399">
            <w:pPr>
              <w:wordWrap w:val="0"/>
              <w:topLinePunct/>
              <w:adjustRightInd w:val="0"/>
              <w:snapToGrid w:val="0"/>
              <w:jc w:val="center"/>
              <w:rPr>
                <w:color w:val="2F5496"/>
                <w:kern w:val="0"/>
                <w:szCs w:val="21"/>
              </w:rPr>
            </w:pPr>
            <w:r>
              <w:rPr>
                <w:kern w:val="0"/>
                <w:szCs w:val="21"/>
              </w:rPr>
              <w:t>准</w:t>
            </w:r>
          </w:p>
        </w:tc>
        <w:tc>
          <w:tcPr>
            <w:tcW w:w="4705" w:type="pct"/>
          </w:tcPr>
          <w:p w14:paraId="6CC30689">
            <w:pPr>
              <w:pStyle w:val="8"/>
              <w:ind w:firstLine="482"/>
              <w:rPr>
                <w:lang w:val="zh-CN"/>
              </w:rPr>
            </w:pPr>
            <w:r>
              <w:t>1、</w:t>
            </w:r>
            <w:r>
              <w:rPr>
                <w:lang w:val="zh-CN"/>
              </w:rPr>
              <w:t>废气</w:t>
            </w:r>
          </w:p>
          <w:p w14:paraId="7ECC1589">
            <w:pPr>
              <w:spacing w:line="360" w:lineRule="auto"/>
              <w:ind w:firstLine="480" w:firstLineChars="200"/>
              <w:rPr>
                <w:color w:val="000000"/>
              </w:rPr>
            </w:pPr>
            <w:r>
              <w:rPr>
                <w:color w:val="000000"/>
              </w:rPr>
              <w:t>本项目</w:t>
            </w:r>
            <w:r>
              <w:rPr>
                <w:rFonts w:hint="eastAsia"/>
                <w:color w:val="000000"/>
              </w:rPr>
              <w:t>颗粒物、</w:t>
            </w:r>
            <w:r>
              <w:rPr>
                <w:color w:val="000000" w:themeColor="text1"/>
                <w:lang w:bidi="ar"/>
                <w14:textFill>
                  <w14:solidFill>
                    <w14:schemeClr w14:val="tx1"/>
                  </w14:solidFill>
                </w14:textFill>
              </w:rPr>
              <w:t>VOCs排放</w:t>
            </w:r>
            <w:r>
              <w:rPr>
                <w:color w:val="000000" w:themeColor="text1"/>
                <w14:textFill>
                  <w14:solidFill>
                    <w14:schemeClr w14:val="tx1"/>
                  </w14:solidFill>
                </w14:textFill>
              </w:rPr>
              <w:t>执行</w:t>
            </w:r>
            <w:r>
              <w:rPr>
                <w:color w:val="000000" w:themeColor="text1"/>
                <w:szCs w:val="22"/>
                <w14:textFill>
                  <w14:solidFill>
                    <w14:schemeClr w14:val="tx1"/>
                  </w14:solidFill>
                </w14:textFill>
              </w:rPr>
              <w:t>《大气污染物综合排放标准》（GB16297-1996）</w:t>
            </w:r>
            <w:r>
              <w:rPr>
                <w:color w:val="000000" w:themeColor="text1"/>
                <w:lang w:bidi="ar"/>
                <w14:textFill>
                  <w14:solidFill>
                    <w14:schemeClr w14:val="tx1"/>
                  </w14:solidFill>
                </w14:textFill>
              </w:rPr>
              <w:t>表</w:t>
            </w:r>
            <w:r>
              <w:rPr>
                <w:rFonts w:hint="eastAsia"/>
                <w:color w:val="000000" w:themeColor="text1"/>
                <w:lang w:bidi="ar"/>
                <w14:textFill>
                  <w14:solidFill>
                    <w14:schemeClr w14:val="tx1"/>
                  </w14:solidFill>
                </w14:textFill>
              </w:rPr>
              <w:t>2</w:t>
            </w:r>
            <w:r>
              <w:rPr>
                <w:color w:val="000000" w:themeColor="text1"/>
                <w:lang w:bidi="ar"/>
                <w14:textFill>
                  <w14:solidFill>
                    <w14:schemeClr w14:val="tx1"/>
                  </w14:solidFill>
                </w14:textFill>
              </w:rPr>
              <w:t>相应限值</w:t>
            </w:r>
            <w:r>
              <w:rPr>
                <w:rFonts w:hint="eastAsia"/>
                <w:color w:val="000000" w:themeColor="text1"/>
                <w:lang w:bidi="ar"/>
                <w14:textFill>
                  <w14:solidFill>
                    <w14:schemeClr w14:val="tx1"/>
                  </w14:solidFill>
                </w14:textFill>
              </w:rPr>
              <w:t>；天然气燃烧废气执行《锅炉大气污染物排放标准》（GB13271-2014）中表3限值</w:t>
            </w:r>
            <w:r>
              <w:rPr>
                <w:rFonts w:hint="eastAsia"/>
                <w:color w:val="000000" w:themeColor="text1"/>
                <w:lang w:eastAsia="zh-CN" w:bidi="ar"/>
                <w14:textFill>
                  <w14:solidFill>
                    <w14:schemeClr w14:val="tx1"/>
                  </w14:solidFill>
                </w14:textFill>
              </w:rPr>
              <w:t>、</w:t>
            </w:r>
            <w:r>
              <w:rPr>
                <w:rFonts w:hint="eastAsia"/>
                <w:color w:val="000000" w:themeColor="text1"/>
                <w:u w:val="single"/>
                <w:lang w:eastAsia="zh-CN" w:bidi="ar"/>
                <w14:textFill>
                  <w14:solidFill>
                    <w14:schemeClr w14:val="tx1"/>
                  </w14:solidFill>
                </w14:textFill>
              </w:rPr>
              <w:t>臭气浓度执行《恶臭污染物排放标准》（</w:t>
            </w:r>
            <w:r>
              <w:rPr>
                <w:rFonts w:hint="eastAsia"/>
                <w:color w:val="000000" w:themeColor="text1"/>
                <w:u w:val="single"/>
                <w:lang w:val="en-US" w:eastAsia="zh-CN" w:bidi="ar"/>
                <w14:textFill>
                  <w14:solidFill>
                    <w14:schemeClr w14:val="tx1"/>
                  </w14:solidFill>
                </w14:textFill>
              </w:rPr>
              <w:t>GB14554-93</w:t>
            </w:r>
            <w:r>
              <w:rPr>
                <w:rFonts w:hint="eastAsia"/>
                <w:color w:val="000000" w:themeColor="text1"/>
                <w:u w:val="single"/>
                <w:lang w:eastAsia="zh-CN" w:bidi="ar"/>
                <w14:textFill>
                  <w14:solidFill>
                    <w14:schemeClr w14:val="tx1"/>
                  </w14:solidFill>
                </w14:textFill>
              </w:rPr>
              <w:t>）中表</w:t>
            </w:r>
            <w:r>
              <w:rPr>
                <w:rFonts w:hint="eastAsia"/>
                <w:color w:val="000000" w:themeColor="text1"/>
                <w:u w:val="single"/>
                <w:lang w:val="en-US" w:eastAsia="zh-CN" w:bidi="ar"/>
                <w14:textFill>
                  <w14:solidFill>
                    <w14:schemeClr w14:val="tx1"/>
                  </w14:solidFill>
                </w14:textFill>
              </w:rPr>
              <w:t>1标准</w:t>
            </w:r>
            <w:r>
              <w:rPr>
                <w:color w:val="000000"/>
              </w:rPr>
              <w:t>。</w:t>
            </w:r>
          </w:p>
          <w:p w14:paraId="219EE1E8">
            <w:pPr>
              <w:pStyle w:val="12"/>
              <w:keepNext w:val="0"/>
              <w:keepLines w:val="0"/>
              <w:pageBreakBefore w:val="0"/>
              <w:spacing w:before="0" w:beforeLines="0" w:line="360" w:lineRule="auto"/>
              <w:rPr>
                <w:sz w:val="21"/>
                <w:szCs w:val="21"/>
              </w:rPr>
            </w:pPr>
            <w:r>
              <w:rPr>
                <w:sz w:val="21"/>
                <w:szCs w:val="21"/>
              </w:rPr>
              <w:t>表3-</w:t>
            </w:r>
            <w:r>
              <w:rPr>
                <w:rFonts w:hint="eastAsia"/>
                <w:sz w:val="21"/>
                <w:szCs w:val="21"/>
              </w:rPr>
              <w:t>4</w:t>
            </w:r>
            <w:r>
              <w:rPr>
                <w:sz w:val="21"/>
                <w:szCs w:val="21"/>
              </w:rPr>
              <w:t xml:space="preserve">  大气污染物综合排放标准</w:t>
            </w:r>
            <w:r>
              <w:rPr>
                <w:rFonts w:hint="eastAsia"/>
                <w:sz w:val="21"/>
                <w:szCs w:val="21"/>
                <w:lang w:val="en-US" w:eastAsia="zh-CN"/>
              </w:rPr>
              <w:t xml:space="preserve"> </w:t>
            </w:r>
            <w:r>
              <w:rPr>
                <w:rFonts w:hint="eastAsia"/>
                <w:sz w:val="21"/>
                <w:szCs w:val="21"/>
              </w:rPr>
              <w:t>（GB16297-1996）</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77"/>
              <w:gridCol w:w="2408"/>
              <w:gridCol w:w="2408"/>
              <w:gridCol w:w="1204"/>
              <w:gridCol w:w="1204"/>
            </w:tblGrid>
            <w:tr w14:paraId="2228C9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942" w:type="pct"/>
                  <w:tcBorders>
                    <w:tl2br w:val="nil"/>
                    <w:tr2bl w:val="nil"/>
                  </w:tcBorders>
                  <w:vAlign w:val="center"/>
                </w:tcPr>
                <w:p w14:paraId="4AC86086">
                  <w:pPr>
                    <w:pStyle w:val="2"/>
                    <w:adjustRightInd/>
                    <w:jc w:val="center"/>
                    <w:rPr>
                      <w:rFonts w:ascii="Times New Roman" w:hAnsi="Times New Roman" w:cs="Times New Roman"/>
                      <w:b/>
                      <w:bCs/>
                      <w:sz w:val="21"/>
                      <w:szCs w:val="21"/>
                    </w:rPr>
                  </w:pPr>
                  <w:r>
                    <w:rPr>
                      <w:rFonts w:ascii="Times New Roman" w:hAnsi="Times New Roman" w:cs="Times New Roman"/>
                      <w:b/>
                      <w:bCs/>
                      <w:sz w:val="21"/>
                      <w:szCs w:val="21"/>
                    </w:rPr>
                    <w:t>污染物</w:t>
                  </w:r>
                </w:p>
              </w:tc>
              <w:tc>
                <w:tcPr>
                  <w:tcW w:w="1352" w:type="pct"/>
                  <w:tcBorders>
                    <w:tl2br w:val="nil"/>
                    <w:tr2bl w:val="nil"/>
                  </w:tcBorders>
                  <w:vAlign w:val="center"/>
                </w:tcPr>
                <w:p w14:paraId="0C8CA16B">
                  <w:pPr>
                    <w:pStyle w:val="2"/>
                    <w:adjustRightInd/>
                    <w:jc w:val="center"/>
                    <w:rPr>
                      <w:rFonts w:ascii="Times New Roman" w:hAnsi="Times New Roman" w:cs="Times New Roman"/>
                      <w:b/>
                      <w:bCs/>
                      <w:sz w:val="21"/>
                      <w:szCs w:val="21"/>
                    </w:rPr>
                  </w:pPr>
                  <w:r>
                    <w:rPr>
                      <w:rFonts w:ascii="Times New Roman" w:hAnsi="Times New Roman" w:cs="Times New Roman"/>
                      <w:b/>
                      <w:bCs/>
                      <w:sz w:val="21"/>
                      <w:szCs w:val="21"/>
                    </w:rPr>
                    <w:t>无组织排放标准</w:t>
                  </w:r>
                </w:p>
              </w:tc>
              <w:tc>
                <w:tcPr>
                  <w:tcW w:w="1352" w:type="pct"/>
                  <w:tcBorders>
                    <w:tl2br w:val="nil"/>
                    <w:tr2bl w:val="nil"/>
                  </w:tcBorders>
                  <w:vAlign w:val="center"/>
                </w:tcPr>
                <w:p w14:paraId="3A484DBE">
                  <w:pPr>
                    <w:pStyle w:val="2"/>
                    <w:adjustRightInd/>
                    <w:jc w:val="center"/>
                    <w:rPr>
                      <w:rFonts w:ascii="Times New Roman" w:hAnsi="Times New Roman" w:cs="Times New Roman"/>
                      <w:b/>
                      <w:bCs/>
                      <w:sz w:val="21"/>
                      <w:szCs w:val="21"/>
                    </w:rPr>
                  </w:pPr>
                  <w:r>
                    <w:rPr>
                      <w:rFonts w:hint="eastAsia" w:ascii="Times New Roman" w:hAnsi="Times New Roman" w:cs="Times New Roman"/>
                      <w:b/>
                      <w:bCs/>
                      <w:sz w:val="21"/>
                      <w:szCs w:val="21"/>
                    </w:rPr>
                    <w:t>有组织排放标准</w:t>
                  </w:r>
                </w:p>
              </w:tc>
              <w:tc>
                <w:tcPr>
                  <w:tcW w:w="1352" w:type="pct"/>
                  <w:gridSpan w:val="2"/>
                  <w:tcBorders>
                    <w:tl2br w:val="nil"/>
                    <w:tr2bl w:val="nil"/>
                  </w:tcBorders>
                  <w:vAlign w:val="center"/>
                </w:tcPr>
                <w:p w14:paraId="3C10DB6F">
                  <w:pPr>
                    <w:pStyle w:val="2"/>
                    <w:adjustRightInd/>
                    <w:jc w:val="center"/>
                    <w:rPr>
                      <w:rFonts w:ascii="Times New Roman" w:hAnsi="Times New Roman" w:cs="Times New Roman"/>
                      <w:b/>
                      <w:bCs/>
                      <w:sz w:val="21"/>
                      <w:szCs w:val="21"/>
                    </w:rPr>
                  </w:pPr>
                  <w:r>
                    <w:rPr>
                      <w:rFonts w:hint="eastAsia" w:ascii="Times New Roman" w:hAnsi="Times New Roman" w:cs="Times New Roman"/>
                      <w:b/>
                      <w:bCs/>
                      <w:sz w:val="21"/>
                      <w:szCs w:val="21"/>
                    </w:rPr>
                    <w:t>最高允许排放速率</w:t>
                  </w:r>
                </w:p>
              </w:tc>
            </w:tr>
            <w:tr w14:paraId="004280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2" w:type="pct"/>
                  <w:tcBorders>
                    <w:tl2br w:val="nil"/>
                    <w:tr2bl w:val="nil"/>
                  </w:tcBorders>
                  <w:vAlign w:val="center"/>
                </w:tcPr>
                <w:p w14:paraId="37D959C5">
                  <w:pPr>
                    <w:pStyle w:val="2"/>
                    <w:adjustRightInd/>
                    <w:jc w:val="center"/>
                    <w:rPr>
                      <w:rFonts w:ascii="Times New Roman" w:hAnsi="Times New Roman" w:cs="Times New Roman"/>
                      <w:sz w:val="21"/>
                      <w:szCs w:val="21"/>
                    </w:rPr>
                  </w:pPr>
                  <w:r>
                    <w:rPr>
                      <w:rFonts w:hint="eastAsia" w:ascii="Times New Roman" w:hAnsi="Times New Roman" w:cs="Times New Roman"/>
                      <w:sz w:val="21"/>
                      <w:szCs w:val="21"/>
                    </w:rPr>
                    <w:t>颗粒物</w:t>
                  </w:r>
                </w:p>
              </w:tc>
              <w:tc>
                <w:tcPr>
                  <w:tcW w:w="1352" w:type="pct"/>
                  <w:tcBorders>
                    <w:tl2br w:val="nil"/>
                    <w:tr2bl w:val="nil"/>
                  </w:tcBorders>
                  <w:vAlign w:val="center"/>
                </w:tcPr>
                <w:p w14:paraId="2D56C5A3">
                  <w:pPr>
                    <w:pStyle w:val="2"/>
                    <w:adjustRightInd/>
                    <w:jc w:val="center"/>
                    <w:rPr>
                      <w:rFonts w:ascii="Times New Roman" w:hAnsi="Times New Roman" w:cs="Times New Roman"/>
                      <w:sz w:val="21"/>
                      <w:szCs w:val="21"/>
                    </w:rPr>
                  </w:pPr>
                  <w:r>
                    <w:rPr>
                      <w:rFonts w:hint="eastAsia" w:ascii="Times New Roman" w:hAnsi="Times New Roman" w:cs="Times New Roman"/>
                      <w:sz w:val="21"/>
                      <w:szCs w:val="21"/>
                    </w:rPr>
                    <w:t>1.0</w:t>
                  </w:r>
                  <w:r>
                    <w:rPr>
                      <w:rFonts w:ascii="Times New Roman" w:hAnsi="Times New Roman" w:cs="Times New Roman"/>
                      <w:sz w:val="21"/>
                      <w:szCs w:val="21"/>
                    </w:rPr>
                    <w:t>mg/m</w:t>
                  </w:r>
                  <w:r>
                    <w:rPr>
                      <w:rFonts w:ascii="Times New Roman" w:hAnsi="Times New Roman" w:cs="Times New Roman"/>
                      <w:sz w:val="21"/>
                      <w:szCs w:val="21"/>
                      <w:vertAlign w:val="superscript"/>
                    </w:rPr>
                    <w:t>3</w:t>
                  </w:r>
                </w:p>
              </w:tc>
              <w:tc>
                <w:tcPr>
                  <w:tcW w:w="1352" w:type="pct"/>
                  <w:tcBorders>
                    <w:tl2br w:val="nil"/>
                    <w:tr2bl w:val="nil"/>
                  </w:tcBorders>
                  <w:vAlign w:val="center"/>
                </w:tcPr>
                <w:p w14:paraId="05D7CDCA">
                  <w:pPr>
                    <w:pStyle w:val="2"/>
                    <w:adjustRightInd/>
                    <w:jc w:val="center"/>
                    <w:rPr>
                      <w:rFonts w:ascii="Times New Roman" w:hAnsi="Times New Roman" w:cs="Times New Roman"/>
                      <w:sz w:val="21"/>
                      <w:szCs w:val="21"/>
                    </w:rPr>
                  </w:pPr>
                  <w:r>
                    <w:rPr>
                      <w:rFonts w:hint="eastAsia" w:ascii="Times New Roman" w:hAnsi="Times New Roman" w:cs="Times New Roman"/>
                      <w:sz w:val="21"/>
                      <w:szCs w:val="21"/>
                    </w:rPr>
                    <w:t>120</w:t>
                  </w:r>
                  <w:r>
                    <w:rPr>
                      <w:rFonts w:ascii="Times New Roman" w:hAnsi="Times New Roman" w:cs="Times New Roman"/>
                      <w:sz w:val="21"/>
                      <w:szCs w:val="21"/>
                    </w:rPr>
                    <w:t>mg/m</w:t>
                  </w:r>
                  <w:r>
                    <w:rPr>
                      <w:rFonts w:ascii="Times New Roman" w:hAnsi="Times New Roman" w:cs="Times New Roman"/>
                      <w:sz w:val="21"/>
                      <w:szCs w:val="21"/>
                      <w:vertAlign w:val="superscript"/>
                    </w:rPr>
                    <w:t>3</w:t>
                  </w:r>
                </w:p>
              </w:tc>
              <w:tc>
                <w:tcPr>
                  <w:tcW w:w="676" w:type="pct"/>
                  <w:tcBorders>
                    <w:tl2br w:val="nil"/>
                    <w:tr2bl w:val="nil"/>
                  </w:tcBorders>
                  <w:vAlign w:val="center"/>
                </w:tcPr>
                <w:p w14:paraId="3CF8516B">
                  <w:pPr>
                    <w:pStyle w:val="2"/>
                    <w:adjustRightInd/>
                    <w:jc w:val="center"/>
                    <w:rPr>
                      <w:rFonts w:ascii="Times New Roman" w:hAnsi="Times New Roman" w:cs="Times New Roman"/>
                      <w:sz w:val="21"/>
                      <w:szCs w:val="21"/>
                    </w:rPr>
                  </w:pPr>
                  <w:r>
                    <w:rPr>
                      <w:rFonts w:hint="eastAsia" w:ascii="Times New Roman" w:hAnsi="Times New Roman" w:cs="Times New Roman"/>
                      <w:sz w:val="21"/>
                      <w:szCs w:val="21"/>
                    </w:rPr>
                    <w:t>15m</w:t>
                  </w:r>
                </w:p>
              </w:tc>
              <w:tc>
                <w:tcPr>
                  <w:tcW w:w="676" w:type="pct"/>
                  <w:tcBorders>
                    <w:tl2br w:val="nil"/>
                    <w:tr2bl w:val="nil"/>
                  </w:tcBorders>
                  <w:vAlign w:val="center"/>
                </w:tcPr>
                <w:p w14:paraId="2034ACA9">
                  <w:pPr>
                    <w:pStyle w:val="2"/>
                    <w:adjustRightInd/>
                    <w:jc w:val="center"/>
                    <w:rPr>
                      <w:rFonts w:ascii="Times New Roman" w:hAnsi="Times New Roman" w:cs="Times New Roman"/>
                      <w:sz w:val="21"/>
                      <w:szCs w:val="21"/>
                    </w:rPr>
                  </w:pPr>
                  <w:r>
                    <w:rPr>
                      <w:rFonts w:hint="eastAsia" w:ascii="Times New Roman" w:hAnsi="Times New Roman" w:cs="Times New Roman"/>
                      <w:sz w:val="21"/>
                      <w:szCs w:val="21"/>
                    </w:rPr>
                    <w:t>3.5kg/h</w:t>
                  </w:r>
                </w:p>
              </w:tc>
            </w:tr>
            <w:tr w14:paraId="116FDA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2" w:type="pct"/>
                  <w:tcBorders>
                    <w:tl2br w:val="nil"/>
                    <w:tr2bl w:val="nil"/>
                  </w:tcBorders>
                  <w:vAlign w:val="center"/>
                </w:tcPr>
                <w:p w14:paraId="7A06CD3D">
                  <w:pPr>
                    <w:pStyle w:val="2"/>
                    <w:adjustRightInd/>
                    <w:jc w:val="center"/>
                    <w:rPr>
                      <w:rFonts w:ascii="Times New Roman" w:hAnsi="Times New Roman" w:cs="Times New Roman"/>
                      <w:sz w:val="21"/>
                      <w:szCs w:val="21"/>
                    </w:rPr>
                  </w:pPr>
                  <w:r>
                    <w:rPr>
                      <w:rFonts w:hint="eastAsia" w:ascii="Times New Roman" w:hAnsi="Times New Roman"/>
                      <w:color w:val="000000" w:themeColor="text1"/>
                      <w:sz w:val="21"/>
                      <w:szCs w:val="21"/>
                      <w:lang w:bidi="ar"/>
                      <w14:textFill>
                        <w14:solidFill>
                          <w14:schemeClr w14:val="tx1"/>
                        </w14:solidFill>
                      </w14:textFill>
                    </w:rPr>
                    <w:t>VOCs</w:t>
                  </w:r>
                </w:p>
              </w:tc>
              <w:tc>
                <w:tcPr>
                  <w:tcW w:w="1352" w:type="pct"/>
                  <w:tcBorders>
                    <w:tl2br w:val="nil"/>
                    <w:tr2bl w:val="nil"/>
                  </w:tcBorders>
                  <w:vAlign w:val="center"/>
                </w:tcPr>
                <w:p w14:paraId="7E95DA27">
                  <w:pPr>
                    <w:pStyle w:val="2"/>
                    <w:adjustRightInd/>
                    <w:jc w:val="center"/>
                    <w:rPr>
                      <w:rFonts w:ascii="Times New Roman" w:hAnsi="Times New Roman" w:cs="Times New Roman"/>
                      <w:sz w:val="21"/>
                      <w:szCs w:val="21"/>
                    </w:rPr>
                  </w:pPr>
                  <w:r>
                    <w:rPr>
                      <w:rFonts w:hint="eastAsia" w:ascii="Times New Roman" w:hAnsi="Times New Roman" w:cs="Times New Roman"/>
                      <w:sz w:val="21"/>
                      <w:szCs w:val="21"/>
                    </w:rPr>
                    <w:t>4.0</w:t>
                  </w:r>
                  <w:r>
                    <w:rPr>
                      <w:rFonts w:ascii="Times New Roman" w:hAnsi="Times New Roman" w:cs="Times New Roman"/>
                      <w:sz w:val="21"/>
                      <w:szCs w:val="21"/>
                    </w:rPr>
                    <w:t>mg/m</w:t>
                  </w:r>
                  <w:r>
                    <w:rPr>
                      <w:rFonts w:ascii="Times New Roman" w:hAnsi="Times New Roman" w:cs="Times New Roman"/>
                      <w:sz w:val="21"/>
                      <w:szCs w:val="21"/>
                      <w:vertAlign w:val="superscript"/>
                    </w:rPr>
                    <w:t>3</w:t>
                  </w:r>
                </w:p>
              </w:tc>
              <w:tc>
                <w:tcPr>
                  <w:tcW w:w="1352" w:type="pct"/>
                  <w:tcBorders>
                    <w:tl2br w:val="nil"/>
                    <w:tr2bl w:val="nil"/>
                  </w:tcBorders>
                  <w:vAlign w:val="center"/>
                </w:tcPr>
                <w:p w14:paraId="214B4C17">
                  <w:pPr>
                    <w:pStyle w:val="2"/>
                    <w:adjustRightInd/>
                    <w:jc w:val="center"/>
                    <w:rPr>
                      <w:rFonts w:ascii="Times New Roman" w:hAnsi="Times New Roman" w:cs="Times New Roman"/>
                      <w:sz w:val="21"/>
                      <w:szCs w:val="21"/>
                    </w:rPr>
                  </w:pPr>
                  <w:r>
                    <w:rPr>
                      <w:rFonts w:hint="eastAsia" w:ascii="Times New Roman" w:hAnsi="Times New Roman" w:cs="Times New Roman"/>
                      <w:sz w:val="21"/>
                      <w:szCs w:val="21"/>
                    </w:rPr>
                    <w:t>120</w:t>
                  </w:r>
                  <w:r>
                    <w:rPr>
                      <w:rFonts w:ascii="Times New Roman" w:hAnsi="Times New Roman" w:cs="Times New Roman"/>
                      <w:sz w:val="21"/>
                      <w:szCs w:val="21"/>
                    </w:rPr>
                    <w:t>mg/m</w:t>
                  </w:r>
                  <w:r>
                    <w:rPr>
                      <w:rFonts w:ascii="Times New Roman" w:hAnsi="Times New Roman" w:cs="Times New Roman"/>
                      <w:sz w:val="21"/>
                      <w:szCs w:val="21"/>
                      <w:vertAlign w:val="superscript"/>
                    </w:rPr>
                    <w:t>3</w:t>
                  </w:r>
                </w:p>
              </w:tc>
              <w:tc>
                <w:tcPr>
                  <w:tcW w:w="676" w:type="pct"/>
                  <w:tcBorders>
                    <w:tl2br w:val="nil"/>
                    <w:tr2bl w:val="nil"/>
                  </w:tcBorders>
                  <w:vAlign w:val="center"/>
                </w:tcPr>
                <w:p w14:paraId="4212C547">
                  <w:pPr>
                    <w:pStyle w:val="2"/>
                    <w:adjustRightInd/>
                    <w:jc w:val="center"/>
                    <w:rPr>
                      <w:rFonts w:ascii="Times New Roman" w:hAnsi="Times New Roman" w:cs="Times New Roman"/>
                      <w:sz w:val="21"/>
                      <w:szCs w:val="21"/>
                    </w:rPr>
                  </w:pPr>
                  <w:r>
                    <w:rPr>
                      <w:rFonts w:hint="eastAsia" w:ascii="Times New Roman" w:hAnsi="Times New Roman" w:cs="Times New Roman"/>
                      <w:sz w:val="21"/>
                      <w:szCs w:val="21"/>
                    </w:rPr>
                    <w:t>15m</w:t>
                  </w:r>
                </w:p>
              </w:tc>
              <w:tc>
                <w:tcPr>
                  <w:tcW w:w="676" w:type="pct"/>
                  <w:tcBorders>
                    <w:tl2br w:val="nil"/>
                    <w:tr2bl w:val="nil"/>
                  </w:tcBorders>
                  <w:vAlign w:val="center"/>
                </w:tcPr>
                <w:p w14:paraId="663D56FA">
                  <w:pPr>
                    <w:pStyle w:val="2"/>
                    <w:adjustRightInd/>
                    <w:jc w:val="center"/>
                    <w:rPr>
                      <w:rFonts w:ascii="Times New Roman" w:hAnsi="Times New Roman" w:cs="Times New Roman"/>
                      <w:sz w:val="21"/>
                      <w:szCs w:val="21"/>
                    </w:rPr>
                  </w:pPr>
                  <w:r>
                    <w:rPr>
                      <w:rFonts w:hint="eastAsia" w:ascii="Times New Roman" w:hAnsi="Times New Roman" w:cs="Times New Roman"/>
                      <w:sz w:val="21"/>
                      <w:szCs w:val="21"/>
                    </w:rPr>
                    <w:t>10kg/h</w:t>
                  </w:r>
                </w:p>
              </w:tc>
            </w:tr>
          </w:tbl>
          <w:p w14:paraId="642002B0">
            <w:pPr>
              <w:pStyle w:val="107"/>
              <w:adjustRightInd/>
              <w:spacing w:before="120" w:beforeLines="50"/>
              <w:ind w:firstLine="0"/>
              <w:jc w:val="center"/>
              <w:rPr>
                <w:b/>
                <w:snapToGrid w:val="0"/>
                <w:color w:val="auto"/>
                <w:kern w:val="0"/>
                <w:sz w:val="22"/>
                <w:szCs w:val="22"/>
              </w:rPr>
            </w:pPr>
            <w:r>
              <w:rPr>
                <w:b/>
                <w:snapToGrid w:val="0"/>
                <w:color w:val="auto"/>
                <w:kern w:val="0"/>
                <w:sz w:val="22"/>
                <w:szCs w:val="22"/>
              </w:rPr>
              <w:t>表3-</w:t>
            </w:r>
            <w:r>
              <w:rPr>
                <w:rFonts w:hint="eastAsia"/>
                <w:b/>
                <w:snapToGrid w:val="0"/>
                <w:color w:val="auto"/>
                <w:kern w:val="0"/>
                <w:sz w:val="22"/>
                <w:szCs w:val="22"/>
              </w:rPr>
              <w:t>5</w:t>
            </w:r>
            <w:r>
              <w:rPr>
                <w:b/>
                <w:snapToGrid w:val="0"/>
                <w:color w:val="auto"/>
                <w:kern w:val="0"/>
                <w:sz w:val="22"/>
                <w:szCs w:val="22"/>
              </w:rPr>
              <w:t xml:space="preserve">  《锅炉大气污染物排放标准》（GB13271-2014）</w:t>
            </w:r>
          </w:p>
          <w:tbl>
            <w:tblPr>
              <w:tblStyle w:val="36"/>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94"/>
              <w:gridCol w:w="3053"/>
              <w:gridCol w:w="1540"/>
              <w:gridCol w:w="2109"/>
            </w:tblGrid>
            <w:tr w14:paraId="6CEB0C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3" w:type="pct"/>
                  <w:vAlign w:val="center"/>
                </w:tcPr>
                <w:p w14:paraId="1AB0A155">
                  <w:pPr>
                    <w:wordWrap w:val="0"/>
                    <w:topLinePunct/>
                    <w:jc w:val="center"/>
                    <w:rPr>
                      <w:sz w:val="21"/>
                      <w:szCs w:val="21"/>
                    </w:rPr>
                  </w:pPr>
                  <w:r>
                    <w:rPr>
                      <w:b/>
                      <w:kern w:val="0"/>
                      <w:sz w:val="21"/>
                      <w:szCs w:val="21"/>
                    </w:rPr>
                    <w:t>污染物控制项目</w:t>
                  </w:r>
                </w:p>
              </w:tc>
              <w:tc>
                <w:tcPr>
                  <w:tcW w:w="1715" w:type="pct"/>
                  <w:vAlign w:val="center"/>
                </w:tcPr>
                <w:p w14:paraId="588C6073">
                  <w:pPr>
                    <w:wordWrap w:val="0"/>
                    <w:topLinePunct/>
                    <w:jc w:val="center"/>
                    <w:rPr>
                      <w:b/>
                      <w:sz w:val="21"/>
                      <w:szCs w:val="21"/>
                    </w:rPr>
                  </w:pPr>
                  <w:r>
                    <w:rPr>
                      <w:b/>
                      <w:kern w:val="0"/>
                      <w:sz w:val="21"/>
                      <w:szCs w:val="21"/>
                    </w:rPr>
                    <w:t>最高允许排放浓度</w:t>
                  </w:r>
                  <w:r>
                    <w:rPr>
                      <w:b/>
                      <w:snapToGrid w:val="0"/>
                      <w:kern w:val="0"/>
                      <w:sz w:val="22"/>
                      <w:szCs w:val="22"/>
                    </w:rPr>
                    <w:t>mg/m</w:t>
                  </w:r>
                  <w:r>
                    <w:rPr>
                      <w:b/>
                      <w:snapToGrid w:val="0"/>
                      <w:kern w:val="0"/>
                      <w:sz w:val="22"/>
                      <w:szCs w:val="22"/>
                      <w:vertAlign w:val="superscript"/>
                    </w:rPr>
                    <w:t>3</w:t>
                  </w:r>
                </w:p>
              </w:tc>
              <w:tc>
                <w:tcPr>
                  <w:tcW w:w="865" w:type="pct"/>
                  <w:vAlign w:val="center"/>
                </w:tcPr>
                <w:p w14:paraId="7C74F7B7">
                  <w:pPr>
                    <w:wordWrap w:val="0"/>
                    <w:topLinePunct/>
                    <w:jc w:val="center"/>
                    <w:rPr>
                      <w:b/>
                      <w:sz w:val="21"/>
                      <w:szCs w:val="21"/>
                    </w:rPr>
                  </w:pPr>
                  <w:r>
                    <w:rPr>
                      <w:rFonts w:hint="eastAsia"/>
                      <w:b/>
                      <w:sz w:val="21"/>
                      <w:szCs w:val="21"/>
                    </w:rPr>
                    <w:t>排气筒高度</w:t>
                  </w:r>
                </w:p>
              </w:tc>
              <w:tc>
                <w:tcPr>
                  <w:tcW w:w="1185" w:type="pct"/>
                  <w:vAlign w:val="center"/>
                </w:tcPr>
                <w:p w14:paraId="7F1D90BC">
                  <w:pPr>
                    <w:wordWrap w:val="0"/>
                    <w:topLinePunct/>
                    <w:jc w:val="center"/>
                    <w:rPr>
                      <w:b/>
                      <w:sz w:val="21"/>
                      <w:szCs w:val="21"/>
                    </w:rPr>
                  </w:pPr>
                  <w:r>
                    <w:rPr>
                      <w:rFonts w:hint="eastAsia"/>
                      <w:b/>
                      <w:sz w:val="21"/>
                      <w:szCs w:val="21"/>
                    </w:rPr>
                    <w:t>备注</w:t>
                  </w:r>
                </w:p>
              </w:tc>
            </w:tr>
            <w:tr w14:paraId="0E4763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3" w:type="pct"/>
                  <w:vAlign w:val="center"/>
                </w:tcPr>
                <w:p w14:paraId="5AD0402C">
                  <w:pPr>
                    <w:snapToGrid w:val="0"/>
                    <w:jc w:val="center"/>
                    <w:rPr>
                      <w:sz w:val="21"/>
                      <w:szCs w:val="21"/>
                    </w:rPr>
                  </w:pPr>
                  <w:r>
                    <w:rPr>
                      <w:color w:val="000000" w:themeColor="text1"/>
                      <w:sz w:val="21"/>
                      <w:szCs w:val="21"/>
                      <w:lang w:bidi="ar"/>
                      <w14:textFill>
                        <w14:solidFill>
                          <w14:schemeClr w14:val="tx1"/>
                        </w14:solidFill>
                      </w14:textFill>
                    </w:rPr>
                    <w:t>颗粒物</w:t>
                  </w:r>
                </w:p>
              </w:tc>
              <w:tc>
                <w:tcPr>
                  <w:tcW w:w="1715" w:type="pct"/>
                  <w:vAlign w:val="center"/>
                </w:tcPr>
                <w:p w14:paraId="7CFE6288">
                  <w:pPr>
                    <w:snapToGrid w:val="0"/>
                    <w:jc w:val="center"/>
                    <w:rPr>
                      <w:sz w:val="21"/>
                      <w:szCs w:val="21"/>
                    </w:rPr>
                  </w:pPr>
                  <w:r>
                    <w:rPr>
                      <w:color w:val="000000" w:themeColor="text1"/>
                      <w:sz w:val="21"/>
                      <w:szCs w:val="21"/>
                      <w:lang w:bidi="ar"/>
                      <w14:textFill>
                        <w14:solidFill>
                          <w14:schemeClr w14:val="tx1"/>
                        </w14:solidFill>
                      </w14:textFill>
                    </w:rPr>
                    <w:t>20</w:t>
                  </w:r>
                </w:p>
              </w:tc>
              <w:tc>
                <w:tcPr>
                  <w:tcW w:w="865" w:type="pct"/>
                  <w:vMerge w:val="restart"/>
                  <w:vAlign w:val="center"/>
                </w:tcPr>
                <w:p w14:paraId="5B1E6943">
                  <w:pPr>
                    <w:jc w:val="center"/>
                    <w:rPr>
                      <w:sz w:val="21"/>
                      <w:szCs w:val="21"/>
                    </w:rPr>
                  </w:pPr>
                  <w:r>
                    <w:rPr>
                      <w:sz w:val="21"/>
                      <w:szCs w:val="21"/>
                    </w:rPr>
                    <w:t>15m</w:t>
                  </w:r>
                </w:p>
              </w:tc>
              <w:tc>
                <w:tcPr>
                  <w:tcW w:w="1185" w:type="pct"/>
                  <w:vMerge w:val="restart"/>
                  <w:vAlign w:val="center"/>
                </w:tcPr>
                <w:p w14:paraId="73646E68">
                  <w:pPr>
                    <w:jc w:val="center"/>
                    <w:rPr>
                      <w:sz w:val="21"/>
                      <w:szCs w:val="21"/>
                    </w:rPr>
                  </w:pPr>
                  <w:r>
                    <w:rPr>
                      <w:rFonts w:hint="eastAsia"/>
                      <w:sz w:val="21"/>
                      <w:szCs w:val="21"/>
                    </w:rPr>
                    <w:t>排气筒高度</w:t>
                  </w:r>
                  <w:r>
                    <w:rPr>
                      <w:sz w:val="21"/>
                      <w:szCs w:val="21"/>
                    </w:rPr>
                    <w:t>不低于8米，且高出周围200m范围最高建筑物3m</w:t>
                  </w:r>
                </w:p>
              </w:tc>
            </w:tr>
            <w:tr w14:paraId="667F15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3" w:type="pct"/>
                  <w:vAlign w:val="center"/>
                </w:tcPr>
                <w:p w14:paraId="57A0B6F2">
                  <w:pPr>
                    <w:snapToGrid w:val="0"/>
                    <w:jc w:val="center"/>
                    <w:rPr>
                      <w:sz w:val="21"/>
                      <w:szCs w:val="21"/>
                    </w:rPr>
                  </w:pPr>
                  <w:r>
                    <w:rPr>
                      <w:color w:val="000000" w:themeColor="text1"/>
                      <w:sz w:val="21"/>
                      <w:szCs w:val="21"/>
                      <w:lang w:bidi="ar"/>
                      <w14:textFill>
                        <w14:solidFill>
                          <w14:schemeClr w14:val="tx1"/>
                        </w14:solidFill>
                      </w14:textFill>
                    </w:rPr>
                    <w:t>SO</w:t>
                  </w:r>
                  <w:r>
                    <w:rPr>
                      <w:color w:val="000000" w:themeColor="text1"/>
                      <w:sz w:val="21"/>
                      <w:szCs w:val="21"/>
                      <w:vertAlign w:val="subscript"/>
                      <w:lang w:bidi="ar"/>
                      <w14:textFill>
                        <w14:solidFill>
                          <w14:schemeClr w14:val="tx1"/>
                        </w14:solidFill>
                      </w14:textFill>
                    </w:rPr>
                    <w:t>2</w:t>
                  </w:r>
                </w:p>
              </w:tc>
              <w:tc>
                <w:tcPr>
                  <w:tcW w:w="1715" w:type="pct"/>
                  <w:vAlign w:val="center"/>
                </w:tcPr>
                <w:p w14:paraId="7439ED5B">
                  <w:pPr>
                    <w:snapToGrid w:val="0"/>
                    <w:jc w:val="center"/>
                    <w:rPr>
                      <w:sz w:val="21"/>
                      <w:szCs w:val="21"/>
                    </w:rPr>
                  </w:pPr>
                  <w:r>
                    <w:rPr>
                      <w:color w:val="000000" w:themeColor="text1"/>
                      <w:sz w:val="21"/>
                      <w:szCs w:val="21"/>
                      <w:lang w:bidi="ar"/>
                      <w14:textFill>
                        <w14:solidFill>
                          <w14:schemeClr w14:val="tx1"/>
                        </w14:solidFill>
                      </w14:textFill>
                    </w:rPr>
                    <w:t>50</w:t>
                  </w:r>
                </w:p>
              </w:tc>
              <w:tc>
                <w:tcPr>
                  <w:tcW w:w="865" w:type="pct"/>
                  <w:vMerge w:val="continue"/>
                  <w:vAlign w:val="center"/>
                </w:tcPr>
                <w:p w14:paraId="45F0ADED">
                  <w:pPr>
                    <w:jc w:val="center"/>
                    <w:rPr>
                      <w:sz w:val="21"/>
                      <w:szCs w:val="21"/>
                    </w:rPr>
                  </w:pPr>
                </w:p>
              </w:tc>
              <w:tc>
                <w:tcPr>
                  <w:tcW w:w="1185" w:type="pct"/>
                  <w:vMerge w:val="continue"/>
                  <w:vAlign w:val="center"/>
                </w:tcPr>
                <w:p w14:paraId="7C34E5A4">
                  <w:pPr>
                    <w:jc w:val="center"/>
                    <w:rPr>
                      <w:sz w:val="21"/>
                      <w:szCs w:val="21"/>
                    </w:rPr>
                  </w:pPr>
                </w:p>
              </w:tc>
            </w:tr>
            <w:tr w14:paraId="04BE00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3" w:type="pct"/>
                  <w:vAlign w:val="center"/>
                </w:tcPr>
                <w:p w14:paraId="374983A7">
                  <w:pPr>
                    <w:snapToGrid w:val="0"/>
                    <w:jc w:val="center"/>
                    <w:rPr>
                      <w:sz w:val="21"/>
                      <w:szCs w:val="21"/>
                    </w:rPr>
                  </w:pPr>
                  <w:r>
                    <w:rPr>
                      <w:color w:val="000000" w:themeColor="text1"/>
                      <w:sz w:val="21"/>
                      <w:szCs w:val="21"/>
                      <w:lang w:bidi="ar"/>
                      <w14:textFill>
                        <w14:solidFill>
                          <w14:schemeClr w14:val="tx1"/>
                        </w14:solidFill>
                      </w14:textFill>
                    </w:rPr>
                    <w:t>NO</w:t>
                  </w:r>
                  <w:r>
                    <w:rPr>
                      <w:color w:val="000000" w:themeColor="text1"/>
                      <w:sz w:val="21"/>
                      <w:szCs w:val="21"/>
                      <w:vertAlign w:val="subscript"/>
                      <w:lang w:bidi="ar"/>
                      <w14:textFill>
                        <w14:solidFill>
                          <w14:schemeClr w14:val="tx1"/>
                        </w14:solidFill>
                      </w14:textFill>
                    </w:rPr>
                    <w:t>x</w:t>
                  </w:r>
                </w:p>
              </w:tc>
              <w:tc>
                <w:tcPr>
                  <w:tcW w:w="1715" w:type="pct"/>
                  <w:vAlign w:val="center"/>
                </w:tcPr>
                <w:p w14:paraId="15419C5E">
                  <w:pPr>
                    <w:snapToGrid w:val="0"/>
                    <w:jc w:val="center"/>
                    <w:rPr>
                      <w:sz w:val="21"/>
                      <w:szCs w:val="21"/>
                    </w:rPr>
                  </w:pPr>
                  <w:r>
                    <w:rPr>
                      <w:color w:val="000000" w:themeColor="text1"/>
                      <w:sz w:val="21"/>
                      <w:szCs w:val="21"/>
                      <w:lang w:bidi="ar"/>
                      <w14:textFill>
                        <w14:solidFill>
                          <w14:schemeClr w14:val="tx1"/>
                        </w14:solidFill>
                      </w14:textFill>
                    </w:rPr>
                    <w:t>150</w:t>
                  </w:r>
                </w:p>
              </w:tc>
              <w:tc>
                <w:tcPr>
                  <w:tcW w:w="865" w:type="pct"/>
                  <w:vMerge w:val="continue"/>
                  <w:vAlign w:val="center"/>
                </w:tcPr>
                <w:p w14:paraId="2C16939B">
                  <w:pPr>
                    <w:jc w:val="center"/>
                    <w:rPr>
                      <w:sz w:val="21"/>
                      <w:szCs w:val="21"/>
                    </w:rPr>
                  </w:pPr>
                </w:p>
              </w:tc>
              <w:tc>
                <w:tcPr>
                  <w:tcW w:w="1185" w:type="pct"/>
                  <w:vMerge w:val="continue"/>
                  <w:vAlign w:val="center"/>
                </w:tcPr>
                <w:p w14:paraId="77C5A272">
                  <w:pPr>
                    <w:jc w:val="center"/>
                    <w:rPr>
                      <w:sz w:val="21"/>
                      <w:szCs w:val="21"/>
                    </w:rPr>
                  </w:pPr>
                </w:p>
              </w:tc>
            </w:tr>
          </w:tbl>
          <w:p w14:paraId="3B568956">
            <w:pPr>
              <w:pStyle w:val="12"/>
              <w:keepNext w:val="0"/>
              <w:keepLines w:val="0"/>
              <w:pageBreakBefore w:val="0"/>
              <w:spacing w:before="0" w:beforeLines="0" w:line="360" w:lineRule="auto"/>
              <w:rPr>
                <w:rFonts w:hint="eastAsia" w:ascii="Times New Roman" w:hAnsi="Times New Roman" w:eastAsia="宋体" w:cs="Times New Roman"/>
                <w:sz w:val="21"/>
                <w:szCs w:val="21"/>
                <w:u w:val="single"/>
                <w:lang w:eastAsia="zh-CN"/>
              </w:rPr>
            </w:pPr>
            <w:r>
              <w:rPr>
                <w:rFonts w:ascii="Times New Roman" w:hAnsi="Times New Roman" w:eastAsia="宋体" w:cs="Times New Roman"/>
                <w:sz w:val="21"/>
                <w:szCs w:val="21"/>
                <w:u w:val="single"/>
              </w:rPr>
              <w:t>表3-</w:t>
            </w:r>
            <w:r>
              <w:rPr>
                <w:rFonts w:hint="eastAsia" w:ascii="Times New Roman" w:hAnsi="Times New Roman" w:eastAsia="宋体" w:cs="Times New Roman"/>
                <w:sz w:val="21"/>
                <w:szCs w:val="21"/>
                <w:u w:val="single"/>
                <w:lang w:val="en-US" w:eastAsia="zh-CN"/>
              </w:rPr>
              <w:t>6</w:t>
            </w:r>
            <w:r>
              <w:rPr>
                <w:rFonts w:ascii="Times New Roman" w:hAnsi="Times New Roman" w:eastAsia="宋体" w:cs="Times New Roman"/>
                <w:sz w:val="21"/>
                <w:szCs w:val="21"/>
                <w:u w:val="single"/>
              </w:rPr>
              <w:t xml:space="preserve">  </w:t>
            </w:r>
            <w:r>
              <w:rPr>
                <w:rFonts w:hint="eastAsia" w:ascii="Times New Roman" w:hAnsi="Times New Roman" w:eastAsia="宋体" w:cs="Times New Roman"/>
                <w:sz w:val="21"/>
                <w:szCs w:val="21"/>
                <w:u w:val="single"/>
                <w:lang w:eastAsia="zh-CN"/>
              </w:rPr>
              <w:t>恶臭污染物排放标准（</w:t>
            </w:r>
            <w:r>
              <w:rPr>
                <w:rFonts w:hint="eastAsia" w:ascii="Times New Roman" w:hAnsi="Times New Roman" w:eastAsia="宋体" w:cs="Times New Roman"/>
                <w:sz w:val="21"/>
                <w:szCs w:val="21"/>
                <w:u w:val="single"/>
                <w:lang w:val="en-US" w:eastAsia="zh-CN"/>
              </w:rPr>
              <w:t>GB14554-93</w:t>
            </w:r>
            <w:r>
              <w:rPr>
                <w:rFonts w:hint="eastAsia" w:ascii="Times New Roman" w:hAnsi="Times New Roman" w:eastAsia="宋体" w:cs="Times New Roman"/>
                <w:sz w:val="21"/>
                <w:szCs w:val="21"/>
                <w:u w:val="single"/>
                <w:lang w:eastAsia="zh-CN"/>
              </w:rPr>
              <w:t>）</w:t>
            </w:r>
          </w:p>
          <w:tbl>
            <w:tblPr>
              <w:tblStyle w:val="3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97"/>
              <w:gridCol w:w="3300"/>
              <w:gridCol w:w="3300"/>
            </w:tblGrid>
            <w:tr w14:paraId="623808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1" w:type="pct"/>
                  <w:tcBorders>
                    <w:tl2br w:val="nil"/>
                    <w:tr2bl w:val="nil"/>
                  </w:tcBorders>
                  <w:vAlign w:val="center"/>
                </w:tcPr>
                <w:p w14:paraId="4C7A1A0C">
                  <w:pPr>
                    <w:pStyle w:val="2"/>
                    <w:adjustRightInd/>
                    <w:jc w:val="center"/>
                    <w:rPr>
                      <w:rFonts w:ascii="Times New Roman" w:hAnsi="Times New Roman" w:cs="Times New Roman"/>
                      <w:b/>
                      <w:bCs/>
                      <w:sz w:val="21"/>
                      <w:szCs w:val="21"/>
                      <w:u w:val="single"/>
                    </w:rPr>
                  </w:pPr>
                  <w:r>
                    <w:rPr>
                      <w:rFonts w:ascii="Times New Roman" w:hAnsi="Times New Roman" w:cs="Times New Roman"/>
                      <w:b/>
                      <w:bCs/>
                      <w:sz w:val="21"/>
                      <w:szCs w:val="21"/>
                      <w:u w:val="single"/>
                    </w:rPr>
                    <w:t>污染物</w:t>
                  </w:r>
                </w:p>
              </w:tc>
              <w:tc>
                <w:tcPr>
                  <w:tcW w:w="1854" w:type="pct"/>
                  <w:tcBorders>
                    <w:tl2br w:val="nil"/>
                    <w:tr2bl w:val="nil"/>
                  </w:tcBorders>
                  <w:vAlign w:val="center"/>
                </w:tcPr>
                <w:p w14:paraId="3D7B542F">
                  <w:pPr>
                    <w:pStyle w:val="2"/>
                    <w:adjustRightInd/>
                    <w:jc w:val="center"/>
                    <w:rPr>
                      <w:rFonts w:ascii="Times New Roman" w:hAnsi="Times New Roman" w:cs="Times New Roman"/>
                      <w:b/>
                      <w:bCs/>
                      <w:sz w:val="21"/>
                      <w:szCs w:val="21"/>
                      <w:u w:val="single"/>
                    </w:rPr>
                  </w:pPr>
                  <w:r>
                    <w:rPr>
                      <w:rFonts w:ascii="Times New Roman" w:hAnsi="Times New Roman" w:cs="Times New Roman"/>
                      <w:b/>
                      <w:bCs/>
                      <w:sz w:val="21"/>
                      <w:szCs w:val="21"/>
                      <w:u w:val="single"/>
                    </w:rPr>
                    <w:t>无组织排放标准</w:t>
                  </w:r>
                </w:p>
              </w:tc>
              <w:tc>
                <w:tcPr>
                  <w:tcW w:w="1854" w:type="pct"/>
                  <w:tcBorders>
                    <w:tl2br w:val="nil"/>
                    <w:tr2bl w:val="nil"/>
                  </w:tcBorders>
                  <w:vAlign w:val="center"/>
                </w:tcPr>
                <w:p w14:paraId="10CF2894">
                  <w:pPr>
                    <w:pStyle w:val="2"/>
                    <w:adjustRightInd/>
                    <w:jc w:val="center"/>
                    <w:rPr>
                      <w:rFonts w:hint="eastAsia" w:ascii="Times New Roman" w:hAnsi="Times New Roman" w:eastAsia="宋体" w:cs="Times New Roman"/>
                      <w:b/>
                      <w:bCs/>
                      <w:sz w:val="21"/>
                      <w:szCs w:val="21"/>
                      <w:u w:val="single"/>
                      <w:lang w:eastAsia="zh-CN"/>
                    </w:rPr>
                  </w:pPr>
                  <w:r>
                    <w:rPr>
                      <w:rFonts w:hint="eastAsia" w:ascii="Times New Roman" w:hAnsi="Times New Roman" w:cs="Times New Roman"/>
                      <w:b/>
                      <w:bCs/>
                      <w:sz w:val="21"/>
                      <w:szCs w:val="21"/>
                      <w:u w:val="single"/>
                      <w:lang w:eastAsia="zh-CN"/>
                    </w:rPr>
                    <w:t>备注</w:t>
                  </w:r>
                </w:p>
              </w:tc>
            </w:tr>
            <w:tr w14:paraId="068D3E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1" w:type="pct"/>
                  <w:tcBorders>
                    <w:tl2br w:val="nil"/>
                    <w:tr2bl w:val="nil"/>
                  </w:tcBorders>
                  <w:vAlign w:val="center"/>
                </w:tcPr>
                <w:p w14:paraId="6A083F22">
                  <w:pPr>
                    <w:pStyle w:val="2"/>
                    <w:adjustRightInd/>
                    <w:jc w:val="center"/>
                    <w:rPr>
                      <w:rFonts w:hint="default" w:ascii="Times New Roman" w:hAnsi="Times New Roman" w:eastAsia="宋体" w:cs="Times New Roman"/>
                      <w:sz w:val="21"/>
                      <w:szCs w:val="21"/>
                      <w:u w:val="single"/>
                      <w:lang w:val="en-US" w:eastAsia="zh-CN"/>
                    </w:rPr>
                  </w:pPr>
                  <w:r>
                    <w:rPr>
                      <w:rFonts w:hint="eastAsia" w:ascii="Times New Roman" w:hAnsi="Times New Roman" w:cs="Times New Roman"/>
                      <w:sz w:val="21"/>
                      <w:szCs w:val="21"/>
                      <w:u w:val="single"/>
                      <w:lang w:val="en-US" w:eastAsia="zh-CN"/>
                    </w:rPr>
                    <w:t>臭气浓度</w:t>
                  </w:r>
                </w:p>
              </w:tc>
              <w:tc>
                <w:tcPr>
                  <w:tcW w:w="1854" w:type="pct"/>
                  <w:tcBorders>
                    <w:tl2br w:val="nil"/>
                    <w:tr2bl w:val="nil"/>
                  </w:tcBorders>
                  <w:vAlign w:val="center"/>
                </w:tcPr>
                <w:p w14:paraId="78F0ED8B">
                  <w:pPr>
                    <w:pStyle w:val="2"/>
                    <w:adjustRightInd/>
                    <w:jc w:val="center"/>
                    <w:rPr>
                      <w:rFonts w:hint="default" w:ascii="Times New Roman" w:hAnsi="Times New Roman" w:eastAsia="宋体" w:cs="Times New Roman"/>
                      <w:sz w:val="21"/>
                      <w:szCs w:val="21"/>
                      <w:u w:val="single"/>
                      <w:lang w:val="en-US" w:eastAsia="zh-CN"/>
                    </w:rPr>
                  </w:pPr>
                  <w:r>
                    <w:rPr>
                      <w:rFonts w:hint="eastAsia" w:ascii="Times New Roman" w:hAnsi="Times New Roman" w:cs="Times New Roman"/>
                      <w:sz w:val="21"/>
                      <w:szCs w:val="21"/>
                      <w:u w:val="single"/>
                      <w:lang w:val="en-US" w:eastAsia="zh-CN"/>
                    </w:rPr>
                    <w:t>20（无量纲）</w:t>
                  </w:r>
                </w:p>
              </w:tc>
              <w:tc>
                <w:tcPr>
                  <w:tcW w:w="1854" w:type="pct"/>
                  <w:tcBorders>
                    <w:tl2br w:val="nil"/>
                    <w:tr2bl w:val="nil"/>
                  </w:tcBorders>
                  <w:vAlign w:val="center"/>
                </w:tcPr>
                <w:p w14:paraId="311850B4">
                  <w:pPr>
                    <w:pStyle w:val="2"/>
                    <w:adjustRightInd/>
                    <w:jc w:val="center"/>
                    <w:rPr>
                      <w:rFonts w:hint="eastAsia" w:ascii="Times New Roman" w:hAnsi="Times New Roman" w:eastAsia="宋体" w:cs="Times New Roman"/>
                      <w:sz w:val="21"/>
                      <w:szCs w:val="21"/>
                      <w:u w:val="single"/>
                      <w:lang w:eastAsia="zh-CN"/>
                    </w:rPr>
                  </w:pPr>
                  <w:r>
                    <w:rPr>
                      <w:rFonts w:hint="eastAsia" w:ascii="Times New Roman" w:hAnsi="Times New Roman" w:cs="Times New Roman"/>
                      <w:sz w:val="21"/>
                      <w:szCs w:val="21"/>
                      <w:u w:val="single"/>
                      <w:lang w:eastAsia="zh-CN"/>
                    </w:rPr>
                    <w:t>厂界标准值</w:t>
                  </w:r>
                </w:p>
              </w:tc>
            </w:tr>
          </w:tbl>
          <w:p w14:paraId="4CFB2A5E">
            <w:pPr>
              <w:spacing w:before="120" w:beforeLines="50" w:line="360" w:lineRule="auto"/>
              <w:ind w:firstLine="482" w:firstLineChars="200"/>
              <w:rPr>
                <w:b/>
                <w:bCs/>
                <w:szCs w:val="32"/>
              </w:rPr>
            </w:pPr>
            <w:r>
              <w:rPr>
                <w:b/>
                <w:bCs/>
                <w:szCs w:val="32"/>
              </w:rPr>
              <w:t>2、废水排放标准</w:t>
            </w:r>
          </w:p>
          <w:p w14:paraId="66249FCE">
            <w:pPr>
              <w:spacing w:line="360" w:lineRule="auto"/>
              <w:ind w:firstLine="480" w:firstLineChars="200"/>
              <w:rPr>
                <w:color w:val="000000"/>
              </w:rPr>
            </w:pPr>
            <w:r>
              <w:rPr>
                <w:color w:val="000000"/>
              </w:rPr>
              <w:t>本项目生产废水</w:t>
            </w:r>
            <w:r>
              <w:rPr>
                <w:rFonts w:hint="eastAsia"/>
                <w:color w:val="000000"/>
                <w:lang w:eastAsia="zh-CN"/>
              </w:rPr>
              <w:t>经丰联公司污水站处理、</w:t>
            </w:r>
            <w:r>
              <w:rPr>
                <w:color w:val="000000"/>
              </w:rPr>
              <w:t>生活污水经过化粪池处理后用于排入园区污水管网，由</w:t>
            </w:r>
            <w:r>
              <w:rPr>
                <w:rFonts w:hint="eastAsia"/>
                <w:color w:val="000000"/>
              </w:rPr>
              <w:t>松木污水处理厂</w:t>
            </w:r>
            <w:r>
              <w:rPr>
                <w:color w:val="000000"/>
              </w:rPr>
              <w:t>集中处理后，最终排入</w:t>
            </w:r>
            <w:r>
              <w:rPr>
                <w:rFonts w:hint="eastAsia"/>
                <w:color w:val="000000"/>
              </w:rPr>
              <w:t>湘江</w:t>
            </w:r>
            <w:r>
              <w:rPr>
                <w:color w:val="000000"/>
              </w:rPr>
              <w:t>。污水排放需满足</w:t>
            </w:r>
            <w:r>
              <w:rPr>
                <w:bCs/>
              </w:rPr>
              <w:t>《污水综合排放标准》（GB8978-1996）表4三级排放标准</w:t>
            </w:r>
            <w:r>
              <w:rPr>
                <w:rFonts w:hint="eastAsia"/>
                <w:bCs/>
                <w:lang w:eastAsia="zh-CN"/>
              </w:rPr>
              <w:t>与园区污水处理厂纳管标准</w:t>
            </w:r>
            <w:r>
              <w:rPr>
                <w:color w:val="000000"/>
              </w:rPr>
              <w:t>。具体如下：</w:t>
            </w:r>
          </w:p>
          <w:p w14:paraId="5C1423DD">
            <w:pPr>
              <w:pStyle w:val="107"/>
              <w:adjustRightInd/>
              <w:ind w:firstLine="0"/>
              <w:jc w:val="center"/>
              <w:rPr>
                <w:b/>
                <w:snapToGrid w:val="0"/>
                <w:color w:val="auto"/>
                <w:kern w:val="0"/>
                <w:sz w:val="22"/>
                <w:szCs w:val="22"/>
              </w:rPr>
            </w:pPr>
            <w:r>
              <w:rPr>
                <w:b/>
                <w:snapToGrid w:val="0"/>
                <w:color w:val="auto"/>
                <w:kern w:val="0"/>
                <w:sz w:val="22"/>
                <w:szCs w:val="22"/>
              </w:rPr>
              <w:t>表3-</w:t>
            </w:r>
            <w:r>
              <w:rPr>
                <w:rFonts w:hint="eastAsia"/>
                <w:b/>
                <w:snapToGrid w:val="0"/>
                <w:color w:val="auto"/>
                <w:kern w:val="0"/>
                <w:sz w:val="22"/>
                <w:szCs w:val="22"/>
                <w:lang w:val="en-US" w:eastAsia="zh-CN"/>
              </w:rPr>
              <w:t>7</w:t>
            </w:r>
            <w:r>
              <w:rPr>
                <w:b/>
                <w:snapToGrid w:val="0"/>
                <w:color w:val="auto"/>
                <w:kern w:val="0"/>
                <w:sz w:val="22"/>
                <w:szCs w:val="22"/>
              </w:rPr>
              <w:t xml:space="preserve">  污水综合排放标准 单位：mg/L</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81"/>
              <w:gridCol w:w="1484"/>
              <w:gridCol w:w="1484"/>
              <w:gridCol w:w="1484"/>
              <w:gridCol w:w="1484"/>
              <w:gridCol w:w="1484"/>
            </w:tblGrid>
            <w:tr w14:paraId="67E514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2" w:type="pct"/>
                  <w:vAlign w:val="center"/>
                </w:tcPr>
                <w:p w14:paraId="43AB5AE2">
                  <w:pPr>
                    <w:jc w:val="center"/>
                    <w:rPr>
                      <w:b/>
                      <w:bCs/>
                      <w:snapToGrid w:val="0"/>
                      <w:kern w:val="0"/>
                      <w:sz w:val="21"/>
                      <w:szCs w:val="21"/>
                    </w:rPr>
                  </w:pPr>
                  <w:r>
                    <w:rPr>
                      <w:b/>
                      <w:bCs/>
                      <w:snapToGrid w:val="0"/>
                      <w:kern w:val="0"/>
                      <w:sz w:val="21"/>
                      <w:szCs w:val="21"/>
                    </w:rPr>
                    <w:t>污染物</w:t>
                  </w:r>
                </w:p>
              </w:tc>
              <w:tc>
                <w:tcPr>
                  <w:tcW w:w="833" w:type="pct"/>
                  <w:vAlign w:val="center"/>
                </w:tcPr>
                <w:p w14:paraId="5FB7B442">
                  <w:pPr>
                    <w:jc w:val="center"/>
                    <w:rPr>
                      <w:b/>
                      <w:bCs/>
                      <w:snapToGrid w:val="0"/>
                      <w:kern w:val="0"/>
                      <w:sz w:val="21"/>
                      <w:szCs w:val="21"/>
                    </w:rPr>
                  </w:pPr>
                  <w:r>
                    <w:rPr>
                      <w:b/>
                      <w:bCs/>
                      <w:snapToGrid w:val="0"/>
                      <w:kern w:val="0"/>
                      <w:sz w:val="21"/>
                      <w:szCs w:val="21"/>
                    </w:rPr>
                    <w:t>pH值</w:t>
                  </w:r>
                </w:p>
              </w:tc>
              <w:tc>
                <w:tcPr>
                  <w:tcW w:w="833" w:type="pct"/>
                  <w:vAlign w:val="center"/>
                </w:tcPr>
                <w:p w14:paraId="0955A095">
                  <w:pPr>
                    <w:jc w:val="center"/>
                    <w:rPr>
                      <w:b/>
                      <w:bCs/>
                      <w:snapToGrid w:val="0"/>
                      <w:kern w:val="0"/>
                      <w:sz w:val="21"/>
                      <w:szCs w:val="21"/>
                    </w:rPr>
                  </w:pPr>
                  <w:r>
                    <w:rPr>
                      <w:b/>
                      <w:bCs/>
                      <w:snapToGrid w:val="0"/>
                      <w:kern w:val="0"/>
                      <w:sz w:val="21"/>
                      <w:szCs w:val="21"/>
                    </w:rPr>
                    <w:t>CODcr</w:t>
                  </w:r>
                </w:p>
              </w:tc>
              <w:tc>
                <w:tcPr>
                  <w:tcW w:w="833" w:type="pct"/>
                  <w:vAlign w:val="center"/>
                </w:tcPr>
                <w:p w14:paraId="069898FB">
                  <w:pPr>
                    <w:jc w:val="center"/>
                    <w:rPr>
                      <w:b/>
                      <w:bCs/>
                      <w:snapToGrid w:val="0"/>
                      <w:kern w:val="0"/>
                      <w:sz w:val="21"/>
                      <w:szCs w:val="21"/>
                    </w:rPr>
                  </w:pPr>
                  <w:r>
                    <w:rPr>
                      <w:b/>
                      <w:bCs/>
                      <w:snapToGrid w:val="0"/>
                      <w:kern w:val="0"/>
                      <w:sz w:val="21"/>
                      <w:szCs w:val="21"/>
                    </w:rPr>
                    <w:t>BOD</w:t>
                  </w:r>
                  <w:r>
                    <w:rPr>
                      <w:b/>
                      <w:bCs/>
                      <w:snapToGrid w:val="0"/>
                      <w:kern w:val="0"/>
                      <w:sz w:val="21"/>
                      <w:szCs w:val="21"/>
                      <w:vertAlign w:val="subscript"/>
                    </w:rPr>
                    <w:t>5</w:t>
                  </w:r>
                </w:p>
              </w:tc>
              <w:tc>
                <w:tcPr>
                  <w:tcW w:w="833" w:type="pct"/>
                  <w:vAlign w:val="center"/>
                </w:tcPr>
                <w:p w14:paraId="01C4A922">
                  <w:pPr>
                    <w:jc w:val="center"/>
                    <w:rPr>
                      <w:b/>
                      <w:bCs/>
                      <w:snapToGrid w:val="0"/>
                      <w:kern w:val="0"/>
                      <w:sz w:val="21"/>
                      <w:szCs w:val="21"/>
                    </w:rPr>
                  </w:pPr>
                  <w:r>
                    <w:rPr>
                      <w:b/>
                      <w:bCs/>
                      <w:snapToGrid w:val="0"/>
                      <w:kern w:val="0"/>
                      <w:sz w:val="21"/>
                      <w:szCs w:val="21"/>
                    </w:rPr>
                    <w:t>SS</w:t>
                  </w:r>
                </w:p>
              </w:tc>
              <w:tc>
                <w:tcPr>
                  <w:tcW w:w="833" w:type="pct"/>
                  <w:vAlign w:val="center"/>
                </w:tcPr>
                <w:p w14:paraId="2096A6C3">
                  <w:pPr>
                    <w:jc w:val="center"/>
                    <w:rPr>
                      <w:b/>
                      <w:bCs/>
                      <w:snapToGrid w:val="0"/>
                      <w:kern w:val="0"/>
                      <w:sz w:val="21"/>
                      <w:szCs w:val="21"/>
                    </w:rPr>
                  </w:pPr>
                  <w:r>
                    <w:rPr>
                      <w:b/>
                      <w:bCs/>
                      <w:snapToGrid w:val="0"/>
                      <w:kern w:val="0"/>
                      <w:sz w:val="21"/>
                      <w:szCs w:val="21"/>
                    </w:rPr>
                    <w:t>氨氮</w:t>
                  </w:r>
                </w:p>
              </w:tc>
            </w:tr>
            <w:tr w14:paraId="5EB648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2" w:type="pct"/>
                  <w:vAlign w:val="center"/>
                </w:tcPr>
                <w:p w14:paraId="3D116262">
                  <w:pPr>
                    <w:jc w:val="center"/>
                    <w:rPr>
                      <w:snapToGrid w:val="0"/>
                      <w:kern w:val="0"/>
                      <w:sz w:val="21"/>
                      <w:szCs w:val="21"/>
                    </w:rPr>
                  </w:pPr>
                  <w:r>
                    <w:rPr>
                      <w:snapToGrid w:val="0"/>
                      <w:kern w:val="0"/>
                      <w:sz w:val="21"/>
                      <w:szCs w:val="21"/>
                    </w:rPr>
                    <w:t>标准值</w:t>
                  </w:r>
                </w:p>
              </w:tc>
              <w:tc>
                <w:tcPr>
                  <w:tcW w:w="833" w:type="pct"/>
                  <w:vAlign w:val="center"/>
                </w:tcPr>
                <w:p w14:paraId="103A004A">
                  <w:pPr>
                    <w:jc w:val="center"/>
                    <w:rPr>
                      <w:snapToGrid w:val="0"/>
                      <w:kern w:val="0"/>
                      <w:sz w:val="21"/>
                      <w:szCs w:val="21"/>
                    </w:rPr>
                  </w:pPr>
                  <w:r>
                    <w:rPr>
                      <w:snapToGrid w:val="0"/>
                      <w:kern w:val="0"/>
                      <w:sz w:val="21"/>
                      <w:szCs w:val="21"/>
                    </w:rPr>
                    <w:t>6~9</w:t>
                  </w:r>
                </w:p>
              </w:tc>
              <w:tc>
                <w:tcPr>
                  <w:tcW w:w="833" w:type="pct"/>
                  <w:vAlign w:val="center"/>
                </w:tcPr>
                <w:p w14:paraId="119CDD2A">
                  <w:pPr>
                    <w:jc w:val="center"/>
                    <w:rPr>
                      <w:snapToGrid w:val="0"/>
                      <w:kern w:val="0"/>
                      <w:sz w:val="21"/>
                      <w:szCs w:val="21"/>
                    </w:rPr>
                  </w:pPr>
                  <w:r>
                    <w:rPr>
                      <w:snapToGrid w:val="0"/>
                      <w:kern w:val="0"/>
                      <w:sz w:val="21"/>
                      <w:szCs w:val="21"/>
                    </w:rPr>
                    <w:t>500</w:t>
                  </w:r>
                </w:p>
              </w:tc>
              <w:tc>
                <w:tcPr>
                  <w:tcW w:w="833" w:type="pct"/>
                  <w:vAlign w:val="center"/>
                </w:tcPr>
                <w:p w14:paraId="1E6CD469">
                  <w:pPr>
                    <w:jc w:val="center"/>
                    <w:rPr>
                      <w:snapToGrid w:val="0"/>
                      <w:kern w:val="0"/>
                      <w:sz w:val="21"/>
                      <w:szCs w:val="21"/>
                    </w:rPr>
                  </w:pPr>
                  <w:r>
                    <w:rPr>
                      <w:snapToGrid w:val="0"/>
                      <w:kern w:val="0"/>
                      <w:sz w:val="21"/>
                      <w:szCs w:val="21"/>
                    </w:rPr>
                    <w:t>300</w:t>
                  </w:r>
                </w:p>
              </w:tc>
              <w:tc>
                <w:tcPr>
                  <w:tcW w:w="833" w:type="pct"/>
                  <w:vAlign w:val="center"/>
                </w:tcPr>
                <w:p w14:paraId="5FED4D84">
                  <w:pPr>
                    <w:jc w:val="center"/>
                    <w:rPr>
                      <w:snapToGrid w:val="0"/>
                      <w:kern w:val="0"/>
                      <w:sz w:val="21"/>
                      <w:szCs w:val="21"/>
                    </w:rPr>
                  </w:pPr>
                  <w:r>
                    <w:rPr>
                      <w:snapToGrid w:val="0"/>
                      <w:kern w:val="0"/>
                      <w:sz w:val="21"/>
                      <w:szCs w:val="21"/>
                    </w:rPr>
                    <w:t>400</w:t>
                  </w:r>
                </w:p>
              </w:tc>
              <w:tc>
                <w:tcPr>
                  <w:tcW w:w="833" w:type="pct"/>
                  <w:vAlign w:val="center"/>
                </w:tcPr>
                <w:p w14:paraId="6D32CD91">
                  <w:pPr>
                    <w:jc w:val="center"/>
                    <w:rPr>
                      <w:rFonts w:hint="default" w:eastAsia="宋体"/>
                      <w:snapToGrid w:val="0"/>
                      <w:kern w:val="0"/>
                      <w:sz w:val="21"/>
                      <w:szCs w:val="21"/>
                      <w:lang w:val="en-US" w:eastAsia="zh-CN"/>
                    </w:rPr>
                  </w:pPr>
                  <w:r>
                    <w:rPr>
                      <w:rFonts w:hint="eastAsia"/>
                      <w:snapToGrid w:val="0"/>
                      <w:kern w:val="0"/>
                      <w:sz w:val="21"/>
                      <w:szCs w:val="21"/>
                      <w:lang w:val="en-US" w:eastAsia="zh-CN"/>
                    </w:rPr>
                    <w:t>35</w:t>
                  </w:r>
                </w:p>
              </w:tc>
            </w:tr>
          </w:tbl>
          <w:p w14:paraId="75EEAD52">
            <w:pPr>
              <w:spacing w:before="120" w:beforeLines="50" w:line="360" w:lineRule="auto"/>
              <w:ind w:firstLine="482" w:firstLineChars="200"/>
              <w:rPr>
                <w:b/>
              </w:rPr>
            </w:pPr>
            <w:r>
              <w:rPr>
                <w:b/>
              </w:rPr>
              <w:t>3、噪声排放标准</w:t>
            </w:r>
          </w:p>
          <w:p w14:paraId="532E5D84">
            <w:pPr>
              <w:spacing w:line="360" w:lineRule="auto"/>
              <w:ind w:firstLine="480" w:firstLineChars="200"/>
              <w:rPr>
                <w:color w:val="000000"/>
              </w:rPr>
            </w:pPr>
            <w:r>
              <w:rPr>
                <w:color w:val="000000"/>
                <w:u w:val="single"/>
              </w:rPr>
              <w:t>本项目</w:t>
            </w:r>
            <w:r>
              <w:rPr>
                <w:rFonts w:hint="eastAsia"/>
                <w:color w:val="000000"/>
                <w:u w:val="single"/>
                <w:lang w:eastAsia="zh-CN"/>
              </w:rPr>
              <w:t>施工期噪声执行《建筑施工场界环境噪声排放标准》（GB12523-2011）标准；</w:t>
            </w:r>
            <w:r>
              <w:rPr>
                <w:color w:val="000000"/>
              </w:rPr>
              <w:t>运营期厂界噪声执行《工业企业厂界环境噪声排放标准》（GB12348-2008）中的3类标准。具体限值见</w:t>
            </w:r>
            <w:r>
              <w:rPr>
                <w:rFonts w:hint="eastAsia"/>
                <w:color w:val="000000"/>
                <w:lang w:eastAsia="zh-CN"/>
              </w:rPr>
              <w:t>下</w:t>
            </w:r>
            <w:r>
              <w:rPr>
                <w:color w:val="000000"/>
              </w:rPr>
              <w:t>表。</w:t>
            </w:r>
          </w:p>
          <w:p w14:paraId="34DEB54C">
            <w:pPr>
              <w:adjustRightInd w:val="0"/>
              <w:snapToGrid w:val="0"/>
              <w:jc w:val="center"/>
              <w:outlineLvl w:val="5"/>
              <w:rPr>
                <w:rFonts w:hint="default" w:ascii="Times New Roman"/>
                <w:b/>
                <w:color w:val="000000"/>
                <w:szCs w:val="24"/>
                <w:u w:val="single"/>
                <w:lang w:val="zh-CN"/>
              </w:rPr>
            </w:pPr>
            <w:r>
              <w:rPr>
                <w:rFonts w:ascii="Times New Roman"/>
                <w:b/>
                <w:color w:val="000000"/>
                <w:szCs w:val="24"/>
                <w:u w:val="single"/>
                <w:lang w:val="zh-CN"/>
              </w:rPr>
              <w:t>表</w:t>
            </w:r>
            <w:r>
              <w:rPr>
                <w:rFonts w:hint="eastAsia" w:ascii="Times New Roman"/>
                <w:b/>
                <w:color w:val="000000"/>
                <w:szCs w:val="24"/>
                <w:u w:val="single"/>
                <w:lang w:val="en-US" w:eastAsia="zh-CN"/>
              </w:rPr>
              <w:t>3-8</w:t>
            </w:r>
            <w:r>
              <w:rPr>
                <w:rFonts w:ascii="Times New Roman"/>
                <w:b/>
                <w:color w:val="000000"/>
                <w:szCs w:val="24"/>
                <w:u w:val="single"/>
                <w:lang w:val="zh-CN"/>
              </w:rPr>
              <w:t xml:space="preserve">  建筑施工场界环境噪声排放标准    单位：dB（A）</w:t>
            </w:r>
          </w:p>
          <w:tbl>
            <w:tblPr>
              <w:tblStyle w:val="36"/>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2188"/>
              <w:gridCol w:w="3254"/>
              <w:gridCol w:w="3459"/>
            </w:tblGrid>
            <w:tr w14:paraId="4D9891A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229" w:type="pct"/>
                  <w:vMerge w:val="restart"/>
                  <w:vAlign w:val="center"/>
                </w:tcPr>
                <w:p w14:paraId="5209447D">
                  <w:pPr>
                    <w:adjustRightInd w:val="0"/>
                    <w:snapToGrid w:val="0"/>
                    <w:jc w:val="center"/>
                    <w:rPr>
                      <w:rFonts w:hint="default" w:ascii="Times New Roman"/>
                      <w:color w:val="000000"/>
                      <w:sz w:val="21"/>
                      <w:szCs w:val="21"/>
                      <w:u w:val="single"/>
                    </w:rPr>
                  </w:pPr>
                  <w:r>
                    <w:rPr>
                      <w:rFonts w:ascii="Times New Roman"/>
                      <w:color w:val="000000"/>
                      <w:sz w:val="21"/>
                      <w:szCs w:val="21"/>
                      <w:u w:val="single"/>
                    </w:rPr>
                    <w:t>施工阶段</w:t>
                  </w:r>
                </w:p>
              </w:tc>
              <w:tc>
                <w:tcPr>
                  <w:tcW w:w="3771" w:type="pct"/>
                  <w:gridSpan w:val="2"/>
                  <w:vAlign w:val="center"/>
                </w:tcPr>
                <w:p w14:paraId="4F528B35">
                  <w:pPr>
                    <w:adjustRightInd w:val="0"/>
                    <w:snapToGrid w:val="0"/>
                    <w:jc w:val="center"/>
                    <w:rPr>
                      <w:rFonts w:hint="default" w:ascii="Times New Roman"/>
                      <w:color w:val="000000"/>
                      <w:sz w:val="21"/>
                      <w:szCs w:val="21"/>
                      <w:u w:val="single"/>
                    </w:rPr>
                  </w:pPr>
                  <w:r>
                    <w:rPr>
                      <w:rFonts w:ascii="Times New Roman"/>
                      <w:color w:val="000000"/>
                      <w:sz w:val="21"/>
                      <w:szCs w:val="21"/>
                      <w:u w:val="single"/>
                    </w:rPr>
                    <w:t>噪声限值</w:t>
                  </w:r>
                </w:p>
              </w:tc>
            </w:tr>
            <w:tr w14:paraId="0910EFC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229" w:type="pct"/>
                  <w:vMerge w:val="continue"/>
                  <w:vAlign w:val="center"/>
                </w:tcPr>
                <w:p w14:paraId="3A674EB2">
                  <w:pPr>
                    <w:adjustRightInd w:val="0"/>
                    <w:snapToGrid w:val="0"/>
                    <w:jc w:val="center"/>
                    <w:rPr>
                      <w:rFonts w:hint="default" w:ascii="Times New Roman"/>
                      <w:color w:val="000000"/>
                      <w:sz w:val="21"/>
                      <w:szCs w:val="21"/>
                      <w:u w:val="single"/>
                    </w:rPr>
                  </w:pPr>
                </w:p>
              </w:tc>
              <w:tc>
                <w:tcPr>
                  <w:tcW w:w="1828" w:type="pct"/>
                  <w:vAlign w:val="center"/>
                </w:tcPr>
                <w:p w14:paraId="333FB99B">
                  <w:pPr>
                    <w:adjustRightInd w:val="0"/>
                    <w:snapToGrid w:val="0"/>
                    <w:jc w:val="center"/>
                    <w:rPr>
                      <w:rFonts w:hint="default" w:ascii="Times New Roman"/>
                      <w:color w:val="000000"/>
                      <w:sz w:val="21"/>
                      <w:szCs w:val="21"/>
                      <w:u w:val="single"/>
                    </w:rPr>
                  </w:pPr>
                  <w:r>
                    <w:rPr>
                      <w:rFonts w:ascii="Times New Roman"/>
                      <w:color w:val="000000"/>
                      <w:sz w:val="21"/>
                      <w:szCs w:val="21"/>
                      <w:u w:val="single"/>
                    </w:rPr>
                    <w:t>昼间</w:t>
                  </w:r>
                </w:p>
              </w:tc>
              <w:tc>
                <w:tcPr>
                  <w:tcW w:w="1943" w:type="pct"/>
                  <w:vAlign w:val="center"/>
                </w:tcPr>
                <w:p w14:paraId="40122788">
                  <w:pPr>
                    <w:adjustRightInd w:val="0"/>
                    <w:snapToGrid w:val="0"/>
                    <w:jc w:val="center"/>
                    <w:rPr>
                      <w:rFonts w:hint="default" w:ascii="Times New Roman"/>
                      <w:color w:val="000000"/>
                      <w:sz w:val="21"/>
                      <w:szCs w:val="21"/>
                      <w:u w:val="single"/>
                    </w:rPr>
                  </w:pPr>
                  <w:r>
                    <w:rPr>
                      <w:rFonts w:ascii="Times New Roman"/>
                      <w:color w:val="000000"/>
                      <w:sz w:val="21"/>
                      <w:szCs w:val="21"/>
                      <w:u w:val="single"/>
                    </w:rPr>
                    <w:t>夜间</w:t>
                  </w:r>
                </w:p>
              </w:tc>
            </w:tr>
            <w:tr w14:paraId="30A486D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229" w:type="pct"/>
                  <w:vAlign w:val="center"/>
                </w:tcPr>
                <w:p w14:paraId="43D7C7BF">
                  <w:pPr>
                    <w:adjustRightInd w:val="0"/>
                    <w:snapToGrid w:val="0"/>
                    <w:jc w:val="center"/>
                    <w:rPr>
                      <w:rFonts w:hint="default" w:ascii="Times New Roman"/>
                      <w:color w:val="000000"/>
                      <w:sz w:val="21"/>
                      <w:szCs w:val="21"/>
                      <w:u w:val="single"/>
                    </w:rPr>
                  </w:pPr>
                  <w:r>
                    <w:rPr>
                      <w:rFonts w:ascii="Times New Roman"/>
                      <w:color w:val="000000"/>
                      <w:sz w:val="21"/>
                      <w:szCs w:val="21"/>
                      <w:u w:val="single"/>
                    </w:rPr>
                    <w:t>施工全过程</w:t>
                  </w:r>
                </w:p>
              </w:tc>
              <w:tc>
                <w:tcPr>
                  <w:tcW w:w="1828" w:type="pct"/>
                  <w:vAlign w:val="center"/>
                </w:tcPr>
                <w:p w14:paraId="29808D62">
                  <w:pPr>
                    <w:adjustRightInd w:val="0"/>
                    <w:snapToGrid w:val="0"/>
                    <w:jc w:val="center"/>
                    <w:rPr>
                      <w:rFonts w:hint="default" w:ascii="Times New Roman"/>
                      <w:color w:val="000000"/>
                      <w:sz w:val="21"/>
                      <w:szCs w:val="21"/>
                      <w:u w:val="single"/>
                    </w:rPr>
                  </w:pPr>
                  <w:r>
                    <w:rPr>
                      <w:rFonts w:ascii="Times New Roman"/>
                      <w:color w:val="000000"/>
                      <w:sz w:val="21"/>
                      <w:szCs w:val="21"/>
                      <w:u w:val="single"/>
                    </w:rPr>
                    <w:t>70</w:t>
                  </w:r>
                </w:p>
              </w:tc>
              <w:tc>
                <w:tcPr>
                  <w:tcW w:w="1943" w:type="pct"/>
                  <w:vAlign w:val="center"/>
                </w:tcPr>
                <w:p w14:paraId="7086E8EF">
                  <w:pPr>
                    <w:adjustRightInd w:val="0"/>
                    <w:snapToGrid w:val="0"/>
                    <w:jc w:val="center"/>
                    <w:rPr>
                      <w:rFonts w:hint="default" w:ascii="Times New Roman"/>
                      <w:color w:val="000000"/>
                      <w:sz w:val="21"/>
                      <w:szCs w:val="21"/>
                      <w:u w:val="single"/>
                    </w:rPr>
                  </w:pPr>
                  <w:r>
                    <w:rPr>
                      <w:rFonts w:ascii="Times New Roman"/>
                      <w:color w:val="000000"/>
                      <w:sz w:val="21"/>
                      <w:szCs w:val="21"/>
                      <w:u w:val="single"/>
                    </w:rPr>
                    <w:t>55</w:t>
                  </w:r>
                </w:p>
              </w:tc>
            </w:tr>
          </w:tbl>
          <w:p w14:paraId="53C2305D">
            <w:pPr>
              <w:pStyle w:val="107"/>
              <w:adjustRightInd/>
              <w:ind w:firstLine="0"/>
              <w:jc w:val="center"/>
              <w:rPr>
                <w:b/>
                <w:snapToGrid w:val="0"/>
                <w:color w:val="auto"/>
                <w:kern w:val="0"/>
                <w:sz w:val="22"/>
                <w:szCs w:val="22"/>
              </w:rPr>
            </w:pPr>
            <w:r>
              <w:rPr>
                <w:b/>
                <w:snapToGrid w:val="0"/>
                <w:color w:val="auto"/>
                <w:kern w:val="0"/>
                <w:sz w:val="22"/>
                <w:szCs w:val="22"/>
              </w:rPr>
              <w:t>表3-</w:t>
            </w:r>
            <w:r>
              <w:rPr>
                <w:rFonts w:hint="eastAsia"/>
                <w:b/>
                <w:snapToGrid w:val="0"/>
                <w:color w:val="auto"/>
                <w:kern w:val="0"/>
                <w:sz w:val="22"/>
                <w:szCs w:val="22"/>
                <w:lang w:val="en-US" w:eastAsia="zh-CN"/>
              </w:rPr>
              <w:t>9</w:t>
            </w:r>
            <w:r>
              <w:rPr>
                <w:b/>
                <w:snapToGrid w:val="0"/>
                <w:color w:val="auto"/>
                <w:kern w:val="0"/>
                <w:sz w:val="22"/>
                <w:szCs w:val="22"/>
              </w:rPr>
              <w:t xml:space="preserve">  《工业企业厂界环境噪声排放标准》（GB12348-2008）   单位：dB（A）</w:t>
            </w:r>
          </w:p>
          <w:tbl>
            <w:tblPr>
              <w:tblStyle w:val="3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652"/>
              <w:gridCol w:w="1280"/>
              <w:gridCol w:w="1481"/>
              <w:gridCol w:w="1484"/>
            </w:tblGrid>
            <w:tr w14:paraId="1280A5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14" w:type="pct"/>
                  <w:vMerge w:val="restart"/>
                  <w:vAlign w:val="center"/>
                </w:tcPr>
                <w:p w14:paraId="7DFAB9DF">
                  <w:pPr>
                    <w:jc w:val="center"/>
                    <w:rPr>
                      <w:color w:val="000000"/>
                      <w:sz w:val="21"/>
                      <w:szCs w:val="21"/>
                    </w:rPr>
                  </w:pPr>
                  <w:r>
                    <w:rPr>
                      <w:b/>
                      <w:bCs/>
                      <w:color w:val="000000"/>
                      <w:sz w:val="21"/>
                      <w:szCs w:val="21"/>
                    </w:rPr>
                    <w:t>标准号</w:t>
                  </w:r>
                </w:p>
              </w:tc>
              <w:tc>
                <w:tcPr>
                  <w:tcW w:w="719" w:type="pct"/>
                  <w:vMerge w:val="restart"/>
                  <w:vAlign w:val="center"/>
                </w:tcPr>
                <w:p w14:paraId="6A371634">
                  <w:pPr>
                    <w:jc w:val="center"/>
                    <w:rPr>
                      <w:b/>
                      <w:bCs/>
                      <w:color w:val="000000"/>
                      <w:sz w:val="21"/>
                      <w:szCs w:val="21"/>
                    </w:rPr>
                  </w:pPr>
                  <w:r>
                    <w:rPr>
                      <w:b/>
                      <w:bCs/>
                      <w:color w:val="000000"/>
                      <w:sz w:val="21"/>
                      <w:szCs w:val="21"/>
                    </w:rPr>
                    <w:t>类别</w:t>
                  </w:r>
                </w:p>
              </w:tc>
              <w:tc>
                <w:tcPr>
                  <w:tcW w:w="1666" w:type="pct"/>
                  <w:gridSpan w:val="2"/>
                  <w:vAlign w:val="center"/>
                </w:tcPr>
                <w:p w14:paraId="5CBF0EF3">
                  <w:pPr>
                    <w:jc w:val="center"/>
                    <w:rPr>
                      <w:b/>
                      <w:bCs/>
                      <w:color w:val="000000"/>
                      <w:sz w:val="21"/>
                      <w:szCs w:val="21"/>
                    </w:rPr>
                  </w:pPr>
                  <w:r>
                    <w:rPr>
                      <w:b/>
                      <w:bCs/>
                      <w:color w:val="000000"/>
                      <w:sz w:val="21"/>
                      <w:szCs w:val="21"/>
                    </w:rPr>
                    <w:t>排放标准</w:t>
                  </w:r>
                </w:p>
              </w:tc>
            </w:tr>
            <w:tr w14:paraId="763951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14" w:type="pct"/>
                  <w:vMerge w:val="continue"/>
                  <w:vAlign w:val="center"/>
                </w:tcPr>
                <w:p w14:paraId="0BF97838">
                  <w:pPr>
                    <w:jc w:val="center"/>
                    <w:rPr>
                      <w:color w:val="000000"/>
                      <w:sz w:val="21"/>
                      <w:szCs w:val="21"/>
                    </w:rPr>
                  </w:pPr>
                </w:p>
              </w:tc>
              <w:tc>
                <w:tcPr>
                  <w:tcW w:w="719" w:type="pct"/>
                  <w:vMerge w:val="continue"/>
                  <w:vAlign w:val="center"/>
                </w:tcPr>
                <w:p w14:paraId="6BEB609E">
                  <w:pPr>
                    <w:jc w:val="center"/>
                    <w:rPr>
                      <w:color w:val="000000"/>
                      <w:sz w:val="21"/>
                      <w:szCs w:val="21"/>
                    </w:rPr>
                  </w:pPr>
                </w:p>
              </w:tc>
              <w:tc>
                <w:tcPr>
                  <w:tcW w:w="832" w:type="pct"/>
                  <w:vAlign w:val="center"/>
                </w:tcPr>
                <w:p w14:paraId="7CF7F1B5">
                  <w:pPr>
                    <w:jc w:val="center"/>
                    <w:rPr>
                      <w:color w:val="000000"/>
                      <w:sz w:val="21"/>
                      <w:szCs w:val="21"/>
                    </w:rPr>
                  </w:pPr>
                  <w:r>
                    <w:rPr>
                      <w:b/>
                      <w:bCs/>
                      <w:color w:val="000000"/>
                      <w:sz w:val="21"/>
                      <w:szCs w:val="21"/>
                    </w:rPr>
                    <w:t>昼间</w:t>
                  </w:r>
                </w:p>
              </w:tc>
              <w:tc>
                <w:tcPr>
                  <w:tcW w:w="834" w:type="pct"/>
                  <w:vAlign w:val="center"/>
                </w:tcPr>
                <w:p w14:paraId="379B6A74">
                  <w:pPr>
                    <w:jc w:val="center"/>
                    <w:rPr>
                      <w:color w:val="000000"/>
                      <w:sz w:val="21"/>
                      <w:szCs w:val="21"/>
                    </w:rPr>
                  </w:pPr>
                  <w:r>
                    <w:rPr>
                      <w:b/>
                      <w:bCs/>
                      <w:color w:val="000000"/>
                      <w:sz w:val="21"/>
                      <w:szCs w:val="21"/>
                    </w:rPr>
                    <w:t>夜间</w:t>
                  </w:r>
                </w:p>
              </w:tc>
            </w:tr>
            <w:tr w14:paraId="54871B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14" w:type="pct"/>
                  <w:vAlign w:val="center"/>
                </w:tcPr>
                <w:p w14:paraId="3B2263A1">
                  <w:pPr>
                    <w:pStyle w:val="10"/>
                    <w:ind w:firstLine="0"/>
                    <w:jc w:val="center"/>
                    <w:rPr>
                      <w:rFonts w:eastAsia="宋体"/>
                      <w:color w:val="000000"/>
                      <w:sz w:val="21"/>
                      <w:szCs w:val="21"/>
                    </w:rPr>
                  </w:pPr>
                  <w:r>
                    <w:rPr>
                      <w:rFonts w:eastAsia="宋体"/>
                      <w:w w:val="100"/>
                      <w:kern w:val="2"/>
                      <w:sz w:val="21"/>
                      <w:szCs w:val="21"/>
                    </w:rPr>
                    <w:t>工业企业厂界噪声排放标准（GB12348-2008）</w:t>
                  </w:r>
                </w:p>
              </w:tc>
              <w:tc>
                <w:tcPr>
                  <w:tcW w:w="719" w:type="pct"/>
                  <w:vAlign w:val="center"/>
                </w:tcPr>
                <w:p w14:paraId="6F66D7DC">
                  <w:pPr>
                    <w:jc w:val="center"/>
                    <w:rPr>
                      <w:color w:val="000000"/>
                      <w:sz w:val="21"/>
                      <w:szCs w:val="21"/>
                    </w:rPr>
                  </w:pPr>
                  <w:r>
                    <w:rPr>
                      <w:color w:val="000000"/>
                      <w:sz w:val="21"/>
                      <w:szCs w:val="21"/>
                    </w:rPr>
                    <w:t>3类</w:t>
                  </w:r>
                </w:p>
              </w:tc>
              <w:tc>
                <w:tcPr>
                  <w:tcW w:w="832" w:type="pct"/>
                  <w:vAlign w:val="center"/>
                </w:tcPr>
                <w:p w14:paraId="4E6D370A">
                  <w:pPr>
                    <w:jc w:val="center"/>
                    <w:rPr>
                      <w:color w:val="000000"/>
                      <w:sz w:val="21"/>
                      <w:szCs w:val="21"/>
                    </w:rPr>
                  </w:pPr>
                  <w:r>
                    <w:rPr>
                      <w:color w:val="000000"/>
                      <w:sz w:val="21"/>
                      <w:szCs w:val="21"/>
                    </w:rPr>
                    <w:t>65</w:t>
                  </w:r>
                </w:p>
              </w:tc>
              <w:tc>
                <w:tcPr>
                  <w:tcW w:w="834" w:type="pct"/>
                  <w:vAlign w:val="center"/>
                </w:tcPr>
                <w:p w14:paraId="60634079">
                  <w:pPr>
                    <w:jc w:val="center"/>
                    <w:rPr>
                      <w:color w:val="000000"/>
                      <w:sz w:val="21"/>
                      <w:szCs w:val="21"/>
                    </w:rPr>
                  </w:pPr>
                  <w:r>
                    <w:rPr>
                      <w:color w:val="000000"/>
                      <w:sz w:val="21"/>
                      <w:szCs w:val="21"/>
                    </w:rPr>
                    <w:t>55</w:t>
                  </w:r>
                </w:p>
              </w:tc>
            </w:tr>
          </w:tbl>
          <w:p w14:paraId="0EB9FA8F">
            <w:pPr>
              <w:spacing w:before="120" w:beforeLines="50" w:line="360" w:lineRule="auto"/>
              <w:ind w:firstLine="482" w:firstLineChars="200"/>
              <w:rPr>
                <w:b/>
              </w:rPr>
            </w:pPr>
            <w:r>
              <w:rPr>
                <w:b/>
              </w:rPr>
              <w:t>4、固废排放标准</w:t>
            </w:r>
          </w:p>
          <w:p w14:paraId="52391D59">
            <w:pPr>
              <w:wordWrap w:val="0"/>
              <w:topLinePunct/>
              <w:adjustRightInd w:val="0"/>
              <w:snapToGrid w:val="0"/>
              <w:spacing w:line="360" w:lineRule="auto"/>
              <w:ind w:firstLine="480" w:firstLineChars="200"/>
              <w:rPr>
                <w:color w:val="000000"/>
              </w:rPr>
            </w:pPr>
            <w:r>
              <w:rPr>
                <w:color w:val="000000"/>
              </w:rPr>
              <w:t>本项目生活垃圾执行《生活垃圾</w:t>
            </w:r>
            <w:r>
              <w:rPr>
                <w:rFonts w:hint="eastAsia"/>
                <w:color w:val="000000"/>
              </w:rPr>
              <w:t>焚烧</w:t>
            </w:r>
            <w:r>
              <w:rPr>
                <w:color w:val="000000"/>
              </w:rPr>
              <w:t>污染控制标准》（GB</w:t>
            </w:r>
            <w:r>
              <w:rPr>
                <w:rFonts w:hint="eastAsia"/>
                <w:color w:val="000000"/>
              </w:rPr>
              <w:t>18485-2014</w:t>
            </w:r>
            <w:r>
              <w:rPr>
                <w:color w:val="000000"/>
              </w:rPr>
              <w:t>）</w:t>
            </w:r>
            <w:r>
              <w:rPr>
                <w:rFonts w:hint="eastAsia"/>
                <w:color w:val="000000"/>
              </w:rPr>
              <w:t>及修改单</w:t>
            </w:r>
            <w:r>
              <w:rPr>
                <w:color w:val="000000"/>
              </w:rPr>
              <w:t>，一般固废执行</w:t>
            </w:r>
            <w:r>
              <w:rPr>
                <w:kern w:val="0"/>
              </w:rPr>
              <w:t>《一般工业固体废物贮存和填埋污染控制标准</w:t>
            </w:r>
            <w:r>
              <w:rPr>
                <w:color w:val="000000"/>
              </w:rPr>
              <w:t>》</w:t>
            </w:r>
            <w:r>
              <w:rPr>
                <w:kern w:val="0"/>
              </w:rPr>
              <w:t>（GB18599-2020）</w:t>
            </w:r>
            <w:r>
              <w:rPr>
                <w:color w:val="000000"/>
              </w:rPr>
              <w:t>。危险废物执行《危险废物贮存污染控制标准》（GB18597-20</w:t>
            </w:r>
            <w:r>
              <w:rPr>
                <w:rFonts w:hint="eastAsia"/>
                <w:color w:val="000000"/>
              </w:rPr>
              <w:t>23</w:t>
            </w:r>
            <w:r>
              <w:rPr>
                <w:color w:val="000000"/>
              </w:rPr>
              <w:t>）相关规定。</w:t>
            </w:r>
          </w:p>
          <w:p w14:paraId="00012861">
            <w:pPr>
              <w:wordWrap w:val="0"/>
              <w:topLinePunct/>
              <w:adjustRightInd w:val="0"/>
              <w:snapToGrid w:val="0"/>
              <w:spacing w:line="360" w:lineRule="auto"/>
              <w:ind w:firstLine="480" w:firstLineChars="200"/>
              <w:rPr>
                <w:color w:val="000000"/>
              </w:rPr>
            </w:pPr>
          </w:p>
          <w:p w14:paraId="35C31F2A">
            <w:pPr>
              <w:wordWrap w:val="0"/>
              <w:topLinePunct/>
              <w:adjustRightInd w:val="0"/>
              <w:snapToGrid w:val="0"/>
              <w:spacing w:line="360" w:lineRule="auto"/>
              <w:ind w:firstLine="480" w:firstLineChars="200"/>
              <w:rPr>
                <w:color w:val="000000"/>
              </w:rPr>
            </w:pPr>
          </w:p>
          <w:p w14:paraId="5304A5F0">
            <w:pPr>
              <w:wordWrap w:val="0"/>
              <w:topLinePunct/>
              <w:adjustRightInd w:val="0"/>
              <w:snapToGrid w:val="0"/>
              <w:spacing w:line="360" w:lineRule="auto"/>
              <w:ind w:firstLine="480" w:firstLineChars="200"/>
              <w:rPr>
                <w:color w:val="000000"/>
              </w:rPr>
            </w:pPr>
          </w:p>
          <w:p w14:paraId="7DFD0C1B">
            <w:pPr>
              <w:wordWrap w:val="0"/>
              <w:topLinePunct/>
              <w:adjustRightInd w:val="0"/>
              <w:snapToGrid w:val="0"/>
              <w:spacing w:line="360" w:lineRule="auto"/>
              <w:ind w:firstLine="480" w:firstLineChars="200"/>
              <w:rPr>
                <w:color w:val="000000"/>
              </w:rPr>
            </w:pPr>
          </w:p>
          <w:p w14:paraId="63E82833">
            <w:pPr>
              <w:wordWrap w:val="0"/>
              <w:topLinePunct/>
              <w:adjustRightInd w:val="0"/>
              <w:snapToGrid w:val="0"/>
              <w:spacing w:line="360" w:lineRule="auto"/>
              <w:ind w:firstLine="480" w:firstLineChars="200"/>
              <w:rPr>
                <w:color w:val="000000"/>
              </w:rPr>
            </w:pPr>
          </w:p>
          <w:p w14:paraId="56B073B8">
            <w:pPr>
              <w:wordWrap w:val="0"/>
              <w:topLinePunct/>
              <w:adjustRightInd w:val="0"/>
              <w:snapToGrid w:val="0"/>
              <w:spacing w:line="360" w:lineRule="auto"/>
              <w:ind w:firstLine="480" w:firstLineChars="200"/>
              <w:rPr>
                <w:color w:val="000000"/>
              </w:rPr>
            </w:pPr>
          </w:p>
          <w:p w14:paraId="5A3A4053">
            <w:pPr>
              <w:wordWrap w:val="0"/>
              <w:topLinePunct/>
              <w:adjustRightInd w:val="0"/>
              <w:snapToGrid w:val="0"/>
              <w:spacing w:line="360" w:lineRule="auto"/>
              <w:ind w:firstLine="480" w:firstLineChars="200"/>
              <w:rPr>
                <w:color w:val="000000"/>
              </w:rPr>
            </w:pPr>
          </w:p>
          <w:p w14:paraId="67E3163A">
            <w:pPr>
              <w:wordWrap w:val="0"/>
              <w:topLinePunct/>
              <w:adjustRightInd w:val="0"/>
              <w:snapToGrid w:val="0"/>
              <w:spacing w:line="360" w:lineRule="auto"/>
              <w:ind w:firstLine="480" w:firstLineChars="200"/>
              <w:rPr>
                <w:color w:val="000000"/>
              </w:rPr>
            </w:pPr>
          </w:p>
          <w:p w14:paraId="52BA8649">
            <w:pPr>
              <w:wordWrap w:val="0"/>
              <w:topLinePunct/>
              <w:adjustRightInd w:val="0"/>
              <w:snapToGrid w:val="0"/>
              <w:spacing w:line="360" w:lineRule="auto"/>
              <w:ind w:firstLine="480" w:firstLineChars="200"/>
              <w:rPr>
                <w:color w:val="000000"/>
              </w:rPr>
            </w:pPr>
          </w:p>
          <w:p w14:paraId="1343334F">
            <w:pPr>
              <w:wordWrap w:val="0"/>
              <w:topLinePunct/>
              <w:adjustRightInd w:val="0"/>
              <w:snapToGrid w:val="0"/>
              <w:spacing w:line="360" w:lineRule="auto"/>
              <w:ind w:firstLine="480" w:firstLineChars="200"/>
              <w:rPr>
                <w:color w:val="000000"/>
              </w:rPr>
            </w:pPr>
          </w:p>
          <w:p w14:paraId="70421CBE">
            <w:pPr>
              <w:wordWrap w:val="0"/>
              <w:topLinePunct/>
              <w:adjustRightInd w:val="0"/>
              <w:snapToGrid w:val="0"/>
              <w:spacing w:line="360" w:lineRule="auto"/>
              <w:ind w:firstLine="480" w:firstLineChars="200"/>
              <w:rPr>
                <w:color w:val="000000"/>
              </w:rPr>
            </w:pPr>
          </w:p>
          <w:p w14:paraId="2D620B6B">
            <w:pPr>
              <w:wordWrap w:val="0"/>
              <w:topLinePunct/>
              <w:adjustRightInd w:val="0"/>
              <w:snapToGrid w:val="0"/>
              <w:spacing w:line="360" w:lineRule="auto"/>
              <w:ind w:firstLine="480" w:firstLineChars="200"/>
              <w:rPr>
                <w:color w:val="000000"/>
              </w:rPr>
            </w:pPr>
          </w:p>
          <w:p w14:paraId="70856C34">
            <w:pPr>
              <w:pStyle w:val="35"/>
              <w:ind w:left="0" w:leftChars="0" w:firstLine="0"/>
            </w:pPr>
          </w:p>
        </w:tc>
      </w:tr>
      <w:tr w14:paraId="75911A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13" w:hRule="atLeast"/>
          <w:jc w:val="center"/>
        </w:trPr>
        <w:tc>
          <w:tcPr>
            <w:tcW w:w="294" w:type="pct"/>
            <w:vAlign w:val="center"/>
          </w:tcPr>
          <w:p w14:paraId="42FF66A0">
            <w:pPr>
              <w:wordWrap w:val="0"/>
              <w:topLinePunct/>
              <w:adjustRightInd w:val="0"/>
              <w:snapToGrid w:val="0"/>
              <w:jc w:val="center"/>
              <w:rPr>
                <w:kern w:val="0"/>
                <w:szCs w:val="21"/>
              </w:rPr>
            </w:pPr>
            <w:r>
              <w:rPr>
                <w:kern w:val="0"/>
                <w:szCs w:val="21"/>
              </w:rPr>
              <w:t>总量</w:t>
            </w:r>
          </w:p>
          <w:p w14:paraId="2D685A97">
            <w:pPr>
              <w:wordWrap w:val="0"/>
              <w:topLinePunct/>
              <w:adjustRightInd w:val="0"/>
              <w:snapToGrid w:val="0"/>
              <w:jc w:val="center"/>
              <w:rPr>
                <w:kern w:val="0"/>
                <w:szCs w:val="21"/>
              </w:rPr>
            </w:pPr>
            <w:r>
              <w:rPr>
                <w:kern w:val="0"/>
                <w:szCs w:val="21"/>
              </w:rPr>
              <w:t>控制</w:t>
            </w:r>
          </w:p>
          <w:p w14:paraId="1E6750FC">
            <w:pPr>
              <w:wordWrap w:val="0"/>
              <w:topLinePunct/>
              <w:adjustRightInd w:val="0"/>
              <w:snapToGrid w:val="0"/>
              <w:jc w:val="center"/>
              <w:rPr>
                <w:color w:val="2F5496"/>
                <w:kern w:val="0"/>
                <w:szCs w:val="21"/>
              </w:rPr>
            </w:pPr>
            <w:r>
              <w:rPr>
                <w:kern w:val="0"/>
                <w:szCs w:val="21"/>
              </w:rPr>
              <w:t>指标</w:t>
            </w:r>
          </w:p>
        </w:tc>
        <w:tc>
          <w:tcPr>
            <w:tcW w:w="4705" w:type="pct"/>
            <w:vAlign w:val="center"/>
          </w:tcPr>
          <w:p w14:paraId="3C3B4A83">
            <w:pPr>
              <w:wordWrap w:val="0"/>
              <w:topLinePunct/>
              <w:adjustRightInd w:val="0"/>
              <w:snapToGrid w:val="0"/>
              <w:spacing w:line="360" w:lineRule="auto"/>
              <w:ind w:firstLine="480" w:firstLineChars="200"/>
              <w:rPr>
                <w:color w:val="000000"/>
              </w:rPr>
            </w:pPr>
            <w:r>
              <w:rPr>
                <w:color w:val="000000"/>
              </w:rPr>
              <w:t>根据</w:t>
            </w:r>
            <w:bookmarkStart w:id="64" w:name="_GoBack"/>
            <w:bookmarkEnd w:id="64"/>
            <w:r>
              <w:rPr>
                <w:rFonts w:hint="eastAsia"/>
                <w:color w:val="000000"/>
                <w:lang w:eastAsia="zh-CN"/>
              </w:rPr>
              <w:t>生态环境部</w:t>
            </w:r>
            <w:r>
              <w:rPr>
                <w:color w:val="000000"/>
              </w:rPr>
              <w:t>和湖南省实施总量控制的要求和本项目污染物产排特点，确定本项目的总量因子为：</w:t>
            </w:r>
          </w:p>
          <w:p w14:paraId="26D1C908">
            <w:pPr>
              <w:wordWrap w:val="0"/>
              <w:topLinePunct/>
              <w:adjustRightInd w:val="0"/>
              <w:snapToGrid w:val="0"/>
              <w:spacing w:line="360" w:lineRule="auto"/>
              <w:ind w:firstLine="480" w:firstLineChars="200"/>
              <w:rPr>
                <w:color w:val="auto"/>
              </w:rPr>
            </w:pPr>
            <w:r>
              <w:rPr>
                <w:color w:val="auto"/>
              </w:rPr>
              <w:t>（1）大气污染总量控制因子：SO</w:t>
            </w:r>
            <w:r>
              <w:rPr>
                <w:color w:val="auto"/>
                <w:vertAlign w:val="subscript"/>
              </w:rPr>
              <w:t>2</w:t>
            </w:r>
            <w:r>
              <w:rPr>
                <w:color w:val="auto"/>
              </w:rPr>
              <w:t>、NO</w:t>
            </w:r>
            <w:r>
              <w:rPr>
                <w:color w:val="auto"/>
                <w:vertAlign w:val="subscript"/>
              </w:rPr>
              <w:t>X</w:t>
            </w:r>
            <w:r>
              <w:rPr>
                <w:color w:val="auto"/>
              </w:rPr>
              <w:t>、VOCs。</w:t>
            </w:r>
          </w:p>
          <w:p w14:paraId="57F95688">
            <w:pPr>
              <w:wordWrap w:val="0"/>
              <w:topLinePunct/>
              <w:adjustRightInd w:val="0"/>
              <w:snapToGrid w:val="0"/>
              <w:spacing w:line="360" w:lineRule="auto"/>
              <w:ind w:firstLine="480" w:firstLineChars="200"/>
              <w:rPr>
                <w:color w:val="auto"/>
              </w:rPr>
            </w:pPr>
            <w:r>
              <w:rPr>
                <w:color w:val="auto"/>
              </w:rPr>
              <w:t>（2）水污染总量控制因子：COD、氨氮作为总量控制指标。</w:t>
            </w:r>
          </w:p>
          <w:p w14:paraId="69810B60">
            <w:pPr>
              <w:wordWrap w:val="0"/>
              <w:topLinePunct/>
              <w:adjustRightInd w:val="0"/>
              <w:snapToGrid w:val="0"/>
              <w:spacing w:line="360" w:lineRule="auto"/>
              <w:ind w:firstLine="480" w:firstLineChars="200"/>
              <w:rPr>
                <w:color w:val="auto"/>
              </w:rPr>
            </w:pPr>
            <w:r>
              <w:rPr>
                <w:color w:val="auto"/>
              </w:rPr>
              <w:t>项目SO</w:t>
            </w:r>
            <w:r>
              <w:rPr>
                <w:color w:val="auto"/>
                <w:vertAlign w:val="subscript"/>
              </w:rPr>
              <w:t>2</w:t>
            </w:r>
            <w:r>
              <w:rPr>
                <w:color w:val="auto"/>
              </w:rPr>
              <w:t>、NO</w:t>
            </w:r>
            <w:r>
              <w:rPr>
                <w:color w:val="auto"/>
                <w:vertAlign w:val="subscript"/>
              </w:rPr>
              <w:t>X</w:t>
            </w:r>
            <w:r>
              <w:rPr>
                <w:color w:val="auto"/>
              </w:rPr>
              <w:t>有组织排放源主要是DA00</w:t>
            </w:r>
            <w:r>
              <w:rPr>
                <w:rFonts w:hint="eastAsia"/>
                <w:color w:val="auto"/>
                <w:lang w:val="en-US" w:eastAsia="zh-CN"/>
              </w:rPr>
              <w:t>2</w:t>
            </w:r>
            <w:r>
              <w:rPr>
                <w:color w:val="auto"/>
              </w:rPr>
              <w:t>排气筒（天然气燃烧废气），SO</w:t>
            </w:r>
            <w:r>
              <w:rPr>
                <w:color w:val="auto"/>
                <w:vertAlign w:val="subscript"/>
              </w:rPr>
              <w:t>2</w:t>
            </w:r>
            <w:r>
              <w:rPr>
                <w:color w:val="auto"/>
              </w:rPr>
              <w:t>、NO</w:t>
            </w:r>
            <w:r>
              <w:rPr>
                <w:color w:val="auto"/>
                <w:vertAlign w:val="subscript"/>
              </w:rPr>
              <w:t>X</w:t>
            </w:r>
            <w:r>
              <w:rPr>
                <w:color w:val="auto"/>
              </w:rPr>
              <w:t>排放量分别为0.</w:t>
            </w:r>
            <w:r>
              <w:rPr>
                <w:rFonts w:hint="eastAsia"/>
                <w:color w:val="auto"/>
                <w:lang w:val="en-US" w:eastAsia="zh-CN"/>
              </w:rPr>
              <w:t>07</w:t>
            </w:r>
            <w:r>
              <w:rPr>
                <w:color w:val="auto"/>
              </w:rPr>
              <w:t>t/a、0.</w:t>
            </w:r>
            <w:r>
              <w:rPr>
                <w:rFonts w:hint="eastAsia"/>
                <w:color w:val="auto"/>
                <w:lang w:val="en-US" w:eastAsia="zh-CN"/>
              </w:rPr>
              <w:t>244</w:t>
            </w:r>
            <w:r>
              <w:rPr>
                <w:color w:val="auto"/>
              </w:rPr>
              <w:t>t/a。VOCs主要来自</w:t>
            </w:r>
            <w:r>
              <w:rPr>
                <w:rFonts w:hint="eastAsia"/>
                <w:color w:val="auto"/>
                <w:lang w:eastAsia="zh-CN"/>
              </w:rPr>
              <w:t>挤出机无组织排放</w:t>
            </w:r>
            <w:r>
              <w:rPr>
                <w:color w:val="auto"/>
              </w:rPr>
              <w:t>，排放量为</w:t>
            </w:r>
            <w:r>
              <w:rPr>
                <w:rFonts w:hint="eastAsia"/>
                <w:color w:val="auto"/>
                <w:lang w:val="en-US" w:eastAsia="zh-CN"/>
              </w:rPr>
              <w:t>0.39</w:t>
            </w:r>
            <w:r>
              <w:rPr>
                <w:color w:val="auto"/>
              </w:rPr>
              <w:t>t/a。</w:t>
            </w:r>
          </w:p>
          <w:p w14:paraId="791D251F">
            <w:pPr>
              <w:wordWrap w:val="0"/>
              <w:topLinePunct/>
              <w:adjustRightInd w:val="0"/>
              <w:snapToGrid w:val="0"/>
              <w:spacing w:line="360" w:lineRule="auto"/>
              <w:ind w:firstLine="480" w:firstLineChars="200"/>
              <w:rPr>
                <w:color w:val="auto"/>
                <w:u w:val="single"/>
              </w:rPr>
            </w:pPr>
            <w:r>
              <w:rPr>
                <w:color w:val="auto"/>
                <w:u w:val="single"/>
              </w:rPr>
              <w:t>项目实施后外排为生活污水</w:t>
            </w:r>
            <w:r>
              <w:rPr>
                <w:rFonts w:hint="eastAsia"/>
                <w:color w:val="auto"/>
                <w:u w:val="single"/>
                <w:lang w:eastAsia="zh-CN"/>
              </w:rPr>
              <w:t>、挤出冷却废水及化验废水</w:t>
            </w:r>
            <w:r>
              <w:rPr>
                <w:color w:val="auto"/>
                <w:u w:val="single"/>
              </w:rPr>
              <w:t>，废水量为</w:t>
            </w:r>
            <w:r>
              <w:rPr>
                <w:rFonts w:hint="eastAsia"/>
                <w:color w:val="auto"/>
                <w:u w:val="single"/>
                <w:lang w:val="en-US" w:eastAsia="zh-CN"/>
              </w:rPr>
              <w:t>384.45</w:t>
            </w:r>
            <w:r>
              <w:rPr>
                <w:color w:val="auto"/>
                <w:u w:val="single"/>
              </w:rPr>
              <w:t>m</w:t>
            </w:r>
            <w:r>
              <w:rPr>
                <w:color w:val="auto"/>
                <w:u w:val="single"/>
                <w:vertAlign w:val="superscript"/>
              </w:rPr>
              <w:t>3</w:t>
            </w:r>
            <w:r>
              <w:rPr>
                <w:color w:val="auto"/>
                <w:u w:val="single"/>
              </w:rPr>
              <w:t>/a，项目</w:t>
            </w:r>
            <w:r>
              <w:rPr>
                <w:rFonts w:hint="eastAsia"/>
                <w:color w:val="auto"/>
                <w:u w:val="single"/>
                <w:lang w:eastAsia="zh-CN"/>
              </w:rPr>
              <w:t>生活</w:t>
            </w:r>
            <w:r>
              <w:rPr>
                <w:color w:val="auto"/>
                <w:u w:val="single"/>
              </w:rPr>
              <w:t>废水经化粪池处理后外排园区污水处理厂</w:t>
            </w:r>
            <w:r>
              <w:rPr>
                <w:rFonts w:hint="eastAsia"/>
                <w:color w:val="auto"/>
                <w:u w:val="single"/>
                <w:lang w:eastAsia="zh-CN"/>
              </w:rPr>
              <w:t>，挤出冷却废水、化验废水拉运至丰联公司废水处理站处理后外排园区污水处理厂</w:t>
            </w:r>
            <w:r>
              <w:rPr>
                <w:color w:val="auto"/>
                <w:u w:val="single"/>
              </w:rPr>
              <w:t>，园区排水执行《城镇污水处理厂污染物排放标准》(GB18918-2002)表1中一级A标准。即取化学需氧量和氨氮排放标准浓度值分别为50mg/l和8mg/l项目水污染物排放量COD：0.0</w:t>
            </w:r>
            <w:r>
              <w:rPr>
                <w:rFonts w:hint="eastAsia"/>
                <w:color w:val="auto"/>
                <w:u w:val="single"/>
                <w:lang w:val="en-US" w:eastAsia="zh-CN"/>
              </w:rPr>
              <w:t>19</w:t>
            </w:r>
            <w:r>
              <w:rPr>
                <w:color w:val="auto"/>
                <w:u w:val="single"/>
              </w:rPr>
              <w:t>t/a、NH</w:t>
            </w:r>
            <w:r>
              <w:rPr>
                <w:color w:val="auto"/>
                <w:u w:val="single"/>
                <w:vertAlign w:val="subscript"/>
              </w:rPr>
              <w:t>3</w:t>
            </w:r>
            <w:r>
              <w:rPr>
                <w:color w:val="auto"/>
                <w:u w:val="single"/>
              </w:rPr>
              <w:t>-N：0.00</w:t>
            </w:r>
            <w:r>
              <w:rPr>
                <w:rFonts w:hint="eastAsia"/>
                <w:color w:val="auto"/>
                <w:u w:val="single"/>
                <w:lang w:val="en-US" w:eastAsia="zh-CN"/>
              </w:rPr>
              <w:t>3</w:t>
            </w:r>
            <w:r>
              <w:rPr>
                <w:color w:val="auto"/>
                <w:u w:val="single"/>
              </w:rPr>
              <w:t>t/a。</w:t>
            </w:r>
          </w:p>
          <w:p w14:paraId="0AF55BD8">
            <w:pPr>
              <w:autoSpaceDE w:val="0"/>
              <w:autoSpaceDN w:val="0"/>
              <w:adjustRightInd w:val="0"/>
              <w:snapToGrid w:val="0"/>
              <w:spacing w:line="360" w:lineRule="auto"/>
              <w:ind w:firstLine="480" w:firstLineChars="200"/>
              <w:rPr>
                <w:color w:val="auto"/>
                <w:u w:val="single"/>
              </w:rPr>
            </w:pPr>
            <w:r>
              <w:rPr>
                <w:color w:val="auto"/>
                <w:u w:val="single"/>
              </w:rPr>
              <w:t>项目污染物总量控制指标见表3-8。</w:t>
            </w:r>
          </w:p>
          <w:p w14:paraId="5C7DCB3F">
            <w:pPr>
              <w:pStyle w:val="9"/>
              <w:jc w:val="center"/>
              <w:rPr>
                <w:b/>
                <w:bCs/>
                <w:color w:val="auto"/>
                <w:u w:val="single"/>
              </w:rPr>
            </w:pPr>
            <w:r>
              <w:rPr>
                <w:b/>
                <w:bCs/>
                <w:color w:val="auto"/>
                <w:u w:val="single"/>
              </w:rPr>
              <w:t>表</w:t>
            </w:r>
            <w:r>
              <w:rPr>
                <w:rFonts w:hint="eastAsia"/>
                <w:b/>
                <w:bCs/>
                <w:color w:val="auto"/>
                <w:u w:val="single"/>
              </w:rPr>
              <w:t>3-8</w:t>
            </w:r>
            <w:r>
              <w:rPr>
                <w:b/>
                <w:bCs/>
                <w:color w:val="auto"/>
                <w:u w:val="single"/>
              </w:rPr>
              <w:t xml:space="preserve">  项目工程污染物排放总量</w:t>
            </w:r>
          </w:p>
          <w:tbl>
            <w:tblPr>
              <w:tblStyle w:val="3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963"/>
              <w:gridCol w:w="1905"/>
              <w:gridCol w:w="2303"/>
              <w:gridCol w:w="1510"/>
              <w:gridCol w:w="1511"/>
            </w:tblGrid>
            <w:tr w14:paraId="606A32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7" w:type="pct"/>
                  <w:gridSpan w:val="2"/>
                  <w:tcBorders>
                    <w:tl2br w:val="nil"/>
                    <w:tr2bl w:val="nil"/>
                  </w:tcBorders>
                  <w:vAlign w:val="center"/>
                </w:tcPr>
                <w:p w14:paraId="655A7E57">
                  <w:pPr>
                    <w:adjustRightInd w:val="0"/>
                    <w:snapToGrid w:val="0"/>
                    <w:jc w:val="center"/>
                    <w:rPr>
                      <w:color w:val="auto"/>
                      <w:sz w:val="21"/>
                      <w:szCs w:val="21"/>
                      <w:u w:val="single"/>
                    </w:rPr>
                  </w:pPr>
                  <w:r>
                    <w:rPr>
                      <w:color w:val="auto"/>
                      <w:sz w:val="21"/>
                      <w:szCs w:val="21"/>
                      <w:u w:val="single"/>
                    </w:rPr>
                    <w:t>项目</w:t>
                  </w:r>
                </w:p>
              </w:tc>
              <w:tc>
                <w:tcPr>
                  <w:tcW w:w="1070" w:type="pct"/>
                  <w:tcBorders>
                    <w:tl2br w:val="nil"/>
                    <w:tr2bl w:val="nil"/>
                  </w:tcBorders>
                  <w:vAlign w:val="center"/>
                </w:tcPr>
                <w:p w14:paraId="5CBA7FC5">
                  <w:pPr>
                    <w:adjustRightInd w:val="0"/>
                    <w:snapToGrid w:val="0"/>
                    <w:jc w:val="center"/>
                    <w:rPr>
                      <w:color w:val="auto"/>
                      <w:sz w:val="21"/>
                      <w:szCs w:val="21"/>
                      <w:u w:val="single"/>
                    </w:rPr>
                  </w:pPr>
                  <w:r>
                    <w:rPr>
                      <w:rFonts w:hint="eastAsia"/>
                      <w:color w:val="auto"/>
                      <w:sz w:val="21"/>
                      <w:szCs w:val="21"/>
                      <w:u w:val="single"/>
                      <w:lang w:eastAsia="zh-CN"/>
                    </w:rPr>
                    <w:t>本项目</w:t>
                  </w:r>
                  <w:r>
                    <w:rPr>
                      <w:color w:val="auto"/>
                      <w:sz w:val="21"/>
                      <w:szCs w:val="21"/>
                      <w:u w:val="single"/>
                    </w:rPr>
                    <w:t>总量指标（t/a）</w:t>
                  </w:r>
                </w:p>
              </w:tc>
              <w:tc>
                <w:tcPr>
                  <w:tcW w:w="1293" w:type="pct"/>
                  <w:tcBorders>
                    <w:tl2br w:val="nil"/>
                    <w:tr2bl w:val="nil"/>
                  </w:tcBorders>
                  <w:vAlign w:val="center"/>
                </w:tcPr>
                <w:p w14:paraId="1F30A656">
                  <w:pPr>
                    <w:adjustRightInd w:val="0"/>
                    <w:snapToGrid w:val="0"/>
                    <w:jc w:val="center"/>
                    <w:rPr>
                      <w:rFonts w:hint="eastAsia" w:eastAsia="宋体"/>
                      <w:color w:val="auto"/>
                      <w:sz w:val="21"/>
                      <w:szCs w:val="21"/>
                      <w:u w:val="single"/>
                      <w:lang w:eastAsia="zh-CN"/>
                    </w:rPr>
                  </w:pPr>
                  <w:r>
                    <w:rPr>
                      <w:rFonts w:hint="eastAsia"/>
                      <w:color w:val="auto"/>
                      <w:sz w:val="21"/>
                      <w:szCs w:val="21"/>
                      <w:u w:val="single"/>
                      <w:lang w:eastAsia="zh-CN"/>
                    </w:rPr>
                    <w:t>丰联公司已有总量（</w:t>
                  </w:r>
                  <w:r>
                    <w:rPr>
                      <w:rFonts w:hint="eastAsia"/>
                      <w:color w:val="auto"/>
                      <w:sz w:val="21"/>
                      <w:szCs w:val="21"/>
                      <w:u w:val="single"/>
                      <w:lang w:val="en-US" w:eastAsia="zh-CN"/>
                    </w:rPr>
                    <w:t>t/a</w:t>
                  </w:r>
                  <w:r>
                    <w:rPr>
                      <w:rFonts w:hint="eastAsia"/>
                      <w:color w:val="auto"/>
                      <w:sz w:val="21"/>
                      <w:szCs w:val="21"/>
                      <w:u w:val="single"/>
                      <w:lang w:eastAsia="zh-CN"/>
                    </w:rPr>
                    <w:t>）</w:t>
                  </w:r>
                </w:p>
              </w:tc>
              <w:tc>
                <w:tcPr>
                  <w:tcW w:w="848" w:type="pct"/>
                  <w:tcBorders>
                    <w:tl2br w:val="nil"/>
                    <w:tr2bl w:val="nil"/>
                  </w:tcBorders>
                  <w:vAlign w:val="center"/>
                </w:tcPr>
                <w:p w14:paraId="1C25E8C4">
                  <w:pPr>
                    <w:adjustRightInd w:val="0"/>
                    <w:snapToGrid w:val="0"/>
                    <w:jc w:val="center"/>
                    <w:rPr>
                      <w:rFonts w:hint="eastAsia" w:eastAsia="宋体"/>
                      <w:color w:val="auto"/>
                      <w:sz w:val="21"/>
                      <w:szCs w:val="21"/>
                      <w:u w:val="single"/>
                      <w:lang w:eastAsia="zh-CN"/>
                    </w:rPr>
                  </w:pPr>
                  <w:r>
                    <w:rPr>
                      <w:rFonts w:hint="eastAsia"/>
                      <w:color w:val="auto"/>
                      <w:sz w:val="21"/>
                      <w:szCs w:val="21"/>
                      <w:u w:val="single"/>
                      <w:lang w:eastAsia="zh-CN"/>
                    </w:rPr>
                    <w:t>还需购买总量（</w:t>
                  </w:r>
                  <w:r>
                    <w:rPr>
                      <w:rFonts w:hint="eastAsia"/>
                      <w:color w:val="auto"/>
                      <w:sz w:val="21"/>
                      <w:szCs w:val="21"/>
                      <w:u w:val="single"/>
                      <w:lang w:val="en-US" w:eastAsia="zh-CN"/>
                    </w:rPr>
                    <w:t>t/a</w:t>
                  </w:r>
                  <w:r>
                    <w:rPr>
                      <w:rFonts w:hint="eastAsia"/>
                      <w:color w:val="auto"/>
                      <w:sz w:val="21"/>
                      <w:szCs w:val="21"/>
                      <w:u w:val="single"/>
                      <w:lang w:eastAsia="zh-CN"/>
                    </w:rPr>
                    <w:t>）</w:t>
                  </w:r>
                </w:p>
              </w:tc>
              <w:tc>
                <w:tcPr>
                  <w:tcW w:w="848" w:type="pct"/>
                  <w:tcBorders>
                    <w:tl2br w:val="nil"/>
                    <w:tr2bl w:val="nil"/>
                  </w:tcBorders>
                  <w:vAlign w:val="center"/>
                </w:tcPr>
                <w:p w14:paraId="0DB99924">
                  <w:pPr>
                    <w:adjustRightInd w:val="0"/>
                    <w:snapToGrid w:val="0"/>
                    <w:jc w:val="center"/>
                    <w:rPr>
                      <w:rFonts w:hint="eastAsia"/>
                      <w:color w:val="auto"/>
                      <w:sz w:val="21"/>
                      <w:szCs w:val="21"/>
                      <w:u w:val="single"/>
                      <w:lang w:eastAsia="zh-CN"/>
                    </w:rPr>
                  </w:pPr>
                  <w:r>
                    <w:rPr>
                      <w:rFonts w:hint="eastAsia"/>
                      <w:color w:val="auto"/>
                      <w:sz w:val="21"/>
                      <w:szCs w:val="21"/>
                      <w:u w:val="single"/>
                      <w:lang w:eastAsia="zh-CN"/>
                    </w:rPr>
                    <w:t>取得总量途径</w:t>
                  </w:r>
                </w:p>
              </w:tc>
            </w:tr>
            <w:tr w14:paraId="0E910C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Merge w:val="restart"/>
                  <w:tcBorders>
                    <w:tl2br w:val="nil"/>
                    <w:tr2bl w:val="nil"/>
                  </w:tcBorders>
                  <w:vAlign w:val="center"/>
                </w:tcPr>
                <w:p w14:paraId="2F309078">
                  <w:pPr>
                    <w:adjustRightInd w:val="0"/>
                    <w:snapToGrid w:val="0"/>
                    <w:jc w:val="center"/>
                    <w:rPr>
                      <w:color w:val="auto"/>
                      <w:sz w:val="21"/>
                      <w:szCs w:val="21"/>
                      <w:u w:val="single"/>
                    </w:rPr>
                  </w:pPr>
                  <w:r>
                    <w:rPr>
                      <w:color w:val="auto"/>
                      <w:sz w:val="21"/>
                      <w:szCs w:val="21"/>
                      <w:u w:val="single"/>
                    </w:rPr>
                    <w:t>废水</w:t>
                  </w:r>
                </w:p>
              </w:tc>
              <w:tc>
                <w:tcPr>
                  <w:tcW w:w="541" w:type="pct"/>
                  <w:tcBorders>
                    <w:tl2br w:val="nil"/>
                    <w:tr2bl w:val="nil"/>
                  </w:tcBorders>
                  <w:vAlign w:val="center"/>
                </w:tcPr>
                <w:p w14:paraId="49B1B475">
                  <w:pPr>
                    <w:adjustRightInd w:val="0"/>
                    <w:snapToGrid w:val="0"/>
                    <w:jc w:val="center"/>
                    <w:rPr>
                      <w:color w:val="auto"/>
                      <w:sz w:val="21"/>
                      <w:szCs w:val="21"/>
                      <w:u w:val="single"/>
                    </w:rPr>
                  </w:pPr>
                  <w:r>
                    <w:rPr>
                      <w:color w:val="auto"/>
                      <w:sz w:val="21"/>
                      <w:szCs w:val="21"/>
                      <w:u w:val="single"/>
                    </w:rPr>
                    <w:t>COD</w:t>
                  </w:r>
                  <w:r>
                    <w:rPr>
                      <w:color w:val="auto"/>
                      <w:sz w:val="21"/>
                      <w:szCs w:val="21"/>
                      <w:u w:val="single"/>
                      <w:vertAlign w:val="subscript"/>
                    </w:rPr>
                    <w:t>Cr</w:t>
                  </w:r>
                </w:p>
              </w:tc>
              <w:tc>
                <w:tcPr>
                  <w:tcW w:w="1070" w:type="pct"/>
                  <w:tcBorders>
                    <w:tl2br w:val="nil"/>
                    <w:tr2bl w:val="nil"/>
                  </w:tcBorders>
                  <w:vAlign w:val="center"/>
                </w:tcPr>
                <w:p w14:paraId="65BD25BE">
                  <w:pPr>
                    <w:adjustRightInd w:val="0"/>
                    <w:snapToGrid w:val="0"/>
                    <w:jc w:val="center"/>
                    <w:rPr>
                      <w:rFonts w:hint="default" w:eastAsia="宋体"/>
                      <w:color w:val="auto"/>
                      <w:sz w:val="21"/>
                      <w:szCs w:val="21"/>
                      <w:u w:val="single"/>
                      <w:lang w:val="en-US" w:eastAsia="zh-CN"/>
                    </w:rPr>
                  </w:pPr>
                  <w:r>
                    <w:rPr>
                      <w:rFonts w:hint="eastAsia"/>
                      <w:color w:val="auto"/>
                      <w:sz w:val="21"/>
                      <w:szCs w:val="21"/>
                      <w:u w:val="single"/>
                    </w:rPr>
                    <w:t>0.0</w:t>
                  </w:r>
                  <w:r>
                    <w:rPr>
                      <w:rFonts w:hint="eastAsia"/>
                      <w:color w:val="auto"/>
                      <w:sz w:val="21"/>
                      <w:szCs w:val="21"/>
                      <w:u w:val="single"/>
                      <w:lang w:val="en-US" w:eastAsia="zh-CN"/>
                    </w:rPr>
                    <w:t>19</w:t>
                  </w:r>
                </w:p>
              </w:tc>
              <w:tc>
                <w:tcPr>
                  <w:tcW w:w="1293" w:type="pct"/>
                  <w:tcBorders>
                    <w:tl2br w:val="nil"/>
                    <w:tr2bl w:val="nil"/>
                  </w:tcBorders>
                  <w:vAlign w:val="center"/>
                </w:tcPr>
                <w:p w14:paraId="790EB080">
                  <w:pPr>
                    <w:adjustRightInd w:val="0"/>
                    <w:snapToGrid w:val="0"/>
                    <w:jc w:val="center"/>
                    <w:rPr>
                      <w:rFonts w:hint="default" w:eastAsia="宋体"/>
                      <w:color w:val="auto"/>
                      <w:sz w:val="21"/>
                      <w:szCs w:val="21"/>
                      <w:u w:val="single"/>
                      <w:lang w:val="en-US" w:eastAsia="zh-CN"/>
                    </w:rPr>
                  </w:pPr>
                  <w:r>
                    <w:rPr>
                      <w:rFonts w:hint="eastAsia"/>
                      <w:color w:val="auto"/>
                      <w:sz w:val="21"/>
                      <w:szCs w:val="21"/>
                      <w:u w:val="single"/>
                      <w:lang w:val="en-US" w:eastAsia="zh-CN"/>
                    </w:rPr>
                    <w:t>0.65</w:t>
                  </w:r>
                </w:p>
              </w:tc>
              <w:tc>
                <w:tcPr>
                  <w:tcW w:w="848" w:type="pct"/>
                  <w:tcBorders>
                    <w:tl2br w:val="nil"/>
                    <w:tr2bl w:val="nil"/>
                  </w:tcBorders>
                  <w:vAlign w:val="center"/>
                </w:tcPr>
                <w:p w14:paraId="142BBEF3">
                  <w:pPr>
                    <w:adjustRightInd w:val="0"/>
                    <w:snapToGrid w:val="0"/>
                    <w:jc w:val="center"/>
                    <w:rPr>
                      <w:rFonts w:hint="eastAsia" w:eastAsia="宋体"/>
                      <w:color w:val="auto"/>
                      <w:sz w:val="21"/>
                      <w:szCs w:val="21"/>
                      <w:u w:val="single"/>
                      <w:lang w:val="en-US" w:eastAsia="zh-CN"/>
                    </w:rPr>
                  </w:pPr>
                  <w:r>
                    <w:rPr>
                      <w:rFonts w:hint="eastAsia"/>
                      <w:color w:val="auto"/>
                      <w:sz w:val="21"/>
                      <w:szCs w:val="21"/>
                      <w:u w:val="single"/>
                      <w:lang w:val="en-US" w:eastAsia="zh-CN"/>
                    </w:rPr>
                    <w:t>/</w:t>
                  </w:r>
                </w:p>
              </w:tc>
              <w:tc>
                <w:tcPr>
                  <w:tcW w:w="848" w:type="pct"/>
                  <w:tcBorders>
                    <w:tl2br w:val="nil"/>
                    <w:tr2bl w:val="nil"/>
                  </w:tcBorders>
                  <w:vAlign w:val="center"/>
                </w:tcPr>
                <w:p w14:paraId="1C1C0590">
                  <w:pPr>
                    <w:adjustRightInd w:val="0"/>
                    <w:snapToGrid w:val="0"/>
                    <w:jc w:val="center"/>
                    <w:rPr>
                      <w:rFonts w:hint="eastAsia" w:eastAsia="宋体"/>
                      <w:color w:val="auto"/>
                      <w:sz w:val="21"/>
                      <w:szCs w:val="21"/>
                      <w:u w:val="single"/>
                      <w:lang w:val="en-US" w:eastAsia="zh-CN"/>
                    </w:rPr>
                  </w:pPr>
                  <w:r>
                    <w:rPr>
                      <w:rFonts w:hint="eastAsia"/>
                      <w:color w:val="auto"/>
                      <w:sz w:val="21"/>
                      <w:szCs w:val="21"/>
                      <w:u w:val="single"/>
                      <w:lang w:val="en-US" w:eastAsia="zh-CN"/>
                    </w:rPr>
                    <w:t>/</w:t>
                  </w:r>
                </w:p>
              </w:tc>
            </w:tr>
            <w:tr w14:paraId="506103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Merge w:val="continue"/>
                  <w:tcBorders>
                    <w:tl2br w:val="nil"/>
                    <w:tr2bl w:val="nil"/>
                  </w:tcBorders>
                  <w:vAlign w:val="center"/>
                </w:tcPr>
                <w:p w14:paraId="678DB16B">
                  <w:pPr>
                    <w:adjustRightInd w:val="0"/>
                    <w:snapToGrid w:val="0"/>
                    <w:jc w:val="center"/>
                    <w:rPr>
                      <w:color w:val="auto"/>
                      <w:sz w:val="21"/>
                      <w:szCs w:val="21"/>
                      <w:u w:val="single"/>
                    </w:rPr>
                  </w:pPr>
                </w:p>
              </w:tc>
              <w:tc>
                <w:tcPr>
                  <w:tcW w:w="541" w:type="pct"/>
                  <w:tcBorders>
                    <w:tl2br w:val="nil"/>
                    <w:tr2bl w:val="nil"/>
                  </w:tcBorders>
                  <w:vAlign w:val="center"/>
                </w:tcPr>
                <w:p w14:paraId="1FFEA33E">
                  <w:pPr>
                    <w:adjustRightInd w:val="0"/>
                    <w:snapToGrid w:val="0"/>
                    <w:jc w:val="center"/>
                    <w:rPr>
                      <w:color w:val="auto"/>
                      <w:sz w:val="21"/>
                      <w:szCs w:val="21"/>
                      <w:u w:val="single"/>
                      <w:vertAlign w:val="subscript"/>
                    </w:rPr>
                  </w:pPr>
                  <w:r>
                    <w:rPr>
                      <w:color w:val="auto"/>
                      <w:sz w:val="21"/>
                      <w:szCs w:val="21"/>
                      <w:u w:val="single"/>
                    </w:rPr>
                    <w:t>NH</w:t>
                  </w:r>
                  <w:r>
                    <w:rPr>
                      <w:color w:val="auto"/>
                      <w:sz w:val="21"/>
                      <w:szCs w:val="21"/>
                      <w:u w:val="single"/>
                      <w:vertAlign w:val="subscript"/>
                    </w:rPr>
                    <w:t>3</w:t>
                  </w:r>
                  <w:r>
                    <w:rPr>
                      <w:color w:val="auto"/>
                      <w:sz w:val="21"/>
                      <w:szCs w:val="21"/>
                      <w:u w:val="single"/>
                    </w:rPr>
                    <w:t>-N</w:t>
                  </w:r>
                </w:p>
              </w:tc>
              <w:tc>
                <w:tcPr>
                  <w:tcW w:w="1070" w:type="pct"/>
                  <w:tcBorders>
                    <w:tl2br w:val="nil"/>
                    <w:tr2bl w:val="nil"/>
                  </w:tcBorders>
                  <w:vAlign w:val="center"/>
                </w:tcPr>
                <w:p w14:paraId="21573BDE">
                  <w:pPr>
                    <w:adjustRightInd w:val="0"/>
                    <w:snapToGrid w:val="0"/>
                    <w:jc w:val="center"/>
                    <w:rPr>
                      <w:rFonts w:hint="eastAsia" w:eastAsia="宋体"/>
                      <w:color w:val="auto"/>
                      <w:sz w:val="21"/>
                      <w:szCs w:val="21"/>
                      <w:u w:val="single"/>
                      <w:lang w:val="en-US" w:eastAsia="zh-CN"/>
                    </w:rPr>
                  </w:pPr>
                  <w:r>
                    <w:rPr>
                      <w:rFonts w:hint="eastAsia"/>
                      <w:color w:val="auto"/>
                      <w:sz w:val="21"/>
                      <w:szCs w:val="21"/>
                      <w:u w:val="single"/>
                    </w:rPr>
                    <w:t>0.00</w:t>
                  </w:r>
                  <w:r>
                    <w:rPr>
                      <w:rFonts w:hint="eastAsia"/>
                      <w:color w:val="auto"/>
                      <w:sz w:val="21"/>
                      <w:szCs w:val="21"/>
                      <w:u w:val="single"/>
                      <w:lang w:val="en-US" w:eastAsia="zh-CN"/>
                    </w:rPr>
                    <w:t>3</w:t>
                  </w:r>
                </w:p>
              </w:tc>
              <w:tc>
                <w:tcPr>
                  <w:tcW w:w="1293" w:type="pct"/>
                  <w:tcBorders>
                    <w:tl2br w:val="nil"/>
                    <w:tr2bl w:val="nil"/>
                  </w:tcBorders>
                  <w:vAlign w:val="center"/>
                </w:tcPr>
                <w:p w14:paraId="67EB0404">
                  <w:pPr>
                    <w:adjustRightInd w:val="0"/>
                    <w:snapToGrid w:val="0"/>
                    <w:jc w:val="center"/>
                    <w:rPr>
                      <w:rFonts w:hint="default" w:eastAsia="宋体"/>
                      <w:color w:val="auto"/>
                      <w:sz w:val="21"/>
                      <w:szCs w:val="21"/>
                      <w:u w:val="single"/>
                      <w:lang w:val="en-US" w:eastAsia="zh-CN"/>
                    </w:rPr>
                  </w:pPr>
                  <w:r>
                    <w:rPr>
                      <w:rFonts w:hint="eastAsia"/>
                      <w:color w:val="auto"/>
                      <w:sz w:val="21"/>
                      <w:szCs w:val="21"/>
                      <w:u w:val="single"/>
                      <w:lang w:val="en-US" w:eastAsia="zh-CN"/>
                    </w:rPr>
                    <w:t>0.02</w:t>
                  </w:r>
                </w:p>
              </w:tc>
              <w:tc>
                <w:tcPr>
                  <w:tcW w:w="848" w:type="pct"/>
                  <w:tcBorders>
                    <w:tl2br w:val="nil"/>
                    <w:tr2bl w:val="nil"/>
                  </w:tcBorders>
                  <w:vAlign w:val="center"/>
                </w:tcPr>
                <w:p w14:paraId="541178F6">
                  <w:pPr>
                    <w:adjustRightInd w:val="0"/>
                    <w:snapToGrid w:val="0"/>
                    <w:jc w:val="center"/>
                    <w:rPr>
                      <w:rFonts w:hint="eastAsia" w:eastAsia="宋体"/>
                      <w:color w:val="auto"/>
                      <w:sz w:val="21"/>
                      <w:szCs w:val="21"/>
                      <w:u w:val="single"/>
                      <w:lang w:val="en-US" w:eastAsia="zh-CN"/>
                    </w:rPr>
                  </w:pPr>
                  <w:r>
                    <w:rPr>
                      <w:rFonts w:hint="eastAsia"/>
                      <w:color w:val="auto"/>
                      <w:sz w:val="21"/>
                      <w:szCs w:val="21"/>
                      <w:u w:val="single"/>
                      <w:lang w:val="en-US" w:eastAsia="zh-CN"/>
                    </w:rPr>
                    <w:t>/</w:t>
                  </w:r>
                </w:p>
              </w:tc>
              <w:tc>
                <w:tcPr>
                  <w:tcW w:w="848" w:type="pct"/>
                  <w:tcBorders>
                    <w:tl2br w:val="nil"/>
                    <w:tr2bl w:val="nil"/>
                  </w:tcBorders>
                  <w:vAlign w:val="center"/>
                </w:tcPr>
                <w:p w14:paraId="7FC3126D">
                  <w:pPr>
                    <w:adjustRightInd w:val="0"/>
                    <w:snapToGrid w:val="0"/>
                    <w:jc w:val="center"/>
                    <w:rPr>
                      <w:rFonts w:hint="eastAsia" w:eastAsia="宋体"/>
                      <w:color w:val="auto"/>
                      <w:sz w:val="21"/>
                      <w:szCs w:val="21"/>
                      <w:u w:val="single"/>
                      <w:lang w:val="en-US" w:eastAsia="zh-CN"/>
                    </w:rPr>
                  </w:pPr>
                  <w:r>
                    <w:rPr>
                      <w:rFonts w:hint="eastAsia"/>
                      <w:color w:val="auto"/>
                      <w:sz w:val="21"/>
                      <w:szCs w:val="21"/>
                      <w:u w:val="single"/>
                      <w:lang w:val="en-US" w:eastAsia="zh-CN"/>
                    </w:rPr>
                    <w:t>/</w:t>
                  </w:r>
                </w:p>
              </w:tc>
            </w:tr>
            <w:tr w14:paraId="58B6F3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Merge w:val="restart"/>
                  <w:tcBorders>
                    <w:tl2br w:val="nil"/>
                    <w:tr2bl w:val="nil"/>
                  </w:tcBorders>
                  <w:vAlign w:val="center"/>
                </w:tcPr>
                <w:p w14:paraId="49EC31B2">
                  <w:pPr>
                    <w:adjustRightInd w:val="0"/>
                    <w:snapToGrid w:val="0"/>
                    <w:jc w:val="center"/>
                    <w:rPr>
                      <w:color w:val="auto"/>
                      <w:sz w:val="21"/>
                      <w:szCs w:val="21"/>
                      <w:u w:val="single"/>
                    </w:rPr>
                  </w:pPr>
                  <w:r>
                    <w:rPr>
                      <w:color w:val="auto"/>
                      <w:sz w:val="21"/>
                      <w:szCs w:val="21"/>
                      <w:u w:val="single"/>
                    </w:rPr>
                    <w:t>废气</w:t>
                  </w:r>
                </w:p>
              </w:tc>
              <w:tc>
                <w:tcPr>
                  <w:tcW w:w="541" w:type="pct"/>
                  <w:tcBorders>
                    <w:tl2br w:val="nil"/>
                    <w:tr2bl w:val="nil"/>
                  </w:tcBorders>
                  <w:vAlign w:val="center"/>
                </w:tcPr>
                <w:p w14:paraId="670705CB">
                  <w:pPr>
                    <w:adjustRightInd w:val="0"/>
                    <w:snapToGrid w:val="0"/>
                    <w:jc w:val="center"/>
                    <w:rPr>
                      <w:color w:val="auto"/>
                      <w:sz w:val="21"/>
                      <w:szCs w:val="21"/>
                      <w:u w:val="single"/>
                    </w:rPr>
                  </w:pPr>
                  <w:r>
                    <w:rPr>
                      <w:color w:val="auto"/>
                      <w:sz w:val="21"/>
                      <w:szCs w:val="21"/>
                      <w:u w:val="single"/>
                    </w:rPr>
                    <w:t>SO</w:t>
                  </w:r>
                  <w:r>
                    <w:rPr>
                      <w:color w:val="auto"/>
                      <w:sz w:val="21"/>
                      <w:szCs w:val="21"/>
                      <w:u w:val="single"/>
                      <w:vertAlign w:val="subscript"/>
                    </w:rPr>
                    <w:t>2</w:t>
                  </w:r>
                </w:p>
              </w:tc>
              <w:tc>
                <w:tcPr>
                  <w:tcW w:w="1070" w:type="pct"/>
                  <w:tcBorders>
                    <w:tl2br w:val="nil"/>
                    <w:tr2bl w:val="nil"/>
                  </w:tcBorders>
                  <w:vAlign w:val="center"/>
                </w:tcPr>
                <w:p w14:paraId="5C2ABB81">
                  <w:pPr>
                    <w:adjustRightInd w:val="0"/>
                    <w:snapToGrid w:val="0"/>
                    <w:jc w:val="center"/>
                    <w:rPr>
                      <w:rFonts w:hint="default" w:eastAsia="宋体"/>
                      <w:color w:val="auto"/>
                      <w:sz w:val="21"/>
                      <w:szCs w:val="21"/>
                      <w:u w:val="single"/>
                      <w:lang w:val="en-US" w:eastAsia="zh-CN"/>
                    </w:rPr>
                  </w:pPr>
                  <w:r>
                    <w:rPr>
                      <w:rFonts w:hint="eastAsia"/>
                      <w:color w:val="auto"/>
                      <w:sz w:val="21"/>
                      <w:szCs w:val="21"/>
                      <w:u w:val="single"/>
                      <w:lang w:val="en-US" w:eastAsia="zh-CN"/>
                    </w:rPr>
                    <w:t>0.07</w:t>
                  </w:r>
                </w:p>
              </w:tc>
              <w:tc>
                <w:tcPr>
                  <w:tcW w:w="1293" w:type="pct"/>
                  <w:tcBorders>
                    <w:tl2br w:val="nil"/>
                    <w:tr2bl w:val="nil"/>
                  </w:tcBorders>
                  <w:vAlign w:val="center"/>
                </w:tcPr>
                <w:p w14:paraId="27D701E4">
                  <w:pPr>
                    <w:adjustRightInd w:val="0"/>
                    <w:snapToGrid w:val="0"/>
                    <w:jc w:val="center"/>
                    <w:rPr>
                      <w:rFonts w:hint="default"/>
                      <w:color w:val="auto"/>
                      <w:sz w:val="21"/>
                      <w:szCs w:val="21"/>
                      <w:u w:val="single"/>
                      <w:lang w:val="en-US" w:eastAsia="zh-CN"/>
                    </w:rPr>
                  </w:pPr>
                  <w:r>
                    <w:rPr>
                      <w:rFonts w:hint="eastAsia"/>
                      <w:color w:val="auto"/>
                      <w:sz w:val="21"/>
                      <w:szCs w:val="21"/>
                      <w:u w:val="single"/>
                      <w:lang w:val="en-US" w:eastAsia="zh-CN"/>
                    </w:rPr>
                    <w:t>1.56</w:t>
                  </w:r>
                </w:p>
              </w:tc>
              <w:tc>
                <w:tcPr>
                  <w:tcW w:w="848" w:type="pct"/>
                  <w:tcBorders>
                    <w:tl2br w:val="nil"/>
                    <w:tr2bl w:val="nil"/>
                  </w:tcBorders>
                  <w:vAlign w:val="center"/>
                </w:tcPr>
                <w:p w14:paraId="4A9D8649">
                  <w:pPr>
                    <w:adjustRightInd w:val="0"/>
                    <w:snapToGrid w:val="0"/>
                    <w:jc w:val="center"/>
                    <w:rPr>
                      <w:rFonts w:hint="default"/>
                      <w:color w:val="auto"/>
                      <w:sz w:val="21"/>
                      <w:szCs w:val="21"/>
                      <w:u w:val="single"/>
                      <w:lang w:val="en-US" w:eastAsia="zh-CN"/>
                    </w:rPr>
                  </w:pPr>
                  <w:r>
                    <w:rPr>
                      <w:rFonts w:hint="eastAsia"/>
                      <w:color w:val="auto"/>
                      <w:sz w:val="21"/>
                      <w:szCs w:val="21"/>
                      <w:u w:val="single"/>
                      <w:lang w:val="en-US" w:eastAsia="zh-CN"/>
                    </w:rPr>
                    <w:t>/</w:t>
                  </w:r>
                </w:p>
              </w:tc>
              <w:tc>
                <w:tcPr>
                  <w:tcW w:w="848" w:type="pct"/>
                  <w:tcBorders>
                    <w:tl2br w:val="nil"/>
                    <w:tr2bl w:val="nil"/>
                  </w:tcBorders>
                  <w:vAlign w:val="center"/>
                </w:tcPr>
                <w:p w14:paraId="0D940346">
                  <w:pPr>
                    <w:adjustRightInd w:val="0"/>
                    <w:snapToGrid w:val="0"/>
                    <w:jc w:val="center"/>
                    <w:rPr>
                      <w:rFonts w:hint="default"/>
                      <w:color w:val="auto"/>
                      <w:sz w:val="21"/>
                      <w:szCs w:val="21"/>
                      <w:u w:val="single"/>
                      <w:lang w:val="en-US" w:eastAsia="zh-CN"/>
                    </w:rPr>
                  </w:pPr>
                  <w:r>
                    <w:rPr>
                      <w:rFonts w:hint="eastAsia"/>
                      <w:color w:val="auto"/>
                      <w:sz w:val="21"/>
                      <w:szCs w:val="21"/>
                      <w:u w:val="single"/>
                      <w:lang w:val="en-US" w:eastAsia="zh-CN"/>
                    </w:rPr>
                    <w:t>/</w:t>
                  </w:r>
                </w:p>
              </w:tc>
            </w:tr>
            <w:tr w14:paraId="1729FF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Merge w:val="continue"/>
                  <w:tcBorders>
                    <w:tl2br w:val="nil"/>
                    <w:tr2bl w:val="nil"/>
                  </w:tcBorders>
                  <w:vAlign w:val="center"/>
                </w:tcPr>
                <w:p w14:paraId="6FB0E8D5">
                  <w:pPr>
                    <w:adjustRightInd w:val="0"/>
                    <w:snapToGrid w:val="0"/>
                    <w:jc w:val="center"/>
                    <w:rPr>
                      <w:color w:val="auto"/>
                      <w:sz w:val="21"/>
                      <w:szCs w:val="21"/>
                      <w:u w:val="single"/>
                    </w:rPr>
                  </w:pPr>
                </w:p>
              </w:tc>
              <w:tc>
                <w:tcPr>
                  <w:tcW w:w="541" w:type="pct"/>
                  <w:tcBorders>
                    <w:tl2br w:val="nil"/>
                    <w:tr2bl w:val="nil"/>
                  </w:tcBorders>
                  <w:vAlign w:val="center"/>
                </w:tcPr>
                <w:p w14:paraId="2065B877">
                  <w:pPr>
                    <w:adjustRightInd w:val="0"/>
                    <w:snapToGrid w:val="0"/>
                    <w:jc w:val="center"/>
                    <w:rPr>
                      <w:color w:val="auto"/>
                      <w:sz w:val="21"/>
                      <w:szCs w:val="21"/>
                      <w:u w:val="single"/>
                    </w:rPr>
                  </w:pPr>
                  <w:r>
                    <w:rPr>
                      <w:color w:val="auto"/>
                      <w:sz w:val="21"/>
                      <w:szCs w:val="21"/>
                      <w:u w:val="single"/>
                    </w:rPr>
                    <w:t>NO</w:t>
                  </w:r>
                  <w:r>
                    <w:rPr>
                      <w:color w:val="auto"/>
                      <w:sz w:val="21"/>
                      <w:szCs w:val="21"/>
                      <w:u w:val="single"/>
                      <w:vertAlign w:val="subscript"/>
                    </w:rPr>
                    <w:t>X</w:t>
                  </w:r>
                </w:p>
              </w:tc>
              <w:tc>
                <w:tcPr>
                  <w:tcW w:w="1070" w:type="pct"/>
                  <w:tcBorders>
                    <w:tl2br w:val="nil"/>
                    <w:tr2bl w:val="nil"/>
                  </w:tcBorders>
                  <w:vAlign w:val="center"/>
                </w:tcPr>
                <w:p w14:paraId="37AEEA45">
                  <w:pPr>
                    <w:adjustRightInd w:val="0"/>
                    <w:snapToGrid w:val="0"/>
                    <w:jc w:val="center"/>
                    <w:rPr>
                      <w:rFonts w:hint="default" w:eastAsia="宋体"/>
                      <w:color w:val="auto"/>
                      <w:sz w:val="21"/>
                      <w:szCs w:val="21"/>
                      <w:u w:val="single"/>
                      <w:lang w:val="en-US" w:eastAsia="zh-CN"/>
                    </w:rPr>
                  </w:pPr>
                  <w:r>
                    <w:rPr>
                      <w:rFonts w:hint="eastAsia"/>
                      <w:color w:val="auto"/>
                      <w:sz w:val="21"/>
                      <w:szCs w:val="21"/>
                      <w:u w:val="single"/>
                      <w:lang w:val="en-US" w:eastAsia="zh-CN"/>
                    </w:rPr>
                    <w:t>0.244</w:t>
                  </w:r>
                </w:p>
              </w:tc>
              <w:tc>
                <w:tcPr>
                  <w:tcW w:w="1293" w:type="pct"/>
                  <w:tcBorders>
                    <w:tl2br w:val="nil"/>
                    <w:tr2bl w:val="nil"/>
                  </w:tcBorders>
                  <w:vAlign w:val="center"/>
                </w:tcPr>
                <w:p w14:paraId="4CBE5376">
                  <w:pPr>
                    <w:adjustRightInd w:val="0"/>
                    <w:snapToGrid w:val="0"/>
                    <w:jc w:val="center"/>
                    <w:rPr>
                      <w:rFonts w:hint="default"/>
                      <w:color w:val="auto"/>
                      <w:sz w:val="21"/>
                      <w:szCs w:val="21"/>
                      <w:u w:val="single"/>
                      <w:lang w:val="en-US" w:eastAsia="zh-CN"/>
                    </w:rPr>
                  </w:pPr>
                  <w:r>
                    <w:rPr>
                      <w:rFonts w:hint="eastAsia"/>
                      <w:color w:val="auto"/>
                      <w:sz w:val="21"/>
                      <w:szCs w:val="21"/>
                      <w:u w:val="single"/>
                      <w:lang w:val="en-US" w:eastAsia="zh-CN"/>
                    </w:rPr>
                    <w:t>0.03</w:t>
                  </w:r>
                </w:p>
              </w:tc>
              <w:tc>
                <w:tcPr>
                  <w:tcW w:w="848" w:type="pct"/>
                  <w:tcBorders>
                    <w:tl2br w:val="nil"/>
                    <w:tr2bl w:val="nil"/>
                  </w:tcBorders>
                  <w:vAlign w:val="center"/>
                </w:tcPr>
                <w:p w14:paraId="2AE75BA2">
                  <w:pPr>
                    <w:adjustRightInd w:val="0"/>
                    <w:snapToGrid w:val="0"/>
                    <w:jc w:val="center"/>
                    <w:rPr>
                      <w:rFonts w:hint="default"/>
                      <w:color w:val="auto"/>
                      <w:sz w:val="21"/>
                      <w:szCs w:val="21"/>
                      <w:u w:val="single"/>
                      <w:lang w:val="en-US" w:eastAsia="zh-CN"/>
                    </w:rPr>
                  </w:pPr>
                  <w:r>
                    <w:rPr>
                      <w:rFonts w:hint="eastAsia"/>
                      <w:color w:val="auto"/>
                      <w:sz w:val="21"/>
                      <w:szCs w:val="21"/>
                      <w:u w:val="single"/>
                      <w:lang w:val="en-US" w:eastAsia="zh-CN"/>
                    </w:rPr>
                    <w:t>0.22</w:t>
                  </w:r>
                </w:p>
              </w:tc>
              <w:tc>
                <w:tcPr>
                  <w:tcW w:w="848" w:type="pct"/>
                  <w:tcBorders>
                    <w:tl2br w:val="nil"/>
                    <w:tr2bl w:val="nil"/>
                  </w:tcBorders>
                  <w:vAlign w:val="center"/>
                </w:tcPr>
                <w:p w14:paraId="23ABCBCF">
                  <w:pPr>
                    <w:adjustRightInd w:val="0"/>
                    <w:snapToGrid w:val="0"/>
                    <w:jc w:val="center"/>
                    <w:rPr>
                      <w:rFonts w:hint="eastAsia"/>
                      <w:color w:val="auto"/>
                      <w:sz w:val="21"/>
                      <w:szCs w:val="21"/>
                      <w:u w:val="single"/>
                      <w:lang w:val="en-US" w:eastAsia="zh-CN"/>
                    </w:rPr>
                  </w:pPr>
                  <w:r>
                    <w:rPr>
                      <w:rFonts w:hint="eastAsia"/>
                      <w:color w:val="auto"/>
                      <w:sz w:val="21"/>
                      <w:szCs w:val="21"/>
                      <w:u w:val="single"/>
                      <w:lang w:val="en-US" w:eastAsia="zh-CN"/>
                    </w:rPr>
                    <w:t>通过交易平台购买</w:t>
                  </w:r>
                </w:p>
              </w:tc>
            </w:tr>
            <w:tr w14:paraId="0E0D06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Merge w:val="continue"/>
                  <w:tcBorders>
                    <w:tl2br w:val="nil"/>
                    <w:tr2bl w:val="nil"/>
                  </w:tcBorders>
                  <w:vAlign w:val="center"/>
                </w:tcPr>
                <w:p w14:paraId="16660E92">
                  <w:pPr>
                    <w:adjustRightInd w:val="0"/>
                    <w:snapToGrid w:val="0"/>
                    <w:jc w:val="center"/>
                    <w:rPr>
                      <w:color w:val="auto"/>
                      <w:sz w:val="21"/>
                      <w:szCs w:val="21"/>
                      <w:u w:val="single"/>
                    </w:rPr>
                  </w:pPr>
                </w:p>
              </w:tc>
              <w:tc>
                <w:tcPr>
                  <w:tcW w:w="541" w:type="pct"/>
                  <w:tcBorders>
                    <w:tl2br w:val="nil"/>
                    <w:tr2bl w:val="nil"/>
                  </w:tcBorders>
                  <w:vAlign w:val="center"/>
                </w:tcPr>
                <w:p w14:paraId="488E3450">
                  <w:pPr>
                    <w:adjustRightInd w:val="0"/>
                    <w:snapToGrid w:val="0"/>
                    <w:jc w:val="center"/>
                    <w:rPr>
                      <w:color w:val="auto"/>
                      <w:sz w:val="21"/>
                      <w:szCs w:val="21"/>
                      <w:u w:val="single"/>
                    </w:rPr>
                  </w:pPr>
                  <w:r>
                    <w:rPr>
                      <w:color w:val="auto"/>
                      <w:sz w:val="21"/>
                      <w:szCs w:val="21"/>
                      <w:u w:val="single"/>
                    </w:rPr>
                    <w:t>VOCs</w:t>
                  </w:r>
                </w:p>
              </w:tc>
              <w:tc>
                <w:tcPr>
                  <w:tcW w:w="1070" w:type="pct"/>
                  <w:tcBorders>
                    <w:tl2br w:val="nil"/>
                    <w:tr2bl w:val="nil"/>
                  </w:tcBorders>
                  <w:vAlign w:val="center"/>
                </w:tcPr>
                <w:p w14:paraId="5464C4A3">
                  <w:pPr>
                    <w:adjustRightInd w:val="0"/>
                    <w:snapToGrid w:val="0"/>
                    <w:jc w:val="center"/>
                    <w:rPr>
                      <w:rFonts w:hint="default" w:eastAsia="宋体"/>
                      <w:color w:val="auto"/>
                      <w:sz w:val="21"/>
                      <w:szCs w:val="21"/>
                      <w:u w:val="single"/>
                      <w:lang w:val="en-US" w:eastAsia="zh-CN"/>
                    </w:rPr>
                  </w:pPr>
                  <w:r>
                    <w:rPr>
                      <w:rFonts w:hint="eastAsia"/>
                      <w:color w:val="auto"/>
                      <w:sz w:val="21"/>
                      <w:szCs w:val="21"/>
                      <w:u w:val="single"/>
                    </w:rPr>
                    <w:t>0.</w:t>
                  </w:r>
                  <w:r>
                    <w:rPr>
                      <w:rFonts w:hint="eastAsia"/>
                      <w:color w:val="auto"/>
                      <w:sz w:val="21"/>
                      <w:szCs w:val="21"/>
                      <w:u w:val="single"/>
                      <w:lang w:val="en-US" w:eastAsia="zh-CN"/>
                    </w:rPr>
                    <w:t>39</w:t>
                  </w:r>
                </w:p>
              </w:tc>
              <w:tc>
                <w:tcPr>
                  <w:tcW w:w="1293" w:type="pct"/>
                  <w:tcBorders>
                    <w:tl2br w:val="nil"/>
                    <w:tr2bl w:val="nil"/>
                  </w:tcBorders>
                  <w:vAlign w:val="center"/>
                </w:tcPr>
                <w:p w14:paraId="45537F27">
                  <w:pPr>
                    <w:adjustRightInd w:val="0"/>
                    <w:snapToGrid w:val="0"/>
                    <w:jc w:val="center"/>
                    <w:rPr>
                      <w:rFonts w:hint="eastAsia" w:eastAsia="宋体"/>
                      <w:color w:val="auto"/>
                      <w:sz w:val="21"/>
                      <w:szCs w:val="21"/>
                      <w:u w:val="single"/>
                      <w:lang w:val="en-US" w:eastAsia="zh-CN"/>
                    </w:rPr>
                  </w:pPr>
                  <w:r>
                    <w:rPr>
                      <w:rFonts w:hint="eastAsia"/>
                      <w:color w:val="auto"/>
                      <w:sz w:val="21"/>
                      <w:szCs w:val="21"/>
                      <w:u w:val="single"/>
                      <w:lang w:val="en-US" w:eastAsia="zh-CN"/>
                    </w:rPr>
                    <w:t>/</w:t>
                  </w:r>
                </w:p>
              </w:tc>
              <w:tc>
                <w:tcPr>
                  <w:tcW w:w="848" w:type="pct"/>
                  <w:tcBorders>
                    <w:tl2br w:val="nil"/>
                    <w:tr2bl w:val="nil"/>
                  </w:tcBorders>
                  <w:vAlign w:val="center"/>
                </w:tcPr>
                <w:p w14:paraId="4FF24B52">
                  <w:pPr>
                    <w:adjustRightInd w:val="0"/>
                    <w:snapToGrid w:val="0"/>
                    <w:jc w:val="center"/>
                    <w:rPr>
                      <w:rFonts w:hint="default" w:eastAsia="宋体"/>
                      <w:color w:val="auto"/>
                      <w:sz w:val="21"/>
                      <w:szCs w:val="21"/>
                      <w:u w:val="single"/>
                      <w:lang w:val="en-US" w:eastAsia="zh-CN"/>
                    </w:rPr>
                  </w:pPr>
                  <w:r>
                    <w:rPr>
                      <w:rFonts w:hint="eastAsia"/>
                      <w:color w:val="auto"/>
                      <w:sz w:val="21"/>
                      <w:szCs w:val="21"/>
                      <w:u w:val="single"/>
                      <w:lang w:val="en-US" w:eastAsia="zh-CN"/>
                    </w:rPr>
                    <w:t>/</w:t>
                  </w:r>
                </w:p>
              </w:tc>
              <w:tc>
                <w:tcPr>
                  <w:tcW w:w="848" w:type="pct"/>
                  <w:tcBorders>
                    <w:tl2br w:val="nil"/>
                    <w:tr2bl w:val="nil"/>
                  </w:tcBorders>
                  <w:vAlign w:val="center"/>
                </w:tcPr>
                <w:p w14:paraId="3D2AA4E3">
                  <w:pPr>
                    <w:adjustRightInd w:val="0"/>
                    <w:snapToGrid w:val="0"/>
                    <w:jc w:val="center"/>
                    <w:rPr>
                      <w:rFonts w:hint="default" w:eastAsia="宋体"/>
                      <w:color w:val="auto"/>
                      <w:sz w:val="21"/>
                      <w:szCs w:val="21"/>
                      <w:u w:val="single"/>
                      <w:lang w:val="en-US" w:eastAsia="zh-CN"/>
                    </w:rPr>
                  </w:pPr>
                  <w:r>
                    <w:rPr>
                      <w:rFonts w:hint="eastAsia"/>
                      <w:color w:val="auto"/>
                      <w:sz w:val="21"/>
                      <w:szCs w:val="21"/>
                      <w:u w:val="single"/>
                      <w:lang w:val="en-US" w:eastAsia="zh-CN"/>
                    </w:rPr>
                    <w:t>/</w:t>
                  </w:r>
                </w:p>
              </w:tc>
            </w:tr>
          </w:tbl>
          <w:p w14:paraId="7C899B67">
            <w:pPr>
              <w:pStyle w:val="9"/>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eastAsia="宋体"/>
                <w:b/>
                <w:bCs/>
                <w:color w:val="auto"/>
                <w:sz w:val="21"/>
                <w:szCs w:val="21"/>
                <w:lang w:eastAsia="zh-CN"/>
              </w:rPr>
            </w:pPr>
            <w:r>
              <w:rPr>
                <w:rFonts w:hint="eastAsia"/>
                <w:b/>
                <w:bCs/>
                <w:color w:val="auto"/>
                <w:sz w:val="21"/>
                <w:szCs w:val="21"/>
                <w:lang w:eastAsia="zh-CN"/>
              </w:rPr>
              <w:t>注：丰联公司</w:t>
            </w:r>
            <w:r>
              <w:rPr>
                <w:rFonts w:hint="eastAsia" w:ascii="Times New Roman" w:cs="Times New Roman"/>
                <w:b/>
                <w:bCs/>
                <w:color w:val="auto"/>
                <w:sz w:val="21"/>
                <w:szCs w:val="21"/>
              </w:rPr>
              <w:t>3000吨/年半胱胺盐酸盐项目</w:t>
            </w:r>
            <w:r>
              <w:rPr>
                <w:rFonts w:hint="eastAsia" w:cs="Times New Roman"/>
                <w:b/>
                <w:bCs/>
                <w:color w:val="auto"/>
                <w:sz w:val="21"/>
                <w:szCs w:val="21"/>
                <w:lang w:eastAsia="zh-CN"/>
              </w:rPr>
              <w:t>已停产，该项目今后不再生产（附件</w:t>
            </w:r>
            <w:r>
              <w:rPr>
                <w:rFonts w:hint="eastAsia" w:cs="Times New Roman"/>
                <w:b/>
                <w:bCs/>
                <w:color w:val="auto"/>
                <w:sz w:val="21"/>
                <w:szCs w:val="21"/>
                <w:lang w:val="en-US" w:eastAsia="zh-CN"/>
              </w:rPr>
              <w:t>8</w:t>
            </w:r>
            <w:r>
              <w:rPr>
                <w:rFonts w:hint="eastAsia" w:cs="Times New Roman"/>
                <w:b/>
                <w:bCs/>
                <w:color w:val="auto"/>
                <w:sz w:val="21"/>
                <w:szCs w:val="21"/>
                <w:lang w:eastAsia="zh-CN"/>
              </w:rPr>
              <w:t>），丰联公司已有总量根据其排污权证（附件</w:t>
            </w:r>
            <w:r>
              <w:rPr>
                <w:rFonts w:hint="eastAsia" w:cs="Times New Roman"/>
                <w:b/>
                <w:bCs/>
                <w:color w:val="auto"/>
                <w:sz w:val="21"/>
                <w:szCs w:val="21"/>
                <w:lang w:val="en-US" w:eastAsia="zh-CN"/>
              </w:rPr>
              <w:t>9</w:t>
            </w:r>
            <w:r>
              <w:rPr>
                <w:rFonts w:hint="eastAsia" w:cs="Times New Roman"/>
                <w:b/>
                <w:bCs/>
                <w:color w:val="auto"/>
                <w:sz w:val="21"/>
                <w:szCs w:val="21"/>
                <w:lang w:eastAsia="zh-CN"/>
              </w:rPr>
              <w:t>）统计。</w:t>
            </w:r>
          </w:p>
          <w:p w14:paraId="32DB2BDE">
            <w:pPr>
              <w:pStyle w:val="9"/>
              <w:jc w:val="center"/>
              <w:rPr>
                <w:b/>
                <w:bCs/>
                <w:color w:val="000000" w:themeColor="text1"/>
                <w14:textFill>
                  <w14:solidFill>
                    <w14:schemeClr w14:val="tx1"/>
                  </w14:solidFill>
                </w14:textFill>
              </w:rPr>
            </w:pPr>
          </w:p>
          <w:p w14:paraId="07B150DE">
            <w:pPr>
              <w:pStyle w:val="35"/>
              <w:ind w:left="0" w:leftChars="0" w:firstLine="0" w:firstLineChars="0"/>
            </w:pPr>
          </w:p>
          <w:p w14:paraId="5BB90F0C">
            <w:pPr>
              <w:pStyle w:val="35"/>
              <w:ind w:left="0" w:leftChars="0" w:firstLine="0" w:firstLineChars="0"/>
            </w:pPr>
          </w:p>
          <w:p w14:paraId="787674CF">
            <w:pPr>
              <w:pStyle w:val="35"/>
              <w:ind w:left="0" w:leftChars="0" w:firstLine="0" w:firstLineChars="0"/>
            </w:pPr>
          </w:p>
          <w:p w14:paraId="470449AB">
            <w:pPr>
              <w:pStyle w:val="35"/>
              <w:ind w:left="0" w:leftChars="0" w:firstLine="0" w:firstLineChars="0"/>
            </w:pPr>
          </w:p>
          <w:p w14:paraId="2A08AAA6">
            <w:pPr>
              <w:pStyle w:val="35"/>
              <w:ind w:left="0" w:leftChars="0" w:firstLine="0" w:firstLineChars="0"/>
            </w:pPr>
          </w:p>
          <w:p w14:paraId="5ACC9892">
            <w:pPr>
              <w:pStyle w:val="35"/>
              <w:ind w:left="0" w:leftChars="0" w:firstLine="0" w:firstLineChars="0"/>
            </w:pPr>
          </w:p>
          <w:p w14:paraId="0CC15691">
            <w:pPr>
              <w:pStyle w:val="35"/>
              <w:ind w:left="0" w:leftChars="0" w:firstLine="0" w:firstLineChars="0"/>
            </w:pPr>
          </w:p>
          <w:p w14:paraId="0E315BE4">
            <w:pPr>
              <w:pStyle w:val="35"/>
              <w:ind w:left="0" w:leftChars="0" w:firstLine="0" w:firstLineChars="0"/>
            </w:pPr>
          </w:p>
          <w:p w14:paraId="5D548D8C">
            <w:pPr>
              <w:pStyle w:val="35"/>
              <w:ind w:left="0" w:leftChars="0" w:firstLine="0" w:firstLineChars="0"/>
            </w:pPr>
          </w:p>
          <w:p w14:paraId="3285D45D">
            <w:pPr>
              <w:pStyle w:val="35"/>
              <w:ind w:left="0" w:leftChars="0" w:firstLine="0" w:firstLineChars="0"/>
            </w:pPr>
          </w:p>
        </w:tc>
      </w:tr>
    </w:tbl>
    <w:p w14:paraId="5E846B73">
      <w:pPr>
        <w:pStyle w:val="73"/>
        <w:wordWrap w:val="0"/>
        <w:topLinePunct/>
        <w:rPr>
          <w:rFonts w:ascii="Times New Roman" w:hAnsi="Times New Roman"/>
          <w:color w:val="2F5496"/>
        </w:rPr>
        <w:sectPr>
          <w:pgSz w:w="11907" w:h="16840"/>
          <w:pgMar w:top="1417" w:right="1134" w:bottom="1417" w:left="1417" w:header="851" w:footer="1134" w:gutter="0"/>
          <w:pgBorders>
            <w:top w:val="none" w:sz="0" w:space="0"/>
            <w:left w:val="none" w:sz="0" w:space="0"/>
            <w:bottom w:val="none" w:sz="0" w:space="0"/>
            <w:right w:val="none" w:sz="0" w:space="0"/>
          </w:pgBorders>
          <w:cols w:space="720" w:num="1"/>
          <w:docGrid w:linePitch="312" w:charSpace="0"/>
        </w:sectPr>
      </w:pPr>
    </w:p>
    <w:p w14:paraId="15E20823">
      <w:pPr>
        <w:pStyle w:val="73"/>
        <w:wordWrap w:val="0"/>
        <w:topLinePunct/>
        <w:rPr>
          <w:rFonts w:ascii="Times New Roman" w:hAnsi="Times New Roman"/>
          <w:color w:val="2F5496"/>
        </w:rPr>
        <w:sectPr>
          <w:type w:val="continuous"/>
          <w:pgSz w:w="11907" w:h="16840"/>
          <w:pgMar w:top="1701" w:right="1531" w:bottom="2127" w:left="1531" w:header="851" w:footer="1473" w:gutter="0"/>
          <w:pgBorders>
            <w:top w:val="none" w:sz="0" w:space="0"/>
            <w:left w:val="none" w:sz="0" w:space="0"/>
            <w:bottom w:val="none" w:sz="0" w:space="0"/>
            <w:right w:val="none" w:sz="0" w:space="0"/>
          </w:pgBorders>
          <w:cols w:space="720" w:num="1"/>
          <w:docGrid w:linePitch="312" w:charSpace="0"/>
        </w:sectPr>
      </w:pPr>
    </w:p>
    <w:p w14:paraId="7107C937">
      <w:pPr>
        <w:pStyle w:val="73"/>
        <w:wordWrap w:val="0"/>
        <w:topLinePunct/>
        <w:rPr>
          <w:rFonts w:ascii="Times New Roman" w:hAnsi="Times New Roman"/>
          <w:b/>
          <w:bCs/>
        </w:rPr>
      </w:pPr>
      <w:bookmarkStart w:id="7" w:name="_Toc11276"/>
      <w:r>
        <w:rPr>
          <w:rFonts w:ascii="Times New Roman" w:hAnsi="Times New Roman"/>
          <w:b/>
          <w:bCs/>
        </w:rPr>
        <w:t>四、主要环境影响和保护措施</w:t>
      </w:r>
      <w:bookmarkEnd w:id="7"/>
    </w:p>
    <w:tbl>
      <w:tblPr>
        <w:tblStyle w:val="36"/>
        <w:tblW w:w="508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5"/>
        <w:gridCol w:w="9226"/>
      </w:tblGrid>
      <w:tr w14:paraId="0D71AA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01" w:hRule="atLeast"/>
          <w:jc w:val="center"/>
        </w:trPr>
        <w:tc>
          <w:tcPr>
            <w:tcW w:w="220" w:type="pct"/>
            <w:tcMar>
              <w:left w:w="28" w:type="dxa"/>
              <w:right w:w="28" w:type="dxa"/>
            </w:tcMar>
            <w:vAlign w:val="center"/>
          </w:tcPr>
          <w:p w14:paraId="380EF73A">
            <w:pPr>
              <w:pStyle w:val="32"/>
              <w:wordWrap w:val="0"/>
              <w:topLinePunct/>
              <w:adjustRightInd w:val="0"/>
              <w:snapToGrid w:val="0"/>
              <w:spacing w:before="0" w:beforeAutospacing="0" w:after="0" w:afterAutospacing="0"/>
              <w:jc w:val="center"/>
              <w:rPr>
                <w:rFonts w:ascii="Times New Roman" w:hAnsi="Times New Roman"/>
                <w:bCs/>
                <w:color w:val="2F5496"/>
                <w:kern w:val="2"/>
                <w:szCs w:val="24"/>
              </w:rPr>
            </w:pPr>
            <w:r>
              <w:rPr>
                <w:rFonts w:ascii="Times New Roman" w:hAnsi="Times New Roman"/>
                <w:kern w:val="2"/>
                <w:szCs w:val="24"/>
              </w:rPr>
              <w:t>施工期环境保护措施</w:t>
            </w:r>
          </w:p>
        </w:tc>
        <w:tc>
          <w:tcPr>
            <w:tcW w:w="4779" w:type="pct"/>
            <w:vAlign w:val="center"/>
          </w:tcPr>
          <w:p w14:paraId="44D60E07">
            <w:pPr>
              <w:pStyle w:val="30"/>
              <w:spacing w:line="360" w:lineRule="auto"/>
              <w:ind w:left="0" w:leftChars="0" w:firstLine="420"/>
            </w:pPr>
            <w:r>
              <w:t>本项目是利用现有已建成厂房进行密闭建设、装修。</w:t>
            </w:r>
          </w:p>
          <w:p w14:paraId="6C928558">
            <w:pPr>
              <w:pStyle w:val="30"/>
              <w:spacing w:line="360" w:lineRule="auto"/>
              <w:ind w:left="0" w:leftChars="0" w:firstLine="420"/>
              <w:rPr>
                <w:b/>
                <w:bCs/>
              </w:rPr>
            </w:pPr>
            <w:r>
              <w:rPr>
                <w:b/>
                <w:bCs/>
              </w:rPr>
              <w:t>1、施工期废气</w:t>
            </w:r>
          </w:p>
          <w:p w14:paraId="173B377C">
            <w:pPr>
              <w:pStyle w:val="30"/>
              <w:spacing w:line="360" w:lineRule="auto"/>
              <w:ind w:left="0" w:leftChars="0" w:firstLine="420"/>
            </w:pPr>
            <w:r>
              <w:t>施工期产生的废气主要为装修废气及扬尘。对有机溶剂的污染控制首先应在源头上，要注意选择无毒或低毒的环保产品，坚决杜绝采用已被淘汰的涂料。外墙装饰时应合理安排作业，涂喷作业不要过于集中，以降低释放源强度。</w:t>
            </w:r>
          </w:p>
          <w:p w14:paraId="1348486B">
            <w:pPr>
              <w:pStyle w:val="30"/>
              <w:spacing w:line="360" w:lineRule="auto"/>
              <w:ind w:left="0" w:leftChars="0" w:firstLine="420"/>
            </w:pPr>
            <w:r>
              <w:t>建议装修时使用水性涂料等绿色装修材料，油漆、涂料等装修材料的选取应按照国家质检总局颁布的《室内装修材料10项有害物质限量》规定进行，严格控制室内甲醛、苯系物等挥发性有机物，使各项污染指标达到《室内空气质量标准》（GB/T18883-2002）的限值要求。</w:t>
            </w:r>
          </w:p>
          <w:p w14:paraId="126D2BCB">
            <w:pPr>
              <w:pStyle w:val="30"/>
              <w:spacing w:line="360" w:lineRule="auto"/>
              <w:ind w:left="0" w:leftChars="0" w:firstLine="420"/>
            </w:pPr>
            <w:r>
              <w:t>另外，在注意对安装设备注意轻拿轻放，并保持室内良好通风的情况下，施工期产生的扬尘影响较小。</w:t>
            </w:r>
          </w:p>
          <w:p w14:paraId="39DB2821">
            <w:pPr>
              <w:pStyle w:val="30"/>
              <w:spacing w:line="360" w:lineRule="auto"/>
              <w:ind w:left="0" w:leftChars="0" w:firstLine="420"/>
              <w:rPr>
                <w:b/>
                <w:bCs/>
              </w:rPr>
            </w:pPr>
            <w:r>
              <w:rPr>
                <w:b/>
                <w:bCs/>
              </w:rPr>
              <w:t>2、施工期废水</w:t>
            </w:r>
          </w:p>
          <w:p w14:paraId="6FF5EA12">
            <w:pPr>
              <w:pStyle w:val="30"/>
              <w:spacing w:line="360" w:lineRule="auto"/>
              <w:ind w:left="0" w:leftChars="0" w:firstLine="420"/>
            </w:pPr>
            <w:r>
              <w:t>本项目施工期废水主要为施工人员生活废水。本项目施工人员全部请专业的施工队伍，利用本项目周边已建厕所和化粪池处理</w:t>
            </w:r>
            <w:r>
              <w:rPr>
                <w:rFonts w:hint="eastAsia"/>
              </w:rPr>
              <w:t>，</w:t>
            </w:r>
            <w:r>
              <w:t>达标</w:t>
            </w:r>
            <w:r>
              <w:rPr>
                <w:rFonts w:hint="eastAsia"/>
              </w:rPr>
              <w:t>后</w:t>
            </w:r>
            <w:r>
              <w:t>废水经市政污水管网排入</w:t>
            </w:r>
            <w:r>
              <w:rPr>
                <w:rFonts w:hint="eastAsia"/>
              </w:rPr>
              <w:t>松木</w:t>
            </w:r>
            <w:r>
              <w:t>污水处理厂处理。</w:t>
            </w:r>
          </w:p>
          <w:p w14:paraId="1BE34C2A">
            <w:pPr>
              <w:pStyle w:val="30"/>
              <w:spacing w:line="360" w:lineRule="auto"/>
              <w:ind w:left="0" w:leftChars="0" w:firstLine="420"/>
              <w:rPr>
                <w:b/>
                <w:bCs/>
              </w:rPr>
            </w:pPr>
            <w:r>
              <w:rPr>
                <w:b/>
                <w:bCs/>
              </w:rPr>
              <w:t>3、施工期噪声</w:t>
            </w:r>
          </w:p>
          <w:p w14:paraId="091E6A54">
            <w:pPr>
              <w:pStyle w:val="30"/>
              <w:spacing w:line="360" w:lineRule="auto"/>
              <w:ind w:left="0" w:leftChars="0" w:firstLine="420"/>
            </w:pPr>
            <w:r>
              <w:t>本项目施工期主要噪声主要为设备安放噪声。注意做好设备轻拿轻放及减振措施后，项目施工噪声对外环境影响不大，且随着施工结束而逐渐消失。</w:t>
            </w:r>
          </w:p>
          <w:p w14:paraId="0C58AE0E">
            <w:pPr>
              <w:pStyle w:val="30"/>
              <w:spacing w:line="360" w:lineRule="auto"/>
              <w:ind w:left="0" w:leftChars="0" w:firstLine="420"/>
              <w:rPr>
                <w:b/>
                <w:bCs/>
              </w:rPr>
            </w:pPr>
            <w:r>
              <w:rPr>
                <w:b/>
                <w:bCs/>
              </w:rPr>
              <w:t>4、施工期固体废物</w:t>
            </w:r>
          </w:p>
          <w:p w14:paraId="44ACD829">
            <w:pPr>
              <w:pStyle w:val="30"/>
              <w:spacing w:line="360" w:lineRule="auto"/>
              <w:ind w:left="0" w:leftChars="0" w:firstLine="420"/>
              <w:rPr>
                <w:bCs/>
                <w:color w:val="2F5496"/>
                <w:spacing w:val="-10"/>
                <w:szCs w:val="21"/>
              </w:rPr>
            </w:pPr>
            <w:r>
              <w:t>本项目施工期主要固废为废弃包装材料及施工人员生活垃圾，此类固废统一收集后交由园区环卫部门统一处理，不会对外环境造成影响。</w:t>
            </w:r>
          </w:p>
        </w:tc>
      </w:tr>
      <w:tr w14:paraId="53A3B3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tcMar>
              <w:left w:w="28" w:type="dxa"/>
              <w:right w:w="28" w:type="dxa"/>
            </w:tcMar>
            <w:vAlign w:val="center"/>
          </w:tcPr>
          <w:p w14:paraId="70956028">
            <w:pPr>
              <w:wordWrap w:val="0"/>
              <w:topLinePunct/>
              <w:adjustRightInd w:val="0"/>
              <w:snapToGrid w:val="0"/>
              <w:jc w:val="center"/>
              <w:rPr>
                <w:bCs/>
                <w:color w:val="2F5496"/>
                <w:szCs w:val="21"/>
              </w:rPr>
            </w:pPr>
            <w:r>
              <w:rPr>
                <w:bCs/>
                <w:szCs w:val="21"/>
              </w:rPr>
              <w:t>运营期环境影响和保护措施</w:t>
            </w:r>
          </w:p>
        </w:tc>
        <w:tc>
          <w:tcPr>
            <w:tcW w:w="4779" w:type="pct"/>
          </w:tcPr>
          <w:p w14:paraId="56C29BD1">
            <w:pPr>
              <w:adjustRightInd w:val="0"/>
              <w:snapToGrid w:val="0"/>
              <w:spacing w:line="360" w:lineRule="auto"/>
              <w:ind w:firstLine="482" w:firstLineChars="200"/>
            </w:pPr>
            <w:r>
              <w:rPr>
                <w:b/>
                <w:bCs/>
              </w:rPr>
              <w:t>1、废气</w:t>
            </w:r>
          </w:p>
          <w:p w14:paraId="339A3553">
            <w:pPr>
              <w:adjustRightInd w:val="0"/>
              <w:snapToGrid w:val="0"/>
              <w:spacing w:line="360" w:lineRule="auto"/>
              <w:ind w:firstLine="480"/>
              <w:rPr>
                <w:bCs/>
              </w:rPr>
            </w:pPr>
            <w:r>
              <w:rPr>
                <w:bCs/>
                <w:highlight w:val="none"/>
              </w:rPr>
              <w:t>本项目</w:t>
            </w:r>
            <w:r>
              <w:rPr>
                <w:rFonts w:hint="eastAsia"/>
                <w:bCs/>
                <w:highlight w:val="none"/>
              </w:rPr>
              <w:t>生产过程中废气污染源主要为粉碎包装工序产生的G1粉尘废气、G</w:t>
            </w:r>
            <w:r>
              <w:rPr>
                <w:rFonts w:hint="eastAsia"/>
                <w:bCs/>
                <w:highlight w:val="none"/>
                <w:lang w:val="en-US" w:eastAsia="zh-CN"/>
              </w:rPr>
              <w:t>2</w:t>
            </w:r>
            <w:r>
              <w:rPr>
                <w:rFonts w:hint="eastAsia"/>
                <w:bCs/>
                <w:highlight w:val="none"/>
              </w:rPr>
              <w:t>天然气燃烧废气</w:t>
            </w:r>
            <w:r>
              <w:rPr>
                <w:rFonts w:hint="eastAsia"/>
                <w:bCs/>
                <w:highlight w:val="none"/>
                <w:lang w:eastAsia="zh-CN"/>
              </w:rPr>
              <w:t>、</w:t>
            </w:r>
            <w:r>
              <w:rPr>
                <w:rFonts w:hint="eastAsia"/>
                <w:bCs/>
                <w:highlight w:val="none"/>
                <w:lang w:val="en-US" w:eastAsia="zh-CN"/>
              </w:rPr>
              <w:t>G3有机废气</w:t>
            </w:r>
            <w:r>
              <w:rPr>
                <w:bCs/>
              </w:rPr>
              <w:t>。</w:t>
            </w:r>
          </w:p>
          <w:p w14:paraId="1A003330">
            <w:pPr>
              <w:spacing w:line="360" w:lineRule="auto"/>
              <w:ind w:firstLine="482" w:firstLineChars="200"/>
              <w:rPr>
                <w:b/>
                <w:bCs/>
                <w:color w:val="000000"/>
                <w:kern w:val="0"/>
                <w:lang w:bidi="ar"/>
              </w:rPr>
            </w:pPr>
            <w:r>
              <w:rPr>
                <w:b/>
                <w:bCs/>
                <w:color w:val="000000"/>
                <w:kern w:val="0"/>
                <w:lang w:bidi="ar"/>
              </w:rPr>
              <w:t>（1）</w:t>
            </w:r>
            <w:r>
              <w:rPr>
                <w:rFonts w:hint="eastAsia"/>
                <w:b/>
                <w:bCs/>
                <w:color w:val="000000"/>
                <w:kern w:val="0"/>
                <w:lang w:bidi="ar"/>
              </w:rPr>
              <w:t>有组织废气</w:t>
            </w:r>
          </w:p>
          <w:p w14:paraId="5F79ECA1">
            <w:pPr>
              <w:spacing w:line="360" w:lineRule="auto"/>
              <w:ind w:firstLine="480" w:firstLineChars="200"/>
              <w:rPr>
                <w:color w:val="000000" w:themeColor="text1"/>
                <w:kern w:val="0"/>
                <w:lang w:bidi="ar"/>
                <w14:textFill>
                  <w14:solidFill>
                    <w14:schemeClr w14:val="tx1"/>
                  </w14:solidFill>
                </w14:textFill>
              </w:rPr>
            </w:pPr>
            <w:r>
              <w:rPr>
                <w:rFonts w:hint="eastAsia"/>
                <w:bCs/>
              </w:rPr>
              <w:t>G1粉尘废气</w:t>
            </w:r>
            <w:r>
              <w:rPr>
                <w:rFonts w:hint="eastAsia"/>
                <w:color w:val="000000" w:themeColor="text1"/>
                <w:kern w:val="0"/>
                <w:lang w:bidi="ar"/>
                <w14:textFill>
                  <w14:solidFill>
                    <w14:schemeClr w14:val="tx1"/>
                  </w14:solidFill>
                </w14:textFill>
              </w:rPr>
              <w:t>主要由粉碎、包装工序产生，</w:t>
            </w:r>
            <w:r>
              <w:rPr>
                <w:rFonts w:hint="eastAsia"/>
                <w:bCs/>
              </w:rPr>
              <w:t>主要污染物为颗粒物。</w:t>
            </w:r>
          </w:p>
          <w:p w14:paraId="6EE938A5">
            <w:pPr>
              <w:spacing w:line="360" w:lineRule="auto"/>
              <w:ind w:firstLine="480" w:firstLineChars="200"/>
              <w:rPr>
                <w:color w:val="000000" w:themeColor="text1"/>
                <w:kern w:val="0"/>
                <w:vertAlign w:val="superscript"/>
                <w:lang w:bidi="ar"/>
                <w14:textFill>
                  <w14:solidFill>
                    <w14:schemeClr w14:val="tx1"/>
                  </w14:solidFill>
                </w14:textFill>
              </w:rPr>
            </w:pPr>
            <w:r>
              <w:rPr>
                <w:rFonts w:hint="eastAsia"/>
                <w:color w:val="000000" w:themeColor="text1"/>
                <w:kern w:val="0"/>
                <w:lang w:bidi="ar"/>
                <w14:textFill>
                  <w14:solidFill>
                    <w14:schemeClr w14:val="tx1"/>
                  </w14:solidFill>
                </w14:textFill>
              </w:rPr>
              <w:t>粉碎工段使用脉冲</w:t>
            </w:r>
            <w:r>
              <w:rPr>
                <w:rFonts w:hint="eastAsia"/>
                <w:color w:val="000000" w:themeColor="text1"/>
                <w:kern w:val="0"/>
                <w:lang w:eastAsia="zh-CN" w:bidi="ar"/>
                <w14:textFill>
                  <w14:solidFill>
                    <w14:schemeClr w14:val="tx1"/>
                  </w14:solidFill>
                </w14:textFill>
              </w:rPr>
              <w:t>布袋</w:t>
            </w:r>
            <w:r>
              <w:rPr>
                <w:rFonts w:hint="eastAsia"/>
                <w:color w:val="000000" w:themeColor="text1"/>
                <w:kern w:val="0"/>
                <w:lang w:bidi="ar"/>
                <w14:textFill>
                  <w14:solidFill>
                    <w14:schemeClr w14:val="tx1"/>
                  </w14:solidFill>
                </w14:textFill>
              </w:rPr>
              <w:t>除尘器对气流粉碎机粉碎后的产品进行收集，脉冲布袋除尘器处理效率约为99.9%（约10000t/a），则粉碎工序颗粒物产生量为10t/a。</w:t>
            </w:r>
          </w:p>
          <w:p w14:paraId="7BB7788F">
            <w:pPr>
              <w:spacing w:line="360" w:lineRule="auto"/>
              <w:ind w:firstLine="480" w:firstLineChars="200"/>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焦磷酸哌嗪经过粉碎机粉碎，后经干燥后的空气气流输送至布袋除尘。经过布袋除尘后的空气再通过引风机返回到冲击磨进气口循环利用</w:t>
            </w:r>
            <w:r>
              <w:rPr>
                <w:color w:val="000000" w:themeColor="text1"/>
                <w:kern w:val="0"/>
                <w:highlight w:val="none"/>
                <w:lang w:bidi="ar"/>
                <w14:textFill>
                  <w14:solidFill>
                    <w14:schemeClr w14:val="tx1"/>
                  </w14:solidFill>
                </w14:textFill>
              </w:rPr>
              <w:t>。</w:t>
            </w:r>
            <w:r>
              <w:rPr>
                <w:rFonts w:hint="eastAsia"/>
                <w:color w:val="000000" w:themeColor="text1"/>
                <w:kern w:val="0"/>
                <w:highlight w:val="none"/>
                <w:lang w:bidi="ar"/>
                <w14:textFill>
                  <w14:solidFill>
                    <w14:schemeClr w14:val="tx1"/>
                  </w14:solidFill>
                </w14:textFill>
              </w:rPr>
              <w:t>此过程，只有开机时采用干燥空气置换，其他时候没有气体排放，不产生无组织粉尘排放。</w:t>
            </w:r>
          </w:p>
          <w:p w14:paraId="3B3B9EDA">
            <w:pPr>
              <w:spacing w:line="360" w:lineRule="auto"/>
              <w:ind w:firstLine="480" w:firstLineChars="200"/>
              <w:rPr>
                <w:rFonts w:hint="eastAsia"/>
                <w:color w:val="000000" w:themeColor="text1"/>
                <w:kern w:val="0"/>
                <w:highlight w:val="yellow"/>
                <w:lang w:bidi="ar"/>
                <w14:textFill>
                  <w14:solidFill>
                    <w14:schemeClr w14:val="tx1"/>
                  </w14:solidFill>
                </w14:textFill>
              </w:rPr>
            </w:pPr>
            <w:r>
              <w:rPr>
                <w:rFonts w:hint="eastAsia" w:cs="Times New Roman"/>
                <w:color w:val="000000" w:themeColor="text1"/>
                <w:kern w:val="0"/>
                <w:lang w:val="en-US" w:eastAsia="zh-CN" w:bidi="ar"/>
                <w14:textFill>
                  <w14:solidFill>
                    <w14:schemeClr w14:val="tx1"/>
                  </w14:solidFill>
                </w14:textFill>
              </w:rPr>
              <w:t>包装采用真空自动包装机，内置有布袋除尘器，对抽真空的废气进行除尘处理，收集到的产品回到料斗中继续包装，少量颗粒物随尾气排放</w:t>
            </w:r>
            <w:r>
              <w:rPr>
                <w:rFonts w:hint="default" w:ascii="Times New Roman" w:hAnsi="Times New Roman" w:cs="Times New Roman"/>
                <w:color w:val="000000" w:themeColor="text1"/>
                <w:kern w:val="0"/>
                <w:lang w:val="en-US" w:eastAsia="zh-CN" w:bidi="ar"/>
                <w14:textFill>
                  <w14:solidFill>
                    <w14:schemeClr w14:val="tx1"/>
                  </w14:solidFill>
                </w14:textFill>
              </w:rPr>
              <w:t>。</w:t>
            </w:r>
            <w:r>
              <w:rPr>
                <w:rFonts w:hint="eastAsia" w:cs="Times New Roman"/>
                <w:color w:val="000000" w:themeColor="text1"/>
                <w:kern w:val="0"/>
                <w:lang w:val="en-US" w:eastAsia="zh-CN" w:bidi="ar"/>
                <w14:textFill>
                  <w14:solidFill>
                    <w14:schemeClr w14:val="tx1"/>
                  </w14:solidFill>
                </w14:textFill>
              </w:rPr>
              <w:t>根据建设单位提供的资料</w:t>
            </w:r>
            <w:r>
              <w:rPr>
                <w:rFonts w:hint="eastAsia" w:ascii="Times New Roman" w:hAnsi="Times New Roman" w:cs="Times New Roman"/>
                <w:color w:val="000000" w:themeColor="text1"/>
                <w:kern w:val="0"/>
                <w:lang w:val="en-US" w:eastAsia="zh-CN" w:bidi="ar"/>
                <w14:textFill>
                  <w14:solidFill>
                    <w14:schemeClr w14:val="tx1"/>
                  </w14:solidFill>
                </w14:textFill>
              </w:rPr>
              <w:t>，粉尘</w:t>
            </w:r>
            <w:r>
              <w:rPr>
                <w:rFonts w:hint="eastAsia" w:cs="Times New Roman"/>
                <w:color w:val="000000" w:themeColor="text1"/>
                <w:kern w:val="0"/>
                <w:lang w:val="en-US" w:eastAsia="zh-CN" w:bidi="ar"/>
                <w14:textFill>
                  <w14:solidFill>
                    <w14:schemeClr w14:val="tx1"/>
                  </w14:solidFill>
                </w14:textFill>
              </w:rPr>
              <w:t>经包装机自带布袋除尘器处理后</w:t>
            </w:r>
            <w:r>
              <w:rPr>
                <w:rFonts w:hint="eastAsia" w:ascii="Times New Roman" w:hAnsi="Times New Roman" w:cs="Times New Roman"/>
                <w:color w:val="000000" w:themeColor="text1"/>
                <w:kern w:val="0"/>
                <w:lang w:val="en-US" w:eastAsia="zh-CN" w:bidi="ar"/>
                <w14:textFill>
                  <w14:solidFill>
                    <w14:schemeClr w14:val="tx1"/>
                  </w14:solidFill>
                </w14:textFill>
              </w:rPr>
              <w:t>产生量</w:t>
            </w:r>
            <w:r>
              <w:rPr>
                <w:rFonts w:hint="eastAsia" w:cs="Times New Roman"/>
                <w:color w:val="000000" w:themeColor="text1"/>
                <w:kern w:val="0"/>
                <w:lang w:val="en-US" w:eastAsia="zh-CN" w:bidi="ar"/>
                <w14:textFill>
                  <w14:solidFill>
                    <w14:schemeClr w14:val="tx1"/>
                  </w14:solidFill>
                </w14:textFill>
              </w:rPr>
              <w:t>约为粉料量的0.1%</w:t>
            </w:r>
            <w:r>
              <w:rPr>
                <w:rFonts w:hint="default" w:ascii="Times New Roman" w:hAnsi="Times New Roman" w:cs="Times New Roman"/>
                <w:color w:val="000000" w:themeColor="text1"/>
                <w:kern w:val="0"/>
                <w:lang w:val="en-US" w:eastAsia="zh-CN" w:bidi="ar"/>
                <w14:textFill>
                  <w14:solidFill>
                    <w14:schemeClr w14:val="tx1"/>
                  </w14:solidFill>
                </w14:textFill>
              </w:rPr>
              <w:t>，</w:t>
            </w:r>
            <w:r>
              <w:rPr>
                <w:rFonts w:hint="eastAsia" w:cs="Times New Roman"/>
                <w:color w:val="000000" w:themeColor="text1"/>
                <w:kern w:val="0"/>
                <w:lang w:val="en-US" w:eastAsia="zh-CN" w:bidi="ar"/>
                <w14:textFill>
                  <w14:solidFill>
                    <w14:schemeClr w14:val="tx1"/>
                  </w14:solidFill>
                </w14:textFill>
              </w:rPr>
              <w:t>本项目加工过程中粉料总量为12564t/a（焦磷酸哌嗪粉料10000t/a、焦磷酸三聚氰胺2500t/a、润滑剂32t/a，抗氧剂32t/a），则包装工序粉尘废气产生量为12.56t/a。</w:t>
            </w:r>
          </w:p>
          <w:p w14:paraId="3373D952">
            <w:pPr>
              <w:spacing w:line="360" w:lineRule="auto"/>
              <w:ind w:firstLine="480" w:firstLineChars="200"/>
              <w:rPr>
                <w:color w:val="000000" w:themeColor="text1"/>
                <w:kern w:val="0"/>
                <w:lang w:bidi="ar"/>
                <w14:textFill>
                  <w14:solidFill>
                    <w14:schemeClr w14:val="tx1"/>
                  </w14:solidFill>
                </w14:textFill>
              </w:rPr>
            </w:pPr>
            <w:r>
              <w:rPr>
                <w:rFonts w:hint="eastAsia"/>
                <w:color w:val="auto"/>
                <w:kern w:val="0"/>
                <w:highlight w:val="none"/>
                <w:lang w:bidi="ar"/>
              </w:rPr>
              <w:t>本项目粉碎包装工序和锥混包装工序粉尘收集后经布袋除尘器处理，</w:t>
            </w:r>
            <w:r>
              <w:rPr>
                <w:rFonts w:hint="eastAsia"/>
                <w:color w:val="000000" w:themeColor="text1"/>
                <w:kern w:val="0"/>
                <w:lang w:bidi="ar"/>
                <w14:textFill>
                  <w14:solidFill>
                    <w14:schemeClr w14:val="tx1"/>
                  </w14:solidFill>
                </w14:textFill>
              </w:rPr>
              <w:t>由15m高DA001排气筒排放，排气筒风量为6000m</w:t>
            </w:r>
            <w:r>
              <w:rPr>
                <w:rFonts w:hint="eastAsia"/>
                <w:color w:val="000000" w:themeColor="text1"/>
                <w:kern w:val="0"/>
                <w:vertAlign w:val="superscript"/>
                <w:lang w:bidi="ar"/>
                <w14:textFill>
                  <w14:solidFill>
                    <w14:schemeClr w14:val="tx1"/>
                  </w14:solidFill>
                </w14:textFill>
              </w:rPr>
              <w:t>3</w:t>
            </w:r>
            <w:r>
              <w:rPr>
                <w:rFonts w:hint="eastAsia"/>
                <w:color w:val="000000" w:themeColor="text1"/>
                <w:kern w:val="0"/>
                <w:lang w:bidi="ar"/>
                <w14:textFill>
                  <w14:solidFill>
                    <w14:schemeClr w14:val="tx1"/>
                  </w14:solidFill>
                </w14:textFill>
              </w:rPr>
              <w:t>/h，粉碎包装工序粉尘废气产生量为22.56t/a，年工作8000h，则产生速率为2.82kg/h，产生浓度为470m</w:t>
            </w:r>
            <w:r>
              <w:rPr>
                <w:rFonts w:hint="eastAsia"/>
                <w:color w:val="000000" w:themeColor="text1"/>
                <w:kern w:val="0"/>
                <w:vertAlign w:val="superscript"/>
                <w:lang w:bidi="ar"/>
                <w14:textFill>
                  <w14:solidFill>
                    <w14:schemeClr w14:val="tx1"/>
                  </w14:solidFill>
                </w14:textFill>
              </w:rPr>
              <w:t>3</w:t>
            </w:r>
            <w:r>
              <w:rPr>
                <w:rFonts w:hint="eastAsia"/>
                <w:color w:val="000000" w:themeColor="text1"/>
                <w:kern w:val="0"/>
                <w:lang w:bidi="ar"/>
                <w14:textFill>
                  <w14:solidFill>
                    <w14:schemeClr w14:val="tx1"/>
                  </w14:solidFill>
                </w14:textFill>
              </w:rPr>
              <w:t>/h。布袋除尘器处理效率为99%，据此计算粉尘废气排放量为0.226t/a，排放速率为0.028kg/h，排放浓度为4.7m</w:t>
            </w:r>
            <w:r>
              <w:rPr>
                <w:rFonts w:hint="eastAsia"/>
                <w:color w:val="000000" w:themeColor="text1"/>
                <w:kern w:val="0"/>
                <w:vertAlign w:val="superscript"/>
                <w:lang w:bidi="ar"/>
                <w14:textFill>
                  <w14:solidFill>
                    <w14:schemeClr w14:val="tx1"/>
                  </w14:solidFill>
                </w14:textFill>
              </w:rPr>
              <w:t>3</w:t>
            </w:r>
            <w:r>
              <w:rPr>
                <w:rFonts w:hint="eastAsia"/>
                <w:color w:val="000000" w:themeColor="text1"/>
                <w:kern w:val="0"/>
                <w:lang w:bidi="ar"/>
                <w14:textFill>
                  <w14:solidFill>
                    <w14:schemeClr w14:val="tx1"/>
                  </w14:solidFill>
                </w14:textFill>
              </w:rPr>
              <w:t>/h。外排颗粒物浓度可以满足《大气污染物综合排放标准》（GB16297-1996）表2标准要求（标准限值120mg/m</w:t>
            </w:r>
            <w:r>
              <w:rPr>
                <w:rFonts w:hint="eastAsia"/>
                <w:color w:val="000000" w:themeColor="text1"/>
                <w:kern w:val="0"/>
                <w:vertAlign w:val="superscript"/>
                <w:lang w:bidi="ar"/>
                <w14:textFill>
                  <w14:solidFill>
                    <w14:schemeClr w14:val="tx1"/>
                  </w14:solidFill>
                </w14:textFill>
              </w:rPr>
              <w:t>3</w:t>
            </w:r>
            <w:r>
              <w:rPr>
                <w:rFonts w:hint="eastAsia"/>
                <w:color w:val="000000" w:themeColor="text1"/>
                <w:kern w:val="0"/>
                <w:lang w:bidi="ar"/>
                <w14:textFill>
                  <w14:solidFill>
                    <w14:schemeClr w14:val="tx1"/>
                  </w14:solidFill>
                </w14:textFill>
              </w:rPr>
              <w:t>）。</w:t>
            </w:r>
          </w:p>
          <w:p w14:paraId="173CE688">
            <w:pPr>
              <w:spacing w:line="360" w:lineRule="auto"/>
              <w:ind w:firstLine="480" w:firstLineChars="200"/>
              <w:rPr>
                <w:color w:val="000000"/>
                <w:kern w:val="0"/>
                <w:lang w:bidi="ar"/>
              </w:rPr>
            </w:pPr>
            <w:r>
              <w:rPr>
                <w:rFonts w:hint="eastAsia"/>
                <w:color w:val="000000"/>
                <w:kern w:val="0"/>
                <w:lang w:bidi="ar"/>
              </w:rPr>
              <w:t>G</w:t>
            </w:r>
            <w:r>
              <w:rPr>
                <w:rFonts w:hint="eastAsia"/>
                <w:color w:val="000000"/>
                <w:kern w:val="0"/>
                <w:lang w:val="en-US" w:eastAsia="zh-CN" w:bidi="ar"/>
              </w:rPr>
              <w:t>2</w:t>
            </w:r>
            <w:r>
              <w:rPr>
                <w:rFonts w:hint="eastAsia"/>
                <w:color w:val="000000"/>
                <w:kern w:val="0"/>
                <w:lang w:bidi="ar"/>
              </w:rPr>
              <w:t>天然气燃烧废气</w:t>
            </w:r>
          </w:p>
          <w:p w14:paraId="45CF0BB5">
            <w:pPr>
              <w:spacing w:line="360" w:lineRule="auto"/>
              <w:ind w:firstLine="480" w:firstLineChars="200"/>
              <w:rPr>
                <w:color w:val="000000" w:themeColor="text1"/>
                <w14:textFill>
                  <w14:solidFill>
                    <w14:schemeClr w14:val="tx1"/>
                  </w14:solidFill>
                </w14:textFill>
              </w:rPr>
            </w:pPr>
            <w:r>
              <w:rPr>
                <w:rFonts w:hint="eastAsia"/>
                <w:color w:val="000000"/>
                <w:kern w:val="0"/>
                <w:lang w:bidi="ar"/>
              </w:rPr>
              <w:t>本项目烘干工序需燃烧天然气，主要污染物为SO</w:t>
            </w:r>
            <w:r>
              <w:rPr>
                <w:rFonts w:hint="eastAsia"/>
                <w:color w:val="000000"/>
                <w:kern w:val="0"/>
                <w:vertAlign w:val="subscript"/>
                <w:lang w:bidi="ar"/>
              </w:rPr>
              <w:t>2</w:t>
            </w:r>
            <w:r>
              <w:rPr>
                <w:rFonts w:hint="eastAsia"/>
                <w:color w:val="000000"/>
                <w:kern w:val="0"/>
                <w:lang w:bidi="ar"/>
              </w:rPr>
              <w:t>、NO</w:t>
            </w:r>
            <w:r>
              <w:rPr>
                <w:rFonts w:hint="eastAsia"/>
                <w:color w:val="000000"/>
                <w:kern w:val="0"/>
                <w:vertAlign w:val="subscript"/>
                <w:lang w:bidi="ar"/>
              </w:rPr>
              <w:t>X</w:t>
            </w:r>
            <w:r>
              <w:rPr>
                <w:rFonts w:hint="eastAsia"/>
                <w:color w:val="000000"/>
                <w:kern w:val="0"/>
                <w:lang w:bidi="ar"/>
              </w:rPr>
              <w:t>、颗粒物。</w:t>
            </w: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天然气消耗量为</w:t>
            </w:r>
            <w:r>
              <w:rPr>
                <w:rFonts w:hint="eastAsia"/>
                <w:color w:val="000000" w:themeColor="text1"/>
                <w:highlight w:val="none"/>
                <w14:textFill>
                  <w14:solidFill>
                    <w14:schemeClr w14:val="tx1"/>
                  </w14:solidFill>
                </w14:textFill>
              </w:rPr>
              <w:t>44</w:t>
            </w:r>
            <w:r>
              <w:rPr>
                <w:color w:val="000000" w:themeColor="text1"/>
                <w:highlight w:val="none"/>
                <w14:textFill>
                  <w14:solidFill>
                    <w14:schemeClr w14:val="tx1"/>
                  </w14:solidFill>
                </w14:textFill>
              </w:rPr>
              <w:t>Nm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/h（</w:t>
            </w:r>
            <w:r>
              <w:rPr>
                <w:rFonts w:hint="eastAsia"/>
                <w:color w:val="000000" w:themeColor="text1"/>
                <w:highlight w:val="none"/>
                <w14:textFill>
                  <w14:solidFill>
                    <w14:schemeClr w14:val="tx1"/>
                  </w14:solidFill>
                </w14:textFill>
              </w:rPr>
              <w:t>35</w:t>
            </w:r>
            <w:r>
              <w:rPr>
                <w:color w:val="000000" w:themeColor="text1"/>
                <w:highlight w:val="none"/>
                <w14:textFill>
                  <w14:solidFill>
                    <w14:schemeClr w14:val="tx1"/>
                  </w14:solidFill>
                </w14:textFill>
              </w:rPr>
              <w:t>万Nm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/a）</w:t>
            </w:r>
            <w:r>
              <w:rPr>
                <w:color w:val="000000" w:themeColor="text1"/>
                <w14:textFill>
                  <w14:solidFill>
                    <w14:schemeClr w14:val="tx1"/>
                  </w14:solidFill>
                </w14:textFill>
              </w:rPr>
              <w:t>。采用松木工业园区天然气，天然气参数见表</w:t>
            </w:r>
            <w:r>
              <w:rPr>
                <w:rFonts w:hint="eastAsia"/>
                <w:color w:val="000000" w:themeColor="text1"/>
                <w14:textFill>
                  <w14:solidFill>
                    <w14:schemeClr w14:val="tx1"/>
                  </w14:solidFill>
                </w14:textFill>
              </w:rPr>
              <w:t>2-4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参照</w:t>
            </w:r>
            <w:r>
              <w:rPr>
                <w:color w:val="000000" w:themeColor="text1"/>
                <w14:textFill>
                  <w14:solidFill>
                    <w14:schemeClr w14:val="tx1"/>
                  </w14:solidFill>
                </w14:textFill>
              </w:rPr>
              <w:t>《污染源源强核算技术指南-锅炉》（HJ991-2018）中附录C燃烧天然气的锅炉气体燃料烟气排放公式，污染物产排情况如下：</w:t>
            </w:r>
          </w:p>
          <w:p w14:paraId="7EC73420">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①烟气产生量</w:t>
            </w:r>
          </w:p>
          <w:p w14:paraId="3494038E">
            <w:pPr>
              <w:adjustRightInd w:val="0"/>
              <w:snapToGrid w:val="0"/>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905000" cy="400050"/>
                  <wp:effectExtent l="0" t="0" r="0" b="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13"/>
                          <a:stretch>
                            <a:fillRect/>
                          </a:stretch>
                        </pic:blipFill>
                        <pic:spPr>
                          <a:xfrm>
                            <a:off x="0" y="0"/>
                            <a:ext cx="1905000" cy="400050"/>
                          </a:xfrm>
                          <a:prstGeom prst="rect">
                            <a:avLst/>
                          </a:prstGeom>
                          <a:noFill/>
                          <a:ln>
                            <a:noFill/>
                          </a:ln>
                        </pic:spPr>
                      </pic:pic>
                    </a:graphicData>
                  </a:graphic>
                </wp:inline>
              </w:drawing>
            </w:r>
          </w:p>
          <w:p w14:paraId="04FE0362">
            <w:pPr>
              <w:adjustRightInd w:val="0"/>
              <w:snapToGrid w:val="0"/>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399790" cy="381000"/>
                  <wp:effectExtent l="0" t="0" r="10160" b="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14"/>
                          <a:stretch>
                            <a:fillRect/>
                          </a:stretch>
                        </pic:blipFill>
                        <pic:spPr>
                          <a:xfrm>
                            <a:off x="0" y="0"/>
                            <a:ext cx="3399790" cy="381000"/>
                          </a:xfrm>
                          <a:prstGeom prst="rect">
                            <a:avLst/>
                          </a:prstGeom>
                          <a:noFill/>
                          <a:ln>
                            <a:noFill/>
                          </a:ln>
                        </pic:spPr>
                      </pic:pic>
                    </a:graphicData>
                  </a:graphic>
                </wp:inline>
              </w:drawing>
            </w:r>
          </w:p>
          <w:p w14:paraId="01C7C5AE">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式中：V0——理论空气量（Nm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p w14:paraId="02569222">
            <w:pPr>
              <w:adjustRightInd w:val="0"/>
              <w:snapToGrid w:val="0"/>
              <w:spacing w:line="360" w:lineRule="auto"/>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Vs——烟气排放量（Nm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p w14:paraId="75996675">
            <w:pPr>
              <w:adjustRightInd w:val="0"/>
              <w:snapToGrid w:val="0"/>
              <w:spacing w:line="360" w:lineRule="auto"/>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Qnet,ar——燃料低位发热值（kJ/m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），取33560kJ/m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p w14:paraId="3D84EB84">
            <w:pPr>
              <w:adjustRightInd w:val="0"/>
              <w:snapToGrid w:val="0"/>
              <w:spacing w:line="360" w:lineRule="auto"/>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α——过量空气系数，根据指南本次燃气锅炉α取1.2；</w:t>
            </w:r>
          </w:p>
          <w:p w14:paraId="57C1D4AC">
            <w:pPr>
              <w:spacing w:line="324" w:lineRule="auto"/>
              <w:ind w:firstLine="480" w:firstLineChars="200"/>
              <w:rPr>
                <w:color w:val="auto"/>
                <w:highlight w:val="none"/>
              </w:rPr>
            </w:pPr>
            <w:r>
              <w:rPr>
                <w:color w:val="auto"/>
                <w:highlight w:val="none"/>
              </w:rPr>
              <w:t>V0=0.260×33560÷1000-0.25=8.4756 Nm</w:t>
            </w:r>
            <w:r>
              <w:rPr>
                <w:color w:val="auto"/>
                <w:highlight w:val="none"/>
                <w:vertAlign w:val="superscript"/>
              </w:rPr>
              <w:t>3</w:t>
            </w:r>
            <w:r>
              <w:rPr>
                <w:color w:val="auto"/>
                <w:highlight w:val="none"/>
              </w:rPr>
              <w:t>/m</w:t>
            </w:r>
            <w:r>
              <w:rPr>
                <w:color w:val="auto"/>
                <w:highlight w:val="none"/>
                <w:vertAlign w:val="superscript"/>
              </w:rPr>
              <w:t>3</w:t>
            </w:r>
          </w:p>
          <w:p w14:paraId="6074CE53">
            <w:pPr>
              <w:spacing w:line="324" w:lineRule="auto"/>
              <w:ind w:firstLine="480" w:firstLineChars="200"/>
              <w:rPr>
                <w:color w:val="auto"/>
                <w:highlight w:val="none"/>
              </w:rPr>
            </w:pPr>
            <w:r>
              <w:rPr>
                <w:color w:val="auto"/>
                <w:highlight w:val="none"/>
              </w:rPr>
              <w:t>Vs=0.272×33560÷1000-0.25+1.0161×（1.2-1）×8.4756=10.60 Nm</w:t>
            </w:r>
            <w:r>
              <w:rPr>
                <w:color w:val="auto"/>
                <w:highlight w:val="none"/>
                <w:vertAlign w:val="superscript"/>
              </w:rPr>
              <w:t>3</w:t>
            </w:r>
            <w:r>
              <w:rPr>
                <w:color w:val="auto"/>
                <w:highlight w:val="none"/>
              </w:rPr>
              <w:t>/m</w:t>
            </w:r>
            <w:r>
              <w:rPr>
                <w:color w:val="auto"/>
                <w:highlight w:val="none"/>
                <w:vertAlign w:val="superscript"/>
              </w:rPr>
              <w:t>3</w:t>
            </w:r>
          </w:p>
          <w:p w14:paraId="5C87B180">
            <w:pPr>
              <w:adjustRightInd w:val="0"/>
              <w:snapToGrid w:val="0"/>
              <w:spacing w:line="360" w:lineRule="auto"/>
              <w:ind w:firstLine="480" w:firstLineChars="200"/>
              <w:rPr>
                <w:color w:val="auto"/>
                <w:highlight w:val="none"/>
              </w:rPr>
            </w:pPr>
            <w:r>
              <w:rPr>
                <w:color w:val="auto"/>
                <w:highlight w:val="none"/>
              </w:rPr>
              <w:t>经计算，烟气产生速率为10.60Nm</w:t>
            </w:r>
            <w:r>
              <w:rPr>
                <w:color w:val="auto"/>
                <w:highlight w:val="none"/>
                <w:vertAlign w:val="superscript"/>
              </w:rPr>
              <w:t>3</w:t>
            </w:r>
            <w:r>
              <w:rPr>
                <w:color w:val="auto"/>
                <w:highlight w:val="none"/>
              </w:rPr>
              <w:t>/m</w:t>
            </w:r>
            <w:r>
              <w:rPr>
                <w:color w:val="auto"/>
                <w:highlight w:val="none"/>
                <w:vertAlign w:val="superscript"/>
              </w:rPr>
              <w:t>3</w:t>
            </w:r>
            <w:r>
              <w:rPr>
                <w:color w:val="auto"/>
                <w:highlight w:val="none"/>
              </w:rPr>
              <w:t>，则烟气产生量为10.60×</w:t>
            </w:r>
            <w:r>
              <w:rPr>
                <w:rFonts w:hint="eastAsia"/>
                <w:color w:val="auto"/>
                <w:highlight w:val="none"/>
                <w:lang w:val="en-US" w:eastAsia="zh-CN"/>
              </w:rPr>
              <w:t>35</w:t>
            </w:r>
            <w:r>
              <w:rPr>
                <w:rFonts w:hint="eastAsia"/>
                <w:color w:val="auto"/>
                <w:highlight w:val="none"/>
              </w:rPr>
              <w:t>00</w:t>
            </w:r>
            <w:r>
              <w:rPr>
                <w:color w:val="auto"/>
                <w:highlight w:val="none"/>
              </w:rPr>
              <w:t xml:space="preserve">00 = </w:t>
            </w:r>
            <w:r>
              <w:rPr>
                <w:rFonts w:hint="eastAsia"/>
                <w:color w:val="auto"/>
                <w:highlight w:val="none"/>
                <w:lang w:val="en-US" w:eastAsia="zh-CN"/>
              </w:rPr>
              <w:t>371</w:t>
            </w:r>
            <w:r>
              <w:rPr>
                <w:color w:val="auto"/>
                <w:highlight w:val="none"/>
              </w:rPr>
              <w:t>万Nm</w:t>
            </w:r>
            <w:r>
              <w:rPr>
                <w:color w:val="auto"/>
                <w:highlight w:val="none"/>
                <w:vertAlign w:val="superscript"/>
              </w:rPr>
              <w:t>3</w:t>
            </w:r>
            <w:r>
              <w:rPr>
                <w:color w:val="auto"/>
                <w:highlight w:val="none"/>
              </w:rPr>
              <w:t>/a</w:t>
            </w:r>
            <w:r>
              <w:rPr>
                <w:rFonts w:hint="eastAsia"/>
                <w:color w:val="auto"/>
                <w:highlight w:val="none"/>
              </w:rPr>
              <w:t>（</w:t>
            </w:r>
            <w:r>
              <w:rPr>
                <w:rFonts w:hint="eastAsia"/>
                <w:color w:val="auto"/>
                <w:highlight w:val="none"/>
                <w:lang w:val="en-US" w:eastAsia="zh-CN"/>
              </w:rPr>
              <w:t>464</w:t>
            </w:r>
            <w:r>
              <w:rPr>
                <w:color w:val="auto"/>
                <w:highlight w:val="none"/>
              </w:rPr>
              <w:t>Nm</w:t>
            </w:r>
            <w:r>
              <w:rPr>
                <w:color w:val="auto"/>
                <w:highlight w:val="none"/>
                <w:vertAlign w:val="superscript"/>
              </w:rPr>
              <w:t>3</w:t>
            </w:r>
            <w:r>
              <w:rPr>
                <w:color w:val="auto"/>
                <w:highlight w:val="none"/>
              </w:rPr>
              <w:t>/</w:t>
            </w:r>
            <w:r>
              <w:rPr>
                <w:rFonts w:hint="eastAsia"/>
                <w:color w:val="auto"/>
                <w:highlight w:val="none"/>
              </w:rPr>
              <w:t>h）</w:t>
            </w:r>
            <w:r>
              <w:rPr>
                <w:color w:val="auto"/>
                <w:highlight w:val="none"/>
              </w:rPr>
              <w:t>。</w:t>
            </w:r>
          </w:p>
          <w:p w14:paraId="76E9C75F">
            <w:pPr>
              <w:adjustRightInd w:val="0"/>
              <w:snapToGrid w:val="0"/>
              <w:spacing w:line="360" w:lineRule="auto"/>
              <w:ind w:firstLine="480" w:firstLineChars="200"/>
              <w:rPr>
                <w:color w:val="auto"/>
                <w:highlight w:val="none"/>
              </w:rPr>
            </w:pPr>
            <w:r>
              <w:rPr>
                <w:color w:val="auto"/>
                <w:highlight w:val="none"/>
              </w:rPr>
              <w:t>②SO</w:t>
            </w:r>
            <w:r>
              <w:rPr>
                <w:color w:val="auto"/>
                <w:highlight w:val="none"/>
                <w:vertAlign w:val="subscript"/>
              </w:rPr>
              <w:t>2</w:t>
            </w:r>
            <w:r>
              <w:rPr>
                <w:color w:val="auto"/>
                <w:highlight w:val="none"/>
              </w:rPr>
              <w:t>产生量</w:t>
            </w:r>
          </w:p>
          <w:p w14:paraId="32F0859D">
            <w:pPr>
              <w:adjustRightInd w:val="0"/>
              <w:snapToGrid w:val="0"/>
              <w:spacing w:line="360" w:lineRule="auto"/>
              <w:jc w:val="center"/>
              <w:rPr>
                <w:color w:val="auto"/>
                <w:highlight w:val="none"/>
              </w:rPr>
            </w:pPr>
            <w:r>
              <w:rPr>
                <w:color w:val="auto"/>
                <w:highlight w:val="none"/>
              </w:rPr>
              <w:drawing>
                <wp:inline distT="0" distB="0" distL="114300" distR="114300">
                  <wp:extent cx="2867025" cy="381000"/>
                  <wp:effectExtent l="0" t="0" r="9525" b="0"/>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15"/>
                          <a:stretch>
                            <a:fillRect/>
                          </a:stretch>
                        </pic:blipFill>
                        <pic:spPr>
                          <a:xfrm>
                            <a:off x="0" y="0"/>
                            <a:ext cx="2867025" cy="381000"/>
                          </a:xfrm>
                          <a:prstGeom prst="rect">
                            <a:avLst/>
                          </a:prstGeom>
                          <a:noFill/>
                          <a:ln>
                            <a:noFill/>
                          </a:ln>
                        </pic:spPr>
                      </pic:pic>
                    </a:graphicData>
                  </a:graphic>
                </wp:inline>
              </w:drawing>
            </w:r>
          </w:p>
          <w:p w14:paraId="76012C10">
            <w:pPr>
              <w:adjustRightInd w:val="0"/>
              <w:snapToGrid w:val="0"/>
              <w:spacing w:line="360" w:lineRule="auto"/>
              <w:ind w:firstLine="480" w:firstLineChars="200"/>
              <w:rPr>
                <w:color w:val="auto"/>
                <w:highlight w:val="none"/>
              </w:rPr>
            </w:pPr>
            <w:r>
              <w:rPr>
                <w:color w:val="auto"/>
                <w:highlight w:val="none"/>
              </w:rPr>
              <w:t>式中：E</w:t>
            </w:r>
            <w:r>
              <w:rPr>
                <w:color w:val="auto"/>
                <w:highlight w:val="none"/>
                <w:vertAlign w:val="subscript"/>
              </w:rPr>
              <w:t>SO2</w:t>
            </w:r>
            <w:r>
              <w:rPr>
                <w:color w:val="auto"/>
                <w:highlight w:val="none"/>
              </w:rPr>
              <w:t>——核算时段内二氧化硫排放量，t；</w:t>
            </w:r>
          </w:p>
          <w:p w14:paraId="20E777DF">
            <w:pPr>
              <w:adjustRightInd w:val="0"/>
              <w:snapToGrid w:val="0"/>
              <w:spacing w:line="360" w:lineRule="auto"/>
              <w:ind w:firstLine="480" w:firstLineChars="200"/>
              <w:rPr>
                <w:color w:val="auto"/>
                <w:highlight w:val="none"/>
              </w:rPr>
            </w:pPr>
            <w:r>
              <w:rPr>
                <w:color w:val="auto"/>
                <w:highlight w:val="none"/>
              </w:rPr>
              <w:t>R——核算时段内锅炉燃料耗量，万m</w:t>
            </w:r>
            <w:r>
              <w:rPr>
                <w:color w:val="auto"/>
                <w:highlight w:val="none"/>
                <w:vertAlign w:val="superscript"/>
              </w:rPr>
              <w:t>3</w:t>
            </w:r>
            <w:r>
              <w:rPr>
                <w:color w:val="auto"/>
                <w:highlight w:val="none"/>
              </w:rPr>
              <w:t>，</w:t>
            </w:r>
            <w:r>
              <w:rPr>
                <w:rFonts w:hint="eastAsia"/>
                <w:color w:val="auto"/>
                <w:highlight w:val="none"/>
              </w:rPr>
              <w:t>本项目为</w:t>
            </w:r>
            <w:r>
              <w:rPr>
                <w:rFonts w:hint="eastAsia"/>
                <w:color w:val="auto"/>
                <w:highlight w:val="none"/>
                <w:lang w:val="en-US" w:eastAsia="zh-CN"/>
              </w:rPr>
              <w:t>35</w:t>
            </w:r>
            <w:r>
              <w:rPr>
                <w:color w:val="auto"/>
                <w:highlight w:val="none"/>
              </w:rPr>
              <w:t>；</w:t>
            </w:r>
          </w:p>
          <w:p w14:paraId="2662C1BB">
            <w:pPr>
              <w:adjustRightInd w:val="0"/>
              <w:snapToGrid w:val="0"/>
              <w:spacing w:line="360" w:lineRule="auto"/>
              <w:ind w:firstLine="480" w:firstLineChars="200"/>
              <w:rPr>
                <w:color w:val="auto"/>
                <w:highlight w:val="none"/>
              </w:rPr>
            </w:pPr>
            <w:r>
              <w:rPr>
                <w:color w:val="auto"/>
                <w:highlight w:val="none"/>
              </w:rPr>
              <w:t>St——燃料总硫的质量浓度，mg/m</w:t>
            </w:r>
            <w:r>
              <w:rPr>
                <w:color w:val="auto"/>
                <w:highlight w:val="none"/>
                <w:vertAlign w:val="superscript"/>
              </w:rPr>
              <w:t>3</w:t>
            </w:r>
            <w:r>
              <w:rPr>
                <w:color w:val="auto"/>
                <w:highlight w:val="none"/>
              </w:rPr>
              <w:t>，</w:t>
            </w:r>
            <w:r>
              <w:rPr>
                <w:rFonts w:hint="eastAsia"/>
                <w:color w:val="auto"/>
                <w:highlight w:val="none"/>
              </w:rPr>
              <w:t>本项目为100</w:t>
            </w:r>
            <w:r>
              <w:rPr>
                <w:color w:val="auto"/>
                <w:highlight w:val="none"/>
              </w:rPr>
              <w:t>；</w:t>
            </w:r>
          </w:p>
          <w:p w14:paraId="41248D44">
            <w:pPr>
              <w:adjustRightInd w:val="0"/>
              <w:snapToGrid w:val="0"/>
              <w:spacing w:line="360" w:lineRule="auto"/>
              <w:ind w:firstLine="480" w:firstLineChars="200"/>
              <w:rPr>
                <w:color w:val="auto"/>
                <w:highlight w:val="none"/>
              </w:rPr>
            </w:pPr>
            <w:r>
              <w:rPr>
                <w:color w:val="auto"/>
                <w:highlight w:val="none"/>
              </w:rPr>
              <w:t>ηs——脱硫效率，%，</w:t>
            </w:r>
            <w:r>
              <w:rPr>
                <w:rFonts w:hint="eastAsia"/>
                <w:color w:val="auto"/>
                <w:highlight w:val="none"/>
              </w:rPr>
              <w:t>本项目为0</w:t>
            </w:r>
            <w:r>
              <w:rPr>
                <w:color w:val="auto"/>
                <w:highlight w:val="none"/>
              </w:rPr>
              <w:t>；</w:t>
            </w:r>
          </w:p>
          <w:p w14:paraId="2FEEF6D3">
            <w:pPr>
              <w:adjustRightInd w:val="0"/>
              <w:snapToGrid w:val="0"/>
              <w:spacing w:line="360" w:lineRule="auto"/>
              <w:ind w:firstLine="480" w:firstLineChars="200"/>
              <w:rPr>
                <w:color w:val="auto"/>
                <w:highlight w:val="none"/>
              </w:rPr>
            </w:pPr>
            <w:r>
              <w:rPr>
                <w:color w:val="auto"/>
                <w:highlight w:val="none"/>
              </w:rPr>
              <w:t>K——燃料中的硫燃烧后氧化成二氧化硫的份额，本次评价取1。</w:t>
            </w:r>
          </w:p>
          <w:p w14:paraId="243EA15B">
            <w:pPr>
              <w:adjustRightInd w:val="0"/>
              <w:snapToGrid w:val="0"/>
              <w:spacing w:line="360" w:lineRule="auto"/>
              <w:ind w:firstLine="480" w:firstLineChars="200"/>
              <w:rPr>
                <w:color w:val="auto"/>
                <w:highlight w:val="none"/>
              </w:rPr>
            </w:pPr>
            <w:r>
              <w:rPr>
                <w:color w:val="auto"/>
                <w:highlight w:val="none"/>
              </w:rPr>
              <w:t>经计算，SO</w:t>
            </w:r>
            <w:r>
              <w:rPr>
                <w:color w:val="auto"/>
                <w:highlight w:val="none"/>
                <w:vertAlign w:val="subscript"/>
              </w:rPr>
              <w:t>2</w:t>
            </w:r>
            <w:r>
              <w:rPr>
                <w:color w:val="auto"/>
                <w:highlight w:val="none"/>
              </w:rPr>
              <w:t>产生量为0.0</w:t>
            </w:r>
            <w:r>
              <w:rPr>
                <w:rFonts w:hint="eastAsia"/>
                <w:color w:val="auto"/>
                <w:highlight w:val="none"/>
                <w:lang w:val="en-US" w:eastAsia="zh-CN"/>
              </w:rPr>
              <w:t>09</w:t>
            </w:r>
            <w:r>
              <w:rPr>
                <w:color w:val="auto"/>
                <w:highlight w:val="none"/>
              </w:rPr>
              <w:t>kg/h（0.</w:t>
            </w:r>
            <w:r>
              <w:rPr>
                <w:rFonts w:hint="eastAsia"/>
                <w:color w:val="auto"/>
                <w:highlight w:val="none"/>
                <w:lang w:val="en-US" w:eastAsia="zh-CN"/>
              </w:rPr>
              <w:t>07</w:t>
            </w:r>
            <w:r>
              <w:rPr>
                <w:color w:val="auto"/>
                <w:highlight w:val="none"/>
              </w:rPr>
              <w:t>t/a），浓度为</w:t>
            </w:r>
            <w:r>
              <w:rPr>
                <w:rFonts w:hint="eastAsia"/>
                <w:color w:val="auto"/>
                <w:highlight w:val="none"/>
                <w:lang w:val="en-US" w:eastAsia="zh-CN"/>
              </w:rPr>
              <w:t>19.4</w:t>
            </w:r>
            <w:r>
              <w:rPr>
                <w:color w:val="auto"/>
                <w:highlight w:val="none"/>
              </w:rPr>
              <w:t>mg/m</w:t>
            </w:r>
            <w:r>
              <w:rPr>
                <w:color w:val="auto"/>
                <w:highlight w:val="none"/>
                <w:vertAlign w:val="superscript"/>
              </w:rPr>
              <w:t>3</w:t>
            </w:r>
            <w:r>
              <w:rPr>
                <w:color w:val="auto"/>
                <w:highlight w:val="none"/>
              </w:rPr>
              <w:t>。</w:t>
            </w:r>
          </w:p>
          <w:p w14:paraId="21D1E049">
            <w:pPr>
              <w:adjustRightInd w:val="0"/>
              <w:snapToGrid w:val="0"/>
              <w:spacing w:line="360" w:lineRule="auto"/>
              <w:ind w:firstLine="480" w:firstLineChars="200"/>
              <w:rPr>
                <w:color w:val="auto"/>
                <w:highlight w:val="none"/>
              </w:rPr>
            </w:pPr>
            <w:r>
              <w:rPr>
                <w:color w:val="auto"/>
                <w:highlight w:val="none"/>
              </w:rPr>
              <w:t>③氮氧化物、颗粒物产生量</w:t>
            </w:r>
          </w:p>
          <w:p w14:paraId="14B91267">
            <w:pPr>
              <w:adjustRightInd w:val="0"/>
              <w:snapToGrid w:val="0"/>
              <w:spacing w:line="360" w:lineRule="auto"/>
              <w:ind w:firstLine="480" w:firstLineChars="200"/>
              <w:jc w:val="center"/>
              <w:rPr>
                <w:color w:val="auto"/>
                <w:highlight w:val="none"/>
              </w:rPr>
            </w:pPr>
            <w:r>
              <w:rPr>
                <w:color w:val="auto"/>
                <w:highlight w:val="none"/>
              </w:rPr>
              <w:drawing>
                <wp:inline distT="0" distB="0" distL="114300" distR="114300">
                  <wp:extent cx="2324100" cy="352425"/>
                  <wp:effectExtent l="0" t="0" r="0" b="9525"/>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16"/>
                          <a:stretch>
                            <a:fillRect/>
                          </a:stretch>
                        </pic:blipFill>
                        <pic:spPr>
                          <a:xfrm>
                            <a:off x="0" y="0"/>
                            <a:ext cx="2324100" cy="352425"/>
                          </a:xfrm>
                          <a:prstGeom prst="rect">
                            <a:avLst/>
                          </a:prstGeom>
                          <a:noFill/>
                          <a:ln>
                            <a:noFill/>
                          </a:ln>
                        </pic:spPr>
                      </pic:pic>
                    </a:graphicData>
                  </a:graphic>
                </wp:inline>
              </w:drawing>
            </w:r>
          </w:p>
          <w:p w14:paraId="4A470F5A">
            <w:pPr>
              <w:adjustRightInd w:val="0"/>
              <w:snapToGrid w:val="0"/>
              <w:spacing w:line="360" w:lineRule="auto"/>
              <w:ind w:firstLine="480" w:firstLineChars="200"/>
              <w:rPr>
                <w:color w:val="auto"/>
                <w:highlight w:val="none"/>
              </w:rPr>
            </w:pPr>
            <w:r>
              <w:rPr>
                <w:color w:val="auto"/>
                <w:highlight w:val="none"/>
              </w:rPr>
              <w:t>式中：E——核算时段内第j种污染物排放量，t；</w:t>
            </w:r>
          </w:p>
          <w:p w14:paraId="474773D3">
            <w:pPr>
              <w:adjustRightInd w:val="0"/>
              <w:snapToGrid w:val="0"/>
              <w:spacing w:line="360" w:lineRule="auto"/>
              <w:ind w:firstLine="1200" w:firstLineChars="500"/>
              <w:rPr>
                <w:color w:val="auto"/>
                <w:highlight w:val="none"/>
              </w:rPr>
            </w:pPr>
            <w:r>
              <w:rPr>
                <w:color w:val="auto"/>
                <w:highlight w:val="none"/>
              </w:rPr>
              <w:t>R——核算时段内燃料耗量，万m</w:t>
            </w:r>
            <w:r>
              <w:rPr>
                <w:color w:val="auto"/>
                <w:highlight w:val="none"/>
                <w:vertAlign w:val="superscript"/>
              </w:rPr>
              <w:t>3</w:t>
            </w:r>
            <w:r>
              <w:rPr>
                <w:color w:val="auto"/>
                <w:highlight w:val="none"/>
              </w:rPr>
              <w:t>，</w:t>
            </w:r>
            <w:r>
              <w:rPr>
                <w:rFonts w:hint="eastAsia"/>
                <w:color w:val="auto"/>
                <w:highlight w:val="none"/>
              </w:rPr>
              <w:t>本项目为</w:t>
            </w:r>
            <w:r>
              <w:rPr>
                <w:rFonts w:hint="eastAsia"/>
                <w:color w:val="auto"/>
                <w:highlight w:val="none"/>
                <w:lang w:val="en-US" w:eastAsia="zh-CN"/>
              </w:rPr>
              <w:t>35</w:t>
            </w:r>
            <w:r>
              <w:rPr>
                <w:color w:val="auto"/>
                <w:highlight w:val="none"/>
              </w:rPr>
              <w:t>；</w:t>
            </w:r>
          </w:p>
          <w:p w14:paraId="2E467931">
            <w:pPr>
              <w:adjustRightInd w:val="0"/>
              <w:snapToGrid w:val="0"/>
              <w:spacing w:line="360" w:lineRule="auto"/>
              <w:ind w:firstLine="1200" w:firstLineChars="500"/>
              <w:rPr>
                <w:color w:val="auto"/>
                <w:highlight w:val="none"/>
              </w:rPr>
            </w:pPr>
            <w:r>
              <w:rPr>
                <w:color w:val="auto"/>
                <w:highlight w:val="none"/>
              </w:rPr>
              <w:t>βj——产污系数，kg/万m</w:t>
            </w:r>
            <w:r>
              <w:rPr>
                <w:color w:val="auto"/>
                <w:highlight w:val="none"/>
                <w:vertAlign w:val="superscript"/>
              </w:rPr>
              <w:t>3</w:t>
            </w:r>
            <w:r>
              <w:rPr>
                <w:color w:val="auto"/>
                <w:highlight w:val="none"/>
              </w:rPr>
              <w:t>；氮氧化物取产污系数为6.97kg/万m</w:t>
            </w:r>
            <w:r>
              <w:rPr>
                <w:color w:val="auto"/>
                <w:highlight w:val="none"/>
                <w:vertAlign w:val="superscript"/>
              </w:rPr>
              <w:t>3</w:t>
            </w:r>
            <w:r>
              <w:rPr>
                <w:color w:val="auto"/>
                <w:highlight w:val="none"/>
              </w:rPr>
              <w:t>（采用《第二次全国污染源普查产排污核算系数手册》中燃气锅炉产排污系数），颗粒物产污系数为1.18kg/万m</w:t>
            </w:r>
            <w:r>
              <w:rPr>
                <w:color w:val="auto"/>
                <w:highlight w:val="none"/>
                <w:vertAlign w:val="superscript"/>
              </w:rPr>
              <w:t>3</w:t>
            </w:r>
            <w:r>
              <w:rPr>
                <w:color w:val="auto"/>
                <w:highlight w:val="none"/>
              </w:rPr>
              <w:t>（《第二次全国污染源普查产排污核算系数手册》中燃气锅炉无颗粒物产排污系数，本次采用《第一次全国污染源普查工业污染源产排污系数手册·下册》中产排污系数）；</w:t>
            </w:r>
          </w:p>
          <w:p w14:paraId="1A16E934">
            <w:pPr>
              <w:adjustRightInd w:val="0"/>
              <w:snapToGrid w:val="0"/>
              <w:spacing w:line="360" w:lineRule="auto"/>
              <w:ind w:firstLine="1200" w:firstLineChars="500"/>
              <w:rPr>
                <w:color w:val="auto"/>
                <w:highlight w:val="none"/>
              </w:rPr>
            </w:pPr>
            <w:r>
              <w:rPr>
                <w:color w:val="auto"/>
                <w:highlight w:val="none"/>
              </w:rPr>
              <w:t>η——污染物的脱除效率，%，本项目燃气锅炉脱除效率取0%。</w:t>
            </w:r>
          </w:p>
          <w:p w14:paraId="19E3A8C9">
            <w:pPr>
              <w:adjustRightInd w:val="0"/>
              <w:snapToGrid w:val="0"/>
              <w:spacing w:line="360" w:lineRule="auto"/>
              <w:ind w:firstLine="1200" w:firstLineChars="500"/>
              <w:rPr>
                <w:color w:val="auto"/>
                <w:highlight w:val="none"/>
              </w:rPr>
            </w:pPr>
            <w:r>
              <w:rPr>
                <w:color w:val="auto"/>
                <w:highlight w:val="none"/>
              </w:rPr>
              <w:t>E</w:t>
            </w:r>
            <w:r>
              <w:rPr>
                <w:color w:val="auto"/>
                <w:highlight w:val="none"/>
                <w:vertAlign w:val="subscript"/>
              </w:rPr>
              <w:t>NOx</w:t>
            </w:r>
            <w:r>
              <w:rPr>
                <w:color w:val="auto"/>
                <w:highlight w:val="none"/>
              </w:rPr>
              <w:t>=</w:t>
            </w:r>
            <w:r>
              <w:rPr>
                <w:rFonts w:hint="eastAsia"/>
                <w:color w:val="auto"/>
                <w:highlight w:val="none"/>
                <w:lang w:val="en-US" w:eastAsia="zh-CN"/>
              </w:rPr>
              <w:t>35</w:t>
            </w:r>
            <w:r>
              <w:rPr>
                <w:color w:val="auto"/>
                <w:highlight w:val="none"/>
              </w:rPr>
              <w:t>×6.97×10</w:t>
            </w:r>
            <w:r>
              <w:rPr>
                <w:color w:val="auto"/>
                <w:highlight w:val="none"/>
                <w:vertAlign w:val="superscript"/>
              </w:rPr>
              <w:t>-3</w:t>
            </w:r>
            <w:r>
              <w:rPr>
                <w:color w:val="auto"/>
                <w:highlight w:val="none"/>
              </w:rPr>
              <w:t>=</w:t>
            </w:r>
            <w:r>
              <w:rPr>
                <w:rFonts w:hint="eastAsia"/>
                <w:color w:val="auto"/>
                <w:highlight w:val="none"/>
              </w:rPr>
              <w:t>0.</w:t>
            </w:r>
            <w:r>
              <w:rPr>
                <w:rFonts w:hint="eastAsia"/>
                <w:color w:val="auto"/>
                <w:highlight w:val="none"/>
                <w:lang w:val="en-US" w:eastAsia="zh-CN"/>
              </w:rPr>
              <w:t>244</w:t>
            </w:r>
            <w:r>
              <w:rPr>
                <w:color w:val="auto"/>
                <w:highlight w:val="none"/>
              </w:rPr>
              <w:t>t/a</w:t>
            </w:r>
          </w:p>
          <w:p w14:paraId="56CAEC1F">
            <w:pPr>
              <w:adjustRightInd w:val="0"/>
              <w:snapToGrid w:val="0"/>
              <w:spacing w:line="360" w:lineRule="auto"/>
              <w:ind w:firstLine="1200" w:firstLineChars="500"/>
              <w:rPr>
                <w:color w:val="auto"/>
                <w:highlight w:val="none"/>
              </w:rPr>
            </w:pPr>
            <w:r>
              <w:rPr>
                <w:color w:val="auto"/>
                <w:highlight w:val="none"/>
              </w:rPr>
              <w:t>E</w:t>
            </w:r>
            <w:r>
              <w:rPr>
                <w:rFonts w:hint="eastAsia"/>
                <w:color w:val="auto"/>
                <w:highlight w:val="none"/>
                <w:vertAlign w:val="subscript"/>
              </w:rPr>
              <w:t>颗粒物</w:t>
            </w:r>
            <w:r>
              <w:rPr>
                <w:color w:val="auto"/>
                <w:highlight w:val="none"/>
              </w:rPr>
              <w:t>=</w:t>
            </w:r>
            <w:r>
              <w:rPr>
                <w:rFonts w:hint="eastAsia"/>
                <w:color w:val="auto"/>
                <w:highlight w:val="none"/>
                <w:lang w:val="en-US" w:eastAsia="zh-CN"/>
              </w:rPr>
              <w:t>35</w:t>
            </w:r>
            <w:r>
              <w:rPr>
                <w:color w:val="auto"/>
                <w:highlight w:val="none"/>
              </w:rPr>
              <w:t>×1.18×10</w:t>
            </w:r>
            <w:r>
              <w:rPr>
                <w:color w:val="auto"/>
                <w:highlight w:val="none"/>
                <w:vertAlign w:val="superscript"/>
              </w:rPr>
              <w:t>-3</w:t>
            </w:r>
            <w:r>
              <w:rPr>
                <w:color w:val="auto"/>
                <w:highlight w:val="none"/>
              </w:rPr>
              <w:t>=0.</w:t>
            </w:r>
            <w:r>
              <w:rPr>
                <w:rFonts w:hint="eastAsia"/>
                <w:color w:val="auto"/>
                <w:highlight w:val="none"/>
                <w:lang w:val="en-US" w:eastAsia="zh-CN"/>
              </w:rPr>
              <w:t>041</w:t>
            </w:r>
            <w:r>
              <w:rPr>
                <w:color w:val="auto"/>
                <w:highlight w:val="none"/>
              </w:rPr>
              <w:t>t/a</w:t>
            </w:r>
          </w:p>
          <w:p w14:paraId="4093FBE4">
            <w:pPr>
              <w:spacing w:line="360" w:lineRule="auto"/>
              <w:ind w:firstLine="480" w:firstLineChars="200"/>
              <w:rPr>
                <w:color w:val="auto"/>
                <w:kern w:val="0"/>
                <w:highlight w:val="none"/>
                <w:lang w:bidi="ar"/>
              </w:rPr>
            </w:pPr>
            <w:r>
              <w:rPr>
                <w:color w:val="auto"/>
                <w:highlight w:val="none"/>
              </w:rPr>
              <w:t>经计算，NOx产生量为0.</w:t>
            </w:r>
            <w:r>
              <w:rPr>
                <w:rFonts w:hint="eastAsia"/>
                <w:color w:val="auto"/>
                <w:highlight w:val="none"/>
                <w:lang w:val="en-US" w:eastAsia="zh-CN"/>
              </w:rPr>
              <w:t>031</w:t>
            </w:r>
            <w:r>
              <w:rPr>
                <w:color w:val="auto"/>
                <w:highlight w:val="none"/>
              </w:rPr>
              <w:t>kg/h（</w:t>
            </w:r>
            <w:r>
              <w:rPr>
                <w:rFonts w:hint="eastAsia"/>
                <w:color w:val="auto"/>
                <w:highlight w:val="none"/>
              </w:rPr>
              <w:t>0.</w:t>
            </w:r>
            <w:r>
              <w:rPr>
                <w:rFonts w:hint="eastAsia"/>
                <w:color w:val="auto"/>
                <w:highlight w:val="none"/>
                <w:lang w:val="en-US" w:eastAsia="zh-CN"/>
              </w:rPr>
              <w:t>244</w:t>
            </w:r>
            <w:r>
              <w:rPr>
                <w:color w:val="auto"/>
                <w:highlight w:val="none"/>
              </w:rPr>
              <w:t>t/a），浓度为</w:t>
            </w:r>
            <w:r>
              <w:rPr>
                <w:rFonts w:hint="eastAsia"/>
                <w:color w:val="auto"/>
                <w:highlight w:val="none"/>
                <w:lang w:val="en-US" w:eastAsia="zh-CN"/>
              </w:rPr>
              <w:t>66.81</w:t>
            </w:r>
            <w:r>
              <w:rPr>
                <w:color w:val="auto"/>
                <w:highlight w:val="none"/>
              </w:rPr>
              <w:t>mg/m</w:t>
            </w:r>
            <w:r>
              <w:rPr>
                <w:color w:val="auto"/>
                <w:highlight w:val="none"/>
                <w:vertAlign w:val="superscript"/>
              </w:rPr>
              <w:t>3</w:t>
            </w:r>
            <w:r>
              <w:rPr>
                <w:color w:val="auto"/>
                <w:highlight w:val="none"/>
              </w:rPr>
              <w:t>；颗粒物产生量为0.0</w:t>
            </w:r>
            <w:r>
              <w:rPr>
                <w:rFonts w:hint="eastAsia"/>
                <w:color w:val="auto"/>
                <w:highlight w:val="none"/>
                <w:lang w:val="en-US" w:eastAsia="zh-CN"/>
              </w:rPr>
              <w:t>05</w:t>
            </w:r>
            <w:r>
              <w:rPr>
                <w:color w:val="auto"/>
                <w:highlight w:val="none"/>
              </w:rPr>
              <w:t>kg/h（0.</w:t>
            </w:r>
            <w:r>
              <w:rPr>
                <w:rFonts w:hint="eastAsia"/>
                <w:color w:val="auto"/>
                <w:highlight w:val="none"/>
                <w:lang w:val="en-US" w:eastAsia="zh-CN"/>
              </w:rPr>
              <w:t>041</w:t>
            </w:r>
            <w:r>
              <w:rPr>
                <w:color w:val="auto"/>
                <w:highlight w:val="none"/>
              </w:rPr>
              <w:t>t/a），浓度为</w:t>
            </w:r>
            <w:r>
              <w:rPr>
                <w:rFonts w:hint="eastAsia"/>
                <w:color w:val="auto"/>
                <w:highlight w:val="none"/>
                <w:lang w:val="en-US" w:eastAsia="zh-CN"/>
              </w:rPr>
              <w:t>10.78</w:t>
            </w:r>
            <w:r>
              <w:rPr>
                <w:color w:val="auto"/>
                <w:highlight w:val="none"/>
              </w:rPr>
              <w:t>mg/m</w:t>
            </w:r>
            <w:r>
              <w:rPr>
                <w:color w:val="auto"/>
                <w:highlight w:val="none"/>
                <w:vertAlign w:val="superscript"/>
              </w:rPr>
              <w:t>3</w:t>
            </w:r>
            <w:r>
              <w:rPr>
                <w:color w:val="auto"/>
                <w:highlight w:val="none"/>
              </w:rPr>
              <w:t>。</w:t>
            </w:r>
          </w:p>
          <w:p w14:paraId="18A1319D">
            <w:pPr>
              <w:pStyle w:val="30"/>
              <w:spacing w:line="360" w:lineRule="auto"/>
              <w:ind w:left="480"/>
              <w:rPr>
                <w:b/>
                <w:bCs/>
              </w:rPr>
            </w:pPr>
            <w:r>
              <w:rPr>
                <w:rFonts w:hint="eastAsia"/>
                <w:b/>
                <w:bCs/>
              </w:rPr>
              <w:t>（2）无组织废气</w:t>
            </w:r>
          </w:p>
          <w:p w14:paraId="7CEA816E">
            <w:pPr>
              <w:pStyle w:val="30"/>
              <w:spacing w:line="360" w:lineRule="auto"/>
              <w:ind w:left="0" w:leftChars="0" w:firstLine="480" w:firstLineChars="200"/>
            </w:pPr>
            <w:r>
              <w:rPr>
                <w:rFonts w:hint="eastAsia"/>
              </w:rPr>
              <w:t>本项目所使用的干燥机、粉碎机、混料罐、包装机均为密闭设置，物料的输送均采用密闭管道输送，以上工序不产生无组织废气。</w:t>
            </w:r>
          </w:p>
          <w:p w14:paraId="79AFEEEC">
            <w:pPr>
              <w:pStyle w:val="30"/>
              <w:spacing w:line="360" w:lineRule="auto"/>
              <w:ind w:left="0" w:leftChars="0" w:firstLine="480" w:firstLineChars="200"/>
              <w:rPr>
                <w:rFonts w:hint="default" w:eastAsia="宋体"/>
                <w:lang w:val="en-US" w:eastAsia="zh-CN"/>
              </w:rPr>
            </w:pPr>
            <w:r>
              <w:rPr>
                <w:rFonts w:hint="eastAsia"/>
              </w:rPr>
              <w:t>本项目无组织废气主要来自于焦磷酸哌嗪、无卤阻燃剂、功能造粒母料的包装过程</w:t>
            </w:r>
            <w:r>
              <w:rPr>
                <w:rFonts w:hint="eastAsia"/>
                <w:lang w:eastAsia="zh-CN"/>
              </w:rPr>
              <w:t>产生的颗粒物、</w:t>
            </w:r>
            <w:r>
              <w:rPr>
                <w:rFonts w:hint="eastAsia"/>
              </w:rPr>
              <w:t>挤出机</w:t>
            </w:r>
            <w:r>
              <w:rPr>
                <w:rFonts w:hint="eastAsia"/>
                <w:lang w:eastAsia="zh-CN"/>
              </w:rPr>
              <w:t>加热树脂挤出成型会产生少量</w:t>
            </w:r>
            <w:r>
              <w:rPr>
                <w:rFonts w:hint="eastAsia"/>
                <w:lang w:val="en-US" w:eastAsia="zh-CN"/>
              </w:rPr>
              <w:t>VOCs以及原辅料等加工过程中产生的恶臭。</w:t>
            </w:r>
          </w:p>
          <w:p w14:paraId="281489AB">
            <w:pPr>
              <w:pStyle w:val="30"/>
              <w:spacing w:line="360" w:lineRule="auto"/>
              <w:ind w:left="0" w:leftChars="0" w:firstLine="480" w:firstLineChars="200"/>
              <w:rPr>
                <w:u w:val="single"/>
              </w:rPr>
            </w:pPr>
            <w:r>
              <w:rPr>
                <w:rFonts w:hint="eastAsia"/>
                <w:u w:val="single"/>
                <w:lang w:val="en-US" w:eastAsia="zh-CN"/>
              </w:rPr>
              <w:t>1、无组织粉尘：</w:t>
            </w:r>
            <w:r>
              <w:rPr>
                <w:rFonts w:hint="eastAsia"/>
                <w:u w:val="single"/>
              </w:rPr>
              <w:t>项目包装工序采用半自动化包装，在取下装好物料的包装袋时，包装机出料口会产生一定量的无组织粉尘，</w:t>
            </w:r>
            <w:r>
              <w:rPr>
                <w:rFonts w:hint="eastAsia"/>
                <w:u w:val="single"/>
                <w:lang w:val="en-US" w:eastAsia="zh-CN"/>
              </w:rPr>
              <w:t>根据《环境影响评价实用技术指南》：“按原料年用量或产品年产量的0.1</w:t>
            </w:r>
            <w:r>
              <w:rPr>
                <w:rFonts w:hint="default" w:ascii="Times New Roman" w:hAnsi="Times New Roman" w:cs="Times New Roman"/>
                <w:u w:val="single"/>
                <w:lang w:val="en-US" w:eastAsia="zh-CN"/>
              </w:rPr>
              <w:t>‰</w:t>
            </w:r>
            <w:r>
              <w:rPr>
                <w:rFonts w:hint="eastAsia" w:cs="Times New Roman"/>
                <w:u w:val="single"/>
                <w:lang w:val="en-US" w:eastAsia="zh-CN"/>
              </w:rPr>
              <w:t>~0.4</w:t>
            </w:r>
            <w:r>
              <w:rPr>
                <w:rFonts w:hint="default" w:ascii="Times New Roman" w:hAnsi="Times New Roman" w:cs="Times New Roman"/>
                <w:u w:val="single"/>
                <w:lang w:val="en-US" w:eastAsia="zh-CN"/>
              </w:rPr>
              <w:t>‰</w:t>
            </w:r>
            <w:r>
              <w:rPr>
                <w:rFonts w:hint="eastAsia" w:ascii="Times New Roman" w:hAnsi="Times New Roman" w:cs="Times New Roman"/>
                <w:u w:val="single"/>
                <w:lang w:val="en-US" w:eastAsia="zh-CN"/>
              </w:rPr>
              <w:t>计算无组织废气</w:t>
            </w:r>
            <w:r>
              <w:rPr>
                <w:rFonts w:hint="eastAsia"/>
                <w:u w:val="single"/>
                <w:lang w:val="en-US" w:eastAsia="zh-CN"/>
              </w:rPr>
              <w:t>”</w:t>
            </w:r>
            <w:r>
              <w:rPr>
                <w:rFonts w:hint="eastAsia"/>
                <w:u w:val="single"/>
              </w:rPr>
              <w:t>，</w:t>
            </w:r>
            <w:r>
              <w:rPr>
                <w:rFonts w:hint="eastAsia"/>
                <w:u w:val="single"/>
                <w:lang w:eastAsia="zh-CN"/>
              </w:rPr>
              <w:t>本项目产品年产量为</w:t>
            </w:r>
            <w:r>
              <w:rPr>
                <w:rFonts w:hint="eastAsia"/>
                <w:u w:val="single"/>
                <w:lang w:val="en-US" w:eastAsia="zh-CN"/>
              </w:rPr>
              <w:t>1.5万吨，本项目以最不利角度出发，取原料用量的4</w:t>
            </w:r>
            <w:r>
              <w:rPr>
                <w:rFonts w:hint="default" w:ascii="Times New Roman" w:hAnsi="Times New Roman" w:cs="Times New Roman"/>
                <w:u w:val="single"/>
                <w:lang w:val="en-US" w:eastAsia="zh-CN"/>
              </w:rPr>
              <w:t>‰</w:t>
            </w:r>
            <w:r>
              <w:rPr>
                <w:rFonts w:hint="eastAsia" w:ascii="Times New Roman" w:hAnsi="Times New Roman" w:cs="Times New Roman"/>
                <w:u w:val="single"/>
                <w:lang w:val="en-US" w:eastAsia="zh-CN"/>
              </w:rPr>
              <w:t>核算，则</w:t>
            </w:r>
            <w:r>
              <w:rPr>
                <w:rFonts w:hint="eastAsia"/>
                <w:u w:val="single"/>
              </w:rPr>
              <w:t>无组织粉尘产生量约为</w:t>
            </w:r>
            <w:r>
              <w:rPr>
                <w:rFonts w:hint="eastAsia"/>
                <w:u w:val="single"/>
                <w:lang w:val="en-US" w:eastAsia="zh-CN"/>
              </w:rPr>
              <w:t>6t/a（0.75kg/h）</w:t>
            </w:r>
            <w:r>
              <w:rPr>
                <w:rFonts w:hint="eastAsia"/>
                <w:u w:val="single"/>
              </w:rPr>
              <w:t>。</w:t>
            </w:r>
          </w:p>
          <w:p w14:paraId="1C584DEC">
            <w:pPr>
              <w:pStyle w:val="30"/>
              <w:spacing w:line="360" w:lineRule="auto"/>
              <w:ind w:left="0" w:leftChars="0" w:firstLine="480" w:firstLineChars="200"/>
              <w:rPr>
                <w:rFonts w:hint="default"/>
                <w:u w:val="single"/>
                <w:lang w:val="en-US" w:eastAsia="zh-CN"/>
              </w:rPr>
            </w:pPr>
            <w:r>
              <w:rPr>
                <w:rFonts w:hint="eastAsia"/>
                <w:u w:val="single"/>
                <w:lang w:val="en-US" w:eastAsia="zh-CN"/>
              </w:rPr>
              <w:t>2、无组织有机废气：</w:t>
            </w:r>
            <w:r>
              <w:rPr>
                <w:rFonts w:hint="eastAsia"/>
                <w:u w:val="single"/>
                <w:lang w:eastAsia="zh-CN"/>
              </w:rPr>
              <w:t>项目挤出机为成套设备，包括混料、挤出、冷却、切粒等工序，根据其工艺过程，在挤出工序出口处会产生少量</w:t>
            </w:r>
            <w:r>
              <w:rPr>
                <w:rFonts w:hint="eastAsia"/>
                <w:u w:val="single"/>
                <w:lang w:val="en-US" w:eastAsia="zh-CN"/>
              </w:rPr>
              <w:t>VOCs，本项目树脂用量为2437.5t/a，根据《环境影响评价实用技术指南》：“按原料年用量或产品年产量的0.1</w:t>
            </w:r>
            <w:r>
              <w:rPr>
                <w:rFonts w:hint="default" w:ascii="Times New Roman" w:hAnsi="Times New Roman" w:cs="Times New Roman"/>
                <w:u w:val="single"/>
                <w:lang w:val="en-US" w:eastAsia="zh-CN"/>
              </w:rPr>
              <w:t>‰</w:t>
            </w:r>
            <w:r>
              <w:rPr>
                <w:rFonts w:hint="eastAsia" w:cs="Times New Roman"/>
                <w:u w:val="single"/>
                <w:lang w:val="en-US" w:eastAsia="zh-CN"/>
              </w:rPr>
              <w:t>~0.4</w:t>
            </w:r>
            <w:r>
              <w:rPr>
                <w:rFonts w:hint="default" w:ascii="Times New Roman" w:hAnsi="Times New Roman" w:cs="Times New Roman"/>
                <w:u w:val="single"/>
                <w:lang w:val="en-US" w:eastAsia="zh-CN"/>
              </w:rPr>
              <w:t>‰</w:t>
            </w:r>
            <w:r>
              <w:rPr>
                <w:rFonts w:hint="eastAsia" w:ascii="Times New Roman" w:hAnsi="Times New Roman" w:cs="Times New Roman"/>
                <w:u w:val="single"/>
                <w:lang w:val="en-US" w:eastAsia="zh-CN"/>
              </w:rPr>
              <w:t>计算无组织废气</w:t>
            </w:r>
            <w:r>
              <w:rPr>
                <w:rFonts w:hint="eastAsia"/>
                <w:u w:val="single"/>
                <w:lang w:val="en-US" w:eastAsia="zh-CN"/>
              </w:rPr>
              <w:t>”</w:t>
            </w:r>
            <w:r>
              <w:rPr>
                <w:rFonts w:hint="eastAsia" w:ascii="Times New Roman" w:hAnsi="Times New Roman" w:cs="Times New Roman"/>
                <w:u w:val="single"/>
                <w:lang w:val="en-US" w:eastAsia="zh-CN"/>
              </w:rPr>
              <w:t>。</w:t>
            </w:r>
            <w:r>
              <w:rPr>
                <w:rFonts w:hint="eastAsia"/>
                <w:u w:val="single"/>
                <w:lang w:val="en-US" w:eastAsia="zh-CN"/>
              </w:rPr>
              <w:t>本项目以最不利角度出发，取原料用量的4</w:t>
            </w:r>
            <w:r>
              <w:rPr>
                <w:rFonts w:hint="default" w:ascii="Times New Roman" w:hAnsi="Times New Roman" w:cs="Times New Roman"/>
                <w:u w:val="single"/>
                <w:lang w:val="en-US" w:eastAsia="zh-CN"/>
              </w:rPr>
              <w:t>‰</w:t>
            </w:r>
            <w:r>
              <w:rPr>
                <w:rFonts w:hint="eastAsia" w:ascii="Times New Roman" w:hAnsi="Times New Roman" w:cs="Times New Roman"/>
                <w:u w:val="single"/>
                <w:lang w:val="en-US" w:eastAsia="zh-CN"/>
              </w:rPr>
              <w:t>核算，则</w:t>
            </w:r>
            <w:r>
              <w:rPr>
                <w:rFonts w:hint="eastAsia"/>
                <w:u w:val="single"/>
                <w:lang w:val="en-US" w:eastAsia="zh-CN"/>
              </w:rPr>
              <w:t>VOCs产生量约为0.975t/a（0.12kg/h）。</w:t>
            </w:r>
          </w:p>
          <w:p w14:paraId="199F42F9">
            <w:pPr>
              <w:pStyle w:val="30"/>
              <w:spacing w:line="360" w:lineRule="auto"/>
              <w:ind w:left="0" w:leftChars="0" w:firstLine="480" w:firstLineChars="200"/>
              <w:rPr>
                <w:rFonts w:hint="default"/>
                <w:color w:val="auto"/>
                <w:kern w:val="0"/>
                <w:highlight w:val="none"/>
                <w:u w:val="single"/>
                <w:lang w:val="en-US" w:eastAsia="zh-CN" w:bidi="ar"/>
              </w:rPr>
            </w:pPr>
            <w:r>
              <w:rPr>
                <w:rFonts w:hint="eastAsia"/>
                <w:color w:val="auto"/>
                <w:kern w:val="0"/>
                <w:highlight w:val="none"/>
                <w:u w:val="single"/>
                <w:lang w:bidi="ar"/>
              </w:rPr>
              <w:t>本项目</w:t>
            </w:r>
            <w:r>
              <w:rPr>
                <w:rFonts w:hint="eastAsia"/>
                <w:color w:val="auto"/>
                <w:kern w:val="0"/>
                <w:highlight w:val="none"/>
                <w:u w:val="single"/>
                <w:lang w:eastAsia="zh-CN" w:bidi="ar"/>
              </w:rPr>
              <w:t>造粒过程产生的</w:t>
            </w:r>
            <w:r>
              <w:rPr>
                <w:rFonts w:hint="eastAsia"/>
                <w:color w:val="auto"/>
                <w:kern w:val="0"/>
                <w:highlight w:val="none"/>
                <w:u w:val="single"/>
                <w:lang w:val="en-US" w:eastAsia="zh-CN" w:bidi="ar"/>
              </w:rPr>
              <w:t>VOCs采用移动式VOCs处理设备处理，该设备采用活性炭吸附原理，收集效率为80%，处理效率为75%，则VOCs废气处理量为0.585t/a，排放量为0.39t/a，在车间无组织排放。</w:t>
            </w:r>
          </w:p>
          <w:p w14:paraId="0C49343A">
            <w:pPr>
              <w:pStyle w:val="30"/>
              <w:spacing w:line="360" w:lineRule="auto"/>
              <w:ind w:left="0" w:leftChars="0" w:firstLine="480" w:firstLineChars="200"/>
              <w:rPr>
                <w:rFonts w:hint="eastAsia" w:eastAsia="宋体"/>
                <w:color w:val="auto"/>
                <w:kern w:val="0"/>
                <w:highlight w:val="none"/>
                <w:u w:val="single"/>
                <w:lang w:val="en-US" w:eastAsia="zh-CN" w:bidi="ar"/>
              </w:rPr>
            </w:pPr>
            <w:r>
              <w:rPr>
                <w:rFonts w:hint="eastAsia"/>
                <w:color w:val="auto"/>
                <w:kern w:val="0"/>
                <w:highlight w:val="none"/>
                <w:u w:val="single"/>
                <w:lang w:val="en-US" w:eastAsia="zh-CN" w:bidi="ar"/>
              </w:rPr>
              <w:t>3、恶臭：项目原辅材料堆存、生产过程中会产生恶臭气体，以臭气浓度表征，在车间无组织排放。</w:t>
            </w:r>
          </w:p>
          <w:p w14:paraId="34A605A0">
            <w:pPr>
              <w:pStyle w:val="30"/>
              <w:spacing w:line="360" w:lineRule="auto"/>
              <w:ind w:left="0" w:leftChars="0" w:firstLine="482" w:firstLineChars="200"/>
              <w:rPr>
                <w:b/>
                <w:bCs/>
              </w:rPr>
            </w:pPr>
            <w:r>
              <w:rPr>
                <w:rFonts w:hint="eastAsia"/>
                <w:b/>
                <w:bCs/>
              </w:rPr>
              <w:t>（3）</w:t>
            </w:r>
            <w:r>
              <w:rPr>
                <w:rFonts w:hint="eastAsia"/>
                <w:b/>
                <w:bCs/>
                <w:szCs w:val="32"/>
              </w:rPr>
              <w:t>废气量核算</w:t>
            </w:r>
          </w:p>
          <w:p w14:paraId="27FAE2A1">
            <w:pPr>
              <w:pStyle w:val="30"/>
              <w:spacing w:line="360" w:lineRule="auto"/>
              <w:ind w:left="0" w:leftChars="0" w:firstLine="480" w:firstLineChars="200"/>
            </w:pPr>
            <w:r>
              <w:t>项目废气排放口基本情况一览表如下：</w:t>
            </w:r>
          </w:p>
          <w:p w14:paraId="5CEC6EBB">
            <w:pPr>
              <w:spacing w:line="360" w:lineRule="auto"/>
              <w:jc w:val="center"/>
              <w:rPr>
                <w:b/>
                <w:lang w:val="en-GB"/>
              </w:rPr>
            </w:pPr>
            <w:r>
              <w:rPr>
                <w:b/>
                <w:lang w:val="en-GB"/>
              </w:rPr>
              <w:t>表4-</w:t>
            </w:r>
            <w:r>
              <w:rPr>
                <w:b/>
              </w:rPr>
              <w:t>1</w:t>
            </w:r>
            <w:r>
              <w:rPr>
                <w:b/>
                <w:lang w:val="en-GB"/>
              </w:rPr>
              <w:t xml:space="preserve">   废气污染源排放源排放一览表</w:t>
            </w:r>
          </w:p>
          <w:tbl>
            <w:tblPr>
              <w:tblStyle w:val="36"/>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0"/>
              <w:gridCol w:w="828"/>
              <w:gridCol w:w="902"/>
              <w:gridCol w:w="751"/>
              <w:gridCol w:w="783"/>
              <w:gridCol w:w="711"/>
              <w:gridCol w:w="1124"/>
              <w:gridCol w:w="805"/>
              <w:gridCol w:w="717"/>
              <w:gridCol w:w="855"/>
              <w:gridCol w:w="799"/>
            </w:tblGrid>
            <w:tr w14:paraId="240BA0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restart"/>
                  <w:vAlign w:val="center"/>
                </w:tcPr>
                <w:p w14:paraId="5BF42256">
                  <w:pPr>
                    <w:wordWrap w:val="0"/>
                    <w:topLinePunct/>
                    <w:jc w:val="center"/>
                    <w:rPr>
                      <w:b/>
                      <w:snapToGrid w:val="0"/>
                      <w:spacing w:val="4"/>
                      <w:sz w:val="21"/>
                      <w:szCs w:val="21"/>
                      <w:u w:val="single"/>
                    </w:rPr>
                  </w:pPr>
                  <w:r>
                    <w:rPr>
                      <w:b/>
                      <w:snapToGrid w:val="0"/>
                      <w:spacing w:val="4"/>
                      <w:sz w:val="21"/>
                      <w:szCs w:val="21"/>
                      <w:u w:val="single"/>
                    </w:rPr>
                    <w:t>排气筒编号</w:t>
                  </w:r>
                </w:p>
              </w:tc>
              <w:tc>
                <w:tcPr>
                  <w:tcW w:w="461" w:type="pct"/>
                  <w:vMerge w:val="restart"/>
                  <w:vAlign w:val="center"/>
                </w:tcPr>
                <w:p w14:paraId="378F516B">
                  <w:pPr>
                    <w:wordWrap w:val="0"/>
                    <w:topLinePunct/>
                    <w:jc w:val="center"/>
                    <w:rPr>
                      <w:b/>
                      <w:snapToGrid w:val="0"/>
                      <w:spacing w:val="4"/>
                      <w:sz w:val="21"/>
                      <w:szCs w:val="21"/>
                      <w:u w:val="single"/>
                    </w:rPr>
                  </w:pPr>
                  <w:r>
                    <w:rPr>
                      <w:b/>
                      <w:snapToGrid w:val="0"/>
                      <w:spacing w:val="4"/>
                      <w:sz w:val="21"/>
                      <w:szCs w:val="21"/>
                      <w:u w:val="single"/>
                    </w:rPr>
                    <w:t>产排</w:t>
                  </w:r>
                </w:p>
                <w:p w14:paraId="4712785B">
                  <w:pPr>
                    <w:wordWrap w:val="0"/>
                    <w:topLinePunct/>
                    <w:jc w:val="center"/>
                    <w:rPr>
                      <w:b/>
                      <w:snapToGrid w:val="0"/>
                      <w:spacing w:val="4"/>
                      <w:sz w:val="21"/>
                      <w:szCs w:val="21"/>
                      <w:u w:val="single"/>
                    </w:rPr>
                  </w:pPr>
                  <w:r>
                    <w:rPr>
                      <w:b/>
                      <w:snapToGrid w:val="0"/>
                      <w:spacing w:val="4"/>
                      <w:sz w:val="21"/>
                      <w:szCs w:val="21"/>
                      <w:u w:val="single"/>
                    </w:rPr>
                    <w:t>污环节</w:t>
                  </w:r>
                </w:p>
              </w:tc>
              <w:tc>
                <w:tcPr>
                  <w:tcW w:w="502" w:type="pct"/>
                  <w:vMerge w:val="restart"/>
                  <w:vAlign w:val="center"/>
                </w:tcPr>
                <w:p w14:paraId="29CACC5C">
                  <w:pPr>
                    <w:wordWrap w:val="0"/>
                    <w:topLinePunct/>
                    <w:jc w:val="center"/>
                    <w:rPr>
                      <w:b/>
                      <w:snapToGrid w:val="0"/>
                      <w:spacing w:val="4"/>
                      <w:sz w:val="21"/>
                      <w:szCs w:val="21"/>
                      <w:u w:val="single"/>
                    </w:rPr>
                  </w:pPr>
                  <w:r>
                    <w:rPr>
                      <w:b/>
                      <w:snapToGrid w:val="0"/>
                      <w:spacing w:val="4"/>
                      <w:sz w:val="21"/>
                      <w:szCs w:val="21"/>
                      <w:u w:val="single"/>
                    </w:rPr>
                    <w:t>污染物</w:t>
                  </w:r>
                </w:p>
              </w:tc>
              <w:tc>
                <w:tcPr>
                  <w:tcW w:w="1250" w:type="pct"/>
                  <w:gridSpan w:val="3"/>
                  <w:vAlign w:val="center"/>
                </w:tcPr>
                <w:p w14:paraId="29C09EAA">
                  <w:pPr>
                    <w:wordWrap w:val="0"/>
                    <w:topLinePunct/>
                    <w:jc w:val="center"/>
                    <w:rPr>
                      <w:b/>
                      <w:snapToGrid w:val="0"/>
                      <w:spacing w:val="4"/>
                      <w:sz w:val="21"/>
                      <w:szCs w:val="21"/>
                      <w:u w:val="single"/>
                    </w:rPr>
                  </w:pPr>
                  <w:r>
                    <w:rPr>
                      <w:b/>
                      <w:snapToGrid w:val="0"/>
                      <w:spacing w:val="4"/>
                      <w:sz w:val="21"/>
                      <w:szCs w:val="21"/>
                      <w:u w:val="single"/>
                    </w:rPr>
                    <w:t>污染物产生情况</w:t>
                  </w:r>
                </w:p>
              </w:tc>
              <w:tc>
                <w:tcPr>
                  <w:tcW w:w="1074" w:type="pct"/>
                  <w:gridSpan w:val="2"/>
                  <w:vAlign w:val="center"/>
                </w:tcPr>
                <w:p w14:paraId="6C862A51">
                  <w:pPr>
                    <w:wordWrap w:val="0"/>
                    <w:topLinePunct/>
                    <w:jc w:val="center"/>
                    <w:rPr>
                      <w:b/>
                      <w:snapToGrid w:val="0"/>
                      <w:spacing w:val="4"/>
                      <w:sz w:val="21"/>
                      <w:szCs w:val="21"/>
                      <w:u w:val="single"/>
                    </w:rPr>
                  </w:pPr>
                  <w:r>
                    <w:rPr>
                      <w:b/>
                      <w:snapToGrid w:val="0"/>
                      <w:spacing w:val="4"/>
                      <w:sz w:val="21"/>
                      <w:szCs w:val="21"/>
                      <w:u w:val="single"/>
                    </w:rPr>
                    <w:t>治理设施</w:t>
                  </w:r>
                </w:p>
              </w:tc>
              <w:tc>
                <w:tcPr>
                  <w:tcW w:w="1320" w:type="pct"/>
                  <w:gridSpan w:val="3"/>
                  <w:vAlign w:val="center"/>
                </w:tcPr>
                <w:p w14:paraId="539C173F">
                  <w:pPr>
                    <w:wordWrap w:val="0"/>
                    <w:topLinePunct/>
                    <w:jc w:val="center"/>
                    <w:rPr>
                      <w:b/>
                      <w:snapToGrid w:val="0"/>
                      <w:spacing w:val="4"/>
                      <w:sz w:val="21"/>
                      <w:szCs w:val="21"/>
                      <w:u w:val="single"/>
                    </w:rPr>
                  </w:pPr>
                  <w:r>
                    <w:rPr>
                      <w:b/>
                      <w:snapToGrid w:val="0"/>
                      <w:spacing w:val="4"/>
                      <w:sz w:val="21"/>
                      <w:szCs w:val="21"/>
                      <w:u w:val="single"/>
                    </w:rPr>
                    <w:t>污染物排放情况</w:t>
                  </w:r>
                </w:p>
              </w:tc>
            </w:tr>
            <w:tr w14:paraId="79CFE2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vAlign w:val="center"/>
                </w:tcPr>
                <w:p w14:paraId="47C294C3">
                  <w:pPr>
                    <w:wordWrap w:val="0"/>
                    <w:topLinePunct/>
                    <w:jc w:val="center"/>
                    <w:rPr>
                      <w:snapToGrid w:val="0"/>
                      <w:spacing w:val="4"/>
                      <w:sz w:val="21"/>
                      <w:szCs w:val="21"/>
                      <w:u w:val="single"/>
                    </w:rPr>
                  </w:pPr>
                </w:p>
              </w:tc>
              <w:tc>
                <w:tcPr>
                  <w:tcW w:w="461" w:type="pct"/>
                  <w:vMerge w:val="continue"/>
                  <w:vAlign w:val="center"/>
                </w:tcPr>
                <w:p w14:paraId="41A89420">
                  <w:pPr>
                    <w:wordWrap w:val="0"/>
                    <w:topLinePunct/>
                    <w:jc w:val="center"/>
                    <w:rPr>
                      <w:snapToGrid w:val="0"/>
                      <w:spacing w:val="4"/>
                      <w:sz w:val="21"/>
                      <w:szCs w:val="21"/>
                      <w:u w:val="single"/>
                    </w:rPr>
                  </w:pPr>
                </w:p>
              </w:tc>
              <w:tc>
                <w:tcPr>
                  <w:tcW w:w="502" w:type="pct"/>
                  <w:vMerge w:val="continue"/>
                  <w:vAlign w:val="center"/>
                </w:tcPr>
                <w:p w14:paraId="5E508B28">
                  <w:pPr>
                    <w:wordWrap w:val="0"/>
                    <w:topLinePunct/>
                    <w:jc w:val="center"/>
                    <w:rPr>
                      <w:snapToGrid w:val="0"/>
                      <w:spacing w:val="4"/>
                      <w:sz w:val="21"/>
                      <w:szCs w:val="21"/>
                      <w:u w:val="single"/>
                    </w:rPr>
                  </w:pPr>
                </w:p>
              </w:tc>
              <w:tc>
                <w:tcPr>
                  <w:tcW w:w="418" w:type="pct"/>
                  <w:vAlign w:val="center"/>
                </w:tcPr>
                <w:p w14:paraId="6742AC6A">
                  <w:pPr>
                    <w:wordWrap w:val="0"/>
                    <w:topLinePunct/>
                    <w:jc w:val="center"/>
                    <w:rPr>
                      <w:b/>
                      <w:snapToGrid w:val="0"/>
                      <w:spacing w:val="4"/>
                      <w:sz w:val="21"/>
                      <w:szCs w:val="21"/>
                      <w:u w:val="single"/>
                    </w:rPr>
                  </w:pPr>
                  <w:r>
                    <w:rPr>
                      <w:b/>
                      <w:snapToGrid w:val="0"/>
                      <w:spacing w:val="4"/>
                      <w:sz w:val="21"/>
                      <w:szCs w:val="21"/>
                      <w:u w:val="single"/>
                    </w:rPr>
                    <w:t>浓度mg/m</w:t>
                  </w:r>
                  <w:r>
                    <w:rPr>
                      <w:b/>
                      <w:snapToGrid w:val="0"/>
                      <w:spacing w:val="4"/>
                      <w:sz w:val="21"/>
                      <w:szCs w:val="21"/>
                      <w:u w:val="single"/>
                      <w:vertAlign w:val="superscript"/>
                    </w:rPr>
                    <w:t>3</w:t>
                  </w:r>
                </w:p>
              </w:tc>
              <w:tc>
                <w:tcPr>
                  <w:tcW w:w="436" w:type="pct"/>
                  <w:vAlign w:val="center"/>
                </w:tcPr>
                <w:p w14:paraId="0849A11C">
                  <w:pPr>
                    <w:wordWrap w:val="0"/>
                    <w:topLinePunct/>
                    <w:jc w:val="center"/>
                    <w:rPr>
                      <w:b/>
                      <w:snapToGrid w:val="0"/>
                      <w:spacing w:val="4"/>
                      <w:sz w:val="21"/>
                      <w:szCs w:val="21"/>
                      <w:u w:val="single"/>
                    </w:rPr>
                  </w:pPr>
                  <w:r>
                    <w:rPr>
                      <w:b/>
                      <w:snapToGrid w:val="0"/>
                      <w:spacing w:val="4"/>
                      <w:sz w:val="21"/>
                      <w:szCs w:val="21"/>
                      <w:u w:val="single"/>
                    </w:rPr>
                    <w:t>速率</w:t>
                  </w:r>
                </w:p>
                <w:p w14:paraId="7F8F7713">
                  <w:pPr>
                    <w:wordWrap w:val="0"/>
                    <w:topLinePunct/>
                    <w:jc w:val="center"/>
                    <w:rPr>
                      <w:b/>
                      <w:snapToGrid w:val="0"/>
                      <w:spacing w:val="4"/>
                      <w:sz w:val="21"/>
                      <w:szCs w:val="21"/>
                      <w:u w:val="single"/>
                    </w:rPr>
                  </w:pPr>
                  <w:r>
                    <w:rPr>
                      <w:b/>
                      <w:snapToGrid w:val="0"/>
                      <w:spacing w:val="4"/>
                      <w:sz w:val="21"/>
                      <w:szCs w:val="21"/>
                      <w:u w:val="single"/>
                    </w:rPr>
                    <w:t>kg/h</w:t>
                  </w:r>
                </w:p>
              </w:tc>
              <w:tc>
                <w:tcPr>
                  <w:tcW w:w="395" w:type="pct"/>
                  <w:vAlign w:val="center"/>
                </w:tcPr>
                <w:p w14:paraId="00B16396">
                  <w:pPr>
                    <w:wordWrap w:val="0"/>
                    <w:topLinePunct/>
                    <w:jc w:val="center"/>
                    <w:rPr>
                      <w:b/>
                      <w:snapToGrid w:val="0"/>
                      <w:spacing w:val="4"/>
                      <w:sz w:val="21"/>
                      <w:szCs w:val="21"/>
                      <w:u w:val="single"/>
                    </w:rPr>
                  </w:pPr>
                  <w:r>
                    <w:rPr>
                      <w:b/>
                      <w:snapToGrid w:val="0"/>
                      <w:spacing w:val="4"/>
                      <w:sz w:val="21"/>
                      <w:szCs w:val="21"/>
                      <w:u w:val="single"/>
                    </w:rPr>
                    <w:t>产生量t/a</w:t>
                  </w:r>
                </w:p>
              </w:tc>
              <w:tc>
                <w:tcPr>
                  <w:tcW w:w="626" w:type="pct"/>
                  <w:vAlign w:val="center"/>
                </w:tcPr>
                <w:p w14:paraId="767E3FBA">
                  <w:pPr>
                    <w:wordWrap w:val="0"/>
                    <w:topLinePunct/>
                    <w:jc w:val="center"/>
                    <w:rPr>
                      <w:b/>
                      <w:snapToGrid w:val="0"/>
                      <w:spacing w:val="4"/>
                      <w:sz w:val="21"/>
                      <w:szCs w:val="21"/>
                      <w:u w:val="single"/>
                    </w:rPr>
                  </w:pPr>
                  <w:r>
                    <w:rPr>
                      <w:b/>
                      <w:snapToGrid w:val="0"/>
                      <w:spacing w:val="4"/>
                      <w:sz w:val="21"/>
                      <w:szCs w:val="21"/>
                      <w:u w:val="single"/>
                    </w:rPr>
                    <w:t>工艺</w:t>
                  </w:r>
                </w:p>
              </w:tc>
              <w:tc>
                <w:tcPr>
                  <w:tcW w:w="448" w:type="pct"/>
                  <w:vAlign w:val="center"/>
                </w:tcPr>
                <w:p w14:paraId="5784D958">
                  <w:pPr>
                    <w:wordWrap w:val="0"/>
                    <w:topLinePunct/>
                    <w:jc w:val="center"/>
                    <w:rPr>
                      <w:b/>
                      <w:snapToGrid w:val="0"/>
                      <w:spacing w:val="4"/>
                      <w:sz w:val="21"/>
                      <w:szCs w:val="21"/>
                      <w:u w:val="single"/>
                    </w:rPr>
                  </w:pPr>
                  <w:r>
                    <w:rPr>
                      <w:b/>
                      <w:snapToGrid w:val="0"/>
                      <w:spacing w:val="4"/>
                      <w:sz w:val="21"/>
                      <w:szCs w:val="21"/>
                      <w:u w:val="single"/>
                    </w:rPr>
                    <w:t>效率</w:t>
                  </w:r>
                </w:p>
                <w:p w14:paraId="6533CD2C">
                  <w:pPr>
                    <w:wordWrap w:val="0"/>
                    <w:topLinePunct/>
                    <w:jc w:val="center"/>
                    <w:rPr>
                      <w:b/>
                      <w:snapToGrid w:val="0"/>
                      <w:spacing w:val="4"/>
                      <w:sz w:val="21"/>
                      <w:szCs w:val="21"/>
                      <w:u w:val="single"/>
                    </w:rPr>
                  </w:pPr>
                  <w:r>
                    <w:rPr>
                      <w:b/>
                      <w:snapToGrid w:val="0"/>
                      <w:spacing w:val="4"/>
                      <w:sz w:val="21"/>
                      <w:szCs w:val="21"/>
                      <w:u w:val="single"/>
                    </w:rPr>
                    <w:t>%</w:t>
                  </w:r>
                </w:p>
              </w:tc>
              <w:tc>
                <w:tcPr>
                  <w:tcW w:w="399" w:type="pct"/>
                  <w:vAlign w:val="center"/>
                </w:tcPr>
                <w:p w14:paraId="18F1D1B0">
                  <w:pPr>
                    <w:wordWrap w:val="0"/>
                    <w:topLinePunct/>
                    <w:jc w:val="center"/>
                    <w:rPr>
                      <w:b/>
                      <w:snapToGrid w:val="0"/>
                      <w:spacing w:val="4"/>
                      <w:sz w:val="21"/>
                      <w:szCs w:val="21"/>
                      <w:u w:val="single"/>
                    </w:rPr>
                  </w:pPr>
                  <w:r>
                    <w:rPr>
                      <w:b/>
                      <w:snapToGrid w:val="0"/>
                      <w:spacing w:val="4"/>
                      <w:sz w:val="21"/>
                      <w:szCs w:val="21"/>
                      <w:u w:val="single"/>
                    </w:rPr>
                    <w:t>浓度</w:t>
                  </w:r>
                </w:p>
                <w:p w14:paraId="7CAB093D">
                  <w:pPr>
                    <w:wordWrap w:val="0"/>
                    <w:topLinePunct/>
                    <w:jc w:val="center"/>
                    <w:rPr>
                      <w:b/>
                      <w:snapToGrid w:val="0"/>
                      <w:spacing w:val="4"/>
                      <w:sz w:val="21"/>
                      <w:szCs w:val="21"/>
                      <w:u w:val="single"/>
                    </w:rPr>
                  </w:pPr>
                  <w:r>
                    <w:rPr>
                      <w:b/>
                      <w:snapToGrid w:val="0"/>
                      <w:spacing w:val="4"/>
                      <w:sz w:val="21"/>
                      <w:szCs w:val="21"/>
                      <w:u w:val="single"/>
                    </w:rPr>
                    <w:t>mg/m³</w:t>
                  </w:r>
                </w:p>
              </w:tc>
              <w:tc>
                <w:tcPr>
                  <w:tcW w:w="476" w:type="pct"/>
                  <w:vAlign w:val="center"/>
                </w:tcPr>
                <w:p w14:paraId="5840143C">
                  <w:pPr>
                    <w:wordWrap w:val="0"/>
                    <w:topLinePunct/>
                    <w:jc w:val="center"/>
                    <w:rPr>
                      <w:b/>
                      <w:snapToGrid w:val="0"/>
                      <w:spacing w:val="4"/>
                      <w:sz w:val="21"/>
                      <w:szCs w:val="21"/>
                      <w:u w:val="single"/>
                    </w:rPr>
                  </w:pPr>
                  <w:r>
                    <w:rPr>
                      <w:b/>
                      <w:snapToGrid w:val="0"/>
                      <w:spacing w:val="4"/>
                      <w:sz w:val="21"/>
                      <w:szCs w:val="21"/>
                      <w:u w:val="single"/>
                    </w:rPr>
                    <w:t>速率</w:t>
                  </w:r>
                </w:p>
                <w:p w14:paraId="1C703699">
                  <w:pPr>
                    <w:wordWrap w:val="0"/>
                    <w:topLinePunct/>
                    <w:jc w:val="center"/>
                    <w:rPr>
                      <w:b/>
                      <w:snapToGrid w:val="0"/>
                      <w:spacing w:val="4"/>
                      <w:sz w:val="21"/>
                      <w:szCs w:val="21"/>
                      <w:u w:val="single"/>
                    </w:rPr>
                  </w:pPr>
                  <w:r>
                    <w:rPr>
                      <w:b/>
                      <w:snapToGrid w:val="0"/>
                      <w:spacing w:val="4"/>
                      <w:sz w:val="21"/>
                      <w:szCs w:val="21"/>
                      <w:u w:val="single"/>
                    </w:rPr>
                    <w:t>kg/h</w:t>
                  </w:r>
                </w:p>
              </w:tc>
              <w:tc>
                <w:tcPr>
                  <w:tcW w:w="445" w:type="pct"/>
                  <w:vAlign w:val="center"/>
                </w:tcPr>
                <w:p w14:paraId="56A02486">
                  <w:pPr>
                    <w:wordWrap w:val="0"/>
                    <w:topLinePunct/>
                    <w:jc w:val="center"/>
                    <w:rPr>
                      <w:b/>
                      <w:snapToGrid w:val="0"/>
                      <w:spacing w:val="4"/>
                      <w:sz w:val="21"/>
                      <w:szCs w:val="21"/>
                      <w:u w:val="single"/>
                    </w:rPr>
                  </w:pPr>
                  <w:r>
                    <w:rPr>
                      <w:b/>
                      <w:snapToGrid w:val="0"/>
                      <w:spacing w:val="4"/>
                      <w:sz w:val="21"/>
                      <w:szCs w:val="21"/>
                      <w:u w:val="single"/>
                    </w:rPr>
                    <w:t>排放</w:t>
                  </w:r>
                </w:p>
                <w:p w14:paraId="08E2BA23">
                  <w:pPr>
                    <w:wordWrap w:val="0"/>
                    <w:topLinePunct/>
                    <w:jc w:val="center"/>
                    <w:rPr>
                      <w:b/>
                      <w:snapToGrid w:val="0"/>
                      <w:spacing w:val="4"/>
                      <w:sz w:val="21"/>
                      <w:szCs w:val="21"/>
                      <w:u w:val="single"/>
                    </w:rPr>
                  </w:pPr>
                  <w:r>
                    <w:rPr>
                      <w:b/>
                      <w:snapToGrid w:val="0"/>
                      <w:spacing w:val="4"/>
                      <w:sz w:val="21"/>
                      <w:szCs w:val="21"/>
                      <w:u w:val="single"/>
                    </w:rPr>
                    <w:t>量t/a</w:t>
                  </w:r>
                </w:p>
              </w:tc>
            </w:tr>
            <w:tr w14:paraId="0FC3E1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Align w:val="center"/>
                </w:tcPr>
                <w:p w14:paraId="45E5140D">
                  <w:pPr>
                    <w:wordWrap w:val="0"/>
                    <w:topLinePunct/>
                    <w:jc w:val="center"/>
                    <w:rPr>
                      <w:snapToGrid w:val="0"/>
                      <w:spacing w:val="4"/>
                      <w:sz w:val="21"/>
                      <w:szCs w:val="21"/>
                      <w:u w:val="single"/>
                    </w:rPr>
                  </w:pPr>
                  <w:r>
                    <w:rPr>
                      <w:snapToGrid w:val="0"/>
                      <w:spacing w:val="4"/>
                      <w:sz w:val="21"/>
                      <w:szCs w:val="21"/>
                      <w:u w:val="single"/>
                    </w:rPr>
                    <w:t>DA001</w:t>
                  </w:r>
                </w:p>
              </w:tc>
              <w:tc>
                <w:tcPr>
                  <w:tcW w:w="461" w:type="pct"/>
                  <w:vAlign w:val="center"/>
                </w:tcPr>
                <w:p w14:paraId="6C6A30CE">
                  <w:pPr>
                    <w:wordWrap w:val="0"/>
                    <w:topLinePunct/>
                    <w:jc w:val="center"/>
                    <w:rPr>
                      <w:snapToGrid w:val="0"/>
                      <w:spacing w:val="4"/>
                      <w:sz w:val="21"/>
                      <w:szCs w:val="21"/>
                      <w:u w:val="single"/>
                    </w:rPr>
                  </w:pPr>
                  <w:r>
                    <w:rPr>
                      <w:rFonts w:hint="eastAsia"/>
                      <w:snapToGrid w:val="0"/>
                      <w:spacing w:val="4"/>
                      <w:sz w:val="21"/>
                      <w:szCs w:val="21"/>
                      <w:u w:val="single"/>
                    </w:rPr>
                    <w:t>粉碎、包装</w:t>
                  </w:r>
                </w:p>
              </w:tc>
              <w:tc>
                <w:tcPr>
                  <w:tcW w:w="502" w:type="pct"/>
                  <w:vAlign w:val="center"/>
                </w:tcPr>
                <w:p w14:paraId="7E478604">
                  <w:pPr>
                    <w:wordWrap w:val="0"/>
                    <w:topLinePunct/>
                    <w:jc w:val="center"/>
                    <w:rPr>
                      <w:snapToGrid w:val="0"/>
                      <w:spacing w:val="4"/>
                      <w:sz w:val="21"/>
                      <w:szCs w:val="21"/>
                      <w:u w:val="single"/>
                    </w:rPr>
                  </w:pPr>
                  <w:r>
                    <w:rPr>
                      <w:rFonts w:hint="eastAsia"/>
                      <w:snapToGrid w:val="0"/>
                      <w:spacing w:val="4"/>
                      <w:sz w:val="21"/>
                      <w:szCs w:val="21"/>
                      <w:u w:val="single"/>
                    </w:rPr>
                    <w:t>颗粒物</w:t>
                  </w:r>
                </w:p>
              </w:tc>
              <w:tc>
                <w:tcPr>
                  <w:tcW w:w="418" w:type="pct"/>
                  <w:vAlign w:val="center"/>
                </w:tcPr>
                <w:p w14:paraId="2FF3594C">
                  <w:pPr>
                    <w:wordWrap w:val="0"/>
                    <w:topLinePunct/>
                    <w:jc w:val="center"/>
                    <w:rPr>
                      <w:snapToGrid w:val="0"/>
                      <w:spacing w:val="4"/>
                      <w:sz w:val="21"/>
                      <w:szCs w:val="21"/>
                      <w:u w:val="single"/>
                    </w:rPr>
                  </w:pPr>
                  <w:r>
                    <w:rPr>
                      <w:rFonts w:hint="eastAsia"/>
                      <w:snapToGrid w:val="0"/>
                      <w:spacing w:val="4"/>
                      <w:sz w:val="21"/>
                      <w:szCs w:val="21"/>
                      <w:u w:val="single"/>
                    </w:rPr>
                    <w:t>470</w:t>
                  </w:r>
                </w:p>
              </w:tc>
              <w:tc>
                <w:tcPr>
                  <w:tcW w:w="436" w:type="pct"/>
                  <w:vAlign w:val="center"/>
                </w:tcPr>
                <w:p w14:paraId="6D863FF1">
                  <w:pPr>
                    <w:wordWrap w:val="0"/>
                    <w:topLinePunct/>
                    <w:jc w:val="center"/>
                    <w:rPr>
                      <w:snapToGrid w:val="0"/>
                      <w:spacing w:val="4"/>
                      <w:sz w:val="21"/>
                      <w:szCs w:val="21"/>
                      <w:u w:val="single"/>
                    </w:rPr>
                  </w:pPr>
                  <w:r>
                    <w:rPr>
                      <w:rFonts w:hint="eastAsia"/>
                      <w:snapToGrid w:val="0"/>
                      <w:spacing w:val="4"/>
                      <w:sz w:val="21"/>
                      <w:szCs w:val="21"/>
                      <w:u w:val="single"/>
                    </w:rPr>
                    <w:t>2.82</w:t>
                  </w:r>
                </w:p>
              </w:tc>
              <w:tc>
                <w:tcPr>
                  <w:tcW w:w="395" w:type="pct"/>
                  <w:vAlign w:val="center"/>
                </w:tcPr>
                <w:p w14:paraId="17137D19">
                  <w:pPr>
                    <w:wordWrap w:val="0"/>
                    <w:topLinePunct/>
                    <w:jc w:val="center"/>
                    <w:rPr>
                      <w:snapToGrid w:val="0"/>
                      <w:spacing w:val="4"/>
                      <w:sz w:val="21"/>
                      <w:szCs w:val="21"/>
                      <w:u w:val="single"/>
                    </w:rPr>
                  </w:pPr>
                  <w:r>
                    <w:rPr>
                      <w:rFonts w:hint="eastAsia"/>
                      <w:snapToGrid w:val="0"/>
                      <w:spacing w:val="4"/>
                      <w:sz w:val="21"/>
                      <w:szCs w:val="21"/>
                      <w:u w:val="single"/>
                    </w:rPr>
                    <w:t>22.56</w:t>
                  </w:r>
                </w:p>
              </w:tc>
              <w:tc>
                <w:tcPr>
                  <w:tcW w:w="626" w:type="pct"/>
                  <w:vAlign w:val="center"/>
                </w:tcPr>
                <w:p w14:paraId="1A7E0F89">
                  <w:pPr>
                    <w:wordWrap w:val="0"/>
                    <w:topLinePunct/>
                    <w:jc w:val="center"/>
                    <w:rPr>
                      <w:snapToGrid w:val="0"/>
                      <w:spacing w:val="4"/>
                      <w:sz w:val="21"/>
                      <w:szCs w:val="21"/>
                      <w:u w:val="single"/>
                    </w:rPr>
                  </w:pPr>
                  <w:r>
                    <w:rPr>
                      <w:rFonts w:hint="eastAsia"/>
                      <w:snapToGrid w:val="0"/>
                      <w:spacing w:val="4"/>
                      <w:sz w:val="21"/>
                      <w:szCs w:val="21"/>
                      <w:u w:val="single"/>
                    </w:rPr>
                    <w:t>布袋除尘</w:t>
                  </w:r>
                </w:p>
              </w:tc>
              <w:tc>
                <w:tcPr>
                  <w:tcW w:w="448" w:type="pct"/>
                  <w:vAlign w:val="center"/>
                </w:tcPr>
                <w:p w14:paraId="0D402042">
                  <w:pPr>
                    <w:wordWrap w:val="0"/>
                    <w:topLinePunct/>
                    <w:jc w:val="center"/>
                    <w:rPr>
                      <w:snapToGrid w:val="0"/>
                      <w:spacing w:val="4"/>
                      <w:sz w:val="21"/>
                      <w:szCs w:val="21"/>
                      <w:u w:val="single"/>
                    </w:rPr>
                  </w:pPr>
                  <w:r>
                    <w:rPr>
                      <w:rFonts w:hint="eastAsia"/>
                      <w:snapToGrid w:val="0"/>
                      <w:spacing w:val="4"/>
                      <w:sz w:val="21"/>
                      <w:szCs w:val="21"/>
                      <w:u w:val="single"/>
                    </w:rPr>
                    <w:t>99</w:t>
                  </w:r>
                </w:p>
              </w:tc>
              <w:tc>
                <w:tcPr>
                  <w:tcW w:w="399" w:type="pct"/>
                  <w:vAlign w:val="center"/>
                </w:tcPr>
                <w:p w14:paraId="4DE105C9">
                  <w:pPr>
                    <w:wordWrap w:val="0"/>
                    <w:topLinePunct/>
                    <w:jc w:val="center"/>
                    <w:rPr>
                      <w:snapToGrid w:val="0"/>
                      <w:spacing w:val="4"/>
                      <w:sz w:val="21"/>
                      <w:szCs w:val="21"/>
                      <w:u w:val="single"/>
                    </w:rPr>
                  </w:pPr>
                  <w:r>
                    <w:rPr>
                      <w:rFonts w:hint="eastAsia"/>
                      <w:snapToGrid w:val="0"/>
                      <w:spacing w:val="4"/>
                      <w:sz w:val="21"/>
                      <w:szCs w:val="21"/>
                      <w:u w:val="single"/>
                    </w:rPr>
                    <w:t>4.7</w:t>
                  </w:r>
                </w:p>
              </w:tc>
              <w:tc>
                <w:tcPr>
                  <w:tcW w:w="476" w:type="pct"/>
                  <w:vAlign w:val="center"/>
                </w:tcPr>
                <w:p w14:paraId="4AFAC3E7">
                  <w:pPr>
                    <w:wordWrap w:val="0"/>
                    <w:topLinePunct/>
                    <w:jc w:val="center"/>
                    <w:rPr>
                      <w:snapToGrid w:val="0"/>
                      <w:spacing w:val="4"/>
                      <w:sz w:val="21"/>
                      <w:szCs w:val="21"/>
                      <w:u w:val="single"/>
                    </w:rPr>
                  </w:pPr>
                  <w:r>
                    <w:rPr>
                      <w:rFonts w:hint="eastAsia"/>
                      <w:snapToGrid w:val="0"/>
                      <w:spacing w:val="4"/>
                      <w:sz w:val="21"/>
                      <w:szCs w:val="21"/>
                      <w:u w:val="single"/>
                    </w:rPr>
                    <w:t>0.028</w:t>
                  </w:r>
                </w:p>
              </w:tc>
              <w:tc>
                <w:tcPr>
                  <w:tcW w:w="445" w:type="pct"/>
                  <w:vAlign w:val="center"/>
                </w:tcPr>
                <w:p w14:paraId="679091AA">
                  <w:pPr>
                    <w:wordWrap w:val="0"/>
                    <w:topLinePunct/>
                    <w:jc w:val="center"/>
                    <w:rPr>
                      <w:snapToGrid w:val="0"/>
                      <w:spacing w:val="4"/>
                      <w:sz w:val="21"/>
                      <w:szCs w:val="21"/>
                      <w:u w:val="single"/>
                    </w:rPr>
                  </w:pPr>
                  <w:r>
                    <w:rPr>
                      <w:rFonts w:hint="eastAsia"/>
                      <w:snapToGrid w:val="0"/>
                      <w:spacing w:val="4"/>
                      <w:sz w:val="21"/>
                      <w:szCs w:val="21"/>
                      <w:u w:val="single"/>
                    </w:rPr>
                    <w:t>0.226</w:t>
                  </w:r>
                </w:p>
              </w:tc>
            </w:tr>
            <w:tr w14:paraId="3127B7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restart"/>
                  <w:vAlign w:val="center"/>
                </w:tcPr>
                <w:p w14:paraId="5B734786">
                  <w:pPr>
                    <w:wordWrap w:val="0"/>
                    <w:topLinePunct/>
                    <w:jc w:val="center"/>
                    <w:rPr>
                      <w:rFonts w:hint="eastAsia" w:eastAsia="宋体"/>
                      <w:snapToGrid w:val="0"/>
                      <w:spacing w:val="4"/>
                      <w:sz w:val="21"/>
                      <w:szCs w:val="21"/>
                      <w:u w:val="single"/>
                      <w:lang w:eastAsia="zh-CN"/>
                    </w:rPr>
                  </w:pPr>
                  <w:r>
                    <w:rPr>
                      <w:rFonts w:hint="eastAsia"/>
                      <w:snapToGrid w:val="0"/>
                      <w:spacing w:val="4"/>
                      <w:sz w:val="21"/>
                      <w:szCs w:val="21"/>
                      <w:u w:val="single"/>
                    </w:rPr>
                    <w:t>DA00</w:t>
                  </w:r>
                  <w:r>
                    <w:rPr>
                      <w:rFonts w:hint="eastAsia"/>
                      <w:snapToGrid w:val="0"/>
                      <w:spacing w:val="4"/>
                      <w:sz w:val="21"/>
                      <w:szCs w:val="21"/>
                      <w:u w:val="single"/>
                      <w:lang w:val="en-US" w:eastAsia="zh-CN"/>
                    </w:rPr>
                    <w:t>2</w:t>
                  </w:r>
                </w:p>
              </w:tc>
              <w:tc>
                <w:tcPr>
                  <w:tcW w:w="461" w:type="pct"/>
                  <w:vMerge w:val="restart"/>
                  <w:vAlign w:val="center"/>
                </w:tcPr>
                <w:p w14:paraId="4FBC6EEE">
                  <w:pPr>
                    <w:wordWrap w:val="0"/>
                    <w:topLinePunct/>
                    <w:jc w:val="center"/>
                    <w:rPr>
                      <w:rFonts w:hint="eastAsia" w:eastAsia="宋体"/>
                      <w:snapToGrid w:val="0"/>
                      <w:spacing w:val="4"/>
                      <w:sz w:val="21"/>
                      <w:szCs w:val="21"/>
                      <w:u w:val="single"/>
                      <w:lang w:eastAsia="zh-CN"/>
                    </w:rPr>
                  </w:pPr>
                  <w:r>
                    <w:rPr>
                      <w:rFonts w:hint="eastAsia"/>
                      <w:snapToGrid w:val="0"/>
                      <w:spacing w:val="4"/>
                      <w:sz w:val="21"/>
                      <w:szCs w:val="21"/>
                      <w:highlight w:val="none"/>
                      <w:u w:val="single"/>
                    </w:rPr>
                    <w:t>天然气</w:t>
                  </w:r>
                  <w:r>
                    <w:rPr>
                      <w:rFonts w:hint="eastAsia"/>
                      <w:snapToGrid w:val="0"/>
                      <w:spacing w:val="4"/>
                      <w:sz w:val="21"/>
                      <w:szCs w:val="21"/>
                      <w:highlight w:val="none"/>
                      <w:u w:val="single"/>
                      <w:lang w:eastAsia="zh-CN"/>
                    </w:rPr>
                    <w:t>燃烧</w:t>
                  </w:r>
                </w:p>
              </w:tc>
              <w:tc>
                <w:tcPr>
                  <w:tcW w:w="502" w:type="pct"/>
                  <w:vAlign w:val="center"/>
                </w:tcPr>
                <w:p w14:paraId="35E34422">
                  <w:pPr>
                    <w:wordWrap w:val="0"/>
                    <w:topLinePunct/>
                    <w:jc w:val="center"/>
                    <w:rPr>
                      <w:snapToGrid w:val="0"/>
                      <w:spacing w:val="4"/>
                      <w:sz w:val="21"/>
                      <w:szCs w:val="21"/>
                      <w:u w:val="single"/>
                    </w:rPr>
                  </w:pPr>
                  <w:r>
                    <w:rPr>
                      <w:rFonts w:hint="eastAsia"/>
                      <w:snapToGrid w:val="0"/>
                      <w:spacing w:val="4"/>
                      <w:sz w:val="21"/>
                      <w:szCs w:val="21"/>
                      <w:u w:val="single"/>
                    </w:rPr>
                    <w:t>SO</w:t>
                  </w:r>
                  <w:r>
                    <w:rPr>
                      <w:rFonts w:hint="eastAsia"/>
                      <w:snapToGrid w:val="0"/>
                      <w:spacing w:val="4"/>
                      <w:sz w:val="21"/>
                      <w:szCs w:val="21"/>
                      <w:u w:val="single"/>
                      <w:vertAlign w:val="subscript"/>
                    </w:rPr>
                    <w:t>2</w:t>
                  </w:r>
                </w:p>
              </w:tc>
              <w:tc>
                <w:tcPr>
                  <w:tcW w:w="418" w:type="pct"/>
                  <w:vAlign w:val="center"/>
                </w:tcPr>
                <w:p w14:paraId="69573186">
                  <w:pPr>
                    <w:wordWrap w:val="0"/>
                    <w:topLinePunct/>
                    <w:jc w:val="center"/>
                    <w:rPr>
                      <w:rFonts w:hint="default" w:eastAsia="宋体"/>
                      <w:snapToGrid w:val="0"/>
                      <w:spacing w:val="4"/>
                      <w:sz w:val="21"/>
                      <w:szCs w:val="21"/>
                      <w:u w:val="single"/>
                      <w:lang w:val="en-US" w:eastAsia="zh-CN"/>
                    </w:rPr>
                  </w:pPr>
                  <w:r>
                    <w:rPr>
                      <w:rFonts w:hint="eastAsia"/>
                      <w:snapToGrid w:val="0"/>
                      <w:spacing w:val="4"/>
                      <w:sz w:val="21"/>
                      <w:szCs w:val="21"/>
                      <w:u w:val="single"/>
                      <w:lang w:val="en-US" w:eastAsia="zh-CN"/>
                    </w:rPr>
                    <w:t>19.4</w:t>
                  </w:r>
                </w:p>
              </w:tc>
              <w:tc>
                <w:tcPr>
                  <w:tcW w:w="436" w:type="pct"/>
                  <w:vAlign w:val="center"/>
                </w:tcPr>
                <w:p w14:paraId="3E0B8630">
                  <w:pPr>
                    <w:wordWrap w:val="0"/>
                    <w:topLinePunct/>
                    <w:jc w:val="center"/>
                    <w:rPr>
                      <w:rFonts w:hint="default" w:eastAsia="宋体"/>
                      <w:snapToGrid w:val="0"/>
                      <w:spacing w:val="4"/>
                      <w:sz w:val="21"/>
                      <w:szCs w:val="21"/>
                      <w:u w:val="single"/>
                      <w:lang w:val="en-US" w:eastAsia="zh-CN"/>
                    </w:rPr>
                  </w:pPr>
                  <w:r>
                    <w:rPr>
                      <w:rFonts w:hint="eastAsia"/>
                      <w:snapToGrid w:val="0"/>
                      <w:spacing w:val="4"/>
                      <w:sz w:val="21"/>
                      <w:szCs w:val="21"/>
                      <w:u w:val="single"/>
                      <w:lang w:val="en-US" w:eastAsia="zh-CN"/>
                    </w:rPr>
                    <w:t>0.009</w:t>
                  </w:r>
                </w:p>
              </w:tc>
              <w:tc>
                <w:tcPr>
                  <w:tcW w:w="395" w:type="pct"/>
                  <w:vAlign w:val="center"/>
                </w:tcPr>
                <w:p w14:paraId="55790AE6">
                  <w:pPr>
                    <w:wordWrap w:val="0"/>
                    <w:topLinePunct/>
                    <w:jc w:val="center"/>
                    <w:rPr>
                      <w:rFonts w:hint="default" w:eastAsia="宋体"/>
                      <w:snapToGrid w:val="0"/>
                      <w:spacing w:val="4"/>
                      <w:sz w:val="21"/>
                      <w:szCs w:val="21"/>
                      <w:u w:val="single"/>
                      <w:lang w:val="en-US" w:eastAsia="zh-CN"/>
                    </w:rPr>
                  </w:pPr>
                  <w:r>
                    <w:rPr>
                      <w:rFonts w:hint="eastAsia"/>
                      <w:snapToGrid w:val="0"/>
                      <w:spacing w:val="4"/>
                      <w:sz w:val="21"/>
                      <w:szCs w:val="21"/>
                      <w:u w:val="single"/>
                      <w:lang w:val="en-US" w:eastAsia="zh-CN"/>
                    </w:rPr>
                    <w:t>0.07</w:t>
                  </w:r>
                </w:p>
              </w:tc>
              <w:tc>
                <w:tcPr>
                  <w:tcW w:w="626" w:type="pct"/>
                  <w:vMerge w:val="restart"/>
                  <w:vAlign w:val="center"/>
                </w:tcPr>
                <w:p w14:paraId="685E4871">
                  <w:pPr>
                    <w:wordWrap w:val="0"/>
                    <w:topLinePunct/>
                    <w:jc w:val="center"/>
                    <w:rPr>
                      <w:snapToGrid w:val="0"/>
                      <w:spacing w:val="4"/>
                      <w:sz w:val="21"/>
                      <w:szCs w:val="21"/>
                      <w:u w:val="single"/>
                    </w:rPr>
                  </w:pPr>
                  <w:r>
                    <w:rPr>
                      <w:rFonts w:hint="eastAsia"/>
                      <w:snapToGrid w:val="0"/>
                      <w:spacing w:val="4"/>
                      <w:sz w:val="21"/>
                      <w:szCs w:val="21"/>
                      <w:u w:val="single"/>
                    </w:rPr>
                    <w:t>/</w:t>
                  </w:r>
                </w:p>
              </w:tc>
              <w:tc>
                <w:tcPr>
                  <w:tcW w:w="448" w:type="pct"/>
                  <w:vAlign w:val="center"/>
                </w:tcPr>
                <w:p w14:paraId="7838A61B">
                  <w:pPr>
                    <w:wordWrap w:val="0"/>
                    <w:topLinePunct/>
                    <w:jc w:val="center"/>
                    <w:rPr>
                      <w:snapToGrid w:val="0"/>
                      <w:spacing w:val="4"/>
                      <w:sz w:val="21"/>
                      <w:szCs w:val="21"/>
                      <w:u w:val="single"/>
                    </w:rPr>
                  </w:pPr>
                  <w:r>
                    <w:rPr>
                      <w:rFonts w:hint="eastAsia"/>
                      <w:snapToGrid w:val="0"/>
                      <w:spacing w:val="4"/>
                      <w:sz w:val="21"/>
                      <w:szCs w:val="21"/>
                      <w:u w:val="single"/>
                    </w:rPr>
                    <w:t>/</w:t>
                  </w:r>
                </w:p>
              </w:tc>
              <w:tc>
                <w:tcPr>
                  <w:tcW w:w="399" w:type="pct"/>
                  <w:vAlign w:val="center"/>
                </w:tcPr>
                <w:p w14:paraId="17EB00C9">
                  <w:pPr>
                    <w:wordWrap w:val="0"/>
                    <w:topLinePunct/>
                    <w:jc w:val="center"/>
                    <w:rPr>
                      <w:snapToGrid w:val="0"/>
                      <w:spacing w:val="4"/>
                      <w:sz w:val="21"/>
                      <w:szCs w:val="21"/>
                      <w:u w:val="single"/>
                    </w:rPr>
                  </w:pPr>
                  <w:r>
                    <w:rPr>
                      <w:rFonts w:hint="eastAsia"/>
                      <w:snapToGrid w:val="0"/>
                      <w:spacing w:val="4"/>
                      <w:sz w:val="21"/>
                      <w:szCs w:val="21"/>
                      <w:u w:val="single"/>
                      <w:lang w:val="en-US" w:eastAsia="zh-CN"/>
                    </w:rPr>
                    <w:t>19.4</w:t>
                  </w:r>
                </w:p>
              </w:tc>
              <w:tc>
                <w:tcPr>
                  <w:tcW w:w="476" w:type="pct"/>
                  <w:vAlign w:val="center"/>
                </w:tcPr>
                <w:p w14:paraId="1748BAA6">
                  <w:pPr>
                    <w:wordWrap w:val="0"/>
                    <w:topLinePunct/>
                    <w:jc w:val="center"/>
                    <w:rPr>
                      <w:snapToGrid w:val="0"/>
                      <w:spacing w:val="4"/>
                      <w:sz w:val="21"/>
                      <w:szCs w:val="21"/>
                      <w:u w:val="single"/>
                    </w:rPr>
                  </w:pPr>
                  <w:r>
                    <w:rPr>
                      <w:rFonts w:hint="eastAsia"/>
                      <w:snapToGrid w:val="0"/>
                      <w:spacing w:val="4"/>
                      <w:sz w:val="21"/>
                      <w:szCs w:val="21"/>
                      <w:u w:val="single"/>
                      <w:lang w:val="en-US" w:eastAsia="zh-CN"/>
                    </w:rPr>
                    <w:t>0.009</w:t>
                  </w:r>
                </w:p>
              </w:tc>
              <w:tc>
                <w:tcPr>
                  <w:tcW w:w="445" w:type="pct"/>
                  <w:vAlign w:val="center"/>
                </w:tcPr>
                <w:p w14:paraId="3C2269AC">
                  <w:pPr>
                    <w:wordWrap w:val="0"/>
                    <w:topLinePunct/>
                    <w:jc w:val="center"/>
                    <w:rPr>
                      <w:snapToGrid w:val="0"/>
                      <w:spacing w:val="4"/>
                      <w:sz w:val="21"/>
                      <w:szCs w:val="21"/>
                      <w:u w:val="single"/>
                    </w:rPr>
                  </w:pPr>
                  <w:r>
                    <w:rPr>
                      <w:rFonts w:hint="eastAsia"/>
                      <w:snapToGrid w:val="0"/>
                      <w:spacing w:val="4"/>
                      <w:sz w:val="21"/>
                      <w:szCs w:val="21"/>
                      <w:u w:val="single"/>
                      <w:lang w:val="en-US" w:eastAsia="zh-CN"/>
                    </w:rPr>
                    <w:t>0.07</w:t>
                  </w:r>
                </w:p>
              </w:tc>
            </w:tr>
            <w:tr w14:paraId="7B627D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vAlign w:val="center"/>
                </w:tcPr>
                <w:p w14:paraId="19F5499F">
                  <w:pPr>
                    <w:wordWrap w:val="0"/>
                    <w:topLinePunct/>
                    <w:jc w:val="center"/>
                    <w:rPr>
                      <w:snapToGrid w:val="0"/>
                      <w:spacing w:val="4"/>
                      <w:sz w:val="21"/>
                      <w:szCs w:val="21"/>
                      <w:u w:val="single"/>
                    </w:rPr>
                  </w:pPr>
                </w:p>
              </w:tc>
              <w:tc>
                <w:tcPr>
                  <w:tcW w:w="461" w:type="pct"/>
                  <w:vMerge w:val="continue"/>
                  <w:vAlign w:val="center"/>
                </w:tcPr>
                <w:p w14:paraId="71D559A4">
                  <w:pPr>
                    <w:wordWrap w:val="0"/>
                    <w:topLinePunct/>
                    <w:jc w:val="center"/>
                    <w:rPr>
                      <w:snapToGrid w:val="0"/>
                      <w:spacing w:val="4"/>
                      <w:sz w:val="21"/>
                      <w:szCs w:val="21"/>
                      <w:u w:val="single"/>
                    </w:rPr>
                  </w:pPr>
                </w:p>
              </w:tc>
              <w:tc>
                <w:tcPr>
                  <w:tcW w:w="502" w:type="pct"/>
                  <w:vAlign w:val="center"/>
                </w:tcPr>
                <w:p w14:paraId="6031E457">
                  <w:pPr>
                    <w:wordWrap w:val="0"/>
                    <w:topLinePunct/>
                    <w:jc w:val="center"/>
                    <w:rPr>
                      <w:snapToGrid w:val="0"/>
                      <w:spacing w:val="4"/>
                      <w:sz w:val="21"/>
                      <w:szCs w:val="21"/>
                      <w:u w:val="single"/>
                    </w:rPr>
                  </w:pPr>
                  <w:r>
                    <w:rPr>
                      <w:rFonts w:hint="eastAsia"/>
                      <w:snapToGrid w:val="0"/>
                      <w:spacing w:val="4"/>
                      <w:sz w:val="21"/>
                      <w:szCs w:val="21"/>
                      <w:u w:val="single"/>
                    </w:rPr>
                    <w:t>NO</w:t>
                  </w:r>
                  <w:r>
                    <w:rPr>
                      <w:rFonts w:hint="eastAsia"/>
                      <w:snapToGrid w:val="0"/>
                      <w:spacing w:val="4"/>
                      <w:sz w:val="21"/>
                      <w:szCs w:val="21"/>
                      <w:u w:val="single"/>
                      <w:vertAlign w:val="subscript"/>
                    </w:rPr>
                    <w:t>X</w:t>
                  </w:r>
                </w:p>
              </w:tc>
              <w:tc>
                <w:tcPr>
                  <w:tcW w:w="418" w:type="pct"/>
                  <w:vAlign w:val="center"/>
                </w:tcPr>
                <w:p w14:paraId="3E391B13">
                  <w:pPr>
                    <w:wordWrap w:val="0"/>
                    <w:topLinePunct/>
                    <w:jc w:val="center"/>
                    <w:rPr>
                      <w:rFonts w:hint="default" w:eastAsia="宋体"/>
                      <w:snapToGrid w:val="0"/>
                      <w:spacing w:val="4"/>
                      <w:sz w:val="21"/>
                      <w:szCs w:val="21"/>
                      <w:u w:val="single"/>
                      <w:lang w:val="en-US" w:eastAsia="zh-CN"/>
                    </w:rPr>
                  </w:pPr>
                  <w:r>
                    <w:rPr>
                      <w:rFonts w:hint="eastAsia"/>
                      <w:snapToGrid w:val="0"/>
                      <w:spacing w:val="4"/>
                      <w:sz w:val="21"/>
                      <w:szCs w:val="21"/>
                      <w:u w:val="single"/>
                      <w:lang w:val="en-US" w:eastAsia="zh-CN"/>
                    </w:rPr>
                    <w:t>66.81</w:t>
                  </w:r>
                </w:p>
              </w:tc>
              <w:tc>
                <w:tcPr>
                  <w:tcW w:w="436" w:type="pct"/>
                  <w:vAlign w:val="center"/>
                </w:tcPr>
                <w:p w14:paraId="5E3BBF69">
                  <w:pPr>
                    <w:wordWrap w:val="0"/>
                    <w:topLinePunct/>
                    <w:jc w:val="center"/>
                    <w:rPr>
                      <w:rFonts w:hint="default" w:eastAsia="宋体"/>
                      <w:snapToGrid w:val="0"/>
                      <w:spacing w:val="4"/>
                      <w:sz w:val="21"/>
                      <w:szCs w:val="21"/>
                      <w:u w:val="single"/>
                      <w:lang w:val="en-US" w:eastAsia="zh-CN"/>
                    </w:rPr>
                  </w:pPr>
                  <w:r>
                    <w:rPr>
                      <w:rFonts w:hint="eastAsia"/>
                      <w:snapToGrid w:val="0"/>
                      <w:spacing w:val="4"/>
                      <w:sz w:val="21"/>
                      <w:szCs w:val="21"/>
                      <w:u w:val="single"/>
                      <w:lang w:val="en-US" w:eastAsia="zh-CN"/>
                    </w:rPr>
                    <w:t>0.031</w:t>
                  </w:r>
                </w:p>
              </w:tc>
              <w:tc>
                <w:tcPr>
                  <w:tcW w:w="395" w:type="pct"/>
                  <w:vAlign w:val="center"/>
                </w:tcPr>
                <w:p w14:paraId="2885A2A8">
                  <w:pPr>
                    <w:wordWrap w:val="0"/>
                    <w:topLinePunct/>
                    <w:jc w:val="center"/>
                    <w:rPr>
                      <w:rFonts w:hint="default" w:eastAsia="宋体"/>
                      <w:snapToGrid w:val="0"/>
                      <w:spacing w:val="4"/>
                      <w:sz w:val="21"/>
                      <w:szCs w:val="21"/>
                      <w:u w:val="single"/>
                      <w:lang w:val="en-US" w:eastAsia="zh-CN"/>
                    </w:rPr>
                  </w:pPr>
                  <w:r>
                    <w:rPr>
                      <w:rFonts w:hint="eastAsia"/>
                      <w:snapToGrid w:val="0"/>
                      <w:spacing w:val="4"/>
                      <w:sz w:val="21"/>
                      <w:szCs w:val="21"/>
                      <w:u w:val="single"/>
                      <w:lang w:val="en-US" w:eastAsia="zh-CN"/>
                    </w:rPr>
                    <w:t>0.244</w:t>
                  </w:r>
                </w:p>
              </w:tc>
              <w:tc>
                <w:tcPr>
                  <w:tcW w:w="626" w:type="pct"/>
                  <w:vMerge w:val="continue"/>
                  <w:vAlign w:val="center"/>
                </w:tcPr>
                <w:p w14:paraId="6E1F7CE4">
                  <w:pPr>
                    <w:wordWrap w:val="0"/>
                    <w:topLinePunct/>
                    <w:jc w:val="center"/>
                    <w:rPr>
                      <w:snapToGrid w:val="0"/>
                      <w:spacing w:val="4"/>
                      <w:sz w:val="21"/>
                      <w:szCs w:val="21"/>
                      <w:u w:val="single"/>
                    </w:rPr>
                  </w:pPr>
                </w:p>
              </w:tc>
              <w:tc>
                <w:tcPr>
                  <w:tcW w:w="448" w:type="pct"/>
                  <w:vAlign w:val="center"/>
                </w:tcPr>
                <w:p w14:paraId="3B442387">
                  <w:pPr>
                    <w:wordWrap w:val="0"/>
                    <w:topLinePunct/>
                    <w:jc w:val="center"/>
                    <w:rPr>
                      <w:snapToGrid w:val="0"/>
                      <w:spacing w:val="4"/>
                      <w:sz w:val="21"/>
                      <w:szCs w:val="21"/>
                      <w:u w:val="single"/>
                    </w:rPr>
                  </w:pPr>
                  <w:r>
                    <w:rPr>
                      <w:rFonts w:hint="eastAsia"/>
                      <w:snapToGrid w:val="0"/>
                      <w:spacing w:val="4"/>
                      <w:sz w:val="21"/>
                      <w:szCs w:val="21"/>
                      <w:u w:val="single"/>
                    </w:rPr>
                    <w:t>/</w:t>
                  </w:r>
                </w:p>
              </w:tc>
              <w:tc>
                <w:tcPr>
                  <w:tcW w:w="399" w:type="pct"/>
                  <w:vAlign w:val="center"/>
                </w:tcPr>
                <w:p w14:paraId="70BA9D0B">
                  <w:pPr>
                    <w:wordWrap w:val="0"/>
                    <w:topLinePunct/>
                    <w:jc w:val="center"/>
                    <w:rPr>
                      <w:snapToGrid w:val="0"/>
                      <w:spacing w:val="4"/>
                      <w:sz w:val="21"/>
                      <w:szCs w:val="21"/>
                      <w:u w:val="single"/>
                    </w:rPr>
                  </w:pPr>
                  <w:r>
                    <w:rPr>
                      <w:rFonts w:hint="eastAsia"/>
                      <w:snapToGrid w:val="0"/>
                      <w:spacing w:val="4"/>
                      <w:sz w:val="21"/>
                      <w:szCs w:val="21"/>
                      <w:u w:val="single"/>
                      <w:lang w:val="en-US" w:eastAsia="zh-CN"/>
                    </w:rPr>
                    <w:t>66.81</w:t>
                  </w:r>
                </w:p>
              </w:tc>
              <w:tc>
                <w:tcPr>
                  <w:tcW w:w="476" w:type="pct"/>
                  <w:vAlign w:val="center"/>
                </w:tcPr>
                <w:p w14:paraId="6C8313BF">
                  <w:pPr>
                    <w:wordWrap w:val="0"/>
                    <w:topLinePunct/>
                    <w:jc w:val="center"/>
                    <w:rPr>
                      <w:snapToGrid w:val="0"/>
                      <w:spacing w:val="4"/>
                      <w:sz w:val="21"/>
                      <w:szCs w:val="21"/>
                      <w:u w:val="single"/>
                    </w:rPr>
                  </w:pPr>
                  <w:r>
                    <w:rPr>
                      <w:rFonts w:hint="eastAsia"/>
                      <w:snapToGrid w:val="0"/>
                      <w:spacing w:val="4"/>
                      <w:sz w:val="21"/>
                      <w:szCs w:val="21"/>
                      <w:u w:val="single"/>
                      <w:lang w:val="en-US" w:eastAsia="zh-CN"/>
                    </w:rPr>
                    <w:t>0.031</w:t>
                  </w:r>
                </w:p>
              </w:tc>
              <w:tc>
                <w:tcPr>
                  <w:tcW w:w="445" w:type="pct"/>
                  <w:vAlign w:val="center"/>
                </w:tcPr>
                <w:p w14:paraId="6A4AF884">
                  <w:pPr>
                    <w:wordWrap w:val="0"/>
                    <w:topLinePunct/>
                    <w:jc w:val="center"/>
                    <w:rPr>
                      <w:snapToGrid w:val="0"/>
                      <w:spacing w:val="4"/>
                      <w:sz w:val="21"/>
                      <w:szCs w:val="21"/>
                      <w:u w:val="single"/>
                    </w:rPr>
                  </w:pPr>
                  <w:r>
                    <w:rPr>
                      <w:rFonts w:hint="eastAsia"/>
                      <w:snapToGrid w:val="0"/>
                      <w:spacing w:val="4"/>
                      <w:sz w:val="21"/>
                      <w:szCs w:val="21"/>
                      <w:u w:val="single"/>
                      <w:lang w:val="en-US" w:eastAsia="zh-CN"/>
                    </w:rPr>
                    <w:t>0.244</w:t>
                  </w:r>
                </w:p>
              </w:tc>
            </w:tr>
            <w:tr w14:paraId="08AEA7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vAlign w:val="center"/>
                </w:tcPr>
                <w:p w14:paraId="182AB520">
                  <w:pPr>
                    <w:wordWrap w:val="0"/>
                    <w:topLinePunct/>
                    <w:jc w:val="center"/>
                    <w:rPr>
                      <w:snapToGrid w:val="0"/>
                      <w:spacing w:val="4"/>
                      <w:sz w:val="21"/>
                      <w:szCs w:val="21"/>
                      <w:u w:val="single"/>
                    </w:rPr>
                  </w:pPr>
                </w:p>
              </w:tc>
              <w:tc>
                <w:tcPr>
                  <w:tcW w:w="461" w:type="pct"/>
                  <w:vMerge w:val="continue"/>
                  <w:vAlign w:val="center"/>
                </w:tcPr>
                <w:p w14:paraId="66E3D609">
                  <w:pPr>
                    <w:wordWrap w:val="0"/>
                    <w:topLinePunct/>
                    <w:jc w:val="center"/>
                    <w:rPr>
                      <w:snapToGrid w:val="0"/>
                      <w:spacing w:val="4"/>
                      <w:sz w:val="21"/>
                      <w:szCs w:val="21"/>
                      <w:u w:val="single"/>
                    </w:rPr>
                  </w:pPr>
                </w:p>
              </w:tc>
              <w:tc>
                <w:tcPr>
                  <w:tcW w:w="502" w:type="pct"/>
                  <w:vAlign w:val="center"/>
                </w:tcPr>
                <w:p w14:paraId="5693A43B">
                  <w:pPr>
                    <w:wordWrap w:val="0"/>
                    <w:topLinePunct/>
                    <w:jc w:val="center"/>
                    <w:rPr>
                      <w:snapToGrid w:val="0"/>
                      <w:spacing w:val="4"/>
                      <w:sz w:val="21"/>
                      <w:szCs w:val="21"/>
                      <w:u w:val="single"/>
                    </w:rPr>
                  </w:pPr>
                  <w:r>
                    <w:rPr>
                      <w:rFonts w:hint="eastAsia"/>
                      <w:snapToGrid w:val="0"/>
                      <w:spacing w:val="4"/>
                      <w:sz w:val="21"/>
                      <w:szCs w:val="21"/>
                      <w:u w:val="single"/>
                    </w:rPr>
                    <w:t>颗粒物</w:t>
                  </w:r>
                </w:p>
              </w:tc>
              <w:tc>
                <w:tcPr>
                  <w:tcW w:w="418" w:type="pct"/>
                  <w:vAlign w:val="center"/>
                </w:tcPr>
                <w:p w14:paraId="4E9834D7">
                  <w:pPr>
                    <w:wordWrap w:val="0"/>
                    <w:topLinePunct/>
                    <w:jc w:val="center"/>
                    <w:rPr>
                      <w:rFonts w:hint="default" w:eastAsia="宋体"/>
                      <w:snapToGrid w:val="0"/>
                      <w:spacing w:val="4"/>
                      <w:sz w:val="21"/>
                      <w:szCs w:val="21"/>
                      <w:u w:val="single"/>
                      <w:lang w:val="en-US" w:eastAsia="zh-CN"/>
                    </w:rPr>
                  </w:pPr>
                  <w:r>
                    <w:rPr>
                      <w:rFonts w:hint="eastAsia"/>
                      <w:snapToGrid w:val="0"/>
                      <w:spacing w:val="4"/>
                      <w:sz w:val="21"/>
                      <w:szCs w:val="21"/>
                      <w:u w:val="single"/>
                      <w:lang w:val="en-US" w:eastAsia="zh-CN"/>
                    </w:rPr>
                    <w:t>10.78</w:t>
                  </w:r>
                </w:p>
              </w:tc>
              <w:tc>
                <w:tcPr>
                  <w:tcW w:w="436" w:type="pct"/>
                  <w:vAlign w:val="center"/>
                </w:tcPr>
                <w:p w14:paraId="20F2AFA5">
                  <w:pPr>
                    <w:wordWrap w:val="0"/>
                    <w:topLinePunct/>
                    <w:jc w:val="center"/>
                    <w:rPr>
                      <w:rFonts w:hint="default" w:eastAsia="宋体"/>
                      <w:snapToGrid w:val="0"/>
                      <w:spacing w:val="4"/>
                      <w:sz w:val="21"/>
                      <w:szCs w:val="21"/>
                      <w:u w:val="single"/>
                      <w:lang w:val="en-US" w:eastAsia="zh-CN"/>
                    </w:rPr>
                  </w:pPr>
                  <w:r>
                    <w:rPr>
                      <w:rFonts w:hint="eastAsia"/>
                      <w:snapToGrid w:val="0"/>
                      <w:spacing w:val="4"/>
                      <w:sz w:val="21"/>
                      <w:szCs w:val="21"/>
                      <w:u w:val="single"/>
                      <w:lang w:val="en-US" w:eastAsia="zh-CN"/>
                    </w:rPr>
                    <w:t>0.005</w:t>
                  </w:r>
                </w:p>
              </w:tc>
              <w:tc>
                <w:tcPr>
                  <w:tcW w:w="395" w:type="pct"/>
                  <w:vAlign w:val="center"/>
                </w:tcPr>
                <w:p w14:paraId="5454A0AF">
                  <w:pPr>
                    <w:wordWrap w:val="0"/>
                    <w:topLinePunct/>
                    <w:jc w:val="center"/>
                    <w:rPr>
                      <w:rFonts w:hint="default" w:eastAsia="宋体"/>
                      <w:snapToGrid w:val="0"/>
                      <w:spacing w:val="4"/>
                      <w:sz w:val="21"/>
                      <w:szCs w:val="21"/>
                      <w:u w:val="single"/>
                      <w:lang w:val="en-US" w:eastAsia="zh-CN"/>
                    </w:rPr>
                  </w:pPr>
                  <w:r>
                    <w:rPr>
                      <w:rFonts w:hint="eastAsia"/>
                      <w:snapToGrid w:val="0"/>
                      <w:spacing w:val="4"/>
                      <w:sz w:val="21"/>
                      <w:szCs w:val="21"/>
                      <w:u w:val="single"/>
                      <w:lang w:val="en-US" w:eastAsia="zh-CN"/>
                    </w:rPr>
                    <w:t>0.041</w:t>
                  </w:r>
                </w:p>
              </w:tc>
              <w:tc>
                <w:tcPr>
                  <w:tcW w:w="626" w:type="pct"/>
                  <w:vMerge w:val="continue"/>
                  <w:vAlign w:val="center"/>
                </w:tcPr>
                <w:p w14:paraId="111A2AAC">
                  <w:pPr>
                    <w:wordWrap w:val="0"/>
                    <w:topLinePunct/>
                    <w:jc w:val="center"/>
                    <w:rPr>
                      <w:snapToGrid w:val="0"/>
                      <w:spacing w:val="4"/>
                      <w:sz w:val="21"/>
                      <w:szCs w:val="21"/>
                      <w:u w:val="single"/>
                    </w:rPr>
                  </w:pPr>
                </w:p>
              </w:tc>
              <w:tc>
                <w:tcPr>
                  <w:tcW w:w="448" w:type="pct"/>
                  <w:vAlign w:val="center"/>
                </w:tcPr>
                <w:p w14:paraId="59A16D0D">
                  <w:pPr>
                    <w:wordWrap w:val="0"/>
                    <w:topLinePunct/>
                    <w:jc w:val="center"/>
                    <w:rPr>
                      <w:snapToGrid w:val="0"/>
                      <w:spacing w:val="4"/>
                      <w:sz w:val="21"/>
                      <w:szCs w:val="21"/>
                      <w:u w:val="single"/>
                    </w:rPr>
                  </w:pPr>
                  <w:r>
                    <w:rPr>
                      <w:rFonts w:hint="eastAsia"/>
                      <w:snapToGrid w:val="0"/>
                      <w:spacing w:val="4"/>
                      <w:sz w:val="21"/>
                      <w:szCs w:val="21"/>
                      <w:u w:val="single"/>
                    </w:rPr>
                    <w:t>/</w:t>
                  </w:r>
                </w:p>
              </w:tc>
              <w:tc>
                <w:tcPr>
                  <w:tcW w:w="399" w:type="pct"/>
                  <w:vAlign w:val="center"/>
                </w:tcPr>
                <w:p w14:paraId="7AF4E2FA">
                  <w:pPr>
                    <w:wordWrap w:val="0"/>
                    <w:topLinePunct/>
                    <w:jc w:val="center"/>
                    <w:rPr>
                      <w:snapToGrid w:val="0"/>
                      <w:spacing w:val="4"/>
                      <w:sz w:val="21"/>
                      <w:szCs w:val="21"/>
                      <w:u w:val="single"/>
                    </w:rPr>
                  </w:pPr>
                  <w:r>
                    <w:rPr>
                      <w:rFonts w:hint="eastAsia"/>
                      <w:snapToGrid w:val="0"/>
                      <w:spacing w:val="4"/>
                      <w:sz w:val="21"/>
                      <w:szCs w:val="21"/>
                      <w:u w:val="single"/>
                      <w:lang w:val="en-US" w:eastAsia="zh-CN"/>
                    </w:rPr>
                    <w:t>10.78</w:t>
                  </w:r>
                </w:p>
              </w:tc>
              <w:tc>
                <w:tcPr>
                  <w:tcW w:w="476" w:type="pct"/>
                  <w:vAlign w:val="center"/>
                </w:tcPr>
                <w:p w14:paraId="44D6B866">
                  <w:pPr>
                    <w:wordWrap w:val="0"/>
                    <w:topLinePunct/>
                    <w:jc w:val="center"/>
                    <w:rPr>
                      <w:snapToGrid w:val="0"/>
                      <w:spacing w:val="4"/>
                      <w:sz w:val="21"/>
                      <w:szCs w:val="21"/>
                      <w:u w:val="single"/>
                    </w:rPr>
                  </w:pPr>
                  <w:r>
                    <w:rPr>
                      <w:rFonts w:hint="eastAsia"/>
                      <w:snapToGrid w:val="0"/>
                      <w:spacing w:val="4"/>
                      <w:sz w:val="21"/>
                      <w:szCs w:val="21"/>
                      <w:u w:val="single"/>
                      <w:lang w:val="en-US" w:eastAsia="zh-CN"/>
                    </w:rPr>
                    <w:t>0.005</w:t>
                  </w:r>
                </w:p>
              </w:tc>
              <w:tc>
                <w:tcPr>
                  <w:tcW w:w="445" w:type="pct"/>
                  <w:vAlign w:val="center"/>
                </w:tcPr>
                <w:p w14:paraId="3DB9A32C">
                  <w:pPr>
                    <w:wordWrap w:val="0"/>
                    <w:topLinePunct/>
                    <w:jc w:val="center"/>
                    <w:rPr>
                      <w:snapToGrid w:val="0"/>
                      <w:spacing w:val="4"/>
                      <w:sz w:val="21"/>
                      <w:szCs w:val="21"/>
                      <w:u w:val="single"/>
                    </w:rPr>
                  </w:pPr>
                  <w:r>
                    <w:rPr>
                      <w:rFonts w:hint="eastAsia"/>
                      <w:snapToGrid w:val="0"/>
                      <w:spacing w:val="4"/>
                      <w:sz w:val="21"/>
                      <w:szCs w:val="21"/>
                      <w:u w:val="single"/>
                      <w:lang w:val="en-US" w:eastAsia="zh-CN"/>
                    </w:rPr>
                    <w:t>0.041</w:t>
                  </w:r>
                </w:p>
              </w:tc>
            </w:tr>
            <w:tr w14:paraId="55900D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restart"/>
                  <w:vAlign w:val="center"/>
                </w:tcPr>
                <w:p w14:paraId="35486E93">
                  <w:pPr>
                    <w:wordWrap w:val="0"/>
                    <w:topLinePunct/>
                    <w:jc w:val="center"/>
                    <w:rPr>
                      <w:snapToGrid w:val="0"/>
                      <w:spacing w:val="4"/>
                      <w:sz w:val="21"/>
                      <w:szCs w:val="21"/>
                      <w:u w:val="single"/>
                    </w:rPr>
                  </w:pPr>
                  <w:r>
                    <w:rPr>
                      <w:rFonts w:hint="eastAsia"/>
                      <w:snapToGrid w:val="0"/>
                      <w:spacing w:val="4"/>
                      <w:sz w:val="21"/>
                      <w:szCs w:val="21"/>
                      <w:u w:val="single"/>
                    </w:rPr>
                    <w:t>车间无组织</w:t>
                  </w:r>
                </w:p>
              </w:tc>
              <w:tc>
                <w:tcPr>
                  <w:tcW w:w="461" w:type="pct"/>
                  <w:vAlign w:val="center"/>
                </w:tcPr>
                <w:p w14:paraId="34068DA9">
                  <w:pPr>
                    <w:wordWrap w:val="0"/>
                    <w:topLinePunct/>
                    <w:jc w:val="center"/>
                    <w:rPr>
                      <w:snapToGrid w:val="0"/>
                      <w:spacing w:val="4"/>
                      <w:sz w:val="21"/>
                      <w:szCs w:val="21"/>
                      <w:u w:val="single"/>
                    </w:rPr>
                  </w:pPr>
                  <w:r>
                    <w:rPr>
                      <w:rFonts w:hint="eastAsia"/>
                      <w:snapToGrid w:val="0"/>
                      <w:spacing w:val="4"/>
                      <w:sz w:val="21"/>
                      <w:szCs w:val="21"/>
                      <w:u w:val="single"/>
                    </w:rPr>
                    <w:t>包装</w:t>
                  </w:r>
                </w:p>
              </w:tc>
              <w:tc>
                <w:tcPr>
                  <w:tcW w:w="502" w:type="pct"/>
                  <w:vAlign w:val="center"/>
                </w:tcPr>
                <w:p w14:paraId="5D998B8A">
                  <w:pPr>
                    <w:wordWrap w:val="0"/>
                    <w:topLinePunct/>
                    <w:jc w:val="center"/>
                    <w:rPr>
                      <w:snapToGrid w:val="0"/>
                      <w:spacing w:val="4"/>
                      <w:sz w:val="21"/>
                      <w:szCs w:val="21"/>
                      <w:u w:val="single"/>
                    </w:rPr>
                  </w:pPr>
                  <w:r>
                    <w:rPr>
                      <w:rFonts w:hint="eastAsia"/>
                      <w:snapToGrid w:val="0"/>
                      <w:spacing w:val="4"/>
                      <w:sz w:val="21"/>
                      <w:szCs w:val="21"/>
                      <w:u w:val="single"/>
                    </w:rPr>
                    <w:t>颗粒物</w:t>
                  </w:r>
                </w:p>
              </w:tc>
              <w:tc>
                <w:tcPr>
                  <w:tcW w:w="418" w:type="pct"/>
                  <w:vAlign w:val="center"/>
                </w:tcPr>
                <w:p w14:paraId="611214AB">
                  <w:pPr>
                    <w:wordWrap w:val="0"/>
                    <w:topLinePunct/>
                    <w:jc w:val="center"/>
                    <w:rPr>
                      <w:snapToGrid w:val="0"/>
                      <w:spacing w:val="4"/>
                      <w:sz w:val="21"/>
                      <w:szCs w:val="21"/>
                      <w:u w:val="single"/>
                    </w:rPr>
                  </w:pPr>
                  <w:r>
                    <w:rPr>
                      <w:rFonts w:hint="eastAsia"/>
                      <w:snapToGrid w:val="0"/>
                      <w:spacing w:val="4"/>
                      <w:sz w:val="21"/>
                      <w:szCs w:val="21"/>
                      <w:u w:val="single"/>
                    </w:rPr>
                    <w:t>/</w:t>
                  </w:r>
                </w:p>
              </w:tc>
              <w:tc>
                <w:tcPr>
                  <w:tcW w:w="436" w:type="pct"/>
                  <w:vAlign w:val="center"/>
                </w:tcPr>
                <w:p w14:paraId="4BAB4744">
                  <w:pPr>
                    <w:wordWrap w:val="0"/>
                    <w:topLinePunct/>
                    <w:jc w:val="center"/>
                    <w:rPr>
                      <w:rFonts w:hint="default" w:eastAsia="宋体"/>
                      <w:snapToGrid w:val="0"/>
                      <w:spacing w:val="4"/>
                      <w:sz w:val="21"/>
                      <w:szCs w:val="21"/>
                      <w:u w:val="single"/>
                      <w:lang w:val="en-US" w:eastAsia="zh-CN"/>
                    </w:rPr>
                  </w:pPr>
                  <w:r>
                    <w:rPr>
                      <w:rFonts w:hint="eastAsia"/>
                      <w:snapToGrid w:val="0"/>
                      <w:spacing w:val="4"/>
                      <w:sz w:val="21"/>
                      <w:szCs w:val="21"/>
                      <w:u w:val="single"/>
                      <w:lang w:val="en-US" w:eastAsia="zh-CN"/>
                    </w:rPr>
                    <w:t>0.75</w:t>
                  </w:r>
                </w:p>
              </w:tc>
              <w:tc>
                <w:tcPr>
                  <w:tcW w:w="395" w:type="pct"/>
                  <w:vAlign w:val="center"/>
                </w:tcPr>
                <w:p w14:paraId="53682C60">
                  <w:pPr>
                    <w:wordWrap w:val="0"/>
                    <w:topLinePunct/>
                    <w:jc w:val="center"/>
                    <w:rPr>
                      <w:rFonts w:hint="eastAsia" w:eastAsia="宋体"/>
                      <w:snapToGrid w:val="0"/>
                      <w:spacing w:val="4"/>
                      <w:sz w:val="21"/>
                      <w:szCs w:val="21"/>
                      <w:u w:val="single"/>
                      <w:lang w:eastAsia="zh-CN"/>
                    </w:rPr>
                  </w:pPr>
                  <w:r>
                    <w:rPr>
                      <w:rFonts w:hint="eastAsia"/>
                      <w:snapToGrid w:val="0"/>
                      <w:spacing w:val="4"/>
                      <w:sz w:val="21"/>
                      <w:szCs w:val="21"/>
                      <w:u w:val="single"/>
                      <w:lang w:val="en-US" w:eastAsia="zh-CN"/>
                    </w:rPr>
                    <w:t>6</w:t>
                  </w:r>
                </w:p>
              </w:tc>
              <w:tc>
                <w:tcPr>
                  <w:tcW w:w="626" w:type="pct"/>
                  <w:vAlign w:val="center"/>
                </w:tcPr>
                <w:p w14:paraId="1293D4AC">
                  <w:pPr>
                    <w:wordWrap w:val="0"/>
                    <w:topLinePunct/>
                    <w:jc w:val="center"/>
                    <w:rPr>
                      <w:snapToGrid w:val="0"/>
                      <w:spacing w:val="4"/>
                      <w:sz w:val="21"/>
                      <w:szCs w:val="21"/>
                      <w:u w:val="single"/>
                    </w:rPr>
                  </w:pPr>
                  <w:r>
                    <w:rPr>
                      <w:rFonts w:hint="eastAsia"/>
                      <w:snapToGrid w:val="0"/>
                      <w:spacing w:val="4"/>
                      <w:sz w:val="21"/>
                      <w:szCs w:val="21"/>
                      <w:u w:val="single"/>
                    </w:rPr>
                    <w:t>/</w:t>
                  </w:r>
                </w:p>
              </w:tc>
              <w:tc>
                <w:tcPr>
                  <w:tcW w:w="448" w:type="pct"/>
                  <w:vAlign w:val="center"/>
                </w:tcPr>
                <w:p w14:paraId="6B234BF4">
                  <w:pPr>
                    <w:wordWrap w:val="0"/>
                    <w:topLinePunct/>
                    <w:jc w:val="center"/>
                    <w:rPr>
                      <w:snapToGrid w:val="0"/>
                      <w:spacing w:val="4"/>
                      <w:sz w:val="21"/>
                      <w:szCs w:val="21"/>
                      <w:u w:val="single"/>
                    </w:rPr>
                  </w:pPr>
                  <w:r>
                    <w:rPr>
                      <w:rFonts w:hint="eastAsia"/>
                      <w:snapToGrid w:val="0"/>
                      <w:spacing w:val="4"/>
                      <w:sz w:val="21"/>
                      <w:szCs w:val="21"/>
                      <w:u w:val="single"/>
                    </w:rPr>
                    <w:t>/</w:t>
                  </w:r>
                </w:p>
              </w:tc>
              <w:tc>
                <w:tcPr>
                  <w:tcW w:w="399" w:type="pct"/>
                  <w:vAlign w:val="center"/>
                </w:tcPr>
                <w:p w14:paraId="561A4C95">
                  <w:pPr>
                    <w:wordWrap w:val="0"/>
                    <w:topLinePunct/>
                    <w:jc w:val="center"/>
                    <w:rPr>
                      <w:snapToGrid w:val="0"/>
                      <w:spacing w:val="4"/>
                      <w:sz w:val="21"/>
                      <w:szCs w:val="21"/>
                      <w:u w:val="single"/>
                    </w:rPr>
                  </w:pPr>
                  <w:r>
                    <w:rPr>
                      <w:rFonts w:hint="eastAsia"/>
                      <w:snapToGrid w:val="0"/>
                      <w:spacing w:val="4"/>
                      <w:sz w:val="21"/>
                      <w:szCs w:val="21"/>
                      <w:u w:val="single"/>
                    </w:rPr>
                    <w:t>/</w:t>
                  </w:r>
                </w:p>
              </w:tc>
              <w:tc>
                <w:tcPr>
                  <w:tcW w:w="476" w:type="pct"/>
                  <w:vAlign w:val="center"/>
                </w:tcPr>
                <w:p w14:paraId="12D91FAC">
                  <w:pPr>
                    <w:wordWrap w:val="0"/>
                    <w:topLinePunct/>
                    <w:jc w:val="center"/>
                    <w:rPr>
                      <w:rFonts w:hint="default" w:eastAsia="宋体"/>
                      <w:snapToGrid w:val="0"/>
                      <w:spacing w:val="4"/>
                      <w:sz w:val="21"/>
                      <w:szCs w:val="21"/>
                      <w:u w:val="single"/>
                      <w:lang w:val="en-US" w:eastAsia="zh-CN"/>
                    </w:rPr>
                  </w:pPr>
                  <w:r>
                    <w:rPr>
                      <w:rFonts w:hint="eastAsia"/>
                      <w:snapToGrid w:val="0"/>
                      <w:spacing w:val="4"/>
                      <w:sz w:val="21"/>
                      <w:szCs w:val="21"/>
                      <w:u w:val="single"/>
                      <w:lang w:val="en-US" w:eastAsia="zh-CN"/>
                    </w:rPr>
                    <w:t>0.75</w:t>
                  </w:r>
                </w:p>
              </w:tc>
              <w:tc>
                <w:tcPr>
                  <w:tcW w:w="445" w:type="pct"/>
                  <w:vAlign w:val="center"/>
                </w:tcPr>
                <w:p w14:paraId="2449F985">
                  <w:pPr>
                    <w:wordWrap w:val="0"/>
                    <w:topLinePunct/>
                    <w:jc w:val="center"/>
                    <w:rPr>
                      <w:rFonts w:hint="eastAsia" w:eastAsia="宋体"/>
                      <w:snapToGrid w:val="0"/>
                      <w:spacing w:val="4"/>
                      <w:sz w:val="21"/>
                      <w:szCs w:val="21"/>
                      <w:u w:val="single"/>
                      <w:lang w:eastAsia="zh-CN"/>
                    </w:rPr>
                  </w:pPr>
                  <w:r>
                    <w:rPr>
                      <w:rFonts w:hint="eastAsia"/>
                      <w:snapToGrid w:val="0"/>
                      <w:spacing w:val="4"/>
                      <w:sz w:val="21"/>
                      <w:szCs w:val="21"/>
                      <w:u w:val="single"/>
                      <w:lang w:val="en-US" w:eastAsia="zh-CN"/>
                    </w:rPr>
                    <w:t>6</w:t>
                  </w:r>
                </w:p>
              </w:tc>
            </w:tr>
            <w:tr w14:paraId="3C1D6C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vAlign w:val="center"/>
                </w:tcPr>
                <w:p w14:paraId="12649159">
                  <w:pPr>
                    <w:wordWrap w:val="0"/>
                    <w:topLinePunct/>
                    <w:jc w:val="center"/>
                    <w:rPr>
                      <w:rFonts w:hint="eastAsia"/>
                      <w:snapToGrid w:val="0"/>
                      <w:spacing w:val="4"/>
                      <w:sz w:val="21"/>
                      <w:szCs w:val="21"/>
                      <w:u w:val="single"/>
                    </w:rPr>
                  </w:pPr>
                </w:p>
              </w:tc>
              <w:tc>
                <w:tcPr>
                  <w:tcW w:w="461" w:type="pct"/>
                  <w:vAlign w:val="center"/>
                </w:tcPr>
                <w:p w14:paraId="387E0644">
                  <w:pPr>
                    <w:wordWrap w:val="0"/>
                    <w:topLinePunct/>
                    <w:jc w:val="center"/>
                    <w:rPr>
                      <w:rFonts w:hint="eastAsia" w:eastAsia="宋体"/>
                      <w:snapToGrid w:val="0"/>
                      <w:spacing w:val="4"/>
                      <w:sz w:val="21"/>
                      <w:szCs w:val="21"/>
                      <w:u w:val="single"/>
                      <w:lang w:eastAsia="zh-CN"/>
                    </w:rPr>
                  </w:pPr>
                  <w:r>
                    <w:rPr>
                      <w:rFonts w:hint="eastAsia"/>
                      <w:snapToGrid w:val="0"/>
                      <w:spacing w:val="4"/>
                      <w:sz w:val="21"/>
                      <w:szCs w:val="21"/>
                      <w:u w:val="single"/>
                      <w:lang w:eastAsia="zh-CN"/>
                    </w:rPr>
                    <w:t>挤出</w:t>
                  </w:r>
                </w:p>
              </w:tc>
              <w:tc>
                <w:tcPr>
                  <w:tcW w:w="502" w:type="pct"/>
                  <w:vAlign w:val="center"/>
                </w:tcPr>
                <w:p w14:paraId="0BACFB51">
                  <w:pPr>
                    <w:wordWrap w:val="0"/>
                    <w:topLinePunct/>
                    <w:jc w:val="center"/>
                    <w:rPr>
                      <w:rFonts w:hint="default" w:eastAsia="宋体"/>
                      <w:snapToGrid w:val="0"/>
                      <w:spacing w:val="4"/>
                      <w:sz w:val="21"/>
                      <w:szCs w:val="21"/>
                      <w:u w:val="single"/>
                      <w:lang w:val="en-US" w:eastAsia="zh-CN"/>
                    </w:rPr>
                  </w:pPr>
                  <w:r>
                    <w:rPr>
                      <w:rFonts w:hint="eastAsia"/>
                      <w:snapToGrid w:val="0"/>
                      <w:spacing w:val="4"/>
                      <w:sz w:val="21"/>
                      <w:szCs w:val="21"/>
                      <w:u w:val="single"/>
                      <w:lang w:val="en-US" w:eastAsia="zh-CN"/>
                    </w:rPr>
                    <w:t>VOCs</w:t>
                  </w:r>
                </w:p>
              </w:tc>
              <w:tc>
                <w:tcPr>
                  <w:tcW w:w="418" w:type="pct"/>
                  <w:vAlign w:val="center"/>
                </w:tcPr>
                <w:p w14:paraId="2F619F7A">
                  <w:pPr>
                    <w:wordWrap w:val="0"/>
                    <w:topLinePunct/>
                    <w:jc w:val="center"/>
                    <w:rPr>
                      <w:rFonts w:hint="eastAsia" w:eastAsia="宋体"/>
                      <w:snapToGrid w:val="0"/>
                      <w:spacing w:val="4"/>
                      <w:sz w:val="21"/>
                      <w:szCs w:val="21"/>
                      <w:u w:val="single"/>
                      <w:lang w:val="en-US" w:eastAsia="zh-CN"/>
                    </w:rPr>
                  </w:pPr>
                  <w:r>
                    <w:rPr>
                      <w:rFonts w:hint="eastAsia"/>
                      <w:snapToGrid w:val="0"/>
                      <w:spacing w:val="4"/>
                      <w:sz w:val="21"/>
                      <w:szCs w:val="21"/>
                      <w:u w:val="single"/>
                      <w:lang w:val="en-US" w:eastAsia="zh-CN"/>
                    </w:rPr>
                    <w:t>/</w:t>
                  </w:r>
                </w:p>
              </w:tc>
              <w:tc>
                <w:tcPr>
                  <w:tcW w:w="436" w:type="pct"/>
                  <w:vAlign w:val="center"/>
                </w:tcPr>
                <w:p w14:paraId="616441E8">
                  <w:pPr>
                    <w:wordWrap w:val="0"/>
                    <w:topLinePunct/>
                    <w:jc w:val="center"/>
                    <w:rPr>
                      <w:rFonts w:hint="default" w:eastAsia="宋体"/>
                      <w:snapToGrid w:val="0"/>
                      <w:spacing w:val="4"/>
                      <w:sz w:val="21"/>
                      <w:szCs w:val="21"/>
                      <w:u w:val="single"/>
                      <w:lang w:val="en-US" w:eastAsia="zh-CN"/>
                    </w:rPr>
                  </w:pPr>
                  <w:r>
                    <w:rPr>
                      <w:rFonts w:hint="eastAsia"/>
                      <w:snapToGrid w:val="0"/>
                      <w:spacing w:val="4"/>
                      <w:sz w:val="21"/>
                      <w:szCs w:val="21"/>
                      <w:u w:val="single"/>
                      <w:lang w:val="en-US" w:eastAsia="zh-CN"/>
                    </w:rPr>
                    <w:t>0.12</w:t>
                  </w:r>
                </w:p>
              </w:tc>
              <w:tc>
                <w:tcPr>
                  <w:tcW w:w="395" w:type="pct"/>
                  <w:vAlign w:val="center"/>
                </w:tcPr>
                <w:p w14:paraId="5BCAADEF">
                  <w:pPr>
                    <w:wordWrap w:val="0"/>
                    <w:topLinePunct/>
                    <w:jc w:val="center"/>
                    <w:rPr>
                      <w:rFonts w:hint="default" w:eastAsia="宋体"/>
                      <w:snapToGrid w:val="0"/>
                      <w:spacing w:val="4"/>
                      <w:sz w:val="21"/>
                      <w:szCs w:val="21"/>
                      <w:u w:val="single"/>
                      <w:lang w:val="en-US" w:eastAsia="zh-CN"/>
                    </w:rPr>
                  </w:pPr>
                  <w:r>
                    <w:rPr>
                      <w:rFonts w:hint="eastAsia"/>
                      <w:snapToGrid w:val="0"/>
                      <w:spacing w:val="4"/>
                      <w:sz w:val="21"/>
                      <w:szCs w:val="21"/>
                      <w:u w:val="single"/>
                      <w:lang w:val="en-US" w:eastAsia="zh-CN"/>
                    </w:rPr>
                    <w:t>0.975</w:t>
                  </w:r>
                </w:p>
              </w:tc>
              <w:tc>
                <w:tcPr>
                  <w:tcW w:w="626" w:type="pct"/>
                  <w:vAlign w:val="center"/>
                </w:tcPr>
                <w:p w14:paraId="76ADC537">
                  <w:pPr>
                    <w:wordWrap w:val="0"/>
                    <w:topLinePunct/>
                    <w:jc w:val="center"/>
                    <w:rPr>
                      <w:rFonts w:hint="default" w:eastAsia="宋体"/>
                      <w:snapToGrid w:val="0"/>
                      <w:spacing w:val="4"/>
                      <w:sz w:val="21"/>
                      <w:szCs w:val="21"/>
                      <w:u w:val="single"/>
                      <w:lang w:val="en-US" w:eastAsia="zh-CN"/>
                    </w:rPr>
                  </w:pPr>
                  <w:r>
                    <w:rPr>
                      <w:rFonts w:hint="eastAsia"/>
                      <w:snapToGrid w:val="0"/>
                      <w:spacing w:val="4"/>
                      <w:sz w:val="21"/>
                      <w:szCs w:val="21"/>
                      <w:u w:val="single"/>
                      <w:lang w:eastAsia="zh-CN"/>
                    </w:rPr>
                    <w:t>移动式</w:t>
                  </w:r>
                  <w:r>
                    <w:rPr>
                      <w:rFonts w:hint="eastAsia"/>
                      <w:snapToGrid w:val="0"/>
                      <w:spacing w:val="4"/>
                      <w:sz w:val="21"/>
                      <w:szCs w:val="21"/>
                      <w:u w:val="single"/>
                      <w:lang w:val="en-US" w:eastAsia="zh-CN"/>
                    </w:rPr>
                    <w:t>VOCs处理设备</w:t>
                  </w:r>
                </w:p>
              </w:tc>
              <w:tc>
                <w:tcPr>
                  <w:tcW w:w="448" w:type="pct"/>
                  <w:vAlign w:val="center"/>
                </w:tcPr>
                <w:p w14:paraId="28212A87">
                  <w:pPr>
                    <w:wordWrap w:val="0"/>
                    <w:topLinePunct/>
                    <w:jc w:val="center"/>
                    <w:rPr>
                      <w:rFonts w:hint="default" w:eastAsia="宋体"/>
                      <w:snapToGrid w:val="0"/>
                      <w:spacing w:val="4"/>
                      <w:sz w:val="21"/>
                      <w:szCs w:val="21"/>
                      <w:u w:val="single"/>
                      <w:lang w:val="en-US" w:eastAsia="zh-CN"/>
                    </w:rPr>
                  </w:pPr>
                  <w:r>
                    <w:rPr>
                      <w:rFonts w:hint="eastAsia"/>
                      <w:snapToGrid w:val="0"/>
                      <w:spacing w:val="4"/>
                      <w:sz w:val="21"/>
                      <w:szCs w:val="21"/>
                      <w:u w:val="single"/>
                      <w:lang w:val="en-US" w:eastAsia="zh-CN"/>
                    </w:rPr>
                    <w:t>75（收集效率80）</w:t>
                  </w:r>
                </w:p>
              </w:tc>
              <w:tc>
                <w:tcPr>
                  <w:tcW w:w="399" w:type="pct"/>
                  <w:vAlign w:val="center"/>
                </w:tcPr>
                <w:p w14:paraId="4674F95B">
                  <w:pPr>
                    <w:wordWrap w:val="0"/>
                    <w:topLinePunct/>
                    <w:jc w:val="center"/>
                    <w:rPr>
                      <w:rFonts w:hint="eastAsia" w:eastAsia="宋体"/>
                      <w:snapToGrid w:val="0"/>
                      <w:spacing w:val="4"/>
                      <w:sz w:val="21"/>
                      <w:szCs w:val="21"/>
                      <w:u w:val="single"/>
                      <w:lang w:val="en-US" w:eastAsia="zh-CN"/>
                    </w:rPr>
                  </w:pPr>
                  <w:r>
                    <w:rPr>
                      <w:rFonts w:hint="eastAsia"/>
                      <w:snapToGrid w:val="0"/>
                      <w:spacing w:val="4"/>
                      <w:sz w:val="21"/>
                      <w:szCs w:val="21"/>
                      <w:u w:val="single"/>
                      <w:lang w:val="en-US" w:eastAsia="zh-CN"/>
                    </w:rPr>
                    <w:t>/</w:t>
                  </w:r>
                </w:p>
              </w:tc>
              <w:tc>
                <w:tcPr>
                  <w:tcW w:w="476" w:type="pct"/>
                  <w:vAlign w:val="center"/>
                </w:tcPr>
                <w:p w14:paraId="13B041A9">
                  <w:pPr>
                    <w:wordWrap w:val="0"/>
                    <w:topLinePunct/>
                    <w:jc w:val="center"/>
                    <w:rPr>
                      <w:rFonts w:hint="eastAsia" w:ascii="Times New Roman" w:hAnsi="Times New Roman" w:eastAsia="宋体" w:cs="Times New Roman"/>
                      <w:snapToGrid w:val="0"/>
                      <w:spacing w:val="4"/>
                      <w:kern w:val="2"/>
                      <w:sz w:val="21"/>
                      <w:szCs w:val="21"/>
                      <w:u w:val="single"/>
                      <w:lang w:val="en-US" w:eastAsia="zh-CN" w:bidi="ar-SA"/>
                    </w:rPr>
                  </w:pPr>
                  <w:r>
                    <w:rPr>
                      <w:rFonts w:hint="eastAsia"/>
                      <w:snapToGrid w:val="0"/>
                      <w:spacing w:val="4"/>
                      <w:sz w:val="21"/>
                      <w:szCs w:val="21"/>
                      <w:u w:val="single"/>
                      <w:lang w:val="en-US" w:eastAsia="zh-CN"/>
                    </w:rPr>
                    <w:t>0.05</w:t>
                  </w:r>
                </w:p>
              </w:tc>
              <w:tc>
                <w:tcPr>
                  <w:tcW w:w="445" w:type="pct"/>
                  <w:vAlign w:val="center"/>
                </w:tcPr>
                <w:p w14:paraId="7D822719">
                  <w:pPr>
                    <w:wordWrap w:val="0"/>
                    <w:topLinePunct/>
                    <w:jc w:val="center"/>
                    <w:rPr>
                      <w:rFonts w:hint="default" w:ascii="Times New Roman" w:hAnsi="Times New Roman" w:eastAsia="宋体" w:cs="Times New Roman"/>
                      <w:snapToGrid w:val="0"/>
                      <w:spacing w:val="4"/>
                      <w:kern w:val="2"/>
                      <w:sz w:val="21"/>
                      <w:szCs w:val="21"/>
                      <w:u w:val="single"/>
                      <w:lang w:val="en-US" w:eastAsia="zh-CN" w:bidi="ar-SA"/>
                    </w:rPr>
                  </w:pPr>
                  <w:r>
                    <w:rPr>
                      <w:rFonts w:hint="eastAsia"/>
                      <w:snapToGrid w:val="0"/>
                      <w:spacing w:val="4"/>
                      <w:sz w:val="21"/>
                      <w:szCs w:val="21"/>
                      <w:u w:val="single"/>
                      <w:lang w:val="en-US" w:eastAsia="zh-CN"/>
                    </w:rPr>
                    <w:t>0.39</w:t>
                  </w:r>
                </w:p>
              </w:tc>
            </w:tr>
            <w:tr w14:paraId="71BA4E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vAlign w:val="center"/>
                </w:tcPr>
                <w:p w14:paraId="2389456B">
                  <w:pPr>
                    <w:wordWrap w:val="0"/>
                    <w:topLinePunct/>
                    <w:jc w:val="center"/>
                    <w:rPr>
                      <w:rFonts w:hint="eastAsia"/>
                      <w:snapToGrid w:val="0"/>
                      <w:spacing w:val="4"/>
                      <w:sz w:val="21"/>
                      <w:szCs w:val="21"/>
                      <w:u w:val="single"/>
                    </w:rPr>
                  </w:pPr>
                </w:p>
              </w:tc>
              <w:tc>
                <w:tcPr>
                  <w:tcW w:w="461" w:type="pct"/>
                  <w:vAlign w:val="center"/>
                </w:tcPr>
                <w:p w14:paraId="17B0CA32">
                  <w:pPr>
                    <w:wordWrap w:val="0"/>
                    <w:topLinePunct/>
                    <w:jc w:val="center"/>
                    <w:rPr>
                      <w:rFonts w:hint="default"/>
                      <w:snapToGrid w:val="0"/>
                      <w:spacing w:val="4"/>
                      <w:sz w:val="21"/>
                      <w:szCs w:val="21"/>
                      <w:u w:val="single"/>
                      <w:lang w:val="en-US" w:eastAsia="zh-CN"/>
                    </w:rPr>
                  </w:pPr>
                  <w:r>
                    <w:rPr>
                      <w:rFonts w:hint="eastAsia"/>
                      <w:snapToGrid w:val="0"/>
                      <w:spacing w:val="4"/>
                      <w:sz w:val="21"/>
                      <w:szCs w:val="21"/>
                      <w:u w:val="single"/>
                      <w:lang w:val="en-US" w:eastAsia="zh-CN"/>
                    </w:rPr>
                    <w:t>/</w:t>
                  </w:r>
                </w:p>
              </w:tc>
              <w:tc>
                <w:tcPr>
                  <w:tcW w:w="502" w:type="pct"/>
                  <w:vAlign w:val="center"/>
                </w:tcPr>
                <w:p w14:paraId="26BB4C26">
                  <w:pPr>
                    <w:wordWrap w:val="0"/>
                    <w:topLinePunct/>
                    <w:jc w:val="center"/>
                    <w:rPr>
                      <w:rFonts w:hint="eastAsia"/>
                      <w:snapToGrid w:val="0"/>
                      <w:spacing w:val="4"/>
                      <w:sz w:val="21"/>
                      <w:szCs w:val="21"/>
                      <w:u w:val="single"/>
                      <w:lang w:val="en-US" w:eastAsia="zh-CN"/>
                    </w:rPr>
                  </w:pPr>
                  <w:r>
                    <w:rPr>
                      <w:rFonts w:hint="eastAsia"/>
                      <w:snapToGrid w:val="0"/>
                      <w:spacing w:val="4"/>
                      <w:sz w:val="21"/>
                      <w:szCs w:val="21"/>
                      <w:u w:val="single"/>
                      <w:lang w:val="en-US" w:eastAsia="zh-CN"/>
                    </w:rPr>
                    <w:t>臭气浓度</w:t>
                  </w:r>
                </w:p>
              </w:tc>
              <w:tc>
                <w:tcPr>
                  <w:tcW w:w="418" w:type="pct"/>
                  <w:vAlign w:val="center"/>
                </w:tcPr>
                <w:p w14:paraId="511142CA">
                  <w:pPr>
                    <w:wordWrap w:val="0"/>
                    <w:topLinePunct/>
                    <w:jc w:val="center"/>
                    <w:rPr>
                      <w:rFonts w:hint="default"/>
                      <w:snapToGrid w:val="0"/>
                      <w:spacing w:val="4"/>
                      <w:sz w:val="21"/>
                      <w:szCs w:val="21"/>
                      <w:u w:val="single"/>
                      <w:lang w:val="en-US" w:eastAsia="zh-CN"/>
                    </w:rPr>
                  </w:pPr>
                  <w:r>
                    <w:rPr>
                      <w:rFonts w:hint="eastAsia"/>
                      <w:snapToGrid w:val="0"/>
                      <w:spacing w:val="4"/>
                      <w:sz w:val="21"/>
                      <w:szCs w:val="21"/>
                      <w:u w:val="single"/>
                      <w:lang w:val="en-US" w:eastAsia="zh-CN"/>
                    </w:rPr>
                    <w:t>/</w:t>
                  </w:r>
                </w:p>
              </w:tc>
              <w:tc>
                <w:tcPr>
                  <w:tcW w:w="436" w:type="pct"/>
                  <w:vAlign w:val="center"/>
                </w:tcPr>
                <w:p w14:paraId="3FD4CBDC">
                  <w:pPr>
                    <w:wordWrap w:val="0"/>
                    <w:topLinePunct/>
                    <w:jc w:val="center"/>
                    <w:rPr>
                      <w:rFonts w:hint="default"/>
                      <w:snapToGrid w:val="0"/>
                      <w:spacing w:val="4"/>
                      <w:sz w:val="21"/>
                      <w:szCs w:val="21"/>
                      <w:u w:val="single"/>
                      <w:lang w:val="en-US" w:eastAsia="zh-CN"/>
                    </w:rPr>
                  </w:pPr>
                  <w:r>
                    <w:rPr>
                      <w:rFonts w:hint="eastAsia"/>
                      <w:snapToGrid w:val="0"/>
                      <w:spacing w:val="4"/>
                      <w:sz w:val="21"/>
                      <w:szCs w:val="21"/>
                      <w:u w:val="single"/>
                      <w:lang w:val="en-US" w:eastAsia="zh-CN"/>
                    </w:rPr>
                    <w:t>/</w:t>
                  </w:r>
                </w:p>
              </w:tc>
              <w:tc>
                <w:tcPr>
                  <w:tcW w:w="395" w:type="pct"/>
                  <w:vAlign w:val="center"/>
                </w:tcPr>
                <w:p w14:paraId="6B44D779">
                  <w:pPr>
                    <w:wordWrap w:val="0"/>
                    <w:topLinePunct/>
                    <w:jc w:val="center"/>
                    <w:rPr>
                      <w:rFonts w:hint="default"/>
                      <w:snapToGrid w:val="0"/>
                      <w:spacing w:val="4"/>
                      <w:sz w:val="21"/>
                      <w:szCs w:val="21"/>
                      <w:u w:val="single"/>
                      <w:lang w:val="en-US" w:eastAsia="zh-CN"/>
                    </w:rPr>
                  </w:pPr>
                  <w:r>
                    <w:rPr>
                      <w:rFonts w:hint="eastAsia"/>
                      <w:snapToGrid w:val="0"/>
                      <w:spacing w:val="4"/>
                      <w:sz w:val="21"/>
                      <w:szCs w:val="21"/>
                      <w:u w:val="single"/>
                      <w:lang w:val="en-US" w:eastAsia="zh-CN"/>
                    </w:rPr>
                    <w:t>/</w:t>
                  </w:r>
                </w:p>
              </w:tc>
              <w:tc>
                <w:tcPr>
                  <w:tcW w:w="626" w:type="pct"/>
                  <w:vAlign w:val="center"/>
                </w:tcPr>
                <w:p w14:paraId="4E803BEA">
                  <w:pPr>
                    <w:wordWrap w:val="0"/>
                    <w:topLinePunct/>
                    <w:jc w:val="center"/>
                    <w:rPr>
                      <w:rFonts w:hint="eastAsia" w:eastAsia="宋体"/>
                      <w:snapToGrid w:val="0"/>
                      <w:spacing w:val="4"/>
                      <w:sz w:val="21"/>
                      <w:szCs w:val="21"/>
                      <w:u w:val="single"/>
                      <w:lang w:val="en-US" w:eastAsia="zh-CN"/>
                    </w:rPr>
                  </w:pPr>
                  <w:r>
                    <w:rPr>
                      <w:rFonts w:hint="eastAsia"/>
                      <w:snapToGrid w:val="0"/>
                      <w:spacing w:val="4"/>
                      <w:sz w:val="21"/>
                      <w:szCs w:val="21"/>
                      <w:u w:val="single"/>
                      <w:lang w:val="en-US" w:eastAsia="zh-CN"/>
                    </w:rPr>
                    <w:t>/</w:t>
                  </w:r>
                </w:p>
              </w:tc>
              <w:tc>
                <w:tcPr>
                  <w:tcW w:w="448" w:type="pct"/>
                  <w:vAlign w:val="center"/>
                </w:tcPr>
                <w:p w14:paraId="358BF4AE">
                  <w:pPr>
                    <w:wordWrap w:val="0"/>
                    <w:topLinePunct/>
                    <w:jc w:val="center"/>
                    <w:rPr>
                      <w:rFonts w:hint="eastAsia" w:eastAsia="宋体"/>
                      <w:snapToGrid w:val="0"/>
                      <w:spacing w:val="4"/>
                      <w:sz w:val="21"/>
                      <w:szCs w:val="21"/>
                      <w:u w:val="single"/>
                      <w:lang w:val="en-US" w:eastAsia="zh-CN"/>
                    </w:rPr>
                  </w:pPr>
                  <w:r>
                    <w:rPr>
                      <w:rFonts w:hint="eastAsia"/>
                      <w:snapToGrid w:val="0"/>
                      <w:spacing w:val="4"/>
                      <w:sz w:val="21"/>
                      <w:szCs w:val="21"/>
                      <w:u w:val="single"/>
                      <w:lang w:val="en-US" w:eastAsia="zh-CN"/>
                    </w:rPr>
                    <w:t>/</w:t>
                  </w:r>
                </w:p>
              </w:tc>
              <w:tc>
                <w:tcPr>
                  <w:tcW w:w="399" w:type="pct"/>
                  <w:vAlign w:val="center"/>
                </w:tcPr>
                <w:p w14:paraId="27DEC29A">
                  <w:pPr>
                    <w:wordWrap w:val="0"/>
                    <w:topLinePunct/>
                    <w:jc w:val="center"/>
                    <w:rPr>
                      <w:rFonts w:hint="default"/>
                      <w:snapToGrid w:val="0"/>
                      <w:spacing w:val="4"/>
                      <w:sz w:val="21"/>
                      <w:szCs w:val="21"/>
                      <w:u w:val="single"/>
                      <w:lang w:val="en-US" w:eastAsia="zh-CN"/>
                    </w:rPr>
                  </w:pPr>
                  <w:r>
                    <w:rPr>
                      <w:rFonts w:hint="eastAsia"/>
                      <w:snapToGrid w:val="0"/>
                      <w:spacing w:val="4"/>
                      <w:sz w:val="21"/>
                      <w:szCs w:val="21"/>
                      <w:u w:val="single"/>
                      <w:lang w:val="en-US" w:eastAsia="zh-CN"/>
                    </w:rPr>
                    <w:t>/</w:t>
                  </w:r>
                </w:p>
              </w:tc>
              <w:tc>
                <w:tcPr>
                  <w:tcW w:w="476" w:type="pct"/>
                  <w:vAlign w:val="center"/>
                </w:tcPr>
                <w:p w14:paraId="2B449975">
                  <w:pPr>
                    <w:wordWrap w:val="0"/>
                    <w:topLinePunct/>
                    <w:jc w:val="center"/>
                    <w:rPr>
                      <w:rFonts w:hint="default"/>
                      <w:snapToGrid w:val="0"/>
                      <w:spacing w:val="4"/>
                      <w:sz w:val="21"/>
                      <w:szCs w:val="21"/>
                      <w:u w:val="single"/>
                      <w:lang w:val="en-US" w:eastAsia="zh-CN"/>
                    </w:rPr>
                  </w:pPr>
                  <w:r>
                    <w:rPr>
                      <w:rFonts w:hint="eastAsia"/>
                      <w:snapToGrid w:val="0"/>
                      <w:spacing w:val="4"/>
                      <w:sz w:val="21"/>
                      <w:szCs w:val="21"/>
                      <w:u w:val="single"/>
                      <w:lang w:val="en-US" w:eastAsia="zh-CN"/>
                    </w:rPr>
                    <w:t>/</w:t>
                  </w:r>
                </w:p>
              </w:tc>
              <w:tc>
                <w:tcPr>
                  <w:tcW w:w="445" w:type="pct"/>
                  <w:vAlign w:val="center"/>
                </w:tcPr>
                <w:p w14:paraId="51AE1B1C">
                  <w:pPr>
                    <w:wordWrap w:val="0"/>
                    <w:topLinePunct/>
                    <w:jc w:val="center"/>
                    <w:rPr>
                      <w:rFonts w:hint="default"/>
                      <w:snapToGrid w:val="0"/>
                      <w:spacing w:val="4"/>
                      <w:sz w:val="21"/>
                      <w:szCs w:val="21"/>
                      <w:u w:val="single"/>
                      <w:lang w:val="en-US" w:eastAsia="zh-CN"/>
                    </w:rPr>
                  </w:pPr>
                  <w:r>
                    <w:rPr>
                      <w:rFonts w:hint="eastAsia"/>
                      <w:snapToGrid w:val="0"/>
                      <w:spacing w:val="4"/>
                      <w:sz w:val="21"/>
                      <w:szCs w:val="21"/>
                      <w:u w:val="single"/>
                      <w:lang w:val="en-US" w:eastAsia="zh-CN"/>
                    </w:rPr>
                    <w:t>/</w:t>
                  </w:r>
                </w:p>
              </w:tc>
            </w:tr>
          </w:tbl>
          <w:p w14:paraId="75A6F93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lang w:val="en-GB"/>
              </w:rPr>
            </w:pPr>
            <w:r>
              <w:rPr>
                <w:b/>
                <w:lang w:val="en-GB"/>
              </w:rPr>
              <w:t>表4-</w:t>
            </w:r>
            <w:r>
              <w:rPr>
                <w:rFonts w:hint="eastAsia"/>
                <w:b/>
              </w:rPr>
              <w:t>2</w:t>
            </w:r>
            <w:r>
              <w:rPr>
                <w:b/>
                <w:lang w:val="en-GB"/>
              </w:rPr>
              <w:t xml:space="preserve">  排气筒设置情况一览表</w:t>
            </w:r>
          </w:p>
          <w:tbl>
            <w:tblPr>
              <w:tblStyle w:val="36"/>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34"/>
              <w:gridCol w:w="1327"/>
              <w:gridCol w:w="1338"/>
              <w:gridCol w:w="1343"/>
              <w:gridCol w:w="697"/>
              <w:gridCol w:w="724"/>
              <w:gridCol w:w="964"/>
              <w:gridCol w:w="982"/>
              <w:gridCol w:w="966"/>
            </w:tblGrid>
            <w:tr w14:paraId="5CFA2A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53" w:type="pct"/>
                  <w:vMerge w:val="restart"/>
                  <w:tcBorders>
                    <w:tl2br w:val="nil"/>
                    <w:tr2bl w:val="nil"/>
                  </w:tcBorders>
                  <w:vAlign w:val="center"/>
                </w:tcPr>
                <w:p w14:paraId="123ACBA1">
                  <w:pPr>
                    <w:wordWrap w:val="0"/>
                    <w:topLinePunct/>
                    <w:adjustRightInd w:val="0"/>
                    <w:snapToGrid w:val="0"/>
                    <w:ind w:left="-120" w:leftChars="-50" w:right="-120" w:rightChars="-50"/>
                    <w:jc w:val="center"/>
                    <w:rPr>
                      <w:b/>
                      <w:bCs/>
                      <w:sz w:val="21"/>
                      <w:szCs w:val="21"/>
                    </w:rPr>
                  </w:pPr>
                  <w:r>
                    <w:rPr>
                      <w:b/>
                      <w:bCs/>
                      <w:sz w:val="21"/>
                      <w:szCs w:val="21"/>
                    </w:rPr>
                    <w:t>编号</w:t>
                  </w:r>
                </w:p>
              </w:tc>
              <w:tc>
                <w:tcPr>
                  <w:tcW w:w="1484" w:type="pct"/>
                  <w:gridSpan w:val="2"/>
                  <w:tcBorders>
                    <w:tl2br w:val="nil"/>
                    <w:tr2bl w:val="nil"/>
                  </w:tcBorders>
                  <w:vAlign w:val="center"/>
                </w:tcPr>
                <w:p w14:paraId="7247EAE2">
                  <w:pPr>
                    <w:wordWrap w:val="0"/>
                    <w:topLinePunct/>
                    <w:adjustRightInd w:val="0"/>
                    <w:snapToGrid w:val="0"/>
                    <w:ind w:left="-120" w:leftChars="-50" w:right="-120" w:rightChars="-50"/>
                    <w:jc w:val="center"/>
                    <w:rPr>
                      <w:b/>
                      <w:bCs/>
                      <w:sz w:val="21"/>
                      <w:szCs w:val="21"/>
                    </w:rPr>
                  </w:pPr>
                  <w:r>
                    <w:rPr>
                      <w:b/>
                      <w:bCs/>
                      <w:sz w:val="21"/>
                      <w:szCs w:val="21"/>
                    </w:rPr>
                    <w:t>排气筒底部中心坐标</w:t>
                  </w:r>
                </w:p>
              </w:tc>
              <w:tc>
                <w:tcPr>
                  <w:tcW w:w="748" w:type="pct"/>
                  <w:vMerge w:val="restart"/>
                  <w:tcBorders>
                    <w:tl2br w:val="nil"/>
                    <w:tr2bl w:val="nil"/>
                  </w:tcBorders>
                  <w:vAlign w:val="center"/>
                </w:tcPr>
                <w:p w14:paraId="70478871">
                  <w:pPr>
                    <w:wordWrap w:val="0"/>
                    <w:topLinePunct/>
                    <w:adjustRightInd w:val="0"/>
                    <w:snapToGrid w:val="0"/>
                    <w:ind w:left="-120" w:leftChars="-50" w:right="-120" w:rightChars="-50"/>
                    <w:jc w:val="center"/>
                    <w:rPr>
                      <w:b/>
                      <w:bCs/>
                      <w:sz w:val="21"/>
                      <w:szCs w:val="21"/>
                    </w:rPr>
                  </w:pPr>
                  <w:r>
                    <w:rPr>
                      <w:rFonts w:hint="eastAsia"/>
                      <w:b/>
                      <w:bCs/>
                      <w:sz w:val="21"/>
                      <w:szCs w:val="21"/>
                    </w:rPr>
                    <w:t>处理方式</w:t>
                  </w:r>
                </w:p>
              </w:tc>
              <w:tc>
                <w:tcPr>
                  <w:tcW w:w="1875" w:type="pct"/>
                  <w:gridSpan w:val="4"/>
                  <w:tcBorders>
                    <w:tl2br w:val="nil"/>
                    <w:tr2bl w:val="nil"/>
                  </w:tcBorders>
                  <w:vAlign w:val="center"/>
                </w:tcPr>
                <w:p w14:paraId="30B08706">
                  <w:pPr>
                    <w:wordWrap w:val="0"/>
                    <w:topLinePunct/>
                    <w:adjustRightInd w:val="0"/>
                    <w:snapToGrid w:val="0"/>
                    <w:ind w:left="-120" w:leftChars="-50" w:right="-120" w:rightChars="-50"/>
                    <w:jc w:val="center"/>
                    <w:rPr>
                      <w:b/>
                      <w:bCs/>
                      <w:sz w:val="21"/>
                      <w:szCs w:val="21"/>
                    </w:rPr>
                  </w:pPr>
                  <w:r>
                    <w:rPr>
                      <w:rFonts w:hint="eastAsia"/>
                      <w:b/>
                      <w:bCs/>
                      <w:sz w:val="21"/>
                      <w:szCs w:val="21"/>
                    </w:rPr>
                    <w:t>排气筒参数</w:t>
                  </w:r>
                </w:p>
              </w:tc>
              <w:tc>
                <w:tcPr>
                  <w:tcW w:w="538" w:type="pct"/>
                  <w:vMerge w:val="restart"/>
                  <w:tcBorders>
                    <w:tl2br w:val="nil"/>
                    <w:tr2bl w:val="nil"/>
                  </w:tcBorders>
                  <w:vAlign w:val="center"/>
                </w:tcPr>
                <w:p w14:paraId="42E513E1">
                  <w:pPr>
                    <w:wordWrap w:val="0"/>
                    <w:topLinePunct/>
                    <w:adjustRightInd w:val="0"/>
                    <w:snapToGrid w:val="0"/>
                    <w:ind w:left="-120" w:leftChars="-50" w:right="-120" w:rightChars="-50"/>
                    <w:jc w:val="center"/>
                    <w:rPr>
                      <w:b/>
                      <w:bCs/>
                      <w:sz w:val="21"/>
                      <w:szCs w:val="21"/>
                    </w:rPr>
                  </w:pPr>
                  <w:r>
                    <w:rPr>
                      <w:rFonts w:hint="eastAsia"/>
                      <w:b/>
                      <w:bCs/>
                      <w:sz w:val="21"/>
                      <w:szCs w:val="21"/>
                    </w:rPr>
                    <w:t>工作时间（h）</w:t>
                  </w:r>
                </w:p>
              </w:tc>
            </w:tr>
            <w:tr w14:paraId="251B4E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53" w:type="pct"/>
                  <w:vMerge w:val="continue"/>
                  <w:tcBorders>
                    <w:tl2br w:val="nil"/>
                    <w:tr2bl w:val="nil"/>
                  </w:tcBorders>
                  <w:vAlign w:val="center"/>
                </w:tcPr>
                <w:p w14:paraId="61E3C0D7">
                  <w:pPr>
                    <w:wordWrap w:val="0"/>
                    <w:topLinePunct/>
                    <w:adjustRightInd w:val="0"/>
                    <w:snapToGrid w:val="0"/>
                    <w:ind w:left="-120" w:leftChars="-50" w:right="-120" w:rightChars="-50"/>
                    <w:jc w:val="center"/>
                    <w:rPr>
                      <w:sz w:val="21"/>
                      <w:szCs w:val="21"/>
                    </w:rPr>
                  </w:pPr>
                </w:p>
              </w:tc>
              <w:tc>
                <w:tcPr>
                  <w:tcW w:w="739" w:type="pct"/>
                  <w:tcBorders>
                    <w:tl2br w:val="nil"/>
                    <w:tr2bl w:val="nil"/>
                  </w:tcBorders>
                  <w:vAlign w:val="center"/>
                </w:tcPr>
                <w:p w14:paraId="202607A5">
                  <w:pPr>
                    <w:wordWrap w:val="0"/>
                    <w:topLinePunct/>
                    <w:adjustRightInd w:val="0"/>
                    <w:snapToGrid w:val="0"/>
                    <w:ind w:left="-120" w:leftChars="-50" w:right="-120" w:rightChars="-50"/>
                    <w:jc w:val="center"/>
                    <w:rPr>
                      <w:b/>
                      <w:bCs/>
                      <w:sz w:val="21"/>
                      <w:szCs w:val="21"/>
                    </w:rPr>
                  </w:pPr>
                  <w:r>
                    <w:rPr>
                      <w:b/>
                      <w:bCs/>
                      <w:sz w:val="21"/>
                      <w:szCs w:val="21"/>
                    </w:rPr>
                    <w:t>经度</w:t>
                  </w:r>
                  <w:r>
                    <w:rPr>
                      <w:rFonts w:hint="eastAsia"/>
                      <w:b/>
                      <w:bCs/>
                      <w:sz w:val="21"/>
                      <w:szCs w:val="21"/>
                    </w:rPr>
                    <w:t>E°</w:t>
                  </w:r>
                </w:p>
              </w:tc>
              <w:tc>
                <w:tcPr>
                  <w:tcW w:w="745" w:type="pct"/>
                  <w:tcBorders>
                    <w:tl2br w:val="nil"/>
                    <w:tr2bl w:val="nil"/>
                  </w:tcBorders>
                  <w:vAlign w:val="center"/>
                </w:tcPr>
                <w:p w14:paraId="76571470">
                  <w:pPr>
                    <w:wordWrap w:val="0"/>
                    <w:topLinePunct/>
                    <w:adjustRightInd w:val="0"/>
                    <w:snapToGrid w:val="0"/>
                    <w:ind w:left="-120" w:leftChars="-50" w:right="-120" w:rightChars="-50"/>
                    <w:jc w:val="center"/>
                    <w:rPr>
                      <w:b/>
                      <w:bCs/>
                      <w:sz w:val="21"/>
                      <w:szCs w:val="21"/>
                    </w:rPr>
                  </w:pPr>
                  <w:r>
                    <w:rPr>
                      <w:b/>
                      <w:bCs/>
                      <w:sz w:val="21"/>
                      <w:szCs w:val="21"/>
                    </w:rPr>
                    <w:t>纬度</w:t>
                  </w:r>
                  <w:r>
                    <w:rPr>
                      <w:rFonts w:hint="eastAsia"/>
                      <w:b/>
                      <w:bCs/>
                      <w:sz w:val="21"/>
                      <w:szCs w:val="21"/>
                    </w:rPr>
                    <w:t>N°</w:t>
                  </w:r>
                </w:p>
              </w:tc>
              <w:tc>
                <w:tcPr>
                  <w:tcW w:w="748" w:type="pct"/>
                  <w:vMerge w:val="continue"/>
                  <w:tcBorders>
                    <w:tl2br w:val="nil"/>
                    <w:tr2bl w:val="nil"/>
                  </w:tcBorders>
                  <w:vAlign w:val="center"/>
                </w:tcPr>
                <w:p w14:paraId="5F94085E">
                  <w:pPr>
                    <w:wordWrap w:val="0"/>
                    <w:topLinePunct/>
                    <w:adjustRightInd w:val="0"/>
                    <w:snapToGrid w:val="0"/>
                    <w:ind w:left="-120" w:leftChars="-50" w:right="-120" w:rightChars="-50"/>
                    <w:jc w:val="center"/>
                    <w:rPr>
                      <w:sz w:val="21"/>
                      <w:szCs w:val="21"/>
                    </w:rPr>
                  </w:pPr>
                </w:p>
              </w:tc>
              <w:tc>
                <w:tcPr>
                  <w:tcW w:w="388" w:type="pct"/>
                  <w:tcBorders>
                    <w:tl2br w:val="nil"/>
                    <w:tr2bl w:val="nil"/>
                  </w:tcBorders>
                  <w:vAlign w:val="center"/>
                </w:tcPr>
                <w:p w14:paraId="4B5E8BF7">
                  <w:pPr>
                    <w:wordWrap w:val="0"/>
                    <w:topLinePunct/>
                    <w:adjustRightInd w:val="0"/>
                    <w:snapToGrid w:val="0"/>
                    <w:jc w:val="center"/>
                    <w:rPr>
                      <w:sz w:val="21"/>
                      <w:szCs w:val="21"/>
                    </w:rPr>
                  </w:pPr>
                  <w:r>
                    <w:rPr>
                      <w:sz w:val="21"/>
                      <w:szCs w:val="21"/>
                    </w:rPr>
                    <w:t>高度</w:t>
                  </w:r>
                </w:p>
                <w:p w14:paraId="38D3B27A">
                  <w:pPr>
                    <w:wordWrap w:val="0"/>
                    <w:topLinePunct/>
                    <w:adjustRightInd w:val="0"/>
                    <w:snapToGrid w:val="0"/>
                    <w:jc w:val="center"/>
                    <w:rPr>
                      <w:sz w:val="21"/>
                      <w:szCs w:val="21"/>
                    </w:rPr>
                  </w:pPr>
                  <w:r>
                    <w:rPr>
                      <w:sz w:val="21"/>
                      <w:szCs w:val="21"/>
                    </w:rPr>
                    <w:t>（m）</w:t>
                  </w:r>
                </w:p>
              </w:tc>
              <w:tc>
                <w:tcPr>
                  <w:tcW w:w="403" w:type="pct"/>
                  <w:tcBorders>
                    <w:tl2br w:val="nil"/>
                    <w:tr2bl w:val="nil"/>
                  </w:tcBorders>
                  <w:vAlign w:val="center"/>
                </w:tcPr>
                <w:p w14:paraId="45654811">
                  <w:pPr>
                    <w:wordWrap w:val="0"/>
                    <w:topLinePunct/>
                    <w:adjustRightInd w:val="0"/>
                    <w:snapToGrid w:val="0"/>
                    <w:jc w:val="center"/>
                    <w:rPr>
                      <w:sz w:val="21"/>
                      <w:szCs w:val="21"/>
                    </w:rPr>
                  </w:pPr>
                  <w:r>
                    <w:rPr>
                      <w:sz w:val="21"/>
                      <w:szCs w:val="21"/>
                    </w:rPr>
                    <w:t>内径</w:t>
                  </w:r>
                </w:p>
                <w:p w14:paraId="713F89ED">
                  <w:pPr>
                    <w:wordWrap w:val="0"/>
                    <w:topLinePunct/>
                    <w:adjustRightInd w:val="0"/>
                    <w:snapToGrid w:val="0"/>
                    <w:jc w:val="center"/>
                    <w:rPr>
                      <w:sz w:val="21"/>
                      <w:szCs w:val="21"/>
                    </w:rPr>
                  </w:pPr>
                  <w:r>
                    <w:rPr>
                      <w:sz w:val="21"/>
                      <w:szCs w:val="21"/>
                    </w:rPr>
                    <w:t>（m）</w:t>
                  </w:r>
                </w:p>
              </w:tc>
              <w:tc>
                <w:tcPr>
                  <w:tcW w:w="537" w:type="pct"/>
                  <w:tcBorders>
                    <w:tl2br w:val="nil"/>
                    <w:tr2bl w:val="nil"/>
                  </w:tcBorders>
                  <w:vAlign w:val="center"/>
                </w:tcPr>
                <w:p w14:paraId="24BE0DD1">
                  <w:pPr>
                    <w:wordWrap w:val="0"/>
                    <w:topLinePunct/>
                    <w:adjustRightInd w:val="0"/>
                    <w:snapToGrid w:val="0"/>
                    <w:ind w:left="-120" w:leftChars="-50" w:right="-120" w:rightChars="-50"/>
                    <w:jc w:val="center"/>
                    <w:rPr>
                      <w:sz w:val="21"/>
                      <w:szCs w:val="21"/>
                    </w:rPr>
                  </w:pPr>
                  <w:r>
                    <w:rPr>
                      <w:sz w:val="21"/>
                      <w:szCs w:val="21"/>
                    </w:rPr>
                    <w:t>风量</w:t>
                  </w:r>
                </w:p>
                <w:p w14:paraId="1ED31E83">
                  <w:pPr>
                    <w:wordWrap w:val="0"/>
                    <w:topLinePunct/>
                    <w:adjustRightInd w:val="0"/>
                    <w:snapToGrid w:val="0"/>
                    <w:ind w:left="-120" w:leftChars="-50" w:right="-120" w:rightChars="-50"/>
                    <w:jc w:val="center"/>
                    <w:rPr>
                      <w:sz w:val="21"/>
                      <w:szCs w:val="21"/>
                    </w:rPr>
                  </w:pPr>
                  <w:r>
                    <w:rPr>
                      <w:sz w:val="21"/>
                      <w:szCs w:val="21"/>
                    </w:rPr>
                    <w:t>（mg/m</w:t>
                  </w:r>
                  <w:r>
                    <w:rPr>
                      <w:sz w:val="21"/>
                      <w:szCs w:val="21"/>
                      <w:vertAlign w:val="superscript"/>
                    </w:rPr>
                    <w:t>3</w:t>
                  </w:r>
                  <w:r>
                    <w:rPr>
                      <w:sz w:val="21"/>
                      <w:szCs w:val="21"/>
                    </w:rPr>
                    <w:t>）</w:t>
                  </w:r>
                </w:p>
              </w:tc>
              <w:tc>
                <w:tcPr>
                  <w:tcW w:w="546" w:type="pct"/>
                  <w:tcBorders>
                    <w:tl2br w:val="nil"/>
                    <w:tr2bl w:val="nil"/>
                  </w:tcBorders>
                  <w:vAlign w:val="center"/>
                </w:tcPr>
                <w:p w14:paraId="6A1F1BB4">
                  <w:pPr>
                    <w:wordWrap w:val="0"/>
                    <w:topLinePunct/>
                    <w:adjustRightInd w:val="0"/>
                    <w:snapToGrid w:val="0"/>
                    <w:ind w:left="-120" w:leftChars="-50" w:right="-120" w:rightChars="-50"/>
                    <w:jc w:val="center"/>
                    <w:rPr>
                      <w:sz w:val="21"/>
                      <w:szCs w:val="21"/>
                    </w:rPr>
                  </w:pPr>
                  <w:r>
                    <w:rPr>
                      <w:sz w:val="21"/>
                      <w:szCs w:val="21"/>
                    </w:rPr>
                    <w:t>烟气温度（℃）</w:t>
                  </w:r>
                </w:p>
              </w:tc>
              <w:tc>
                <w:tcPr>
                  <w:tcW w:w="538" w:type="pct"/>
                  <w:vMerge w:val="continue"/>
                  <w:tcBorders>
                    <w:tl2br w:val="nil"/>
                    <w:tr2bl w:val="nil"/>
                  </w:tcBorders>
                  <w:vAlign w:val="center"/>
                </w:tcPr>
                <w:p w14:paraId="5C012611">
                  <w:pPr>
                    <w:wordWrap w:val="0"/>
                    <w:topLinePunct/>
                    <w:adjustRightInd w:val="0"/>
                    <w:snapToGrid w:val="0"/>
                    <w:ind w:left="-120" w:leftChars="-50" w:right="-120" w:rightChars="-50"/>
                    <w:jc w:val="center"/>
                    <w:rPr>
                      <w:sz w:val="21"/>
                      <w:szCs w:val="21"/>
                    </w:rPr>
                  </w:pPr>
                </w:p>
              </w:tc>
            </w:tr>
            <w:tr w14:paraId="439F09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53" w:type="pct"/>
                  <w:tcBorders>
                    <w:tl2br w:val="nil"/>
                    <w:tr2bl w:val="nil"/>
                  </w:tcBorders>
                  <w:vAlign w:val="center"/>
                </w:tcPr>
                <w:p w14:paraId="4F5A37D9">
                  <w:pPr>
                    <w:widowControl/>
                    <w:wordWrap w:val="0"/>
                    <w:topLinePunct/>
                    <w:adjustRightInd w:val="0"/>
                    <w:snapToGrid w:val="0"/>
                    <w:ind w:left="-120" w:leftChars="-50" w:right="-120" w:rightChars="-50"/>
                    <w:jc w:val="center"/>
                    <w:rPr>
                      <w:sz w:val="21"/>
                      <w:szCs w:val="21"/>
                    </w:rPr>
                  </w:pPr>
                  <w:r>
                    <w:rPr>
                      <w:sz w:val="21"/>
                      <w:szCs w:val="21"/>
                    </w:rPr>
                    <w:t>DA001</w:t>
                  </w:r>
                </w:p>
              </w:tc>
              <w:tc>
                <w:tcPr>
                  <w:tcW w:w="739" w:type="pct"/>
                  <w:tcBorders>
                    <w:tl2br w:val="nil"/>
                    <w:tr2bl w:val="nil"/>
                  </w:tcBorders>
                  <w:vAlign w:val="center"/>
                </w:tcPr>
                <w:p w14:paraId="6814799D">
                  <w:pPr>
                    <w:wordWrap w:val="0"/>
                    <w:topLinePunct/>
                    <w:adjustRightInd w:val="0"/>
                    <w:snapToGrid w:val="0"/>
                    <w:ind w:left="-120" w:leftChars="-50" w:right="-120" w:rightChars="-50"/>
                    <w:jc w:val="center"/>
                    <w:rPr>
                      <w:sz w:val="21"/>
                      <w:szCs w:val="21"/>
                    </w:rPr>
                  </w:pPr>
                  <w:r>
                    <w:rPr>
                      <w:sz w:val="21"/>
                      <w:szCs w:val="21"/>
                    </w:rPr>
                    <w:t>112.62737</w:t>
                  </w:r>
                  <w:r>
                    <w:rPr>
                      <w:rFonts w:hint="eastAsia"/>
                      <w:sz w:val="21"/>
                      <w:szCs w:val="21"/>
                    </w:rPr>
                    <w:t>2</w:t>
                  </w:r>
                </w:p>
              </w:tc>
              <w:tc>
                <w:tcPr>
                  <w:tcW w:w="745" w:type="pct"/>
                  <w:tcBorders>
                    <w:tl2br w:val="nil"/>
                    <w:tr2bl w:val="nil"/>
                  </w:tcBorders>
                  <w:vAlign w:val="center"/>
                </w:tcPr>
                <w:p w14:paraId="5AB70C8F">
                  <w:pPr>
                    <w:wordWrap w:val="0"/>
                    <w:topLinePunct/>
                    <w:adjustRightInd w:val="0"/>
                    <w:snapToGrid w:val="0"/>
                    <w:ind w:left="-120" w:leftChars="-50" w:right="-120" w:rightChars="-50"/>
                    <w:jc w:val="center"/>
                    <w:rPr>
                      <w:sz w:val="21"/>
                      <w:szCs w:val="21"/>
                    </w:rPr>
                  </w:pPr>
                  <w:r>
                    <w:rPr>
                      <w:sz w:val="21"/>
                      <w:szCs w:val="21"/>
                    </w:rPr>
                    <w:t>26.971534</w:t>
                  </w:r>
                </w:p>
              </w:tc>
              <w:tc>
                <w:tcPr>
                  <w:tcW w:w="748" w:type="pct"/>
                  <w:tcBorders>
                    <w:tl2br w:val="nil"/>
                    <w:tr2bl w:val="nil"/>
                  </w:tcBorders>
                  <w:vAlign w:val="center"/>
                </w:tcPr>
                <w:p w14:paraId="70AA6D6F">
                  <w:pPr>
                    <w:wordWrap w:val="0"/>
                    <w:topLinePunct/>
                    <w:jc w:val="center"/>
                    <w:rPr>
                      <w:sz w:val="21"/>
                      <w:szCs w:val="21"/>
                    </w:rPr>
                  </w:pPr>
                  <w:r>
                    <w:rPr>
                      <w:rFonts w:hint="eastAsia"/>
                      <w:snapToGrid w:val="0"/>
                      <w:spacing w:val="4"/>
                      <w:sz w:val="21"/>
                      <w:szCs w:val="21"/>
                    </w:rPr>
                    <w:t>袋式除尘器</w:t>
                  </w:r>
                  <w:r>
                    <w:rPr>
                      <w:snapToGrid w:val="0"/>
                      <w:spacing w:val="4"/>
                      <w:sz w:val="21"/>
                      <w:szCs w:val="21"/>
                    </w:rPr>
                    <w:t>+15m排气筒</w:t>
                  </w:r>
                </w:p>
              </w:tc>
              <w:tc>
                <w:tcPr>
                  <w:tcW w:w="388" w:type="pct"/>
                  <w:tcBorders>
                    <w:tl2br w:val="nil"/>
                    <w:tr2bl w:val="nil"/>
                  </w:tcBorders>
                  <w:vAlign w:val="center"/>
                </w:tcPr>
                <w:p w14:paraId="0D84D488">
                  <w:pPr>
                    <w:wordWrap w:val="0"/>
                    <w:topLinePunct/>
                    <w:adjustRightInd w:val="0"/>
                    <w:snapToGrid w:val="0"/>
                    <w:ind w:left="-120" w:leftChars="-50" w:right="-120" w:rightChars="-50"/>
                    <w:jc w:val="center"/>
                    <w:rPr>
                      <w:sz w:val="21"/>
                      <w:szCs w:val="21"/>
                    </w:rPr>
                  </w:pPr>
                  <w:r>
                    <w:rPr>
                      <w:sz w:val="21"/>
                      <w:szCs w:val="21"/>
                    </w:rPr>
                    <w:t>15</w:t>
                  </w:r>
                </w:p>
              </w:tc>
              <w:tc>
                <w:tcPr>
                  <w:tcW w:w="403" w:type="pct"/>
                  <w:tcBorders>
                    <w:tl2br w:val="nil"/>
                    <w:tr2bl w:val="nil"/>
                  </w:tcBorders>
                  <w:vAlign w:val="center"/>
                </w:tcPr>
                <w:p w14:paraId="1CB84D77">
                  <w:pPr>
                    <w:wordWrap w:val="0"/>
                    <w:topLinePunct/>
                    <w:adjustRightInd w:val="0"/>
                    <w:snapToGrid w:val="0"/>
                    <w:ind w:left="-120" w:leftChars="-50" w:right="-120" w:rightChars="-50"/>
                    <w:jc w:val="center"/>
                    <w:rPr>
                      <w:sz w:val="21"/>
                      <w:szCs w:val="21"/>
                    </w:rPr>
                  </w:pPr>
                  <w:r>
                    <w:rPr>
                      <w:rFonts w:hint="eastAsia"/>
                      <w:sz w:val="21"/>
                      <w:szCs w:val="21"/>
                    </w:rPr>
                    <w:t>0.4</w:t>
                  </w:r>
                </w:p>
              </w:tc>
              <w:tc>
                <w:tcPr>
                  <w:tcW w:w="537" w:type="pct"/>
                  <w:tcBorders>
                    <w:tl2br w:val="nil"/>
                    <w:tr2bl w:val="nil"/>
                  </w:tcBorders>
                  <w:vAlign w:val="center"/>
                </w:tcPr>
                <w:p w14:paraId="090CF65C">
                  <w:pPr>
                    <w:wordWrap w:val="0"/>
                    <w:topLinePunct/>
                    <w:adjustRightInd w:val="0"/>
                    <w:snapToGrid w:val="0"/>
                    <w:ind w:left="-120" w:leftChars="-50" w:right="-120" w:rightChars="-50"/>
                    <w:jc w:val="center"/>
                    <w:rPr>
                      <w:sz w:val="21"/>
                      <w:szCs w:val="21"/>
                    </w:rPr>
                  </w:pPr>
                  <w:r>
                    <w:rPr>
                      <w:rFonts w:hint="eastAsia"/>
                      <w:sz w:val="21"/>
                      <w:szCs w:val="21"/>
                    </w:rPr>
                    <w:t>6000</w:t>
                  </w:r>
                </w:p>
              </w:tc>
              <w:tc>
                <w:tcPr>
                  <w:tcW w:w="546" w:type="pct"/>
                  <w:tcBorders>
                    <w:tl2br w:val="nil"/>
                    <w:tr2bl w:val="nil"/>
                  </w:tcBorders>
                  <w:vAlign w:val="center"/>
                </w:tcPr>
                <w:p w14:paraId="34AE119F">
                  <w:pPr>
                    <w:wordWrap w:val="0"/>
                    <w:topLinePunct/>
                    <w:adjustRightInd w:val="0"/>
                    <w:snapToGrid w:val="0"/>
                    <w:ind w:left="-120" w:leftChars="-50" w:right="-120" w:rightChars="-50"/>
                    <w:jc w:val="center"/>
                    <w:rPr>
                      <w:sz w:val="21"/>
                      <w:szCs w:val="21"/>
                    </w:rPr>
                  </w:pPr>
                  <w:r>
                    <w:rPr>
                      <w:rFonts w:hint="eastAsia"/>
                      <w:sz w:val="21"/>
                      <w:szCs w:val="21"/>
                    </w:rPr>
                    <w:t>25</w:t>
                  </w:r>
                </w:p>
              </w:tc>
              <w:tc>
                <w:tcPr>
                  <w:tcW w:w="538" w:type="pct"/>
                  <w:tcBorders>
                    <w:tl2br w:val="nil"/>
                    <w:tr2bl w:val="nil"/>
                  </w:tcBorders>
                  <w:vAlign w:val="center"/>
                </w:tcPr>
                <w:p w14:paraId="6BE4B1F3">
                  <w:pPr>
                    <w:wordWrap w:val="0"/>
                    <w:topLinePunct/>
                    <w:adjustRightInd w:val="0"/>
                    <w:snapToGrid w:val="0"/>
                    <w:ind w:left="-120" w:leftChars="-50" w:right="-120" w:rightChars="-50"/>
                    <w:jc w:val="center"/>
                    <w:rPr>
                      <w:sz w:val="21"/>
                      <w:szCs w:val="21"/>
                    </w:rPr>
                  </w:pPr>
                  <w:r>
                    <w:rPr>
                      <w:rFonts w:hint="eastAsia"/>
                      <w:sz w:val="21"/>
                      <w:szCs w:val="21"/>
                    </w:rPr>
                    <w:t>8000</w:t>
                  </w:r>
                </w:p>
              </w:tc>
            </w:tr>
            <w:tr w14:paraId="01B5E7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53" w:type="pct"/>
                  <w:tcBorders>
                    <w:tl2br w:val="nil"/>
                    <w:tr2bl w:val="nil"/>
                  </w:tcBorders>
                  <w:vAlign w:val="center"/>
                </w:tcPr>
                <w:p w14:paraId="50FEE311">
                  <w:pPr>
                    <w:widowControl/>
                    <w:wordWrap w:val="0"/>
                    <w:topLinePunct/>
                    <w:adjustRightInd w:val="0"/>
                    <w:snapToGrid w:val="0"/>
                    <w:ind w:left="-120" w:leftChars="-50" w:right="-120" w:rightChars="-50"/>
                    <w:jc w:val="center"/>
                    <w:rPr>
                      <w:rFonts w:hint="eastAsia" w:eastAsia="宋体"/>
                      <w:sz w:val="21"/>
                      <w:szCs w:val="21"/>
                      <w:lang w:eastAsia="zh-CN"/>
                    </w:rPr>
                  </w:pPr>
                  <w:r>
                    <w:rPr>
                      <w:rFonts w:hint="eastAsia"/>
                      <w:sz w:val="21"/>
                      <w:szCs w:val="21"/>
                    </w:rPr>
                    <w:t>DA00</w:t>
                  </w:r>
                  <w:r>
                    <w:rPr>
                      <w:rFonts w:hint="eastAsia"/>
                      <w:sz w:val="21"/>
                      <w:szCs w:val="21"/>
                      <w:lang w:val="en-US" w:eastAsia="zh-CN"/>
                    </w:rPr>
                    <w:t>2</w:t>
                  </w:r>
                </w:p>
              </w:tc>
              <w:tc>
                <w:tcPr>
                  <w:tcW w:w="739" w:type="pct"/>
                  <w:tcBorders>
                    <w:tl2br w:val="nil"/>
                    <w:tr2bl w:val="nil"/>
                  </w:tcBorders>
                  <w:vAlign w:val="center"/>
                </w:tcPr>
                <w:p w14:paraId="1A95638D">
                  <w:pPr>
                    <w:wordWrap w:val="0"/>
                    <w:topLinePunct/>
                    <w:adjustRightInd w:val="0"/>
                    <w:snapToGrid w:val="0"/>
                    <w:ind w:left="-120" w:leftChars="-50" w:right="-120" w:rightChars="-50"/>
                    <w:jc w:val="center"/>
                    <w:rPr>
                      <w:sz w:val="21"/>
                      <w:szCs w:val="21"/>
                    </w:rPr>
                  </w:pPr>
                  <w:r>
                    <w:rPr>
                      <w:sz w:val="21"/>
                      <w:szCs w:val="21"/>
                    </w:rPr>
                    <w:t>112.628029</w:t>
                  </w:r>
                </w:p>
              </w:tc>
              <w:tc>
                <w:tcPr>
                  <w:tcW w:w="745" w:type="pct"/>
                  <w:tcBorders>
                    <w:tl2br w:val="nil"/>
                    <w:tr2bl w:val="nil"/>
                  </w:tcBorders>
                  <w:vAlign w:val="center"/>
                </w:tcPr>
                <w:p w14:paraId="6909A76C">
                  <w:pPr>
                    <w:wordWrap w:val="0"/>
                    <w:topLinePunct/>
                    <w:adjustRightInd w:val="0"/>
                    <w:snapToGrid w:val="0"/>
                    <w:ind w:left="-120" w:leftChars="-50" w:right="-120" w:rightChars="-50"/>
                    <w:jc w:val="center"/>
                    <w:rPr>
                      <w:sz w:val="21"/>
                      <w:szCs w:val="21"/>
                    </w:rPr>
                  </w:pPr>
                  <w:r>
                    <w:rPr>
                      <w:sz w:val="21"/>
                      <w:szCs w:val="21"/>
                    </w:rPr>
                    <w:t>26.97136</w:t>
                  </w:r>
                  <w:r>
                    <w:rPr>
                      <w:rFonts w:hint="eastAsia"/>
                      <w:sz w:val="21"/>
                      <w:szCs w:val="21"/>
                    </w:rPr>
                    <w:t>3</w:t>
                  </w:r>
                </w:p>
              </w:tc>
              <w:tc>
                <w:tcPr>
                  <w:tcW w:w="748" w:type="pct"/>
                  <w:tcBorders>
                    <w:tl2br w:val="nil"/>
                    <w:tr2bl w:val="nil"/>
                  </w:tcBorders>
                  <w:vAlign w:val="center"/>
                </w:tcPr>
                <w:p w14:paraId="1651CB2F">
                  <w:pPr>
                    <w:wordWrap w:val="0"/>
                    <w:topLinePunct/>
                    <w:jc w:val="center"/>
                    <w:rPr>
                      <w:snapToGrid w:val="0"/>
                      <w:spacing w:val="4"/>
                      <w:sz w:val="21"/>
                      <w:szCs w:val="21"/>
                    </w:rPr>
                  </w:pPr>
                  <w:r>
                    <w:rPr>
                      <w:snapToGrid w:val="0"/>
                      <w:spacing w:val="4"/>
                      <w:sz w:val="21"/>
                      <w:szCs w:val="21"/>
                    </w:rPr>
                    <w:t>15m排气筒</w:t>
                  </w:r>
                </w:p>
              </w:tc>
              <w:tc>
                <w:tcPr>
                  <w:tcW w:w="388" w:type="pct"/>
                  <w:tcBorders>
                    <w:tl2br w:val="nil"/>
                    <w:tr2bl w:val="nil"/>
                  </w:tcBorders>
                  <w:vAlign w:val="center"/>
                </w:tcPr>
                <w:p w14:paraId="2F95894B">
                  <w:pPr>
                    <w:wordWrap w:val="0"/>
                    <w:topLinePunct/>
                    <w:adjustRightInd w:val="0"/>
                    <w:snapToGrid w:val="0"/>
                    <w:ind w:left="-120" w:leftChars="-50" w:right="-120" w:rightChars="-50"/>
                    <w:jc w:val="center"/>
                    <w:rPr>
                      <w:sz w:val="21"/>
                      <w:szCs w:val="21"/>
                    </w:rPr>
                  </w:pPr>
                  <w:r>
                    <w:rPr>
                      <w:rFonts w:hint="eastAsia"/>
                      <w:sz w:val="21"/>
                      <w:szCs w:val="21"/>
                    </w:rPr>
                    <w:t>15</w:t>
                  </w:r>
                </w:p>
              </w:tc>
              <w:tc>
                <w:tcPr>
                  <w:tcW w:w="403" w:type="pct"/>
                  <w:tcBorders>
                    <w:tl2br w:val="nil"/>
                    <w:tr2bl w:val="nil"/>
                  </w:tcBorders>
                  <w:vAlign w:val="center"/>
                </w:tcPr>
                <w:p w14:paraId="414C7542">
                  <w:pPr>
                    <w:wordWrap w:val="0"/>
                    <w:topLinePunct/>
                    <w:adjustRightInd w:val="0"/>
                    <w:snapToGrid w:val="0"/>
                    <w:ind w:left="-120" w:leftChars="-50" w:right="-120" w:rightChars="-50"/>
                    <w:jc w:val="center"/>
                    <w:rPr>
                      <w:sz w:val="21"/>
                      <w:szCs w:val="21"/>
                    </w:rPr>
                  </w:pPr>
                  <w:r>
                    <w:rPr>
                      <w:rFonts w:hint="eastAsia"/>
                      <w:sz w:val="21"/>
                      <w:szCs w:val="21"/>
                    </w:rPr>
                    <w:t>0.2</w:t>
                  </w:r>
                </w:p>
              </w:tc>
              <w:tc>
                <w:tcPr>
                  <w:tcW w:w="537" w:type="pct"/>
                  <w:tcBorders>
                    <w:tl2br w:val="nil"/>
                    <w:tr2bl w:val="nil"/>
                  </w:tcBorders>
                  <w:vAlign w:val="center"/>
                </w:tcPr>
                <w:p w14:paraId="30FDA043">
                  <w:pPr>
                    <w:wordWrap w:val="0"/>
                    <w:topLinePunct/>
                    <w:adjustRightInd w:val="0"/>
                    <w:snapToGrid w:val="0"/>
                    <w:ind w:left="-120" w:leftChars="-50" w:right="-120" w:rightChars="-50"/>
                    <w:jc w:val="center"/>
                    <w:rPr>
                      <w:rFonts w:hint="default" w:eastAsia="宋体"/>
                      <w:sz w:val="21"/>
                      <w:szCs w:val="21"/>
                      <w:lang w:val="en-US" w:eastAsia="zh-CN"/>
                    </w:rPr>
                  </w:pPr>
                  <w:r>
                    <w:rPr>
                      <w:rFonts w:hint="eastAsia"/>
                      <w:sz w:val="21"/>
                      <w:szCs w:val="21"/>
                      <w:lang w:val="en-US" w:eastAsia="zh-CN"/>
                    </w:rPr>
                    <w:t>464</w:t>
                  </w:r>
                </w:p>
              </w:tc>
              <w:tc>
                <w:tcPr>
                  <w:tcW w:w="546" w:type="pct"/>
                  <w:tcBorders>
                    <w:tl2br w:val="nil"/>
                    <w:tr2bl w:val="nil"/>
                  </w:tcBorders>
                  <w:vAlign w:val="center"/>
                </w:tcPr>
                <w:p w14:paraId="12798B2A">
                  <w:pPr>
                    <w:wordWrap w:val="0"/>
                    <w:topLinePunct/>
                    <w:adjustRightInd w:val="0"/>
                    <w:snapToGrid w:val="0"/>
                    <w:ind w:left="-120" w:leftChars="-50" w:right="-120" w:rightChars="-50"/>
                    <w:jc w:val="center"/>
                    <w:rPr>
                      <w:sz w:val="21"/>
                      <w:szCs w:val="21"/>
                    </w:rPr>
                  </w:pPr>
                  <w:r>
                    <w:rPr>
                      <w:rFonts w:hint="eastAsia"/>
                      <w:sz w:val="21"/>
                      <w:szCs w:val="21"/>
                    </w:rPr>
                    <w:t>25</w:t>
                  </w:r>
                </w:p>
              </w:tc>
              <w:tc>
                <w:tcPr>
                  <w:tcW w:w="538" w:type="pct"/>
                  <w:tcBorders>
                    <w:tl2br w:val="nil"/>
                    <w:tr2bl w:val="nil"/>
                  </w:tcBorders>
                  <w:vAlign w:val="center"/>
                </w:tcPr>
                <w:p w14:paraId="241A2799">
                  <w:pPr>
                    <w:wordWrap w:val="0"/>
                    <w:topLinePunct/>
                    <w:adjustRightInd w:val="0"/>
                    <w:snapToGrid w:val="0"/>
                    <w:ind w:left="-120" w:leftChars="-50" w:right="-120" w:rightChars="-50"/>
                    <w:jc w:val="center"/>
                    <w:rPr>
                      <w:sz w:val="21"/>
                      <w:szCs w:val="21"/>
                    </w:rPr>
                  </w:pPr>
                  <w:r>
                    <w:rPr>
                      <w:rFonts w:hint="eastAsia"/>
                      <w:sz w:val="21"/>
                      <w:szCs w:val="21"/>
                    </w:rPr>
                    <w:t>8000</w:t>
                  </w:r>
                </w:p>
              </w:tc>
            </w:tr>
          </w:tbl>
          <w:p w14:paraId="7A6001C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lang w:val="en-GB"/>
              </w:rPr>
            </w:pPr>
            <w:r>
              <w:rPr>
                <w:b/>
                <w:lang w:val="en-GB"/>
              </w:rPr>
              <w:t>表4-</w:t>
            </w:r>
            <w:r>
              <w:rPr>
                <w:rFonts w:hint="eastAsia"/>
                <w:b/>
              </w:rPr>
              <w:t>3</w:t>
            </w:r>
            <w:r>
              <w:rPr>
                <w:b/>
                <w:lang w:val="en-GB"/>
              </w:rPr>
              <w:t xml:space="preserve">  </w:t>
            </w:r>
            <w:r>
              <w:rPr>
                <w:rFonts w:hint="eastAsia"/>
                <w:b/>
                <w:lang w:val="en-GB"/>
              </w:rPr>
              <w:t>项目大气污染物有组织排放量核算</w:t>
            </w:r>
            <w:r>
              <w:rPr>
                <w:b/>
                <w:lang w:val="en-GB"/>
              </w:rPr>
              <w:t>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364"/>
              <w:gridCol w:w="1636"/>
              <w:gridCol w:w="1909"/>
              <w:gridCol w:w="1732"/>
              <w:gridCol w:w="1696"/>
            </w:tblGrid>
            <w:tr w14:paraId="16245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2" w:type="dxa"/>
                  <w:vAlign w:val="center"/>
                </w:tcPr>
                <w:p w14:paraId="22D643DC">
                  <w:pPr>
                    <w:pStyle w:val="14"/>
                    <w:spacing w:before="0" w:after="0" w:line="240" w:lineRule="auto"/>
                    <w:ind w:right="0"/>
                    <w:jc w:val="center"/>
                    <w:rPr>
                      <w:b/>
                      <w:bCs/>
                      <w:sz w:val="21"/>
                      <w:szCs w:val="21"/>
                    </w:rPr>
                  </w:pPr>
                  <w:r>
                    <w:rPr>
                      <w:b/>
                      <w:bCs/>
                      <w:sz w:val="21"/>
                      <w:szCs w:val="21"/>
                    </w:rPr>
                    <w:t>序号</w:t>
                  </w:r>
                </w:p>
              </w:tc>
              <w:tc>
                <w:tcPr>
                  <w:tcW w:w="1364" w:type="dxa"/>
                  <w:vAlign w:val="center"/>
                </w:tcPr>
                <w:p w14:paraId="7123727B">
                  <w:pPr>
                    <w:pStyle w:val="14"/>
                    <w:spacing w:before="0" w:after="0" w:line="240" w:lineRule="auto"/>
                    <w:ind w:right="0"/>
                    <w:jc w:val="center"/>
                    <w:rPr>
                      <w:b/>
                      <w:bCs/>
                      <w:sz w:val="21"/>
                      <w:szCs w:val="21"/>
                    </w:rPr>
                  </w:pPr>
                  <w:r>
                    <w:rPr>
                      <w:b/>
                      <w:bCs/>
                      <w:sz w:val="21"/>
                      <w:szCs w:val="21"/>
                    </w:rPr>
                    <w:t>排放口编号</w:t>
                  </w:r>
                </w:p>
              </w:tc>
              <w:tc>
                <w:tcPr>
                  <w:tcW w:w="1636" w:type="dxa"/>
                  <w:vAlign w:val="center"/>
                </w:tcPr>
                <w:p w14:paraId="4FC5F9C6">
                  <w:pPr>
                    <w:pStyle w:val="14"/>
                    <w:spacing w:before="0" w:after="0" w:line="240" w:lineRule="auto"/>
                    <w:ind w:right="0"/>
                    <w:jc w:val="center"/>
                    <w:rPr>
                      <w:b/>
                      <w:bCs/>
                      <w:sz w:val="21"/>
                      <w:szCs w:val="21"/>
                    </w:rPr>
                  </w:pPr>
                  <w:r>
                    <w:rPr>
                      <w:b/>
                      <w:bCs/>
                      <w:sz w:val="21"/>
                      <w:szCs w:val="21"/>
                    </w:rPr>
                    <w:t>污染物</w:t>
                  </w:r>
                </w:p>
              </w:tc>
              <w:tc>
                <w:tcPr>
                  <w:tcW w:w="1909" w:type="dxa"/>
                  <w:vAlign w:val="center"/>
                </w:tcPr>
                <w:p w14:paraId="304E9F0D">
                  <w:pPr>
                    <w:pStyle w:val="14"/>
                    <w:spacing w:before="0" w:after="0" w:line="240" w:lineRule="auto"/>
                    <w:ind w:right="0"/>
                    <w:jc w:val="center"/>
                    <w:rPr>
                      <w:b/>
                      <w:bCs/>
                      <w:sz w:val="21"/>
                      <w:szCs w:val="21"/>
                    </w:rPr>
                  </w:pPr>
                  <w:r>
                    <w:rPr>
                      <w:b/>
                      <w:bCs/>
                      <w:sz w:val="21"/>
                      <w:szCs w:val="21"/>
                    </w:rPr>
                    <w:t>核算排放浓度</w:t>
                  </w:r>
                  <w:r>
                    <w:rPr>
                      <w:rFonts w:hint="eastAsia"/>
                      <w:b/>
                      <w:bCs/>
                      <w:sz w:val="21"/>
                      <w:szCs w:val="21"/>
                    </w:rPr>
                    <w:t>/（mg/m</w:t>
                  </w:r>
                  <w:r>
                    <w:rPr>
                      <w:rFonts w:hint="eastAsia"/>
                      <w:b/>
                      <w:bCs/>
                      <w:sz w:val="21"/>
                      <w:szCs w:val="21"/>
                      <w:vertAlign w:val="superscript"/>
                    </w:rPr>
                    <w:t>3</w:t>
                  </w:r>
                  <w:r>
                    <w:rPr>
                      <w:rFonts w:hint="eastAsia"/>
                      <w:b/>
                      <w:bCs/>
                      <w:sz w:val="21"/>
                      <w:szCs w:val="21"/>
                    </w:rPr>
                    <w:t>）</w:t>
                  </w:r>
                </w:p>
              </w:tc>
              <w:tc>
                <w:tcPr>
                  <w:tcW w:w="1732" w:type="dxa"/>
                  <w:vAlign w:val="center"/>
                </w:tcPr>
                <w:p w14:paraId="32F60619">
                  <w:pPr>
                    <w:pStyle w:val="14"/>
                    <w:spacing w:before="0" w:after="0" w:line="240" w:lineRule="auto"/>
                    <w:ind w:right="0"/>
                    <w:jc w:val="center"/>
                    <w:rPr>
                      <w:b/>
                      <w:bCs/>
                      <w:sz w:val="21"/>
                      <w:szCs w:val="21"/>
                    </w:rPr>
                  </w:pPr>
                  <w:r>
                    <w:rPr>
                      <w:b/>
                      <w:bCs/>
                      <w:sz w:val="21"/>
                      <w:szCs w:val="21"/>
                    </w:rPr>
                    <w:t>核算排放速率</w:t>
                  </w:r>
                  <w:r>
                    <w:rPr>
                      <w:rFonts w:hint="eastAsia"/>
                      <w:b/>
                      <w:bCs/>
                      <w:sz w:val="21"/>
                      <w:szCs w:val="21"/>
                    </w:rPr>
                    <w:t>/（kg/h）</w:t>
                  </w:r>
                </w:p>
              </w:tc>
              <w:tc>
                <w:tcPr>
                  <w:tcW w:w="1696" w:type="dxa"/>
                  <w:vAlign w:val="center"/>
                </w:tcPr>
                <w:p w14:paraId="5110FBFC">
                  <w:pPr>
                    <w:pStyle w:val="14"/>
                    <w:spacing w:before="0" w:after="0" w:line="240" w:lineRule="auto"/>
                    <w:ind w:right="0"/>
                    <w:jc w:val="center"/>
                    <w:rPr>
                      <w:b/>
                      <w:bCs/>
                      <w:sz w:val="21"/>
                      <w:szCs w:val="21"/>
                    </w:rPr>
                  </w:pPr>
                  <w:r>
                    <w:rPr>
                      <w:b/>
                      <w:bCs/>
                      <w:sz w:val="21"/>
                      <w:szCs w:val="21"/>
                    </w:rPr>
                    <w:t>核算年排放量</w:t>
                  </w:r>
                  <w:r>
                    <w:rPr>
                      <w:rFonts w:hint="eastAsia"/>
                      <w:b/>
                      <w:bCs/>
                      <w:sz w:val="21"/>
                      <w:szCs w:val="21"/>
                    </w:rPr>
                    <w:t>/（t/a）</w:t>
                  </w:r>
                </w:p>
              </w:tc>
            </w:tr>
            <w:tr w14:paraId="413FA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79" w:type="dxa"/>
                  <w:gridSpan w:val="6"/>
                  <w:vAlign w:val="center"/>
                </w:tcPr>
                <w:p w14:paraId="049C5472">
                  <w:pPr>
                    <w:pStyle w:val="14"/>
                    <w:spacing w:before="0" w:after="0" w:line="240" w:lineRule="auto"/>
                    <w:ind w:right="0"/>
                    <w:jc w:val="center"/>
                    <w:rPr>
                      <w:sz w:val="21"/>
                      <w:szCs w:val="21"/>
                    </w:rPr>
                  </w:pPr>
                  <w:r>
                    <w:rPr>
                      <w:b/>
                      <w:bCs/>
                      <w:sz w:val="21"/>
                      <w:szCs w:val="21"/>
                    </w:rPr>
                    <w:t>一般排放口</w:t>
                  </w:r>
                </w:p>
              </w:tc>
            </w:tr>
            <w:tr w14:paraId="05DFF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2" w:type="dxa"/>
                  <w:vAlign w:val="center"/>
                </w:tcPr>
                <w:p w14:paraId="1E7A2097">
                  <w:pPr>
                    <w:pStyle w:val="14"/>
                    <w:spacing w:before="0" w:after="0" w:line="240" w:lineRule="auto"/>
                    <w:ind w:right="0"/>
                    <w:jc w:val="center"/>
                    <w:rPr>
                      <w:sz w:val="21"/>
                      <w:szCs w:val="21"/>
                    </w:rPr>
                  </w:pPr>
                  <w:r>
                    <w:rPr>
                      <w:sz w:val="21"/>
                      <w:szCs w:val="21"/>
                    </w:rPr>
                    <w:t>1</w:t>
                  </w:r>
                </w:p>
              </w:tc>
              <w:tc>
                <w:tcPr>
                  <w:tcW w:w="1364" w:type="dxa"/>
                  <w:vAlign w:val="center"/>
                </w:tcPr>
                <w:p w14:paraId="1109EDF4">
                  <w:pPr>
                    <w:pStyle w:val="14"/>
                    <w:spacing w:before="0" w:after="0" w:line="240" w:lineRule="auto"/>
                    <w:ind w:right="0"/>
                    <w:jc w:val="center"/>
                    <w:rPr>
                      <w:sz w:val="21"/>
                      <w:szCs w:val="21"/>
                    </w:rPr>
                  </w:pPr>
                  <w:r>
                    <w:rPr>
                      <w:sz w:val="21"/>
                      <w:szCs w:val="21"/>
                    </w:rPr>
                    <w:t>DA001</w:t>
                  </w:r>
                </w:p>
              </w:tc>
              <w:tc>
                <w:tcPr>
                  <w:tcW w:w="1636" w:type="dxa"/>
                  <w:vAlign w:val="center"/>
                </w:tcPr>
                <w:p w14:paraId="7EE82811">
                  <w:pPr>
                    <w:pStyle w:val="14"/>
                    <w:spacing w:before="0" w:after="0" w:line="240" w:lineRule="auto"/>
                    <w:ind w:right="0"/>
                    <w:jc w:val="center"/>
                    <w:rPr>
                      <w:sz w:val="21"/>
                      <w:szCs w:val="21"/>
                    </w:rPr>
                  </w:pPr>
                  <w:r>
                    <w:rPr>
                      <w:sz w:val="21"/>
                      <w:szCs w:val="21"/>
                    </w:rPr>
                    <w:t>颗粒物</w:t>
                  </w:r>
                </w:p>
              </w:tc>
              <w:tc>
                <w:tcPr>
                  <w:tcW w:w="1909" w:type="dxa"/>
                  <w:vAlign w:val="center"/>
                </w:tcPr>
                <w:p w14:paraId="4BB5CEC0">
                  <w:pPr>
                    <w:widowControl/>
                    <w:jc w:val="center"/>
                    <w:rPr>
                      <w:snapToGrid w:val="0"/>
                      <w:spacing w:val="4"/>
                      <w:sz w:val="21"/>
                      <w:szCs w:val="21"/>
                    </w:rPr>
                  </w:pPr>
                  <w:r>
                    <w:rPr>
                      <w:snapToGrid w:val="0"/>
                      <w:spacing w:val="4"/>
                      <w:sz w:val="21"/>
                      <w:szCs w:val="21"/>
                    </w:rPr>
                    <w:t>4.7</w:t>
                  </w:r>
                </w:p>
              </w:tc>
              <w:tc>
                <w:tcPr>
                  <w:tcW w:w="1732" w:type="dxa"/>
                  <w:vAlign w:val="center"/>
                </w:tcPr>
                <w:p w14:paraId="0432AB89">
                  <w:pPr>
                    <w:widowControl/>
                    <w:jc w:val="center"/>
                    <w:rPr>
                      <w:snapToGrid w:val="0"/>
                      <w:spacing w:val="4"/>
                      <w:sz w:val="21"/>
                      <w:szCs w:val="21"/>
                    </w:rPr>
                  </w:pPr>
                  <w:r>
                    <w:rPr>
                      <w:snapToGrid w:val="0"/>
                      <w:spacing w:val="4"/>
                      <w:sz w:val="21"/>
                      <w:szCs w:val="21"/>
                    </w:rPr>
                    <w:t>0.028</w:t>
                  </w:r>
                </w:p>
              </w:tc>
              <w:tc>
                <w:tcPr>
                  <w:tcW w:w="1696" w:type="dxa"/>
                  <w:vAlign w:val="center"/>
                </w:tcPr>
                <w:p w14:paraId="19C1F984">
                  <w:pPr>
                    <w:widowControl/>
                    <w:jc w:val="center"/>
                    <w:rPr>
                      <w:snapToGrid w:val="0"/>
                      <w:spacing w:val="4"/>
                      <w:sz w:val="21"/>
                      <w:szCs w:val="21"/>
                    </w:rPr>
                  </w:pPr>
                  <w:r>
                    <w:rPr>
                      <w:snapToGrid w:val="0"/>
                      <w:spacing w:val="4"/>
                      <w:sz w:val="21"/>
                      <w:szCs w:val="21"/>
                    </w:rPr>
                    <w:t>0.226</w:t>
                  </w:r>
                </w:p>
              </w:tc>
            </w:tr>
            <w:tr w14:paraId="4A348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2" w:type="dxa"/>
                  <w:vMerge w:val="restart"/>
                  <w:vAlign w:val="center"/>
                </w:tcPr>
                <w:p w14:paraId="0FE64EAA">
                  <w:pPr>
                    <w:pStyle w:val="14"/>
                    <w:spacing w:before="0" w:after="0" w:line="240" w:lineRule="auto"/>
                    <w:ind w:right="0"/>
                    <w:jc w:val="center"/>
                    <w:rPr>
                      <w:rFonts w:hint="eastAsia" w:eastAsia="宋体"/>
                      <w:sz w:val="21"/>
                      <w:szCs w:val="21"/>
                      <w:lang w:eastAsia="zh-CN"/>
                    </w:rPr>
                  </w:pPr>
                  <w:r>
                    <w:rPr>
                      <w:rFonts w:hint="eastAsia"/>
                      <w:sz w:val="21"/>
                      <w:szCs w:val="21"/>
                      <w:lang w:val="en-US" w:eastAsia="zh-CN"/>
                    </w:rPr>
                    <w:t>2</w:t>
                  </w:r>
                </w:p>
              </w:tc>
              <w:tc>
                <w:tcPr>
                  <w:tcW w:w="1364" w:type="dxa"/>
                  <w:vMerge w:val="restart"/>
                  <w:vAlign w:val="center"/>
                </w:tcPr>
                <w:p w14:paraId="51F503BB">
                  <w:pPr>
                    <w:pStyle w:val="14"/>
                    <w:spacing w:before="0" w:after="0" w:line="240" w:lineRule="auto"/>
                    <w:ind w:right="0"/>
                    <w:jc w:val="center"/>
                    <w:rPr>
                      <w:rFonts w:hint="eastAsia" w:eastAsia="宋体"/>
                      <w:sz w:val="21"/>
                      <w:szCs w:val="21"/>
                      <w:lang w:eastAsia="zh-CN"/>
                    </w:rPr>
                  </w:pPr>
                  <w:r>
                    <w:rPr>
                      <w:sz w:val="21"/>
                      <w:szCs w:val="21"/>
                    </w:rPr>
                    <w:t>DA00</w:t>
                  </w:r>
                  <w:r>
                    <w:rPr>
                      <w:rFonts w:hint="eastAsia"/>
                      <w:sz w:val="21"/>
                      <w:szCs w:val="21"/>
                      <w:lang w:val="en-US" w:eastAsia="zh-CN"/>
                    </w:rPr>
                    <w:t>2</w:t>
                  </w:r>
                </w:p>
              </w:tc>
              <w:tc>
                <w:tcPr>
                  <w:tcW w:w="1636" w:type="dxa"/>
                  <w:vAlign w:val="center"/>
                </w:tcPr>
                <w:p w14:paraId="6069661E">
                  <w:pPr>
                    <w:pStyle w:val="14"/>
                    <w:spacing w:before="0" w:after="0" w:line="240" w:lineRule="auto"/>
                    <w:ind w:right="0"/>
                    <w:jc w:val="center"/>
                    <w:rPr>
                      <w:sz w:val="21"/>
                      <w:szCs w:val="21"/>
                    </w:rPr>
                  </w:pPr>
                  <w:r>
                    <w:rPr>
                      <w:sz w:val="21"/>
                      <w:szCs w:val="21"/>
                    </w:rPr>
                    <w:t>SO</w:t>
                  </w:r>
                  <w:r>
                    <w:rPr>
                      <w:sz w:val="21"/>
                      <w:szCs w:val="21"/>
                      <w:vertAlign w:val="subscript"/>
                    </w:rPr>
                    <w:t>2</w:t>
                  </w:r>
                </w:p>
              </w:tc>
              <w:tc>
                <w:tcPr>
                  <w:tcW w:w="1909" w:type="dxa"/>
                  <w:vAlign w:val="center"/>
                </w:tcPr>
                <w:p w14:paraId="5F850FA0">
                  <w:pPr>
                    <w:wordWrap w:val="0"/>
                    <w:topLinePunct/>
                    <w:jc w:val="center"/>
                    <w:rPr>
                      <w:snapToGrid w:val="0"/>
                      <w:spacing w:val="4"/>
                      <w:sz w:val="21"/>
                      <w:szCs w:val="21"/>
                    </w:rPr>
                  </w:pPr>
                  <w:r>
                    <w:rPr>
                      <w:rFonts w:hint="eastAsia"/>
                      <w:snapToGrid w:val="0"/>
                      <w:spacing w:val="4"/>
                      <w:sz w:val="21"/>
                      <w:szCs w:val="21"/>
                      <w:lang w:val="en-US" w:eastAsia="zh-CN"/>
                    </w:rPr>
                    <w:t>19.4</w:t>
                  </w:r>
                </w:p>
              </w:tc>
              <w:tc>
                <w:tcPr>
                  <w:tcW w:w="1732" w:type="dxa"/>
                  <w:vAlign w:val="center"/>
                </w:tcPr>
                <w:p w14:paraId="1EEF90B2">
                  <w:pPr>
                    <w:wordWrap w:val="0"/>
                    <w:topLinePunct/>
                    <w:jc w:val="center"/>
                    <w:rPr>
                      <w:snapToGrid w:val="0"/>
                      <w:spacing w:val="4"/>
                      <w:sz w:val="21"/>
                      <w:szCs w:val="21"/>
                    </w:rPr>
                  </w:pPr>
                  <w:r>
                    <w:rPr>
                      <w:rFonts w:hint="eastAsia"/>
                      <w:snapToGrid w:val="0"/>
                      <w:spacing w:val="4"/>
                      <w:sz w:val="21"/>
                      <w:szCs w:val="21"/>
                      <w:lang w:val="en-US" w:eastAsia="zh-CN"/>
                    </w:rPr>
                    <w:t>0.009</w:t>
                  </w:r>
                </w:p>
              </w:tc>
              <w:tc>
                <w:tcPr>
                  <w:tcW w:w="1696" w:type="dxa"/>
                  <w:vAlign w:val="center"/>
                </w:tcPr>
                <w:p w14:paraId="2DE04B34">
                  <w:pPr>
                    <w:wordWrap w:val="0"/>
                    <w:topLinePunct/>
                    <w:jc w:val="center"/>
                    <w:rPr>
                      <w:snapToGrid w:val="0"/>
                      <w:spacing w:val="4"/>
                      <w:sz w:val="21"/>
                      <w:szCs w:val="21"/>
                    </w:rPr>
                  </w:pPr>
                  <w:r>
                    <w:rPr>
                      <w:rFonts w:hint="eastAsia"/>
                      <w:snapToGrid w:val="0"/>
                      <w:spacing w:val="4"/>
                      <w:sz w:val="21"/>
                      <w:szCs w:val="21"/>
                      <w:lang w:val="en-US" w:eastAsia="zh-CN"/>
                    </w:rPr>
                    <w:t>0.07</w:t>
                  </w:r>
                </w:p>
              </w:tc>
            </w:tr>
            <w:tr w14:paraId="5AFDE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2" w:type="dxa"/>
                  <w:vMerge w:val="continue"/>
                  <w:vAlign w:val="center"/>
                </w:tcPr>
                <w:p w14:paraId="66589E66">
                  <w:pPr>
                    <w:pStyle w:val="14"/>
                    <w:spacing w:before="0" w:after="0" w:line="240" w:lineRule="auto"/>
                    <w:ind w:right="0"/>
                    <w:jc w:val="center"/>
                    <w:rPr>
                      <w:sz w:val="21"/>
                      <w:szCs w:val="21"/>
                    </w:rPr>
                  </w:pPr>
                </w:p>
              </w:tc>
              <w:tc>
                <w:tcPr>
                  <w:tcW w:w="1364" w:type="dxa"/>
                  <w:vMerge w:val="continue"/>
                  <w:vAlign w:val="center"/>
                </w:tcPr>
                <w:p w14:paraId="0297CA31">
                  <w:pPr>
                    <w:pStyle w:val="14"/>
                    <w:spacing w:before="0" w:after="0" w:line="240" w:lineRule="auto"/>
                    <w:ind w:right="0"/>
                    <w:jc w:val="center"/>
                    <w:rPr>
                      <w:sz w:val="21"/>
                      <w:szCs w:val="21"/>
                    </w:rPr>
                  </w:pPr>
                </w:p>
              </w:tc>
              <w:tc>
                <w:tcPr>
                  <w:tcW w:w="1636" w:type="dxa"/>
                  <w:vAlign w:val="center"/>
                </w:tcPr>
                <w:p w14:paraId="7D8915FD">
                  <w:pPr>
                    <w:pStyle w:val="14"/>
                    <w:spacing w:before="0" w:after="0" w:line="240" w:lineRule="auto"/>
                    <w:ind w:right="0"/>
                    <w:jc w:val="center"/>
                    <w:rPr>
                      <w:sz w:val="21"/>
                      <w:szCs w:val="21"/>
                    </w:rPr>
                  </w:pPr>
                  <w:r>
                    <w:rPr>
                      <w:sz w:val="21"/>
                      <w:szCs w:val="21"/>
                    </w:rPr>
                    <w:t>NO</w:t>
                  </w:r>
                  <w:r>
                    <w:rPr>
                      <w:sz w:val="21"/>
                      <w:szCs w:val="21"/>
                      <w:vertAlign w:val="subscript"/>
                    </w:rPr>
                    <w:t>X</w:t>
                  </w:r>
                </w:p>
              </w:tc>
              <w:tc>
                <w:tcPr>
                  <w:tcW w:w="1909" w:type="dxa"/>
                  <w:vAlign w:val="center"/>
                </w:tcPr>
                <w:p w14:paraId="35561C4C">
                  <w:pPr>
                    <w:wordWrap w:val="0"/>
                    <w:topLinePunct/>
                    <w:jc w:val="center"/>
                    <w:rPr>
                      <w:snapToGrid w:val="0"/>
                      <w:spacing w:val="4"/>
                      <w:sz w:val="21"/>
                      <w:szCs w:val="21"/>
                    </w:rPr>
                  </w:pPr>
                  <w:r>
                    <w:rPr>
                      <w:rFonts w:hint="eastAsia"/>
                      <w:snapToGrid w:val="0"/>
                      <w:spacing w:val="4"/>
                      <w:sz w:val="21"/>
                      <w:szCs w:val="21"/>
                      <w:lang w:val="en-US" w:eastAsia="zh-CN"/>
                    </w:rPr>
                    <w:t>66.81</w:t>
                  </w:r>
                </w:p>
              </w:tc>
              <w:tc>
                <w:tcPr>
                  <w:tcW w:w="1732" w:type="dxa"/>
                  <w:vAlign w:val="center"/>
                </w:tcPr>
                <w:p w14:paraId="234B9968">
                  <w:pPr>
                    <w:wordWrap w:val="0"/>
                    <w:topLinePunct/>
                    <w:jc w:val="center"/>
                    <w:rPr>
                      <w:snapToGrid w:val="0"/>
                      <w:spacing w:val="4"/>
                      <w:sz w:val="21"/>
                      <w:szCs w:val="21"/>
                    </w:rPr>
                  </w:pPr>
                  <w:r>
                    <w:rPr>
                      <w:rFonts w:hint="eastAsia"/>
                      <w:snapToGrid w:val="0"/>
                      <w:spacing w:val="4"/>
                      <w:sz w:val="21"/>
                      <w:szCs w:val="21"/>
                      <w:lang w:val="en-US" w:eastAsia="zh-CN"/>
                    </w:rPr>
                    <w:t>0.031</w:t>
                  </w:r>
                </w:p>
              </w:tc>
              <w:tc>
                <w:tcPr>
                  <w:tcW w:w="1696" w:type="dxa"/>
                  <w:vAlign w:val="center"/>
                </w:tcPr>
                <w:p w14:paraId="3CC94D63">
                  <w:pPr>
                    <w:wordWrap w:val="0"/>
                    <w:topLinePunct/>
                    <w:jc w:val="center"/>
                    <w:rPr>
                      <w:snapToGrid w:val="0"/>
                      <w:spacing w:val="4"/>
                      <w:sz w:val="21"/>
                      <w:szCs w:val="21"/>
                    </w:rPr>
                  </w:pPr>
                  <w:r>
                    <w:rPr>
                      <w:rFonts w:hint="eastAsia"/>
                      <w:snapToGrid w:val="0"/>
                      <w:spacing w:val="4"/>
                      <w:sz w:val="21"/>
                      <w:szCs w:val="21"/>
                      <w:lang w:val="en-US" w:eastAsia="zh-CN"/>
                    </w:rPr>
                    <w:t>0.244</w:t>
                  </w:r>
                </w:p>
              </w:tc>
            </w:tr>
            <w:tr w14:paraId="0524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2" w:type="dxa"/>
                  <w:vMerge w:val="continue"/>
                  <w:vAlign w:val="center"/>
                </w:tcPr>
                <w:p w14:paraId="674C58A5">
                  <w:pPr>
                    <w:pStyle w:val="14"/>
                    <w:spacing w:before="0" w:after="0" w:line="240" w:lineRule="auto"/>
                    <w:ind w:right="0"/>
                    <w:jc w:val="center"/>
                    <w:rPr>
                      <w:sz w:val="21"/>
                      <w:szCs w:val="21"/>
                    </w:rPr>
                  </w:pPr>
                </w:p>
              </w:tc>
              <w:tc>
                <w:tcPr>
                  <w:tcW w:w="1364" w:type="dxa"/>
                  <w:vMerge w:val="continue"/>
                  <w:vAlign w:val="center"/>
                </w:tcPr>
                <w:p w14:paraId="437BDBD4">
                  <w:pPr>
                    <w:pStyle w:val="14"/>
                    <w:spacing w:before="0" w:after="0" w:line="240" w:lineRule="auto"/>
                    <w:ind w:right="0"/>
                    <w:jc w:val="center"/>
                    <w:rPr>
                      <w:sz w:val="21"/>
                      <w:szCs w:val="21"/>
                    </w:rPr>
                  </w:pPr>
                </w:p>
              </w:tc>
              <w:tc>
                <w:tcPr>
                  <w:tcW w:w="1636" w:type="dxa"/>
                  <w:vAlign w:val="center"/>
                </w:tcPr>
                <w:p w14:paraId="7F7F8756">
                  <w:pPr>
                    <w:pStyle w:val="14"/>
                    <w:spacing w:before="0" w:after="0" w:line="240" w:lineRule="auto"/>
                    <w:ind w:right="0"/>
                    <w:jc w:val="center"/>
                    <w:rPr>
                      <w:sz w:val="21"/>
                      <w:szCs w:val="21"/>
                    </w:rPr>
                  </w:pPr>
                  <w:r>
                    <w:rPr>
                      <w:sz w:val="21"/>
                      <w:szCs w:val="21"/>
                    </w:rPr>
                    <w:t>颗粒物</w:t>
                  </w:r>
                </w:p>
              </w:tc>
              <w:tc>
                <w:tcPr>
                  <w:tcW w:w="1909" w:type="dxa"/>
                  <w:vAlign w:val="center"/>
                </w:tcPr>
                <w:p w14:paraId="3C8092C3">
                  <w:pPr>
                    <w:wordWrap w:val="0"/>
                    <w:topLinePunct/>
                    <w:jc w:val="center"/>
                    <w:rPr>
                      <w:snapToGrid w:val="0"/>
                      <w:spacing w:val="4"/>
                      <w:sz w:val="21"/>
                      <w:szCs w:val="21"/>
                    </w:rPr>
                  </w:pPr>
                  <w:r>
                    <w:rPr>
                      <w:rFonts w:hint="eastAsia"/>
                      <w:snapToGrid w:val="0"/>
                      <w:spacing w:val="4"/>
                      <w:sz w:val="21"/>
                      <w:szCs w:val="21"/>
                      <w:lang w:val="en-US" w:eastAsia="zh-CN"/>
                    </w:rPr>
                    <w:t>10.78</w:t>
                  </w:r>
                </w:p>
              </w:tc>
              <w:tc>
                <w:tcPr>
                  <w:tcW w:w="1732" w:type="dxa"/>
                  <w:vAlign w:val="center"/>
                </w:tcPr>
                <w:p w14:paraId="7B50595B">
                  <w:pPr>
                    <w:wordWrap w:val="0"/>
                    <w:topLinePunct/>
                    <w:jc w:val="center"/>
                    <w:rPr>
                      <w:snapToGrid w:val="0"/>
                      <w:spacing w:val="4"/>
                      <w:sz w:val="21"/>
                      <w:szCs w:val="21"/>
                    </w:rPr>
                  </w:pPr>
                  <w:r>
                    <w:rPr>
                      <w:rFonts w:hint="eastAsia"/>
                      <w:snapToGrid w:val="0"/>
                      <w:spacing w:val="4"/>
                      <w:sz w:val="21"/>
                      <w:szCs w:val="21"/>
                      <w:lang w:val="en-US" w:eastAsia="zh-CN"/>
                    </w:rPr>
                    <w:t>0.005</w:t>
                  </w:r>
                </w:p>
              </w:tc>
              <w:tc>
                <w:tcPr>
                  <w:tcW w:w="1696" w:type="dxa"/>
                  <w:vAlign w:val="center"/>
                </w:tcPr>
                <w:p w14:paraId="121F14B2">
                  <w:pPr>
                    <w:wordWrap w:val="0"/>
                    <w:topLinePunct/>
                    <w:jc w:val="center"/>
                    <w:rPr>
                      <w:snapToGrid w:val="0"/>
                      <w:spacing w:val="4"/>
                      <w:sz w:val="21"/>
                      <w:szCs w:val="21"/>
                    </w:rPr>
                  </w:pPr>
                  <w:r>
                    <w:rPr>
                      <w:rFonts w:hint="eastAsia"/>
                      <w:snapToGrid w:val="0"/>
                      <w:spacing w:val="4"/>
                      <w:sz w:val="21"/>
                      <w:szCs w:val="21"/>
                      <w:lang w:val="en-US" w:eastAsia="zh-CN"/>
                    </w:rPr>
                    <w:t>0.041</w:t>
                  </w:r>
                </w:p>
              </w:tc>
            </w:tr>
            <w:tr w14:paraId="0920D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6" w:type="dxa"/>
                  <w:gridSpan w:val="2"/>
                  <w:vMerge w:val="restart"/>
                  <w:vAlign w:val="center"/>
                </w:tcPr>
                <w:p w14:paraId="598133A4">
                  <w:pPr>
                    <w:pStyle w:val="14"/>
                    <w:spacing w:before="0" w:after="0" w:line="240" w:lineRule="auto"/>
                    <w:ind w:right="0"/>
                    <w:jc w:val="center"/>
                    <w:rPr>
                      <w:sz w:val="21"/>
                      <w:szCs w:val="21"/>
                    </w:rPr>
                  </w:pPr>
                  <w:r>
                    <w:rPr>
                      <w:sz w:val="21"/>
                      <w:szCs w:val="21"/>
                    </w:rPr>
                    <w:t>有组织排放总计</w:t>
                  </w:r>
                </w:p>
              </w:tc>
              <w:tc>
                <w:tcPr>
                  <w:tcW w:w="5277" w:type="dxa"/>
                  <w:gridSpan w:val="3"/>
                  <w:vAlign w:val="center"/>
                </w:tcPr>
                <w:p w14:paraId="2DDF6157">
                  <w:pPr>
                    <w:pStyle w:val="14"/>
                    <w:spacing w:before="0" w:after="0" w:line="240" w:lineRule="auto"/>
                    <w:ind w:right="0"/>
                    <w:jc w:val="center"/>
                    <w:rPr>
                      <w:sz w:val="21"/>
                      <w:szCs w:val="21"/>
                    </w:rPr>
                  </w:pPr>
                  <w:r>
                    <w:rPr>
                      <w:sz w:val="21"/>
                      <w:szCs w:val="21"/>
                    </w:rPr>
                    <w:t>颗粒物</w:t>
                  </w:r>
                </w:p>
              </w:tc>
              <w:tc>
                <w:tcPr>
                  <w:tcW w:w="1696" w:type="dxa"/>
                  <w:vAlign w:val="center"/>
                </w:tcPr>
                <w:p w14:paraId="21D0FD4C">
                  <w:pPr>
                    <w:pStyle w:val="14"/>
                    <w:spacing w:before="0" w:after="0" w:line="240" w:lineRule="auto"/>
                    <w:ind w:right="0"/>
                    <w:jc w:val="center"/>
                    <w:rPr>
                      <w:rFonts w:hint="default" w:eastAsia="宋体"/>
                      <w:sz w:val="21"/>
                      <w:szCs w:val="21"/>
                      <w:lang w:val="en-US" w:eastAsia="zh-CN"/>
                    </w:rPr>
                  </w:pPr>
                  <w:r>
                    <w:rPr>
                      <w:sz w:val="21"/>
                      <w:szCs w:val="21"/>
                    </w:rPr>
                    <w:t>0.</w:t>
                  </w:r>
                  <w:r>
                    <w:rPr>
                      <w:rFonts w:hint="eastAsia"/>
                      <w:sz w:val="21"/>
                      <w:szCs w:val="21"/>
                      <w:lang w:val="en-US" w:eastAsia="zh-CN"/>
                    </w:rPr>
                    <w:t>267</w:t>
                  </w:r>
                </w:p>
              </w:tc>
            </w:tr>
            <w:tr w14:paraId="0EF3A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6" w:type="dxa"/>
                  <w:gridSpan w:val="2"/>
                  <w:vMerge w:val="continue"/>
                  <w:vAlign w:val="center"/>
                </w:tcPr>
                <w:p w14:paraId="2279221E">
                  <w:pPr>
                    <w:pStyle w:val="14"/>
                    <w:spacing w:before="0" w:after="0" w:line="240" w:lineRule="auto"/>
                    <w:ind w:right="0"/>
                    <w:jc w:val="center"/>
                    <w:rPr>
                      <w:sz w:val="21"/>
                      <w:szCs w:val="21"/>
                    </w:rPr>
                  </w:pPr>
                </w:p>
              </w:tc>
              <w:tc>
                <w:tcPr>
                  <w:tcW w:w="5277" w:type="dxa"/>
                  <w:gridSpan w:val="3"/>
                  <w:vAlign w:val="center"/>
                </w:tcPr>
                <w:p w14:paraId="6146A858">
                  <w:pPr>
                    <w:pStyle w:val="14"/>
                    <w:spacing w:before="0" w:after="0" w:line="240" w:lineRule="auto"/>
                    <w:ind w:right="0"/>
                    <w:jc w:val="center"/>
                    <w:rPr>
                      <w:sz w:val="21"/>
                      <w:szCs w:val="21"/>
                    </w:rPr>
                  </w:pPr>
                  <w:r>
                    <w:rPr>
                      <w:sz w:val="21"/>
                      <w:szCs w:val="21"/>
                    </w:rPr>
                    <w:t>SO</w:t>
                  </w:r>
                  <w:r>
                    <w:rPr>
                      <w:sz w:val="21"/>
                      <w:szCs w:val="21"/>
                      <w:vertAlign w:val="subscript"/>
                    </w:rPr>
                    <w:t>2</w:t>
                  </w:r>
                </w:p>
              </w:tc>
              <w:tc>
                <w:tcPr>
                  <w:tcW w:w="1696" w:type="dxa"/>
                  <w:vAlign w:val="center"/>
                </w:tcPr>
                <w:p w14:paraId="006238F7">
                  <w:pPr>
                    <w:wordWrap w:val="0"/>
                    <w:topLinePunct/>
                    <w:jc w:val="center"/>
                    <w:rPr>
                      <w:snapToGrid w:val="0"/>
                      <w:spacing w:val="4"/>
                      <w:sz w:val="21"/>
                      <w:szCs w:val="21"/>
                    </w:rPr>
                  </w:pPr>
                  <w:r>
                    <w:rPr>
                      <w:rFonts w:hint="eastAsia"/>
                      <w:snapToGrid w:val="0"/>
                      <w:spacing w:val="4"/>
                      <w:sz w:val="21"/>
                      <w:szCs w:val="21"/>
                      <w:lang w:val="en-US" w:eastAsia="zh-CN"/>
                    </w:rPr>
                    <w:t>0.07</w:t>
                  </w:r>
                </w:p>
              </w:tc>
            </w:tr>
            <w:tr w14:paraId="1E435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6" w:type="dxa"/>
                  <w:gridSpan w:val="2"/>
                  <w:vMerge w:val="continue"/>
                  <w:vAlign w:val="center"/>
                </w:tcPr>
                <w:p w14:paraId="15FF0B15">
                  <w:pPr>
                    <w:pStyle w:val="14"/>
                    <w:spacing w:before="0" w:after="0" w:line="240" w:lineRule="auto"/>
                    <w:ind w:right="0"/>
                    <w:jc w:val="center"/>
                    <w:rPr>
                      <w:sz w:val="21"/>
                      <w:szCs w:val="21"/>
                    </w:rPr>
                  </w:pPr>
                </w:p>
              </w:tc>
              <w:tc>
                <w:tcPr>
                  <w:tcW w:w="5277" w:type="dxa"/>
                  <w:gridSpan w:val="3"/>
                  <w:vAlign w:val="center"/>
                </w:tcPr>
                <w:p w14:paraId="3CDA1433">
                  <w:pPr>
                    <w:pStyle w:val="14"/>
                    <w:spacing w:before="0" w:after="0" w:line="240" w:lineRule="auto"/>
                    <w:ind w:right="0"/>
                    <w:jc w:val="center"/>
                    <w:rPr>
                      <w:sz w:val="21"/>
                      <w:szCs w:val="21"/>
                    </w:rPr>
                  </w:pPr>
                  <w:r>
                    <w:rPr>
                      <w:sz w:val="21"/>
                      <w:szCs w:val="21"/>
                    </w:rPr>
                    <w:t>NO</w:t>
                  </w:r>
                  <w:r>
                    <w:rPr>
                      <w:sz w:val="21"/>
                      <w:szCs w:val="21"/>
                      <w:vertAlign w:val="subscript"/>
                    </w:rPr>
                    <w:t>X</w:t>
                  </w:r>
                </w:p>
              </w:tc>
              <w:tc>
                <w:tcPr>
                  <w:tcW w:w="1696" w:type="dxa"/>
                  <w:vAlign w:val="center"/>
                </w:tcPr>
                <w:p w14:paraId="376145AA">
                  <w:pPr>
                    <w:wordWrap w:val="0"/>
                    <w:topLinePunct/>
                    <w:jc w:val="center"/>
                    <w:rPr>
                      <w:snapToGrid w:val="0"/>
                      <w:spacing w:val="4"/>
                      <w:sz w:val="21"/>
                      <w:szCs w:val="21"/>
                    </w:rPr>
                  </w:pPr>
                  <w:r>
                    <w:rPr>
                      <w:rFonts w:hint="eastAsia"/>
                      <w:snapToGrid w:val="0"/>
                      <w:spacing w:val="4"/>
                      <w:sz w:val="21"/>
                      <w:szCs w:val="21"/>
                      <w:lang w:val="en-US" w:eastAsia="zh-CN"/>
                    </w:rPr>
                    <w:t>0.244</w:t>
                  </w:r>
                </w:p>
              </w:tc>
            </w:tr>
          </w:tbl>
          <w:p w14:paraId="7DD42D2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lang w:val="en-GB"/>
              </w:rPr>
            </w:pPr>
            <w:r>
              <w:rPr>
                <w:b/>
                <w:lang w:val="en-GB"/>
              </w:rPr>
              <w:t>表4-</w:t>
            </w:r>
            <w:r>
              <w:rPr>
                <w:rFonts w:hint="eastAsia"/>
                <w:b/>
              </w:rPr>
              <w:t>4</w:t>
            </w:r>
            <w:r>
              <w:rPr>
                <w:b/>
                <w:lang w:val="en-GB"/>
              </w:rPr>
              <w:t xml:space="preserve">  </w:t>
            </w:r>
            <w:r>
              <w:rPr>
                <w:rFonts w:hint="eastAsia"/>
                <w:b/>
                <w:lang w:val="en-GB"/>
              </w:rPr>
              <w:t>项目大气污染物无组织排放量核算</w:t>
            </w:r>
            <w:r>
              <w:rPr>
                <w:b/>
                <w:lang w:val="en-GB"/>
              </w:rPr>
              <w:t>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886"/>
              <w:gridCol w:w="723"/>
              <w:gridCol w:w="791"/>
              <w:gridCol w:w="1063"/>
              <w:gridCol w:w="2564"/>
              <w:gridCol w:w="1220"/>
              <w:gridCol w:w="1091"/>
            </w:tblGrid>
            <w:tr w14:paraId="50CEF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restart"/>
                  <w:vAlign w:val="center"/>
                </w:tcPr>
                <w:p w14:paraId="7BD81C90">
                  <w:pPr>
                    <w:pStyle w:val="14"/>
                    <w:spacing w:before="0" w:after="0" w:line="240" w:lineRule="auto"/>
                    <w:ind w:right="0"/>
                    <w:jc w:val="center"/>
                    <w:rPr>
                      <w:b/>
                      <w:bCs/>
                      <w:sz w:val="21"/>
                      <w:szCs w:val="21"/>
                    </w:rPr>
                  </w:pPr>
                  <w:r>
                    <w:rPr>
                      <w:b/>
                      <w:bCs/>
                      <w:sz w:val="21"/>
                      <w:szCs w:val="21"/>
                    </w:rPr>
                    <w:t>序号</w:t>
                  </w:r>
                </w:p>
              </w:tc>
              <w:tc>
                <w:tcPr>
                  <w:tcW w:w="886" w:type="dxa"/>
                  <w:vMerge w:val="restart"/>
                  <w:vAlign w:val="center"/>
                </w:tcPr>
                <w:p w14:paraId="2CF59B18">
                  <w:pPr>
                    <w:pStyle w:val="14"/>
                    <w:spacing w:before="0" w:after="0" w:line="240" w:lineRule="auto"/>
                    <w:ind w:right="0"/>
                    <w:jc w:val="center"/>
                    <w:rPr>
                      <w:b/>
                      <w:bCs/>
                      <w:sz w:val="21"/>
                      <w:szCs w:val="21"/>
                    </w:rPr>
                  </w:pPr>
                  <w:r>
                    <w:rPr>
                      <w:b/>
                      <w:bCs/>
                      <w:sz w:val="21"/>
                      <w:szCs w:val="21"/>
                    </w:rPr>
                    <w:t>排放口编号</w:t>
                  </w:r>
                </w:p>
              </w:tc>
              <w:tc>
                <w:tcPr>
                  <w:tcW w:w="723" w:type="dxa"/>
                  <w:vMerge w:val="restart"/>
                  <w:vAlign w:val="center"/>
                </w:tcPr>
                <w:p w14:paraId="42DAC7FC">
                  <w:pPr>
                    <w:pStyle w:val="14"/>
                    <w:spacing w:before="0" w:after="0" w:line="240" w:lineRule="auto"/>
                    <w:ind w:right="0"/>
                    <w:jc w:val="center"/>
                    <w:rPr>
                      <w:b/>
                      <w:bCs/>
                      <w:sz w:val="21"/>
                      <w:szCs w:val="21"/>
                    </w:rPr>
                  </w:pPr>
                  <w:r>
                    <w:rPr>
                      <w:b/>
                      <w:bCs/>
                      <w:sz w:val="21"/>
                      <w:szCs w:val="21"/>
                    </w:rPr>
                    <w:t>产污环节</w:t>
                  </w:r>
                </w:p>
              </w:tc>
              <w:tc>
                <w:tcPr>
                  <w:tcW w:w="791" w:type="dxa"/>
                  <w:vMerge w:val="restart"/>
                  <w:vAlign w:val="center"/>
                </w:tcPr>
                <w:p w14:paraId="16EAA204">
                  <w:pPr>
                    <w:pStyle w:val="14"/>
                    <w:spacing w:before="0" w:after="0" w:line="240" w:lineRule="auto"/>
                    <w:ind w:right="0"/>
                    <w:jc w:val="center"/>
                    <w:rPr>
                      <w:b/>
                      <w:bCs/>
                      <w:sz w:val="21"/>
                      <w:szCs w:val="21"/>
                    </w:rPr>
                  </w:pPr>
                  <w:r>
                    <w:rPr>
                      <w:b/>
                      <w:bCs/>
                      <w:sz w:val="21"/>
                      <w:szCs w:val="21"/>
                    </w:rPr>
                    <w:t>污染物</w:t>
                  </w:r>
                </w:p>
              </w:tc>
              <w:tc>
                <w:tcPr>
                  <w:tcW w:w="1063" w:type="dxa"/>
                  <w:vMerge w:val="restart"/>
                  <w:vAlign w:val="center"/>
                </w:tcPr>
                <w:p w14:paraId="58A2D002">
                  <w:pPr>
                    <w:pStyle w:val="14"/>
                    <w:spacing w:before="0" w:after="0" w:line="240" w:lineRule="auto"/>
                    <w:ind w:right="0"/>
                    <w:jc w:val="center"/>
                    <w:rPr>
                      <w:b/>
                      <w:bCs/>
                      <w:sz w:val="21"/>
                      <w:szCs w:val="21"/>
                    </w:rPr>
                  </w:pPr>
                  <w:r>
                    <w:rPr>
                      <w:b/>
                      <w:bCs/>
                      <w:sz w:val="21"/>
                      <w:szCs w:val="21"/>
                    </w:rPr>
                    <w:t>主要污染防治措施</w:t>
                  </w:r>
                </w:p>
              </w:tc>
              <w:tc>
                <w:tcPr>
                  <w:tcW w:w="3784" w:type="dxa"/>
                  <w:gridSpan w:val="2"/>
                  <w:vAlign w:val="center"/>
                </w:tcPr>
                <w:p w14:paraId="453E6573">
                  <w:pPr>
                    <w:pStyle w:val="14"/>
                    <w:spacing w:before="0" w:after="0" w:line="240" w:lineRule="auto"/>
                    <w:ind w:right="0"/>
                    <w:jc w:val="center"/>
                    <w:rPr>
                      <w:b/>
                      <w:bCs/>
                      <w:sz w:val="21"/>
                      <w:szCs w:val="21"/>
                    </w:rPr>
                  </w:pPr>
                  <w:r>
                    <w:rPr>
                      <w:b/>
                      <w:bCs/>
                      <w:sz w:val="21"/>
                      <w:szCs w:val="21"/>
                    </w:rPr>
                    <w:t>国家或地方污染物排放标准</w:t>
                  </w:r>
                </w:p>
              </w:tc>
              <w:tc>
                <w:tcPr>
                  <w:tcW w:w="1091" w:type="dxa"/>
                  <w:vMerge w:val="restart"/>
                  <w:vAlign w:val="center"/>
                </w:tcPr>
                <w:p w14:paraId="18346D96">
                  <w:pPr>
                    <w:pStyle w:val="14"/>
                    <w:spacing w:before="0" w:after="0" w:line="240" w:lineRule="auto"/>
                    <w:ind w:right="0"/>
                    <w:jc w:val="center"/>
                    <w:rPr>
                      <w:sz w:val="21"/>
                      <w:szCs w:val="21"/>
                    </w:rPr>
                  </w:pPr>
                  <w:r>
                    <w:rPr>
                      <w:b/>
                      <w:bCs/>
                      <w:sz w:val="21"/>
                      <w:szCs w:val="21"/>
                    </w:rPr>
                    <w:t>年排放量/（t/a）</w:t>
                  </w:r>
                </w:p>
              </w:tc>
            </w:tr>
            <w:tr w14:paraId="7536C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4FBD9B02">
                  <w:pPr>
                    <w:pStyle w:val="14"/>
                    <w:spacing w:before="0" w:after="0" w:line="240" w:lineRule="auto"/>
                    <w:ind w:right="0"/>
                    <w:jc w:val="center"/>
                    <w:rPr>
                      <w:b/>
                      <w:bCs/>
                      <w:sz w:val="21"/>
                      <w:szCs w:val="21"/>
                    </w:rPr>
                  </w:pPr>
                </w:p>
              </w:tc>
              <w:tc>
                <w:tcPr>
                  <w:tcW w:w="886" w:type="dxa"/>
                  <w:vMerge w:val="continue"/>
                  <w:vAlign w:val="center"/>
                </w:tcPr>
                <w:p w14:paraId="71C95EB8">
                  <w:pPr>
                    <w:pStyle w:val="14"/>
                    <w:spacing w:before="0" w:after="0" w:line="240" w:lineRule="auto"/>
                    <w:ind w:right="0"/>
                    <w:jc w:val="center"/>
                    <w:rPr>
                      <w:b/>
                      <w:bCs/>
                      <w:sz w:val="21"/>
                      <w:szCs w:val="21"/>
                    </w:rPr>
                  </w:pPr>
                </w:p>
              </w:tc>
              <w:tc>
                <w:tcPr>
                  <w:tcW w:w="723" w:type="dxa"/>
                  <w:vMerge w:val="continue"/>
                  <w:vAlign w:val="center"/>
                </w:tcPr>
                <w:p w14:paraId="5AA0BC44">
                  <w:pPr>
                    <w:pStyle w:val="14"/>
                    <w:spacing w:before="0" w:after="0" w:line="240" w:lineRule="auto"/>
                    <w:ind w:right="0"/>
                    <w:jc w:val="center"/>
                    <w:rPr>
                      <w:b/>
                      <w:bCs/>
                      <w:sz w:val="21"/>
                      <w:szCs w:val="21"/>
                    </w:rPr>
                  </w:pPr>
                </w:p>
              </w:tc>
              <w:tc>
                <w:tcPr>
                  <w:tcW w:w="791" w:type="dxa"/>
                  <w:vMerge w:val="continue"/>
                  <w:vAlign w:val="center"/>
                </w:tcPr>
                <w:p w14:paraId="3FFB1D2D">
                  <w:pPr>
                    <w:pStyle w:val="14"/>
                    <w:spacing w:before="0" w:after="0" w:line="240" w:lineRule="auto"/>
                    <w:ind w:right="0"/>
                    <w:jc w:val="center"/>
                    <w:rPr>
                      <w:b/>
                      <w:bCs/>
                      <w:sz w:val="21"/>
                      <w:szCs w:val="21"/>
                    </w:rPr>
                  </w:pPr>
                </w:p>
              </w:tc>
              <w:tc>
                <w:tcPr>
                  <w:tcW w:w="1063" w:type="dxa"/>
                  <w:vMerge w:val="continue"/>
                  <w:vAlign w:val="center"/>
                </w:tcPr>
                <w:p w14:paraId="17B82CD0">
                  <w:pPr>
                    <w:pStyle w:val="14"/>
                    <w:spacing w:before="0" w:after="0" w:line="240" w:lineRule="auto"/>
                    <w:ind w:right="0"/>
                    <w:jc w:val="center"/>
                    <w:rPr>
                      <w:b/>
                      <w:bCs/>
                      <w:sz w:val="21"/>
                      <w:szCs w:val="21"/>
                    </w:rPr>
                  </w:pPr>
                </w:p>
              </w:tc>
              <w:tc>
                <w:tcPr>
                  <w:tcW w:w="2564" w:type="dxa"/>
                  <w:vAlign w:val="center"/>
                </w:tcPr>
                <w:p w14:paraId="4F596AC7">
                  <w:pPr>
                    <w:pStyle w:val="14"/>
                    <w:spacing w:before="0" w:after="0" w:line="240" w:lineRule="auto"/>
                    <w:ind w:right="0"/>
                    <w:jc w:val="center"/>
                    <w:rPr>
                      <w:b/>
                      <w:bCs/>
                      <w:sz w:val="21"/>
                      <w:szCs w:val="21"/>
                    </w:rPr>
                  </w:pPr>
                  <w:r>
                    <w:rPr>
                      <w:b/>
                      <w:bCs/>
                      <w:sz w:val="21"/>
                      <w:szCs w:val="21"/>
                    </w:rPr>
                    <w:t>标准名称</w:t>
                  </w:r>
                </w:p>
              </w:tc>
              <w:tc>
                <w:tcPr>
                  <w:tcW w:w="1220" w:type="dxa"/>
                  <w:vAlign w:val="center"/>
                </w:tcPr>
                <w:p w14:paraId="39C232AD">
                  <w:pPr>
                    <w:pStyle w:val="14"/>
                    <w:spacing w:before="0" w:after="0" w:line="240" w:lineRule="auto"/>
                    <w:ind w:right="0"/>
                    <w:jc w:val="center"/>
                    <w:rPr>
                      <w:b/>
                      <w:bCs/>
                      <w:sz w:val="21"/>
                      <w:szCs w:val="21"/>
                    </w:rPr>
                  </w:pPr>
                  <w:r>
                    <w:rPr>
                      <w:b/>
                      <w:bCs/>
                      <w:sz w:val="21"/>
                      <w:szCs w:val="21"/>
                    </w:rPr>
                    <w:t>浓度限值/（mg/m</w:t>
                  </w:r>
                  <w:r>
                    <w:rPr>
                      <w:b/>
                      <w:bCs/>
                      <w:sz w:val="21"/>
                      <w:szCs w:val="21"/>
                      <w:vertAlign w:val="superscript"/>
                    </w:rPr>
                    <w:t>3</w:t>
                  </w:r>
                  <w:r>
                    <w:rPr>
                      <w:b/>
                      <w:bCs/>
                      <w:sz w:val="21"/>
                      <w:szCs w:val="21"/>
                    </w:rPr>
                    <w:t>）</w:t>
                  </w:r>
                </w:p>
              </w:tc>
              <w:tc>
                <w:tcPr>
                  <w:tcW w:w="1091" w:type="dxa"/>
                  <w:vMerge w:val="continue"/>
                  <w:vAlign w:val="center"/>
                </w:tcPr>
                <w:p w14:paraId="2C92AF53">
                  <w:pPr>
                    <w:pStyle w:val="14"/>
                    <w:spacing w:before="0" w:after="0" w:line="240" w:lineRule="auto"/>
                    <w:ind w:right="0"/>
                    <w:jc w:val="center"/>
                    <w:rPr>
                      <w:sz w:val="21"/>
                      <w:szCs w:val="21"/>
                    </w:rPr>
                  </w:pPr>
                </w:p>
              </w:tc>
            </w:tr>
            <w:tr w14:paraId="75777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Align w:val="center"/>
                </w:tcPr>
                <w:p w14:paraId="1C09BC80">
                  <w:pPr>
                    <w:pStyle w:val="14"/>
                    <w:spacing w:before="0" w:after="0" w:line="240" w:lineRule="auto"/>
                    <w:ind w:right="0"/>
                    <w:jc w:val="center"/>
                    <w:rPr>
                      <w:sz w:val="21"/>
                      <w:szCs w:val="21"/>
                      <w:u w:val="single"/>
                    </w:rPr>
                  </w:pPr>
                  <w:r>
                    <w:rPr>
                      <w:sz w:val="21"/>
                      <w:szCs w:val="21"/>
                      <w:u w:val="single"/>
                    </w:rPr>
                    <w:t>1</w:t>
                  </w:r>
                </w:p>
              </w:tc>
              <w:tc>
                <w:tcPr>
                  <w:tcW w:w="886" w:type="dxa"/>
                  <w:vAlign w:val="center"/>
                </w:tcPr>
                <w:p w14:paraId="41309046">
                  <w:pPr>
                    <w:pStyle w:val="14"/>
                    <w:spacing w:before="0" w:after="0" w:line="240" w:lineRule="auto"/>
                    <w:ind w:right="0"/>
                    <w:jc w:val="center"/>
                    <w:rPr>
                      <w:sz w:val="21"/>
                      <w:szCs w:val="21"/>
                      <w:u w:val="single"/>
                    </w:rPr>
                  </w:pPr>
                  <w:r>
                    <w:rPr>
                      <w:sz w:val="21"/>
                      <w:szCs w:val="21"/>
                      <w:u w:val="single"/>
                    </w:rPr>
                    <w:t>/</w:t>
                  </w:r>
                </w:p>
              </w:tc>
              <w:tc>
                <w:tcPr>
                  <w:tcW w:w="723" w:type="dxa"/>
                  <w:vAlign w:val="center"/>
                </w:tcPr>
                <w:p w14:paraId="568052B2">
                  <w:pPr>
                    <w:pStyle w:val="14"/>
                    <w:spacing w:before="0" w:after="0" w:line="240" w:lineRule="auto"/>
                    <w:ind w:right="0" w:rightChars="0"/>
                    <w:jc w:val="center"/>
                    <w:rPr>
                      <w:rFonts w:hint="eastAsia" w:ascii="Times New Roman" w:hAnsi="Times New Roman" w:eastAsia="宋体" w:cs="Times New Roman"/>
                      <w:kern w:val="0"/>
                      <w:sz w:val="21"/>
                      <w:szCs w:val="21"/>
                      <w:u w:val="single"/>
                      <w:lang w:val="en-US" w:eastAsia="zh-CN" w:bidi="ar-SA"/>
                    </w:rPr>
                  </w:pPr>
                  <w:r>
                    <w:rPr>
                      <w:rFonts w:hint="eastAsia"/>
                      <w:sz w:val="21"/>
                      <w:szCs w:val="21"/>
                      <w:u w:val="single"/>
                      <w:lang w:eastAsia="zh-CN"/>
                    </w:rPr>
                    <w:t>挤出</w:t>
                  </w:r>
                </w:p>
              </w:tc>
              <w:tc>
                <w:tcPr>
                  <w:tcW w:w="791" w:type="dxa"/>
                  <w:vAlign w:val="center"/>
                </w:tcPr>
                <w:p w14:paraId="4606BA3F">
                  <w:pPr>
                    <w:pStyle w:val="14"/>
                    <w:spacing w:before="0" w:after="0" w:line="240" w:lineRule="auto"/>
                    <w:ind w:right="0" w:rightChars="0"/>
                    <w:jc w:val="center"/>
                    <w:rPr>
                      <w:rFonts w:hint="default" w:ascii="Times New Roman" w:hAnsi="Times New Roman" w:eastAsia="宋体" w:cs="Times New Roman"/>
                      <w:kern w:val="0"/>
                      <w:sz w:val="21"/>
                      <w:szCs w:val="21"/>
                      <w:u w:val="single"/>
                      <w:lang w:val="en-US" w:eastAsia="zh-CN" w:bidi="ar-SA"/>
                    </w:rPr>
                  </w:pPr>
                  <w:r>
                    <w:rPr>
                      <w:rFonts w:hint="eastAsia"/>
                      <w:sz w:val="21"/>
                      <w:szCs w:val="21"/>
                      <w:u w:val="single"/>
                      <w:lang w:val="en-US" w:eastAsia="zh-CN"/>
                    </w:rPr>
                    <w:t>VOCs</w:t>
                  </w:r>
                </w:p>
              </w:tc>
              <w:tc>
                <w:tcPr>
                  <w:tcW w:w="1063" w:type="dxa"/>
                  <w:vAlign w:val="center"/>
                </w:tcPr>
                <w:p w14:paraId="7205A24B">
                  <w:pPr>
                    <w:pStyle w:val="14"/>
                    <w:spacing w:before="0" w:after="0" w:line="240" w:lineRule="auto"/>
                    <w:ind w:right="0"/>
                    <w:jc w:val="center"/>
                    <w:rPr>
                      <w:rFonts w:hint="default" w:eastAsia="宋体"/>
                      <w:sz w:val="21"/>
                      <w:szCs w:val="21"/>
                      <w:u w:val="single"/>
                      <w:lang w:val="en-US" w:eastAsia="zh-CN"/>
                    </w:rPr>
                  </w:pPr>
                  <w:r>
                    <w:rPr>
                      <w:rFonts w:hint="eastAsia"/>
                      <w:sz w:val="21"/>
                      <w:szCs w:val="21"/>
                      <w:u w:val="single"/>
                      <w:lang w:eastAsia="zh-CN"/>
                    </w:rPr>
                    <w:t>移动式</w:t>
                  </w:r>
                  <w:r>
                    <w:rPr>
                      <w:rFonts w:hint="eastAsia"/>
                      <w:sz w:val="21"/>
                      <w:szCs w:val="21"/>
                      <w:u w:val="single"/>
                      <w:lang w:val="en-US" w:eastAsia="zh-CN"/>
                    </w:rPr>
                    <w:t>VOCs处理设备</w:t>
                  </w:r>
                </w:p>
              </w:tc>
              <w:tc>
                <w:tcPr>
                  <w:tcW w:w="2564" w:type="dxa"/>
                  <w:vMerge w:val="restart"/>
                  <w:vAlign w:val="center"/>
                </w:tcPr>
                <w:p w14:paraId="2A69D44A">
                  <w:pPr>
                    <w:pStyle w:val="14"/>
                    <w:spacing w:before="0" w:after="0" w:line="240" w:lineRule="auto"/>
                    <w:ind w:right="0"/>
                    <w:jc w:val="center"/>
                    <w:rPr>
                      <w:sz w:val="21"/>
                      <w:szCs w:val="21"/>
                      <w:u w:val="single"/>
                    </w:rPr>
                  </w:pPr>
                  <w:r>
                    <w:rPr>
                      <w:sz w:val="21"/>
                      <w:szCs w:val="21"/>
                      <w:u w:val="single"/>
                    </w:rPr>
                    <w:t>《大气污染物综合排放标准》（GB16297-1996）</w:t>
                  </w:r>
                </w:p>
              </w:tc>
              <w:tc>
                <w:tcPr>
                  <w:tcW w:w="1220" w:type="dxa"/>
                  <w:vAlign w:val="center"/>
                </w:tcPr>
                <w:p w14:paraId="6169BF33">
                  <w:pPr>
                    <w:pStyle w:val="14"/>
                    <w:spacing w:before="0" w:after="0" w:line="240" w:lineRule="auto"/>
                    <w:ind w:right="0" w:rightChars="0"/>
                    <w:jc w:val="center"/>
                    <w:rPr>
                      <w:rFonts w:hint="default" w:ascii="Times New Roman" w:hAnsi="Times New Roman" w:eastAsia="宋体" w:cs="Times New Roman"/>
                      <w:kern w:val="0"/>
                      <w:sz w:val="21"/>
                      <w:szCs w:val="21"/>
                      <w:u w:val="single"/>
                      <w:lang w:val="en-US" w:eastAsia="zh-CN" w:bidi="ar-SA"/>
                    </w:rPr>
                  </w:pPr>
                  <w:r>
                    <w:rPr>
                      <w:rFonts w:hint="eastAsia"/>
                      <w:sz w:val="21"/>
                      <w:szCs w:val="21"/>
                      <w:u w:val="single"/>
                      <w:lang w:val="en-US" w:eastAsia="zh-CN"/>
                    </w:rPr>
                    <w:t>4.0</w:t>
                  </w:r>
                </w:p>
              </w:tc>
              <w:tc>
                <w:tcPr>
                  <w:tcW w:w="1091" w:type="dxa"/>
                  <w:vAlign w:val="center"/>
                </w:tcPr>
                <w:p w14:paraId="4FBD0CEA">
                  <w:pPr>
                    <w:pStyle w:val="14"/>
                    <w:spacing w:before="0" w:after="0" w:line="240" w:lineRule="auto"/>
                    <w:ind w:right="0" w:rightChars="0"/>
                    <w:jc w:val="center"/>
                    <w:rPr>
                      <w:rFonts w:hint="default" w:ascii="Times New Roman" w:hAnsi="Times New Roman" w:eastAsia="宋体" w:cs="Times New Roman"/>
                      <w:kern w:val="0"/>
                      <w:sz w:val="21"/>
                      <w:szCs w:val="21"/>
                      <w:u w:val="single"/>
                      <w:lang w:val="en-US" w:eastAsia="zh-CN" w:bidi="ar-SA"/>
                    </w:rPr>
                  </w:pPr>
                  <w:r>
                    <w:rPr>
                      <w:rFonts w:hint="eastAsia"/>
                      <w:sz w:val="21"/>
                      <w:szCs w:val="21"/>
                      <w:u w:val="single"/>
                      <w:lang w:val="en-US" w:eastAsia="zh-CN"/>
                    </w:rPr>
                    <w:t>0.39</w:t>
                  </w:r>
                </w:p>
              </w:tc>
            </w:tr>
            <w:tr w14:paraId="690FC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Align w:val="center"/>
                </w:tcPr>
                <w:p w14:paraId="46FFF0DE">
                  <w:pPr>
                    <w:pStyle w:val="14"/>
                    <w:spacing w:before="0" w:after="0" w:line="240" w:lineRule="auto"/>
                    <w:ind w:right="0"/>
                    <w:jc w:val="center"/>
                    <w:rPr>
                      <w:rFonts w:hint="eastAsia" w:eastAsia="宋体"/>
                      <w:sz w:val="21"/>
                      <w:szCs w:val="21"/>
                      <w:u w:val="single"/>
                      <w:lang w:val="en-US" w:eastAsia="zh-CN"/>
                    </w:rPr>
                  </w:pPr>
                  <w:r>
                    <w:rPr>
                      <w:rFonts w:hint="eastAsia"/>
                      <w:sz w:val="21"/>
                      <w:szCs w:val="21"/>
                      <w:u w:val="single"/>
                      <w:lang w:val="en-US" w:eastAsia="zh-CN"/>
                    </w:rPr>
                    <w:t>2</w:t>
                  </w:r>
                </w:p>
              </w:tc>
              <w:tc>
                <w:tcPr>
                  <w:tcW w:w="886" w:type="dxa"/>
                  <w:vAlign w:val="center"/>
                </w:tcPr>
                <w:p w14:paraId="388350A4">
                  <w:pPr>
                    <w:pStyle w:val="14"/>
                    <w:spacing w:before="0" w:after="0" w:line="240" w:lineRule="auto"/>
                    <w:ind w:right="0"/>
                    <w:jc w:val="center"/>
                    <w:rPr>
                      <w:rFonts w:hint="default" w:eastAsia="宋体"/>
                      <w:sz w:val="21"/>
                      <w:szCs w:val="21"/>
                      <w:u w:val="single"/>
                      <w:lang w:val="en-US" w:eastAsia="zh-CN"/>
                    </w:rPr>
                  </w:pPr>
                  <w:r>
                    <w:rPr>
                      <w:rFonts w:hint="eastAsia"/>
                      <w:sz w:val="21"/>
                      <w:szCs w:val="21"/>
                      <w:u w:val="single"/>
                      <w:lang w:val="en-US" w:eastAsia="zh-CN"/>
                    </w:rPr>
                    <w:t>/</w:t>
                  </w:r>
                </w:p>
              </w:tc>
              <w:tc>
                <w:tcPr>
                  <w:tcW w:w="723" w:type="dxa"/>
                  <w:vAlign w:val="center"/>
                </w:tcPr>
                <w:p w14:paraId="133F89C8">
                  <w:pPr>
                    <w:pStyle w:val="14"/>
                    <w:spacing w:before="0" w:after="0" w:line="240" w:lineRule="auto"/>
                    <w:ind w:right="0" w:rightChars="0"/>
                    <w:jc w:val="center"/>
                    <w:rPr>
                      <w:rFonts w:hint="eastAsia" w:ascii="Times New Roman" w:hAnsi="Times New Roman" w:eastAsia="宋体" w:cs="Times New Roman"/>
                      <w:kern w:val="0"/>
                      <w:sz w:val="21"/>
                      <w:szCs w:val="21"/>
                      <w:u w:val="single"/>
                      <w:lang w:val="en-US" w:eastAsia="zh-CN" w:bidi="ar-SA"/>
                    </w:rPr>
                  </w:pPr>
                  <w:r>
                    <w:rPr>
                      <w:sz w:val="21"/>
                      <w:szCs w:val="21"/>
                      <w:u w:val="single"/>
                    </w:rPr>
                    <w:t>包装</w:t>
                  </w:r>
                </w:p>
              </w:tc>
              <w:tc>
                <w:tcPr>
                  <w:tcW w:w="791" w:type="dxa"/>
                  <w:vAlign w:val="center"/>
                </w:tcPr>
                <w:p w14:paraId="0A9F1A31">
                  <w:pPr>
                    <w:pStyle w:val="14"/>
                    <w:spacing w:before="0" w:after="0" w:line="240" w:lineRule="auto"/>
                    <w:ind w:right="0" w:rightChars="0"/>
                    <w:jc w:val="center"/>
                    <w:rPr>
                      <w:rFonts w:hint="default" w:ascii="Times New Roman" w:hAnsi="Times New Roman" w:eastAsia="宋体" w:cs="Times New Roman"/>
                      <w:kern w:val="0"/>
                      <w:sz w:val="21"/>
                      <w:szCs w:val="21"/>
                      <w:u w:val="single"/>
                      <w:lang w:val="en-US" w:eastAsia="zh-CN" w:bidi="ar-SA"/>
                    </w:rPr>
                  </w:pPr>
                  <w:r>
                    <w:rPr>
                      <w:sz w:val="21"/>
                      <w:szCs w:val="21"/>
                      <w:u w:val="single"/>
                    </w:rPr>
                    <w:t>颗粒物</w:t>
                  </w:r>
                </w:p>
              </w:tc>
              <w:tc>
                <w:tcPr>
                  <w:tcW w:w="1063" w:type="dxa"/>
                  <w:vMerge w:val="restart"/>
                  <w:vAlign w:val="center"/>
                </w:tcPr>
                <w:p w14:paraId="183944C5">
                  <w:pPr>
                    <w:pStyle w:val="14"/>
                    <w:spacing w:before="0" w:after="0" w:line="240" w:lineRule="auto"/>
                    <w:ind w:right="0"/>
                    <w:jc w:val="center"/>
                    <w:rPr>
                      <w:rFonts w:hint="eastAsia" w:eastAsia="宋体"/>
                      <w:sz w:val="21"/>
                      <w:szCs w:val="21"/>
                      <w:u w:val="single"/>
                      <w:lang w:eastAsia="zh-CN"/>
                    </w:rPr>
                  </w:pPr>
                  <w:r>
                    <w:rPr>
                      <w:rFonts w:hint="eastAsia"/>
                      <w:sz w:val="21"/>
                      <w:szCs w:val="21"/>
                      <w:u w:val="single"/>
                      <w:lang w:val="en-US" w:eastAsia="zh-CN"/>
                    </w:rPr>
                    <w:t>/</w:t>
                  </w:r>
                </w:p>
              </w:tc>
              <w:tc>
                <w:tcPr>
                  <w:tcW w:w="2564" w:type="dxa"/>
                  <w:vMerge w:val="continue"/>
                  <w:vAlign w:val="center"/>
                </w:tcPr>
                <w:p w14:paraId="33A16535">
                  <w:pPr>
                    <w:pStyle w:val="14"/>
                    <w:spacing w:before="0" w:after="0" w:line="240" w:lineRule="auto"/>
                    <w:ind w:right="0"/>
                    <w:jc w:val="center"/>
                    <w:rPr>
                      <w:sz w:val="21"/>
                      <w:szCs w:val="21"/>
                      <w:u w:val="single"/>
                    </w:rPr>
                  </w:pPr>
                </w:p>
              </w:tc>
              <w:tc>
                <w:tcPr>
                  <w:tcW w:w="1220" w:type="dxa"/>
                  <w:vAlign w:val="center"/>
                </w:tcPr>
                <w:p w14:paraId="5A990EA9">
                  <w:pPr>
                    <w:pStyle w:val="14"/>
                    <w:spacing w:before="0" w:after="0" w:line="240" w:lineRule="auto"/>
                    <w:ind w:right="0" w:rightChars="0"/>
                    <w:jc w:val="center"/>
                    <w:rPr>
                      <w:rFonts w:hint="default" w:ascii="Times New Roman" w:hAnsi="Times New Roman" w:eastAsia="宋体" w:cs="Times New Roman"/>
                      <w:kern w:val="0"/>
                      <w:sz w:val="21"/>
                      <w:szCs w:val="21"/>
                      <w:u w:val="single"/>
                      <w:lang w:val="en-US" w:eastAsia="zh-CN" w:bidi="ar-SA"/>
                    </w:rPr>
                  </w:pPr>
                  <w:r>
                    <w:rPr>
                      <w:sz w:val="21"/>
                      <w:szCs w:val="21"/>
                      <w:u w:val="single"/>
                    </w:rPr>
                    <w:t>1.0</w:t>
                  </w:r>
                </w:p>
              </w:tc>
              <w:tc>
                <w:tcPr>
                  <w:tcW w:w="1091" w:type="dxa"/>
                  <w:vAlign w:val="center"/>
                </w:tcPr>
                <w:p w14:paraId="56A3989A">
                  <w:pPr>
                    <w:pStyle w:val="14"/>
                    <w:spacing w:before="0" w:after="0" w:line="240" w:lineRule="auto"/>
                    <w:ind w:right="0" w:rightChars="0"/>
                    <w:jc w:val="center"/>
                    <w:rPr>
                      <w:rFonts w:hint="eastAsia" w:ascii="Times New Roman" w:hAnsi="Times New Roman" w:eastAsia="宋体" w:cs="Times New Roman"/>
                      <w:kern w:val="0"/>
                      <w:sz w:val="21"/>
                      <w:szCs w:val="21"/>
                      <w:u w:val="single"/>
                      <w:lang w:val="en-US" w:eastAsia="zh-CN" w:bidi="ar-SA"/>
                    </w:rPr>
                  </w:pPr>
                  <w:r>
                    <w:rPr>
                      <w:rFonts w:hint="eastAsia"/>
                      <w:sz w:val="21"/>
                      <w:szCs w:val="21"/>
                      <w:u w:val="single"/>
                      <w:lang w:val="en-US" w:eastAsia="zh-CN"/>
                    </w:rPr>
                    <w:t>6</w:t>
                  </w:r>
                </w:p>
              </w:tc>
            </w:tr>
            <w:tr w14:paraId="15BB0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Align w:val="center"/>
                </w:tcPr>
                <w:p w14:paraId="2B95A238">
                  <w:pPr>
                    <w:pStyle w:val="14"/>
                    <w:spacing w:before="0" w:after="0" w:line="240" w:lineRule="auto"/>
                    <w:ind w:right="0"/>
                    <w:jc w:val="center"/>
                    <w:rPr>
                      <w:rFonts w:hint="default"/>
                      <w:sz w:val="21"/>
                      <w:szCs w:val="21"/>
                      <w:u w:val="single"/>
                      <w:lang w:val="en-US" w:eastAsia="zh-CN"/>
                    </w:rPr>
                  </w:pPr>
                  <w:r>
                    <w:rPr>
                      <w:rFonts w:hint="eastAsia"/>
                      <w:sz w:val="21"/>
                      <w:szCs w:val="21"/>
                      <w:u w:val="single"/>
                      <w:lang w:val="en-US" w:eastAsia="zh-CN"/>
                    </w:rPr>
                    <w:t>3</w:t>
                  </w:r>
                </w:p>
              </w:tc>
              <w:tc>
                <w:tcPr>
                  <w:tcW w:w="886" w:type="dxa"/>
                  <w:vAlign w:val="center"/>
                </w:tcPr>
                <w:p w14:paraId="327CA859">
                  <w:pPr>
                    <w:pStyle w:val="14"/>
                    <w:spacing w:before="0" w:after="0" w:line="240" w:lineRule="auto"/>
                    <w:ind w:right="0"/>
                    <w:jc w:val="center"/>
                    <w:rPr>
                      <w:rFonts w:hint="default"/>
                      <w:sz w:val="21"/>
                      <w:szCs w:val="21"/>
                      <w:u w:val="single"/>
                      <w:lang w:val="en-US" w:eastAsia="zh-CN"/>
                    </w:rPr>
                  </w:pPr>
                  <w:r>
                    <w:rPr>
                      <w:rFonts w:hint="eastAsia"/>
                      <w:sz w:val="21"/>
                      <w:szCs w:val="21"/>
                      <w:u w:val="single"/>
                      <w:lang w:val="en-US" w:eastAsia="zh-CN"/>
                    </w:rPr>
                    <w:t>/</w:t>
                  </w:r>
                </w:p>
              </w:tc>
              <w:tc>
                <w:tcPr>
                  <w:tcW w:w="723" w:type="dxa"/>
                  <w:vAlign w:val="center"/>
                </w:tcPr>
                <w:p w14:paraId="4C1FE17C">
                  <w:pPr>
                    <w:pStyle w:val="14"/>
                    <w:spacing w:before="0" w:after="0" w:line="240" w:lineRule="auto"/>
                    <w:ind w:right="0"/>
                    <w:jc w:val="center"/>
                    <w:rPr>
                      <w:rFonts w:hint="default"/>
                      <w:sz w:val="21"/>
                      <w:szCs w:val="21"/>
                      <w:u w:val="single"/>
                      <w:lang w:val="en-US" w:eastAsia="zh-CN"/>
                    </w:rPr>
                  </w:pPr>
                  <w:r>
                    <w:rPr>
                      <w:rFonts w:hint="eastAsia"/>
                      <w:sz w:val="21"/>
                      <w:szCs w:val="21"/>
                      <w:u w:val="single"/>
                      <w:lang w:val="en-US" w:eastAsia="zh-CN"/>
                    </w:rPr>
                    <w:t>/</w:t>
                  </w:r>
                </w:p>
              </w:tc>
              <w:tc>
                <w:tcPr>
                  <w:tcW w:w="791" w:type="dxa"/>
                  <w:vAlign w:val="center"/>
                </w:tcPr>
                <w:p w14:paraId="601BD108">
                  <w:pPr>
                    <w:pStyle w:val="14"/>
                    <w:spacing w:before="0" w:after="0" w:line="240" w:lineRule="auto"/>
                    <w:ind w:right="0"/>
                    <w:jc w:val="center"/>
                    <w:rPr>
                      <w:rFonts w:hint="eastAsia"/>
                      <w:sz w:val="21"/>
                      <w:szCs w:val="21"/>
                      <w:u w:val="single"/>
                      <w:lang w:val="en-US" w:eastAsia="zh-CN"/>
                    </w:rPr>
                  </w:pPr>
                  <w:r>
                    <w:rPr>
                      <w:rFonts w:hint="eastAsia"/>
                      <w:sz w:val="21"/>
                      <w:szCs w:val="21"/>
                      <w:u w:val="single"/>
                      <w:lang w:val="en-US" w:eastAsia="zh-CN"/>
                    </w:rPr>
                    <w:t>臭气浓度</w:t>
                  </w:r>
                </w:p>
              </w:tc>
              <w:tc>
                <w:tcPr>
                  <w:tcW w:w="1063" w:type="dxa"/>
                  <w:vMerge w:val="continue"/>
                  <w:vAlign w:val="center"/>
                </w:tcPr>
                <w:p w14:paraId="1D0902FC">
                  <w:pPr>
                    <w:pStyle w:val="14"/>
                    <w:spacing w:before="0" w:after="0" w:line="240" w:lineRule="auto"/>
                    <w:ind w:right="0"/>
                    <w:jc w:val="center"/>
                    <w:rPr>
                      <w:sz w:val="21"/>
                      <w:szCs w:val="21"/>
                      <w:u w:val="single"/>
                    </w:rPr>
                  </w:pPr>
                </w:p>
              </w:tc>
              <w:tc>
                <w:tcPr>
                  <w:tcW w:w="2564" w:type="dxa"/>
                  <w:vAlign w:val="center"/>
                </w:tcPr>
                <w:p w14:paraId="436C1207">
                  <w:pPr>
                    <w:pStyle w:val="14"/>
                    <w:spacing w:before="0" w:after="0" w:line="240" w:lineRule="auto"/>
                    <w:ind w:right="0"/>
                    <w:jc w:val="center"/>
                    <w:rPr>
                      <w:rFonts w:hint="eastAsia" w:eastAsia="宋体"/>
                      <w:sz w:val="21"/>
                      <w:szCs w:val="21"/>
                      <w:u w:val="single"/>
                      <w:lang w:eastAsia="zh-CN"/>
                    </w:rPr>
                  </w:pPr>
                  <w:r>
                    <w:rPr>
                      <w:rFonts w:hint="eastAsia"/>
                      <w:sz w:val="21"/>
                      <w:szCs w:val="21"/>
                      <w:u w:val="single"/>
                      <w:lang w:eastAsia="zh-CN"/>
                    </w:rPr>
                    <w:t>《恶臭污染物排放标准》（</w:t>
                  </w:r>
                  <w:r>
                    <w:rPr>
                      <w:rFonts w:hint="eastAsia"/>
                      <w:sz w:val="21"/>
                      <w:szCs w:val="21"/>
                      <w:u w:val="single"/>
                      <w:lang w:val="en-US" w:eastAsia="zh-CN"/>
                    </w:rPr>
                    <w:t>GB14554-93</w:t>
                  </w:r>
                  <w:r>
                    <w:rPr>
                      <w:rFonts w:hint="eastAsia"/>
                      <w:sz w:val="21"/>
                      <w:szCs w:val="21"/>
                      <w:u w:val="single"/>
                      <w:lang w:eastAsia="zh-CN"/>
                    </w:rPr>
                    <w:t>）</w:t>
                  </w:r>
                </w:p>
              </w:tc>
              <w:tc>
                <w:tcPr>
                  <w:tcW w:w="1220" w:type="dxa"/>
                  <w:vAlign w:val="center"/>
                </w:tcPr>
                <w:p w14:paraId="3F6621AC">
                  <w:pPr>
                    <w:pStyle w:val="14"/>
                    <w:spacing w:before="0" w:after="0" w:line="240" w:lineRule="auto"/>
                    <w:ind w:right="0"/>
                    <w:jc w:val="center"/>
                    <w:rPr>
                      <w:rFonts w:hint="default"/>
                      <w:sz w:val="21"/>
                      <w:szCs w:val="21"/>
                      <w:u w:val="single"/>
                      <w:lang w:val="en-US" w:eastAsia="zh-CN"/>
                    </w:rPr>
                  </w:pPr>
                  <w:r>
                    <w:rPr>
                      <w:rFonts w:hint="eastAsia"/>
                      <w:sz w:val="21"/>
                      <w:szCs w:val="21"/>
                      <w:u w:val="single"/>
                      <w:lang w:val="en-US" w:eastAsia="zh-CN"/>
                    </w:rPr>
                    <w:t>20（无量纲）</w:t>
                  </w:r>
                </w:p>
              </w:tc>
              <w:tc>
                <w:tcPr>
                  <w:tcW w:w="1091" w:type="dxa"/>
                  <w:vAlign w:val="center"/>
                </w:tcPr>
                <w:p w14:paraId="6418665B">
                  <w:pPr>
                    <w:pStyle w:val="14"/>
                    <w:spacing w:before="0" w:after="0" w:line="240" w:lineRule="auto"/>
                    <w:ind w:right="0"/>
                    <w:jc w:val="center"/>
                    <w:rPr>
                      <w:rFonts w:hint="default"/>
                      <w:sz w:val="21"/>
                      <w:szCs w:val="21"/>
                      <w:u w:val="single"/>
                      <w:lang w:val="en-US" w:eastAsia="zh-CN"/>
                    </w:rPr>
                  </w:pPr>
                  <w:r>
                    <w:rPr>
                      <w:rFonts w:hint="eastAsia"/>
                      <w:sz w:val="21"/>
                      <w:szCs w:val="21"/>
                      <w:u w:val="single"/>
                      <w:lang w:val="en-US" w:eastAsia="zh-CN"/>
                    </w:rPr>
                    <w:t>/</w:t>
                  </w:r>
                </w:p>
              </w:tc>
            </w:tr>
            <w:tr w14:paraId="67302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41" w:type="dxa"/>
                  <w:gridSpan w:val="4"/>
                  <w:vMerge w:val="restart"/>
                  <w:vAlign w:val="center"/>
                </w:tcPr>
                <w:p w14:paraId="52985FBA">
                  <w:pPr>
                    <w:pStyle w:val="14"/>
                    <w:spacing w:before="0" w:after="0" w:line="240" w:lineRule="auto"/>
                    <w:ind w:right="0"/>
                    <w:jc w:val="center"/>
                    <w:rPr>
                      <w:sz w:val="21"/>
                      <w:szCs w:val="21"/>
                    </w:rPr>
                  </w:pPr>
                  <w:r>
                    <w:rPr>
                      <w:sz w:val="21"/>
                      <w:szCs w:val="21"/>
                    </w:rPr>
                    <w:t>无组织排放总计</w:t>
                  </w:r>
                </w:p>
              </w:tc>
              <w:tc>
                <w:tcPr>
                  <w:tcW w:w="3627" w:type="dxa"/>
                  <w:gridSpan w:val="2"/>
                  <w:vAlign w:val="center"/>
                </w:tcPr>
                <w:p w14:paraId="05D492CC">
                  <w:pPr>
                    <w:pStyle w:val="14"/>
                    <w:spacing w:before="0" w:after="0" w:line="240" w:lineRule="auto"/>
                    <w:ind w:right="0"/>
                    <w:jc w:val="center"/>
                    <w:rPr>
                      <w:sz w:val="21"/>
                      <w:szCs w:val="21"/>
                      <w:u w:val="single"/>
                    </w:rPr>
                  </w:pPr>
                  <w:r>
                    <w:rPr>
                      <w:sz w:val="21"/>
                      <w:szCs w:val="21"/>
                      <w:u w:val="single"/>
                    </w:rPr>
                    <w:t>颗粒物</w:t>
                  </w:r>
                </w:p>
              </w:tc>
              <w:tc>
                <w:tcPr>
                  <w:tcW w:w="2311" w:type="dxa"/>
                  <w:gridSpan w:val="2"/>
                  <w:vAlign w:val="center"/>
                </w:tcPr>
                <w:p w14:paraId="360A92DC">
                  <w:pPr>
                    <w:pStyle w:val="14"/>
                    <w:spacing w:before="0" w:after="0" w:line="240" w:lineRule="auto"/>
                    <w:ind w:right="0"/>
                    <w:jc w:val="center"/>
                    <w:rPr>
                      <w:rFonts w:hint="eastAsia" w:eastAsia="宋体"/>
                      <w:sz w:val="21"/>
                      <w:szCs w:val="21"/>
                      <w:u w:val="single"/>
                      <w:lang w:eastAsia="zh-CN"/>
                    </w:rPr>
                  </w:pPr>
                  <w:r>
                    <w:rPr>
                      <w:rFonts w:hint="eastAsia"/>
                      <w:sz w:val="21"/>
                      <w:szCs w:val="21"/>
                      <w:u w:val="single"/>
                      <w:lang w:val="en-US" w:eastAsia="zh-CN"/>
                    </w:rPr>
                    <w:t>6</w:t>
                  </w:r>
                </w:p>
              </w:tc>
            </w:tr>
            <w:tr w14:paraId="6F737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41" w:type="dxa"/>
                  <w:gridSpan w:val="4"/>
                  <w:vMerge w:val="continue"/>
                  <w:vAlign w:val="center"/>
                </w:tcPr>
                <w:p w14:paraId="6927C903">
                  <w:pPr>
                    <w:pStyle w:val="14"/>
                    <w:spacing w:before="0" w:after="0" w:line="240" w:lineRule="auto"/>
                    <w:ind w:right="0"/>
                    <w:jc w:val="center"/>
                    <w:rPr>
                      <w:sz w:val="21"/>
                      <w:szCs w:val="21"/>
                    </w:rPr>
                  </w:pPr>
                </w:p>
              </w:tc>
              <w:tc>
                <w:tcPr>
                  <w:tcW w:w="3627" w:type="dxa"/>
                  <w:gridSpan w:val="2"/>
                  <w:vAlign w:val="center"/>
                </w:tcPr>
                <w:p w14:paraId="6E9F4645">
                  <w:pPr>
                    <w:pStyle w:val="14"/>
                    <w:spacing w:before="0" w:after="0" w:line="240" w:lineRule="auto"/>
                    <w:ind w:right="0"/>
                    <w:jc w:val="center"/>
                    <w:rPr>
                      <w:sz w:val="21"/>
                      <w:szCs w:val="21"/>
                      <w:u w:val="single"/>
                    </w:rPr>
                  </w:pPr>
                  <w:r>
                    <w:rPr>
                      <w:rFonts w:hint="eastAsia"/>
                      <w:sz w:val="21"/>
                      <w:szCs w:val="21"/>
                      <w:u w:val="single"/>
                      <w:lang w:val="en-US" w:eastAsia="zh-CN"/>
                    </w:rPr>
                    <w:t>VOCs</w:t>
                  </w:r>
                </w:p>
              </w:tc>
              <w:tc>
                <w:tcPr>
                  <w:tcW w:w="2311" w:type="dxa"/>
                  <w:gridSpan w:val="2"/>
                  <w:vAlign w:val="center"/>
                </w:tcPr>
                <w:p w14:paraId="47D18485">
                  <w:pPr>
                    <w:pStyle w:val="14"/>
                    <w:spacing w:before="0" w:after="0" w:line="240" w:lineRule="auto"/>
                    <w:ind w:right="0"/>
                    <w:jc w:val="center"/>
                    <w:rPr>
                      <w:rFonts w:hint="default"/>
                      <w:sz w:val="21"/>
                      <w:szCs w:val="21"/>
                      <w:u w:val="single"/>
                      <w:lang w:val="en-US"/>
                    </w:rPr>
                  </w:pPr>
                  <w:r>
                    <w:rPr>
                      <w:rFonts w:hint="eastAsia"/>
                      <w:sz w:val="21"/>
                      <w:szCs w:val="21"/>
                      <w:u w:val="single"/>
                      <w:lang w:val="en-US" w:eastAsia="zh-CN"/>
                    </w:rPr>
                    <w:t>0.39</w:t>
                  </w:r>
                </w:p>
              </w:tc>
            </w:tr>
          </w:tbl>
          <w:p w14:paraId="354D104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lang w:val="en-GB"/>
              </w:rPr>
            </w:pPr>
            <w:r>
              <w:rPr>
                <w:b/>
                <w:lang w:val="en-GB"/>
              </w:rPr>
              <w:t>表4-</w:t>
            </w:r>
            <w:r>
              <w:rPr>
                <w:rFonts w:hint="eastAsia"/>
                <w:b/>
              </w:rPr>
              <w:t>5</w:t>
            </w:r>
            <w:r>
              <w:rPr>
                <w:b/>
                <w:lang w:val="en-GB"/>
              </w:rPr>
              <w:t xml:space="preserve">  </w:t>
            </w:r>
            <w:r>
              <w:rPr>
                <w:rFonts w:hint="eastAsia"/>
                <w:b/>
                <w:lang w:val="en-GB"/>
              </w:rPr>
              <w:t>项目大气污染物年排放量核算</w:t>
            </w:r>
            <w:r>
              <w:rPr>
                <w:b/>
                <w:lang w:val="en-GB"/>
              </w:rPr>
              <w:t>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2"/>
              <w:gridCol w:w="2993"/>
              <w:gridCol w:w="2994"/>
            </w:tblGrid>
            <w:tr w14:paraId="00E47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92" w:type="dxa"/>
                  <w:vAlign w:val="center"/>
                </w:tcPr>
                <w:p w14:paraId="60DB118C">
                  <w:pPr>
                    <w:pStyle w:val="14"/>
                    <w:spacing w:before="0" w:after="0" w:line="240" w:lineRule="auto"/>
                    <w:ind w:right="0"/>
                    <w:jc w:val="center"/>
                    <w:rPr>
                      <w:b/>
                      <w:bCs/>
                      <w:sz w:val="21"/>
                      <w:szCs w:val="21"/>
                    </w:rPr>
                  </w:pPr>
                  <w:r>
                    <w:rPr>
                      <w:b/>
                      <w:bCs/>
                      <w:sz w:val="21"/>
                      <w:szCs w:val="21"/>
                    </w:rPr>
                    <w:t>序号</w:t>
                  </w:r>
                </w:p>
              </w:tc>
              <w:tc>
                <w:tcPr>
                  <w:tcW w:w="2993" w:type="dxa"/>
                  <w:vAlign w:val="center"/>
                </w:tcPr>
                <w:p w14:paraId="438A1656">
                  <w:pPr>
                    <w:pStyle w:val="14"/>
                    <w:spacing w:before="0" w:after="0" w:line="240" w:lineRule="auto"/>
                    <w:ind w:right="0"/>
                    <w:jc w:val="center"/>
                    <w:rPr>
                      <w:b/>
                      <w:bCs/>
                      <w:sz w:val="21"/>
                      <w:szCs w:val="21"/>
                    </w:rPr>
                  </w:pPr>
                  <w:r>
                    <w:rPr>
                      <w:b/>
                      <w:bCs/>
                      <w:sz w:val="21"/>
                      <w:szCs w:val="21"/>
                    </w:rPr>
                    <w:t>污染物</w:t>
                  </w:r>
                </w:p>
              </w:tc>
              <w:tc>
                <w:tcPr>
                  <w:tcW w:w="2994" w:type="dxa"/>
                  <w:vAlign w:val="center"/>
                </w:tcPr>
                <w:p w14:paraId="04510543">
                  <w:pPr>
                    <w:pStyle w:val="14"/>
                    <w:spacing w:before="0" w:after="0" w:line="240" w:lineRule="auto"/>
                    <w:ind w:right="0"/>
                    <w:jc w:val="center"/>
                    <w:rPr>
                      <w:b/>
                      <w:bCs/>
                      <w:sz w:val="21"/>
                      <w:szCs w:val="21"/>
                    </w:rPr>
                  </w:pPr>
                  <w:r>
                    <w:rPr>
                      <w:b/>
                      <w:bCs/>
                      <w:sz w:val="21"/>
                      <w:szCs w:val="21"/>
                    </w:rPr>
                    <w:t>年排放量/（t/a）</w:t>
                  </w:r>
                </w:p>
              </w:tc>
            </w:tr>
            <w:tr w14:paraId="40ED4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92" w:type="dxa"/>
                  <w:vAlign w:val="center"/>
                </w:tcPr>
                <w:p w14:paraId="7E96E7BA">
                  <w:pPr>
                    <w:pStyle w:val="14"/>
                    <w:spacing w:before="0" w:after="0" w:line="240" w:lineRule="auto"/>
                    <w:ind w:right="0"/>
                    <w:jc w:val="center"/>
                    <w:rPr>
                      <w:sz w:val="21"/>
                      <w:szCs w:val="21"/>
                    </w:rPr>
                  </w:pPr>
                  <w:r>
                    <w:rPr>
                      <w:sz w:val="21"/>
                      <w:szCs w:val="21"/>
                    </w:rPr>
                    <w:t>1</w:t>
                  </w:r>
                </w:p>
              </w:tc>
              <w:tc>
                <w:tcPr>
                  <w:tcW w:w="2993" w:type="dxa"/>
                  <w:vAlign w:val="center"/>
                </w:tcPr>
                <w:p w14:paraId="7A35240A">
                  <w:pPr>
                    <w:pStyle w:val="14"/>
                    <w:spacing w:before="0" w:after="0" w:line="240" w:lineRule="auto"/>
                    <w:ind w:right="0"/>
                    <w:jc w:val="center"/>
                    <w:rPr>
                      <w:sz w:val="21"/>
                      <w:szCs w:val="21"/>
                      <w:u w:val="single"/>
                    </w:rPr>
                  </w:pPr>
                  <w:r>
                    <w:rPr>
                      <w:sz w:val="21"/>
                      <w:szCs w:val="21"/>
                      <w:u w:val="single"/>
                    </w:rPr>
                    <w:t>颗粒物</w:t>
                  </w:r>
                </w:p>
              </w:tc>
              <w:tc>
                <w:tcPr>
                  <w:tcW w:w="2994" w:type="dxa"/>
                  <w:vAlign w:val="center"/>
                </w:tcPr>
                <w:p w14:paraId="0A3A4254">
                  <w:pPr>
                    <w:pStyle w:val="14"/>
                    <w:spacing w:before="0" w:after="0" w:line="240" w:lineRule="auto"/>
                    <w:ind w:right="0" w:rightChars="0"/>
                    <w:jc w:val="center"/>
                    <w:rPr>
                      <w:rFonts w:hint="default" w:eastAsia="宋体"/>
                      <w:sz w:val="21"/>
                      <w:szCs w:val="21"/>
                      <w:u w:val="single"/>
                      <w:lang w:val="en-US" w:eastAsia="zh-CN"/>
                    </w:rPr>
                  </w:pPr>
                  <w:r>
                    <w:rPr>
                      <w:rFonts w:hint="eastAsia"/>
                      <w:sz w:val="21"/>
                      <w:szCs w:val="21"/>
                      <w:u w:val="single"/>
                      <w:lang w:val="en-US" w:eastAsia="zh-CN"/>
                    </w:rPr>
                    <w:t>6.267</w:t>
                  </w:r>
                </w:p>
              </w:tc>
            </w:tr>
            <w:tr w14:paraId="3F3DF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92" w:type="dxa"/>
                  <w:vAlign w:val="center"/>
                </w:tcPr>
                <w:p w14:paraId="717A3B0F">
                  <w:pPr>
                    <w:pStyle w:val="14"/>
                    <w:spacing w:before="0" w:after="0" w:line="240" w:lineRule="auto"/>
                    <w:ind w:right="0"/>
                    <w:jc w:val="center"/>
                    <w:rPr>
                      <w:sz w:val="21"/>
                      <w:szCs w:val="21"/>
                    </w:rPr>
                  </w:pPr>
                  <w:r>
                    <w:rPr>
                      <w:sz w:val="21"/>
                      <w:szCs w:val="21"/>
                    </w:rPr>
                    <w:t>2</w:t>
                  </w:r>
                </w:p>
              </w:tc>
              <w:tc>
                <w:tcPr>
                  <w:tcW w:w="2993" w:type="dxa"/>
                  <w:vAlign w:val="center"/>
                </w:tcPr>
                <w:p w14:paraId="24804871">
                  <w:pPr>
                    <w:pStyle w:val="14"/>
                    <w:spacing w:before="0" w:after="0" w:line="240" w:lineRule="auto"/>
                    <w:ind w:right="0" w:rightChars="0"/>
                    <w:jc w:val="center"/>
                    <w:rPr>
                      <w:rFonts w:ascii="Times New Roman" w:hAnsi="Times New Roman" w:eastAsia="宋体" w:cs="Times New Roman"/>
                      <w:kern w:val="0"/>
                      <w:sz w:val="21"/>
                      <w:szCs w:val="21"/>
                      <w:lang w:val="en-US" w:eastAsia="zh-CN" w:bidi="ar-SA"/>
                    </w:rPr>
                  </w:pPr>
                  <w:r>
                    <w:rPr>
                      <w:sz w:val="21"/>
                      <w:szCs w:val="21"/>
                    </w:rPr>
                    <w:t>SO</w:t>
                  </w:r>
                  <w:r>
                    <w:rPr>
                      <w:sz w:val="21"/>
                      <w:szCs w:val="21"/>
                      <w:vertAlign w:val="subscript"/>
                    </w:rPr>
                    <w:t>2</w:t>
                  </w:r>
                </w:p>
              </w:tc>
              <w:tc>
                <w:tcPr>
                  <w:tcW w:w="2994" w:type="dxa"/>
                  <w:vAlign w:val="center"/>
                </w:tcPr>
                <w:p w14:paraId="3C4F1A30">
                  <w:pPr>
                    <w:wordWrap w:val="0"/>
                    <w:topLinePunct/>
                    <w:jc w:val="center"/>
                    <w:rPr>
                      <w:rFonts w:hint="default" w:ascii="Times New Roman" w:hAnsi="Times New Roman" w:eastAsia="宋体" w:cs="Times New Roman"/>
                      <w:snapToGrid w:val="0"/>
                      <w:spacing w:val="4"/>
                      <w:kern w:val="2"/>
                      <w:sz w:val="21"/>
                      <w:szCs w:val="21"/>
                      <w:lang w:val="en-US" w:eastAsia="zh-CN" w:bidi="ar-SA"/>
                    </w:rPr>
                  </w:pPr>
                  <w:r>
                    <w:rPr>
                      <w:rFonts w:hint="eastAsia"/>
                      <w:snapToGrid w:val="0"/>
                      <w:spacing w:val="4"/>
                      <w:sz w:val="21"/>
                      <w:szCs w:val="21"/>
                      <w:lang w:val="en-US" w:eastAsia="zh-CN"/>
                    </w:rPr>
                    <w:t>0.07</w:t>
                  </w:r>
                </w:p>
              </w:tc>
            </w:tr>
            <w:tr w14:paraId="7C480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92" w:type="dxa"/>
                  <w:vAlign w:val="center"/>
                </w:tcPr>
                <w:p w14:paraId="0A77F079">
                  <w:pPr>
                    <w:pStyle w:val="14"/>
                    <w:spacing w:before="0" w:after="0" w:line="240" w:lineRule="auto"/>
                    <w:ind w:right="0"/>
                    <w:jc w:val="center"/>
                    <w:rPr>
                      <w:sz w:val="21"/>
                      <w:szCs w:val="21"/>
                    </w:rPr>
                  </w:pPr>
                  <w:r>
                    <w:rPr>
                      <w:sz w:val="21"/>
                      <w:szCs w:val="21"/>
                    </w:rPr>
                    <w:t>3</w:t>
                  </w:r>
                </w:p>
              </w:tc>
              <w:tc>
                <w:tcPr>
                  <w:tcW w:w="2993" w:type="dxa"/>
                  <w:vAlign w:val="center"/>
                </w:tcPr>
                <w:p w14:paraId="41F9F3F4">
                  <w:pPr>
                    <w:pStyle w:val="14"/>
                    <w:spacing w:before="0" w:after="0" w:line="240" w:lineRule="auto"/>
                    <w:ind w:right="0" w:rightChars="0"/>
                    <w:jc w:val="center"/>
                    <w:rPr>
                      <w:rFonts w:ascii="Times New Roman" w:hAnsi="Times New Roman" w:eastAsia="宋体" w:cs="Times New Roman"/>
                      <w:kern w:val="0"/>
                      <w:sz w:val="21"/>
                      <w:szCs w:val="21"/>
                      <w:lang w:val="en-US" w:eastAsia="zh-CN" w:bidi="ar-SA"/>
                    </w:rPr>
                  </w:pPr>
                  <w:r>
                    <w:rPr>
                      <w:sz w:val="21"/>
                      <w:szCs w:val="21"/>
                    </w:rPr>
                    <w:t>NO</w:t>
                  </w:r>
                  <w:r>
                    <w:rPr>
                      <w:sz w:val="21"/>
                      <w:szCs w:val="21"/>
                      <w:vertAlign w:val="subscript"/>
                    </w:rPr>
                    <w:t>X</w:t>
                  </w:r>
                </w:p>
              </w:tc>
              <w:tc>
                <w:tcPr>
                  <w:tcW w:w="2994" w:type="dxa"/>
                  <w:vAlign w:val="center"/>
                </w:tcPr>
                <w:p w14:paraId="66DB8697">
                  <w:pPr>
                    <w:wordWrap w:val="0"/>
                    <w:topLinePunct/>
                    <w:jc w:val="center"/>
                    <w:rPr>
                      <w:rFonts w:ascii="Times New Roman" w:hAnsi="Times New Roman" w:eastAsia="宋体" w:cs="Times New Roman"/>
                      <w:snapToGrid w:val="0"/>
                      <w:spacing w:val="4"/>
                      <w:kern w:val="2"/>
                      <w:sz w:val="21"/>
                      <w:szCs w:val="21"/>
                      <w:lang w:val="en-US" w:eastAsia="zh-CN" w:bidi="ar-SA"/>
                    </w:rPr>
                  </w:pPr>
                  <w:r>
                    <w:rPr>
                      <w:rFonts w:hint="eastAsia"/>
                      <w:snapToGrid w:val="0"/>
                      <w:spacing w:val="4"/>
                      <w:sz w:val="21"/>
                      <w:szCs w:val="21"/>
                      <w:lang w:val="en-US" w:eastAsia="zh-CN"/>
                    </w:rPr>
                    <w:t>0.244</w:t>
                  </w:r>
                </w:p>
              </w:tc>
            </w:tr>
            <w:tr w14:paraId="29D78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92" w:type="dxa"/>
                  <w:vAlign w:val="center"/>
                </w:tcPr>
                <w:p w14:paraId="5F094ACB">
                  <w:pPr>
                    <w:pStyle w:val="14"/>
                    <w:spacing w:before="0" w:after="0" w:line="240" w:lineRule="auto"/>
                    <w:ind w:right="0"/>
                    <w:jc w:val="center"/>
                    <w:rPr>
                      <w:sz w:val="21"/>
                      <w:szCs w:val="21"/>
                    </w:rPr>
                  </w:pPr>
                  <w:r>
                    <w:rPr>
                      <w:sz w:val="21"/>
                      <w:szCs w:val="21"/>
                    </w:rPr>
                    <w:t>4</w:t>
                  </w:r>
                </w:p>
              </w:tc>
              <w:tc>
                <w:tcPr>
                  <w:tcW w:w="2993" w:type="dxa"/>
                  <w:vAlign w:val="center"/>
                </w:tcPr>
                <w:p w14:paraId="33A77751">
                  <w:pPr>
                    <w:pStyle w:val="14"/>
                    <w:spacing w:before="0" w:after="0" w:line="240" w:lineRule="auto"/>
                    <w:ind w:right="0" w:rightChars="0"/>
                    <w:jc w:val="center"/>
                    <w:rPr>
                      <w:rFonts w:ascii="Times New Roman" w:hAnsi="Times New Roman" w:eastAsia="宋体" w:cs="Times New Roman"/>
                      <w:kern w:val="0"/>
                      <w:sz w:val="21"/>
                      <w:szCs w:val="21"/>
                      <w:u w:val="single"/>
                      <w:lang w:val="en-US" w:eastAsia="zh-CN" w:bidi="ar-SA"/>
                    </w:rPr>
                  </w:pPr>
                  <w:r>
                    <w:rPr>
                      <w:rFonts w:hint="eastAsia"/>
                      <w:sz w:val="21"/>
                      <w:szCs w:val="21"/>
                      <w:highlight w:val="none"/>
                      <w:u w:val="single"/>
                    </w:rPr>
                    <w:t>VOCs</w:t>
                  </w:r>
                </w:p>
              </w:tc>
              <w:tc>
                <w:tcPr>
                  <w:tcW w:w="2994" w:type="dxa"/>
                  <w:vAlign w:val="center"/>
                </w:tcPr>
                <w:p w14:paraId="72725B9E">
                  <w:pPr>
                    <w:widowControl/>
                    <w:jc w:val="center"/>
                    <w:rPr>
                      <w:rFonts w:hint="default" w:ascii="Times New Roman" w:hAnsi="Times New Roman" w:eastAsia="宋体" w:cs="Times New Roman"/>
                      <w:snapToGrid w:val="0"/>
                      <w:spacing w:val="4"/>
                      <w:kern w:val="2"/>
                      <w:sz w:val="21"/>
                      <w:szCs w:val="21"/>
                      <w:u w:val="single"/>
                      <w:lang w:val="en-US" w:eastAsia="zh-CN" w:bidi="ar-SA"/>
                    </w:rPr>
                  </w:pPr>
                  <w:r>
                    <w:rPr>
                      <w:rFonts w:hint="eastAsia"/>
                      <w:snapToGrid w:val="0"/>
                      <w:spacing w:val="4"/>
                      <w:sz w:val="21"/>
                      <w:szCs w:val="21"/>
                      <w:u w:val="single"/>
                      <w:lang w:val="en-US" w:eastAsia="zh-CN"/>
                    </w:rPr>
                    <w:t>0.39</w:t>
                  </w:r>
                </w:p>
              </w:tc>
            </w:tr>
          </w:tbl>
          <w:p w14:paraId="58C95D34">
            <w:pPr>
              <w:spacing w:before="120" w:beforeLines="50" w:line="360" w:lineRule="auto"/>
              <w:ind w:firstLine="482" w:firstLineChars="200"/>
              <w:rPr>
                <w:b/>
                <w:bCs/>
                <w:color w:val="000000" w:themeColor="text1"/>
                <w:szCs w:val="32"/>
                <w14:textFill>
                  <w14:solidFill>
                    <w14:schemeClr w14:val="tx1"/>
                  </w14:solidFill>
                </w14:textFill>
              </w:rPr>
            </w:pPr>
            <w:r>
              <w:rPr>
                <w:b/>
                <w:bCs/>
                <w:color w:val="000000" w:themeColor="text1"/>
                <w:szCs w:val="32"/>
                <w14:textFill>
                  <w14:solidFill>
                    <w14:schemeClr w14:val="tx1"/>
                  </w14:solidFill>
                </w14:textFill>
              </w:rPr>
              <w:t>（</w:t>
            </w:r>
            <w:r>
              <w:rPr>
                <w:rFonts w:hint="eastAsia"/>
                <w:b/>
                <w:bCs/>
                <w:color w:val="000000" w:themeColor="text1"/>
                <w:szCs w:val="32"/>
                <w14:textFill>
                  <w14:solidFill>
                    <w14:schemeClr w14:val="tx1"/>
                  </w14:solidFill>
                </w14:textFill>
              </w:rPr>
              <w:t>4</w:t>
            </w:r>
            <w:r>
              <w:rPr>
                <w:b/>
                <w:bCs/>
                <w:color w:val="000000" w:themeColor="text1"/>
                <w:szCs w:val="32"/>
                <w14:textFill>
                  <w14:solidFill>
                    <w14:schemeClr w14:val="tx1"/>
                  </w14:solidFill>
                </w14:textFill>
              </w:rPr>
              <w:t>）废气处理可行性分析</w:t>
            </w:r>
          </w:p>
          <w:p w14:paraId="17B9FAFB">
            <w:pPr>
              <w:wordWrap w:val="0"/>
              <w:topLinePunct/>
              <w:adjustRightInd w:val="0"/>
              <w:snapToGrid w:val="0"/>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①颗粒物处理可行性分析</w:t>
            </w:r>
          </w:p>
          <w:p w14:paraId="73B6C659">
            <w:pPr>
              <w:wordWrap w:val="0"/>
              <w:topLinePunct/>
              <w:adjustRightInd w:val="0"/>
              <w:snapToGrid w:val="0"/>
              <w:spacing w:line="360" w:lineRule="auto"/>
              <w:ind w:firstLine="480" w:firstLineChars="200"/>
              <w:rPr>
                <w:color w:val="000000" w:themeColor="text1"/>
                <w14:textFill>
                  <w14:solidFill>
                    <w14:schemeClr w14:val="tx1"/>
                  </w14:solidFill>
                </w14:textFill>
              </w:rPr>
            </w:pPr>
            <w:r>
              <w:rPr>
                <w:rFonts w:hint="eastAsia"/>
                <w:color w:val="000000" w:themeColor="text1"/>
                <w:highlight w:val="none"/>
                <w14:textFill>
                  <w14:solidFill>
                    <w14:schemeClr w14:val="tx1"/>
                  </w14:solidFill>
                </w14:textFill>
              </w:rPr>
              <w:t>本项目</w:t>
            </w:r>
            <w:r>
              <w:rPr>
                <w:rFonts w:hint="eastAsia"/>
                <w:color w:val="000000" w:themeColor="text1"/>
                <w:highlight w:val="none"/>
                <w:lang w:eastAsia="zh-CN"/>
                <w14:textFill>
                  <w14:solidFill>
                    <w14:schemeClr w14:val="tx1"/>
                  </w14:solidFill>
                </w14:textFill>
              </w:rPr>
              <w:t>破碎</w:t>
            </w:r>
            <w:r>
              <w:rPr>
                <w:rFonts w:hint="eastAsia"/>
                <w:color w:val="000000" w:themeColor="text1"/>
                <w:highlight w:val="none"/>
                <w14:textFill>
                  <w14:solidFill>
                    <w14:schemeClr w14:val="tx1"/>
                  </w14:solidFill>
                </w14:textFill>
              </w:rPr>
              <w:t>包装工序产生的颗</w:t>
            </w:r>
            <w:r>
              <w:rPr>
                <w:rFonts w:hint="eastAsia"/>
                <w:color w:val="000000" w:themeColor="text1"/>
                <w14:textFill>
                  <w14:solidFill>
                    <w14:schemeClr w14:val="tx1"/>
                  </w14:solidFill>
                </w14:textFill>
              </w:rPr>
              <w:t>粒物经管道收集后通过布袋除尘器处理有组织排放。</w:t>
            </w:r>
          </w:p>
          <w:p w14:paraId="29BCB8A3">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布袋除尘器技术已经十分成熟，根据</w:t>
            </w:r>
            <w:r>
              <w:rPr>
                <w:color w:val="000000" w:themeColor="text1"/>
                <w:u w:val="none"/>
                <w14:textFill>
                  <w14:solidFill>
                    <w14:schemeClr w14:val="tx1"/>
                  </w14:solidFill>
                </w14:textFill>
              </w:rPr>
              <w:t>《排污许可证申请与核发技术规范</w:t>
            </w:r>
            <w:r>
              <w:rPr>
                <w:rFonts w:hint="eastAsia"/>
                <w:color w:val="000000" w:themeColor="text1"/>
                <w:u w:val="none"/>
                <w:lang w:val="en-US" w:eastAsia="zh-CN"/>
                <w14:textFill>
                  <w14:solidFill>
                    <w14:schemeClr w14:val="tx1"/>
                  </w14:solidFill>
                </w14:textFill>
              </w:rPr>
              <w:t xml:space="preserve"> </w:t>
            </w:r>
            <w:r>
              <w:rPr>
                <w:rFonts w:hint="eastAsia"/>
                <w:color w:val="000000" w:themeColor="text1"/>
                <w:u w:val="none"/>
                <w:lang w:eastAsia="zh-CN"/>
                <w14:textFill>
                  <w14:solidFill>
                    <w14:schemeClr w14:val="tx1"/>
                  </w14:solidFill>
                </w14:textFill>
              </w:rPr>
              <w:t>专用化学产品制造工业</w:t>
            </w:r>
            <w:r>
              <w:rPr>
                <w:color w:val="000000" w:themeColor="text1"/>
                <w:u w:val="none"/>
                <w14:textFill>
                  <w14:solidFill>
                    <w14:schemeClr w14:val="tx1"/>
                  </w14:solidFill>
                </w14:textFill>
              </w:rPr>
              <w:t>》</w:t>
            </w:r>
            <w:r>
              <w:rPr>
                <w:rFonts w:hint="eastAsia"/>
                <w:color w:val="000000" w:themeColor="text1"/>
                <w:u w:val="none"/>
                <w:lang w:eastAsia="zh-CN"/>
                <w14:textFill>
                  <w14:solidFill>
                    <w14:schemeClr w14:val="tx1"/>
                  </w14:solidFill>
                </w14:textFill>
              </w:rPr>
              <w:t>（</w:t>
            </w:r>
            <w:r>
              <w:rPr>
                <w:color w:val="000000" w:themeColor="text1"/>
                <w:u w:val="none"/>
                <w14:textFill>
                  <w14:solidFill>
                    <w14:schemeClr w14:val="tx1"/>
                  </w14:solidFill>
                </w14:textFill>
              </w:rPr>
              <w:t>HJ1</w:t>
            </w:r>
            <w:r>
              <w:rPr>
                <w:rFonts w:hint="eastAsia"/>
                <w:color w:val="000000" w:themeColor="text1"/>
                <w:u w:val="none"/>
                <w:lang w:val="en-US" w:eastAsia="zh-CN"/>
                <w14:textFill>
                  <w14:solidFill>
                    <w14:schemeClr w14:val="tx1"/>
                  </w14:solidFill>
                </w14:textFill>
              </w:rPr>
              <w:t>103</w:t>
            </w:r>
            <w:r>
              <w:rPr>
                <w:color w:val="000000" w:themeColor="text1"/>
                <w:u w:val="none"/>
                <w14:textFill>
                  <w14:solidFill>
                    <w14:schemeClr w14:val="tx1"/>
                  </w14:solidFill>
                </w14:textFill>
              </w:rPr>
              <w:t>-20</w:t>
            </w:r>
            <w:r>
              <w:rPr>
                <w:rFonts w:hint="eastAsia"/>
                <w:color w:val="000000" w:themeColor="text1"/>
                <w:u w:val="none"/>
                <w:lang w:val="en-US" w:eastAsia="zh-CN"/>
                <w14:textFill>
                  <w14:solidFill>
                    <w14:schemeClr w14:val="tx1"/>
                  </w14:solidFill>
                </w14:textFill>
              </w:rPr>
              <w:t>20</w:t>
            </w:r>
            <w:r>
              <w:rPr>
                <w:rFonts w:hint="eastAsia"/>
                <w:color w:val="000000" w:themeColor="text1"/>
                <w:u w:val="none"/>
                <w:lang w:eastAsia="zh-CN"/>
                <w14:textFill>
                  <w14:solidFill>
                    <w14:schemeClr w14:val="tx1"/>
                  </w14:solidFill>
                </w14:textFill>
              </w:rPr>
              <w:t>）</w:t>
            </w:r>
            <w:r>
              <w:rPr>
                <w:color w:val="000000" w:themeColor="text1"/>
                <w14:textFill>
                  <w14:solidFill>
                    <w14:schemeClr w14:val="tx1"/>
                  </w14:solidFill>
                </w14:textFill>
              </w:rPr>
              <w:t>，袋式除尘是颗粒物污染防治可行技术。布袋除尘器除尘效率取值99.</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w:t>
            </w:r>
          </w:p>
          <w:p w14:paraId="37C79B4D">
            <w:pPr>
              <w:wordWrap w:val="0"/>
              <w:topLinePunct/>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根据工程分析，经布袋除尘器处理后，颗粒物排放达到</w:t>
            </w:r>
            <w:r>
              <w:rPr>
                <w:rFonts w:hint="eastAsia"/>
                <w:color w:val="000000" w:themeColor="text1"/>
                <w:kern w:val="0"/>
                <w:lang w:bidi="ar"/>
                <w14:textFill>
                  <w14:solidFill>
                    <w14:schemeClr w14:val="tx1"/>
                  </w14:solidFill>
                </w14:textFill>
              </w:rPr>
              <w:t>《大气污染物综合排放标准》（GB16297-1996）表2标准要求</w:t>
            </w:r>
            <w:r>
              <w:rPr>
                <w:color w:val="000000" w:themeColor="text1"/>
                <w14:textFill>
                  <w14:solidFill>
                    <w14:schemeClr w14:val="tx1"/>
                  </w14:solidFill>
                </w14:textFill>
              </w:rPr>
              <w:t>，治理措施技术可行。布袋除尘器及附属风道、排气筒等投资约</w:t>
            </w:r>
            <w:r>
              <w:rPr>
                <w:rFonts w:hint="eastAsia"/>
                <w:color w:val="000000" w:themeColor="text1"/>
                <w14:textFill>
                  <w14:solidFill>
                    <w14:schemeClr w14:val="tx1"/>
                  </w14:solidFill>
                </w14:textFill>
              </w:rPr>
              <w:t>15</w:t>
            </w:r>
            <w:r>
              <w:rPr>
                <w:color w:val="000000" w:themeColor="text1"/>
                <w14:textFill>
                  <w14:solidFill>
                    <w14:schemeClr w14:val="tx1"/>
                  </w14:solidFill>
                </w14:textFill>
              </w:rPr>
              <w:t>万元，处理设施投资费用、日常运行费用企业均可承受，经济上可行。</w:t>
            </w:r>
          </w:p>
          <w:p w14:paraId="137D1980">
            <w:pPr>
              <w:wordWrap w:val="0"/>
              <w:topLinePunct/>
              <w:adjustRightInd w:val="0"/>
              <w:snapToGrid w:val="0"/>
              <w:spacing w:line="36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②</w:t>
            </w:r>
            <w:r>
              <w:rPr>
                <w:rFonts w:hint="eastAsia"/>
                <w:color w:val="000000" w:themeColor="text1"/>
                <w:lang w:val="en-US" w:eastAsia="zh-CN"/>
                <w14:textFill>
                  <w14:solidFill>
                    <w14:schemeClr w14:val="tx1"/>
                  </w14:solidFill>
                </w14:textFill>
              </w:rPr>
              <w:t>VOCs</w:t>
            </w:r>
            <w:r>
              <w:rPr>
                <w:rFonts w:hint="eastAsia"/>
                <w:color w:val="000000" w:themeColor="text1"/>
                <w14:textFill>
                  <w14:solidFill>
                    <w14:schemeClr w14:val="tx1"/>
                  </w14:solidFill>
                </w14:textFill>
              </w:rPr>
              <w:t>处理可行性分析</w:t>
            </w:r>
          </w:p>
          <w:p w14:paraId="116145FD">
            <w:pPr>
              <w:wordWrap w:val="0"/>
              <w:topLinePunct/>
              <w:adjustRightInd w:val="0"/>
              <w:snapToGrid w:val="0"/>
              <w:spacing w:line="360" w:lineRule="auto"/>
              <w:ind w:firstLine="480" w:firstLineChars="200"/>
              <w:rPr>
                <w:rFonts w:hint="default" w:eastAsia="宋体"/>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本项目造粒挤出工序</w:t>
            </w:r>
            <w:r>
              <w:rPr>
                <w:rFonts w:hint="eastAsia"/>
                <w:color w:val="000000" w:themeColor="text1"/>
                <w:lang w:val="en-US" w:eastAsia="zh-CN"/>
                <w14:textFill>
                  <w14:solidFill>
                    <w14:schemeClr w14:val="tx1"/>
                  </w14:solidFill>
                </w14:textFill>
              </w:rPr>
              <w:t>VOCs采用移动式VOCs处理设备进行处理，移动式VOCs处理设备内置活性炭，其处理原理为活性炭吸附，</w:t>
            </w:r>
            <w:r>
              <w:rPr>
                <w:color w:val="000000" w:themeColor="text1"/>
                <w14:textFill>
                  <w14:solidFill>
                    <w14:schemeClr w14:val="tx1"/>
                  </w14:solidFill>
                </w14:textFill>
              </w:rPr>
              <w:t>根据</w:t>
            </w:r>
            <w:r>
              <w:rPr>
                <w:color w:val="000000" w:themeColor="text1"/>
                <w:u w:val="none"/>
                <w14:textFill>
                  <w14:solidFill>
                    <w14:schemeClr w14:val="tx1"/>
                  </w14:solidFill>
                </w14:textFill>
              </w:rPr>
              <w:t>《排污许可证申请与核发技术规范</w:t>
            </w:r>
            <w:r>
              <w:rPr>
                <w:rFonts w:hint="eastAsia"/>
                <w:color w:val="000000" w:themeColor="text1"/>
                <w:u w:val="none"/>
                <w:lang w:val="en-US" w:eastAsia="zh-CN"/>
                <w14:textFill>
                  <w14:solidFill>
                    <w14:schemeClr w14:val="tx1"/>
                  </w14:solidFill>
                </w14:textFill>
              </w:rPr>
              <w:t xml:space="preserve"> </w:t>
            </w:r>
            <w:r>
              <w:rPr>
                <w:rFonts w:hint="eastAsia"/>
                <w:color w:val="000000" w:themeColor="text1"/>
                <w:u w:val="none"/>
                <w:lang w:eastAsia="zh-CN"/>
                <w14:textFill>
                  <w14:solidFill>
                    <w14:schemeClr w14:val="tx1"/>
                  </w14:solidFill>
                </w14:textFill>
              </w:rPr>
              <w:t>专用化学产品制造工业</w:t>
            </w:r>
            <w:r>
              <w:rPr>
                <w:color w:val="000000" w:themeColor="text1"/>
                <w:u w:val="none"/>
                <w14:textFill>
                  <w14:solidFill>
                    <w14:schemeClr w14:val="tx1"/>
                  </w14:solidFill>
                </w14:textFill>
              </w:rPr>
              <w:t>》</w:t>
            </w:r>
            <w:r>
              <w:rPr>
                <w:rFonts w:hint="eastAsia"/>
                <w:color w:val="000000" w:themeColor="text1"/>
                <w:u w:val="none"/>
                <w:lang w:eastAsia="zh-CN"/>
                <w14:textFill>
                  <w14:solidFill>
                    <w14:schemeClr w14:val="tx1"/>
                  </w14:solidFill>
                </w14:textFill>
              </w:rPr>
              <w:t>（</w:t>
            </w:r>
            <w:r>
              <w:rPr>
                <w:color w:val="000000" w:themeColor="text1"/>
                <w:u w:val="none"/>
                <w14:textFill>
                  <w14:solidFill>
                    <w14:schemeClr w14:val="tx1"/>
                  </w14:solidFill>
                </w14:textFill>
              </w:rPr>
              <w:t>HJ1</w:t>
            </w:r>
            <w:r>
              <w:rPr>
                <w:rFonts w:hint="eastAsia"/>
                <w:color w:val="000000" w:themeColor="text1"/>
                <w:u w:val="none"/>
                <w:lang w:val="en-US" w:eastAsia="zh-CN"/>
                <w14:textFill>
                  <w14:solidFill>
                    <w14:schemeClr w14:val="tx1"/>
                  </w14:solidFill>
                </w14:textFill>
              </w:rPr>
              <w:t>103</w:t>
            </w:r>
            <w:r>
              <w:rPr>
                <w:color w:val="000000" w:themeColor="text1"/>
                <w:u w:val="none"/>
                <w14:textFill>
                  <w14:solidFill>
                    <w14:schemeClr w14:val="tx1"/>
                  </w14:solidFill>
                </w14:textFill>
              </w:rPr>
              <w:t>-20</w:t>
            </w:r>
            <w:r>
              <w:rPr>
                <w:rFonts w:hint="eastAsia"/>
                <w:color w:val="000000" w:themeColor="text1"/>
                <w:u w:val="none"/>
                <w:lang w:val="en-US" w:eastAsia="zh-CN"/>
                <w14:textFill>
                  <w14:solidFill>
                    <w14:schemeClr w14:val="tx1"/>
                  </w14:solidFill>
                </w14:textFill>
              </w:rPr>
              <w:t>20</w:t>
            </w:r>
            <w:r>
              <w:rPr>
                <w:rFonts w:hint="eastAsia"/>
                <w:color w:val="000000" w:themeColor="text1"/>
                <w:u w:val="none"/>
                <w:lang w:eastAsia="zh-CN"/>
                <w14:textFill>
                  <w14:solidFill>
                    <w14:schemeClr w14:val="tx1"/>
                  </w14:solidFill>
                </w14:textFill>
              </w:rPr>
              <w:t>），活性炭吸附是</w:t>
            </w:r>
            <w:r>
              <w:rPr>
                <w:rFonts w:hint="eastAsia"/>
                <w:color w:val="000000" w:themeColor="text1"/>
                <w:u w:val="none"/>
                <w:lang w:val="en-US" w:eastAsia="zh-CN"/>
                <w14:textFill>
                  <w14:solidFill>
                    <w14:schemeClr w14:val="tx1"/>
                  </w14:solidFill>
                </w14:textFill>
              </w:rPr>
              <w:t>VOCs污染防治可行技术，其处理效率取75%。</w:t>
            </w:r>
          </w:p>
          <w:p w14:paraId="29F8FB5E">
            <w:pPr>
              <w:pStyle w:val="98"/>
              <w:ind w:firstLine="482"/>
              <w:rPr>
                <w:b/>
                <w:bCs/>
                <w:color w:val="auto"/>
              </w:rPr>
            </w:pPr>
            <w:r>
              <w:rPr>
                <w:b/>
                <w:bCs/>
                <w:color w:val="auto"/>
              </w:rPr>
              <w:t>（</w:t>
            </w:r>
            <w:r>
              <w:rPr>
                <w:rFonts w:hint="eastAsia"/>
                <w:b/>
                <w:bCs/>
                <w:color w:val="auto"/>
              </w:rPr>
              <w:t>5</w:t>
            </w:r>
            <w:r>
              <w:rPr>
                <w:b/>
                <w:bCs/>
                <w:color w:val="auto"/>
              </w:rPr>
              <w:t>）废气自行监测计划</w:t>
            </w:r>
          </w:p>
          <w:p w14:paraId="536A1B79">
            <w:pPr>
              <w:wordWrap w:val="0"/>
              <w:topLinePunct/>
              <w:adjustRightInd w:val="0"/>
              <w:snapToGrid w:val="0"/>
              <w:spacing w:line="360" w:lineRule="auto"/>
              <w:ind w:firstLine="480" w:firstLineChars="200"/>
              <w:rPr>
                <w:szCs w:val="21"/>
              </w:rPr>
            </w:pPr>
            <w:r>
              <w:t>为掌握各种污染物的排放情况，并为控制污染和保护环境提供科学依据，环评要求项目运营期应制定废气监测计划，对厂区各废气排放口进行定期监测。</w:t>
            </w:r>
            <w:r>
              <w:rPr>
                <w:bCs/>
                <w:kern w:val="0"/>
              </w:rPr>
              <w:t>参考</w:t>
            </w:r>
            <w:r>
              <w:t xml:space="preserve">《排污许可证申请与核发技术规范 </w:t>
            </w:r>
            <w:r>
              <w:rPr>
                <w:rFonts w:hint="eastAsia"/>
                <w:bCs/>
                <w:kern w:val="0"/>
                <w:lang w:eastAsia="zh-CN"/>
              </w:rPr>
              <w:t>总则</w:t>
            </w:r>
            <w:r>
              <w:t>》（HJ</w:t>
            </w:r>
            <w:r>
              <w:rPr>
                <w:rFonts w:hint="eastAsia"/>
                <w:lang w:val="en-US" w:eastAsia="zh-CN"/>
              </w:rPr>
              <w:t>942</w:t>
            </w:r>
            <w:r>
              <w:t>-20</w:t>
            </w:r>
            <w:r>
              <w:rPr>
                <w:rFonts w:hint="eastAsia"/>
                <w:lang w:val="en-US" w:eastAsia="zh-CN"/>
              </w:rPr>
              <w:t>18</w:t>
            </w:r>
            <w:r>
              <w:t>）</w:t>
            </w:r>
            <w:r>
              <w:rPr>
                <w:rFonts w:hint="eastAsia"/>
                <w:bCs/>
                <w:kern w:val="0"/>
                <w:lang w:eastAsia="zh-CN"/>
              </w:rPr>
              <w:t>、</w:t>
            </w:r>
            <w:r>
              <w:rPr>
                <w:color w:val="000000" w:themeColor="text1"/>
                <w:u w:val="none"/>
                <w14:textFill>
                  <w14:solidFill>
                    <w14:schemeClr w14:val="tx1"/>
                  </w14:solidFill>
                </w14:textFill>
              </w:rPr>
              <w:t>《排污许可证申请与核发技术规范</w:t>
            </w:r>
            <w:r>
              <w:rPr>
                <w:rFonts w:hint="eastAsia"/>
                <w:color w:val="000000" w:themeColor="text1"/>
                <w:u w:val="none"/>
                <w:lang w:val="en-US" w:eastAsia="zh-CN"/>
                <w14:textFill>
                  <w14:solidFill>
                    <w14:schemeClr w14:val="tx1"/>
                  </w14:solidFill>
                </w14:textFill>
              </w:rPr>
              <w:t xml:space="preserve"> </w:t>
            </w:r>
            <w:r>
              <w:rPr>
                <w:rFonts w:hint="eastAsia"/>
                <w:color w:val="000000" w:themeColor="text1"/>
                <w:u w:val="none"/>
                <w:lang w:eastAsia="zh-CN"/>
                <w14:textFill>
                  <w14:solidFill>
                    <w14:schemeClr w14:val="tx1"/>
                  </w14:solidFill>
                </w14:textFill>
              </w:rPr>
              <w:t>专用化学产品制造工业</w:t>
            </w:r>
            <w:r>
              <w:rPr>
                <w:color w:val="000000" w:themeColor="text1"/>
                <w:u w:val="none"/>
                <w14:textFill>
                  <w14:solidFill>
                    <w14:schemeClr w14:val="tx1"/>
                  </w14:solidFill>
                </w14:textFill>
              </w:rPr>
              <w:t>》</w:t>
            </w:r>
            <w:r>
              <w:rPr>
                <w:rFonts w:hint="eastAsia"/>
                <w:color w:val="000000" w:themeColor="text1"/>
                <w:u w:val="none"/>
                <w:lang w:eastAsia="zh-CN"/>
                <w14:textFill>
                  <w14:solidFill>
                    <w14:schemeClr w14:val="tx1"/>
                  </w14:solidFill>
                </w14:textFill>
              </w:rPr>
              <w:t>（</w:t>
            </w:r>
            <w:r>
              <w:rPr>
                <w:color w:val="000000" w:themeColor="text1"/>
                <w:u w:val="none"/>
                <w14:textFill>
                  <w14:solidFill>
                    <w14:schemeClr w14:val="tx1"/>
                  </w14:solidFill>
                </w14:textFill>
              </w:rPr>
              <w:t>HJ1</w:t>
            </w:r>
            <w:r>
              <w:rPr>
                <w:rFonts w:hint="eastAsia"/>
                <w:color w:val="000000" w:themeColor="text1"/>
                <w:u w:val="none"/>
                <w:lang w:val="en-US" w:eastAsia="zh-CN"/>
                <w14:textFill>
                  <w14:solidFill>
                    <w14:schemeClr w14:val="tx1"/>
                  </w14:solidFill>
                </w14:textFill>
              </w:rPr>
              <w:t>103</w:t>
            </w:r>
            <w:r>
              <w:rPr>
                <w:color w:val="000000" w:themeColor="text1"/>
                <w:u w:val="none"/>
                <w14:textFill>
                  <w14:solidFill>
                    <w14:schemeClr w14:val="tx1"/>
                  </w14:solidFill>
                </w14:textFill>
              </w:rPr>
              <w:t>-20</w:t>
            </w:r>
            <w:r>
              <w:rPr>
                <w:rFonts w:hint="eastAsia"/>
                <w:color w:val="000000" w:themeColor="text1"/>
                <w:u w:val="none"/>
                <w:lang w:val="en-US" w:eastAsia="zh-CN"/>
                <w14:textFill>
                  <w14:solidFill>
                    <w14:schemeClr w14:val="tx1"/>
                  </w14:solidFill>
                </w14:textFill>
              </w:rPr>
              <w:t>20</w:t>
            </w:r>
            <w:r>
              <w:rPr>
                <w:rFonts w:hint="eastAsia"/>
                <w:color w:val="000000" w:themeColor="text1"/>
                <w:u w:val="none"/>
                <w:lang w:eastAsia="zh-CN"/>
                <w14:textFill>
                  <w14:solidFill>
                    <w14:schemeClr w14:val="tx1"/>
                  </w14:solidFill>
                </w14:textFill>
              </w:rPr>
              <w:t>）</w:t>
            </w:r>
            <w:r>
              <w:rPr>
                <w:bCs/>
                <w:kern w:val="0"/>
              </w:rPr>
              <w:t>，项目监测要求如下表所示。</w:t>
            </w:r>
          </w:p>
          <w:p w14:paraId="0D5631AF">
            <w:pPr>
              <w:spacing w:line="360" w:lineRule="auto"/>
              <w:jc w:val="center"/>
              <w:rPr>
                <w:b/>
                <w:lang w:val="en-GB"/>
              </w:rPr>
            </w:pPr>
            <w:r>
              <w:rPr>
                <w:b/>
                <w:lang w:val="en-GB"/>
              </w:rPr>
              <w:t>表4-</w:t>
            </w:r>
            <w:r>
              <w:rPr>
                <w:rFonts w:hint="eastAsia"/>
                <w:b/>
                <w:lang w:val="en-US" w:eastAsia="zh-CN"/>
              </w:rPr>
              <w:t>6</w:t>
            </w:r>
            <w:r>
              <w:rPr>
                <w:b/>
                <w:lang w:val="en-GB"/>
              </w:rPr>
              <w:t xml:space="preserve">  项目废气监测计划一览表</w:t>
            </w:r>
          </w:p>
          <w:tbl>
            <w:tblPr>
              <w:tblStyle w:val="36"/>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42"/>
              <w:gridCol w:w="1847"/>
              <w:gridCol w:w="3120"/>
              <w:gridCol w:w="1764"/>
            </w:tblGrid>
            <w:tr w14:paraId="4ED22F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2" w:hRule="atLeast"/>
              </w:trPr>
              <w:tc>
                <w:tcPr>
                  <w:tcW w:w="1249" w:type="pct"/>
                  <w:tcBorders>
                    <w:tl2br w:val="nil"/>
                    <w:tr2bl w:val="nil"/>
                  </w:tcBorders>
                  <w:vAlign w:val="center"/>
                </w:tcPr>
                <w:p w14:paraId="38331896">
                  <w:pPr>
                    <w:pStyle w:val="30"/>
                    <w:ind w:left="0" w:leftChars="0"/>
                    <w:jc w:val="center"/>
                    <w:rPr>
                      <w:b/>
                      <w:bCs/>
                      <w:sz w:val="21"/>
                      <w:szCs w:val="21"/>
                    </w:rPr>
                  </w:pPr>
                  <w:r>
                    <w:rPr>
                      <w:b/>
                      <w:bCs/>
                      <w:sz w:val="21"/>
                      <w:szCs w:val="21"/>
                    </w:rPr>
                    <w:t>类别</w:t>
                  </w:r>
                </w:p>
              </w:tc>
              <w:tc>
                <w:tcPr>
                  <w:tcW w:w="1029" w:type="pct"/>
                  <w:tcBorders>
                    <w:tl2br w:val="nil"/>
                    <w:tr2bl w:val="nil"/>
                  </w:tcBorders>
                  <w:vAlign w:val="center"/>
                </w:tcPr>
                <w:p w14:paraId="2E7F878D">
                  <w:pPr>
                    <w:pStyle w:val="30"/>
                    <w:ind w:left="0" w:leftChars="0"/>
                    <w:jc w:val="center"/>
                    <w:rPr>
                      <w:b/>
                      <w:bCs/>
                      <w:sz w:val="21"/>
                      <w:szCs w:val="21"/>
                    </w:rPr>
                  </w:pPr>
                  <w:r>
                    <w:rPr>
                      <w:b/>
                      <w:bCs/>
                      <w:sz w:val="21"/>
                      <w:szCs w:val="21"/>
                    </w:rPr>
                    <w:t>监测点位</w:t>
                  </w:r>
                </w:p>
              </w:tc>
              <w:tc>
                <w:tcPr>
                  <w:tcW w:w="1738" w:type="pct"/>
                  <w:tcBorders>
                    <w:tl2br w:val="nil"/>
                    <w:tr2bl w:val="nil"/>
                  </w:tcBorders>
                  <w:vAlign w:val="center"/>
                </w:tcPr>
                <w:p w14:paraId="1CA38B4B">
                  <w:pPr>
                    <w:pStyle w:val="30"/>
                    <w:ind w:left="0" w:leftChars="0"/>
                    <w:jc w:val="center"/>
                    <w:rPr>
                      <w:b/>
                      <w:bCs/>
                      <w:sz w:val="21"/>
                      <w:szCs w:val="21"/>
                    </w:rPr>
                  </w:pPr>
                  <w:r>
                    <w:rPr>
                      <w:b/>
                      <w:bCs/>
                      <w:sz w:val="21"/>
                      <w:szCs w:val="21"/>
                    </w:rPr>
                    <w:t>监测项目</w:t>
                  </w:r>
                </w:p>
              </w:tc>
              <w:tc>
                <w:tcPr>
                  <w:tcW w:w="982" w:type="pct"/>
                  <w:tcBorders>
                    <w:tl2br w:val="nil"/>
                    <w:tr2bl w:val="nil"/>
                  </w:tcBorders>
                  <w:vAlign w:val="center"/>
                </w:tcPr>
                <w:p w14:paraId="1A72C130">
                  <w:pPr>
                    <w:pStyle w:val="30"/>
                    <w:ind w:left="0" w:leftChars="0"/>
                    <w:jc w:val="center"/>
                    <w:rPr>
                      <w:b/>
                      <w:bCs/>
                      <w:sz w:val="21"/>
                      <w:szCs w:val="21"/>
                    </w:rPr>
                  </w:pPr>
                  <w:r>
                    <w:rPr>
                      <w:b/>
                      <w:bCs/>
                      <w:sz w:val="21"/>
                      <w:szCs w:val="21"/>
                    </w:rPr>
                    <w:t>监测频率</w:t>
                  </w:r>
                </w:p>
              </w:tc>
            </w:tr>
            <w:tr w14:paraId="404386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249" w:type="pct"/>
                  <w:vMerge w:val="restart"/>
                  <w:tcBorders>
                    <w:tl2br w:val="nil"/>
                    <w:tr2bl w:val="nil"/>
                  </w:tcBorders>
                  <w:vAlign w:val="center"/>
                </w:tcPr>
                <w:p w14:paraId="16FD3BA1">
                  <w:pPr>
                    <w:jc w:val="center"/>
                    <w:rPr>
                      <w:sz w:val="21"/>
                      <w:szCs w:val="21"/>
                    </w:rPr>
                  </w:pPr>
                  <w:r>
                    <w:rPr>
                      <w:sz w:val="21"/>
                      <w:szCs w:val="21"/>
                    </w:rPr>
                    <w:t>有组织废气</w:t>
                  </w:r>
                </w:p>
              </w:tc>
              <w:tc>
                <w:tcPr>
                  <w:tcW w:w="1029" w:type="pct"/>
                  <w:tcBorders>
                    <w:tl2br w:val="nil"/>
                    <w:tr2bl w:val="nil"/>
                  </w:tcBorders>
                  <w:vAlign w:val="center"/>
                </w:tcPr>
                <w:p w14:paraId="717398A1">
                  <w:pPr>
                    <w:pStyle w:val="30"/>
                    <w:ind w:left="0" w:leftChars="0"/>
                    <w:jc w:val="center"/>
                    <w:rPr>
                      <w:sz w:val="21"/>
                      <w:szCs w:val="21"/>
                    </w:rPr>
                  </w:pPr>
                  <w:r>
                    <w:rPr>
                      <w:sz w:val="21"/>
                      <w:szCs w:val="21"/>
                    </w:rPr>
                    <w:t>DA001</w:t>
                  </w:r>
                </w:p>
              </w:tc>
              <w:tc>
                <w:tcPr>
                  <w:tcW w:w="1738" w:type="pct"/>
                  <w:tcBorders>
                    <w:tl2br w:val="nil"/>
                    <w:tr2bl w:val="nil"/>
                  </w:tcBorders>
                  <w:vAlign w:val="center"/>
                </w:tcPr>
                <w:p w14:paraId="60AB9C47">
                  <w:pPr>
                    <w:jc w:val="center"/>
                    <w:rPr>
                      <w:sz w:val="21"/>
                      <w:szCs w:val="21"/>
                    </w:rPr>
                  </w:pPr>
                  <w:r>
                    <w:rPr>
                      <w:rFonts w:hint="eastAsia"/>
                      <w:sz w:val="21"/>
                      <w:szCs w:val="21"/>
                    </w:rPr>
                    <w:t>颗粒物</w:t>
                  </w:r>
                </w:p>
              </w:tc>
              <w:tc>
                <w:tcPr>
                  <w:tcW w:w="982" w:type="pct"/>
                  <w:tcBorders>
                    <w:tl2br w:val="nil"/>
                    <w:tr2bl w:val="nil"/>
                  </w:tcBorders>
                  <w:vAlign w:val="center"/>
                </w:tcPr>
                <w:p w14:paraId="34A65CC9">
                  <w:pPr>
                    <w:jc w:val="center"/>
                    <w:rPr>
                      <w:rFonts w:hint="eastAsia" w:eastAsia="宋体"/>
                      <w:sz w:val="21"/>
                      <w:szCs w:val="21"/>
                      <w:lang w:eastAsia="zh-CN"/>
                    </w:rPr>
                  </w:pPr>
                  <w:r>
                    <w:rPr>
                      <w:sz w:val="21"/>
                      <w:szCs w:val="21"/>
                    </w:rPr>
                    <w:t>1次/</w:t>
                  </w:r>
                  <w:r>
                    <w:rPr>
                      <w:rFonts w:hint="eastAsia"/>
                      <w:sz w:val="21"/>
                      <w:szCs w:val="21"/>
                      <w:lang w:eastAsia="zh-CN"/>
                    </w:rPr>
                    <w:t>半年</w:t>
                  </w:r>
                </w:p>
              </w:tc>
            </w:tr>
            <w:tr w14:paraId="3AD3F0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249" w:type="pct"/>
                  <w:vMerge w:val="continue"/>
                  <w:tcBorders>
                    <w:tl2br w:val="nil"/>
                    <w:tr2bl w:val="nil"/>
                  </w:tcBorders>
                  <w:vAlign w:val="center"/>
                </w:tcPr>
                <w:p w14:paraId="380D3372">
                  <w:pPr>
                    <w:jc w:val="center"/>
                    <w:rPr>
                      <w:sz w:val="21"/>
                      <w:szCs w:val="21"/>
                    </w:rPr>
                  </w:pPr>
                </w:p>
              </w:tc>
              <w:tc>
                <w:tcPr>
                  <w:tcW w:w="1029" w:type="pct"/>
                  <w:tcBorders>
                    <w:tl2br w:val="nil"/>
                    <w:tr2bl w:val="nil"/>
                  </w:tcBorders>
                  <w:vAlign w:val="center"/>
                </w:tcPr>
                <w:p w14:paraId="2572DCD5">
                  <w:pPr>
                    <w:pStyle w:val="30"/>
                    <w:ind w:left="0" w:leftChars="0"/>
                    <w:jc w:val="center"/>
                    <w:rPr>
                      <w:rFonts w:hint="eastAsia" w:eastAsia="宋体"/>
                      <w:sz w:val="21"/>
                      <w:szCs w:val="21"/>
                      <w:lang w:eastAsia="zh-CN"/>
                    </w:rPr>
                  </w:pPr>
                  <w:r>
                    <w:rPr>
                      <w:rFonts w:hint="eastAsia"/>
                      <w:sz w:val="21"/>
                      <w:szCs w:val="21"/>
                    </w:rPr>
                    <w:t>DA00</w:t>
                  </w:r>
                  <w:r>
                    <w:rPr>
                      <w:rFonts w:hint="eastAsia"/>
                      <w:sz w:val="21"/>
                      <w:szCs w:val="21"/>
                      <w:lang w:val="en-US" w:eastAsia="zh-CN"/>
                    </w:rPr>
                    <w:t>2</w:t>
                  </w:r>
                </w:p>
              </w:tc>
              <w:tc>
                <w:tcPr>
                  <w:tcW w:w="1738" w:type="pct"/>
                  <w:tcBorders>
                    <w:tl2br w:val="nil"/>
                    <w:tr2bl w:val="nil"/>
                  </w:tcBorders>
                  <w:vAlign w:val="center"/>
                </w:tcPr>
                <w:p w14:paraId="5A7658F5">
                  <w:pPr>
                    <w:jc w:val="center"/>
                    <w:rPr>
                      <w:sz w:val="21"/>
                      <w:szCs w:val="21"/>
                    </w:rPr>
                  </w:pPr>
                  <w:r>
                    <w:rPr>
                      <w:rFonts w:hint="eastAsia"/>
                      <w:sz w:val="21"/>
                      <w:szCs w:val="21"/>
                    </w:rPr>
                    <w:t>NO</w:t>
                  </w:r>
                  <w:r>
                    <w:rPr>
                      <w:rFonts w:hint="eastAsia"/>
                      <w:sz w:val="21"/>
                      <w:szCs w:val="21"/>
                      <w:vertAlign w:val="subscript"/>
                    </w:rPr>
                    <w:t>2</w:t>
                  </w:r>
                  <w:r>
                    <w:rPr>
                      <w:rFonts w:hint="eastAsia"/>
                      <w:sz w:val="21"/>
                      <w:szCs w:val="21"/>
                    </w:rPr>
                    <w:t>、NO</w:t>
                  </w:r>
                  <w:r>
                    <w:rPr>
                      <w:rFonts w:hint="eastAsia"/>
                      <w:sz w:val="21"/>
                      <w:szCs w:val="21"/>
                      <w:vertAlign w:val="subscript"/>
                    </w:rPr>
                    <w:t>X</w:t>
                  </w:r>
                  <w:r>
                    <w:rPr>
                      <w:rFonts w:hint="eastAsia"/>
                      <w:sz w:val="21"/>
                      <w:szCs w:val="21"/>
                    </w:rPr>
                    <w:t>、颗粒物</w:t>
                  </w:r>
                </w:p>
              </w:tc>
              <w:tc>
                <w:tcPr>
                  <w:tcW w:w="982" w:type="pct"/>
                  <w:tcBorders>
                    <w:tl2br w:val="nil"/>
                    <w:tr2bl w:val="nil"/>
                  </w:tcBorders>
                  <w:vAlign w:val="center"/>
                </w:tcPr>
                <w:p w14:paraId="4036E4C0">
                  <w:pPr>
                    <w:jc w:val="center"/>
                    <w:rPr>
                      <w:sz w:val="21"/>
                      <w:szCs w:val="21"/>
                    </w:rPr>
                  </w:pPr>
                  <w:r>
                    <w:rPr>
                      <w:sz w:val="21"/>
                      <w:szCs w:val="21"/>
                    </w:rPr>
                    <w:t>1次/</w:t>
                  </w:r>
                  <w:r>
                    <w:rPr>
                      <w:rFonts w:hint="eastAsia"/>
                      <w:sz w:val="21"/>
                      <w:szCs w:val="21"/>
                      <w:lang w:eastAsia="zh-CN"/>
                    </w:rPr>
                    <w:t>半年</w:t>
                  </w:r>
                </w:p>
              </w:tc>
            </w:tr>
            <w:tr w14:paraId="3146A6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249" w:type="pct"/>
                  <w:tcBorders>
                    <w:tl2br w:val="nil"/>
                    <w:tr2bl w:val="nil"/>
                  </w:tcBorders>
                  <w:vAlign w:val="center"/>
                </w:tcPr>
                <w:p w14:paraId="5F5446CC">
                  <w:pPr>
                    <w:pStyle w:val="30"/>
                    <w:ind w:left="0" w:leftChars="0"/>
                    <w:jc w:val="center"/>
                    <w:rPr>
                      <w:sz w:val="21"/>
                      <w:szCs w:val="21"/>
                    </w:rPr>
                  </w:pPr>
                  <w:r>
                    <w:rPr>
                      <w:sz w:val="21"/>
                      <w:szCs w:val="21"/>
                    </w:rPr>
                    <w:t>无组织废气</w:t>
                  </w:r>
                </w:p>
              </w:tc>
              <w:tc>
                <w:tcPr>
                  <w:tcW w:w="1029" w:type="pct"/>
                  <w:tcBorders>
                    <w:tl2br w:val="nil"/>
                    <w:tr2bl w:val="nil"/>
                  </w:tcBorders>
                  <w:vAlign w:val="center"/>
                </w:tcPr>
                <w:p w14:paraId="1FAEC421">
                  <w:pPr>
                    <w:pStyle w:val="30"/>
                    <w:ind w:left="0" w:leftChars="0"/>
                    <w:jc w:val="center"/>
                    <w:rPr>
                      <w:sz w:val="21"/>
                      <w:szCs w:val="21"/>
                    </w:rPr>
                  </w:pPr>
                  <w:r>
                    <w:rPr>
                      <w:rFonts w:hint="eastAsia"/>
                      <w:sz w:val="21"/>
                      <w:szCs w:val="21"/>
                    </w:rPr>
                    <w:t>厂房外</w:t>
                  </w:r>
                </w:p>
              </w:tc>
              <w:tc>
                <w:tcPr>
                  <w:tcW w:w="1738" w:type="pct"/>
                  <w:tcBorders>
                    <w:tl2br w:val="nil"/>
                    <w:tr2bl w:val="nil"/>
                  </w:tcBorders>
                  <w:vAlign w:val="center"/>
                </w:tcPr>
                <w:p w14:paraId="10D07EE0">
                  <w:pPr>
                    <w:pStyle w:val="30"/>
                    <w:ind w:left="0" w:leftChars="0"/>
                    <w:jc w:val="center"/>
                    <w:rPr>
                      <w:rFonts w:hint="default" w:eastAsia="宋体"/>
                      <w:sz w:val="21"/>
                      <w:szCs w:val="21"/>
                      <w:lang w:val="en-US" w:eastAsia="zh-CN"/>
                    </w:rPr>
                  </w:pPr>
                  <w:r>
                    <w:rPr>
                      <w:rFonts w:hint="eastAsia"/>
                      <w:sz w:val="21"/>
                      <w:szCs w:val="21"/>
                    </w:rPr>
                    <w:t>颗粒物</w:t>
                  </w:r>
                  <w:r>
                    <w:rPr>
                      <w:rFonts w:hint="eastAsia"/>
                      <w:sz w:val="21"/>
                      <w:szCs w:val="21"/>
                      <w:lang w:eastAsia="zh-CN"/>
                    </w:rPr>
                    <w:t>、</w:t>
                  </w:r>
                  <w:r>
                    <w:rPr>
                      <w:rFonts w:hint="eastAsia"/>
                      <w:sz w:val="21"/>
                      <w:szCs w:val="21"/>
                      <w:lang w:val="en-US" w:eastAsia="zh-CN"/>
                    </w:rPr>
                    <w:t>VOCs、臭气浓度</w:t>
                  </w:r>
                </w:p>
              </w:tc>
              <w:tc>
                <w:tcPr>
                  <w:tcW w:w="982" w:type="pct"/>
                  <w:tcBorders>
                    <w:tl2br w:val="nil"/>
                    <w:tr2bl w:val="nil"/>
                  </w:tcBorders>
                  <w:vAlign w:val="center"/>
                </w:tcPr>
                <w:p w14:paraId="06FF5592">
                  <w:pPr>
                    <w:pStyle w:val="30"/>
                    <w:ind w:left="0" w:leftChars="0"/>
                    <w:jc w:val="center"/>
                    <w:rPr>
                      <w:sz w:val="21"/>
                      <w:szCs w:val="21"/>
                    </w:rPr>
                  </w:pPr>
                  <w:r>
                    <w:rPr>
                      <w:sz w:val="21"/>
                      <w:szCs w:val="21"/>
                    </w:rPr>
                    <w:t>1次/</w:t>
                  </w:r>
                  <w:r>
                    <w:rPr>
                      <w:rFonts w:hint="eastAsia"/>
                      <w:sz w:val="21"/>
                      <w:szCs w:val="21"/>
                      <w:lang w:eastAsia="zh-CN"/>
                    </w:rPr>
                    <w:t>半</w:t>
                  </w:r>
                  <w:r>
                    <w:rPr>
                      <w:sz w:val="21"/>
                      <w:szCs w:val="21"/>
                    </w:rPr>
                    <w:t>年</w:t>
                  </w:r>
                </w:p>
              </w:tc>
            </w:tr>
          </w:tbl>
          <w:p w14:paraId="60A00BC1">
            <w:pPr>
              <w:pStyle w:val="98"/>
              <w:ind w:firstLine="482"/>
              <w:rPr>
                <w:b/>
                <w:bCs/>
                <w:color w:val="auto"/>
              </w:rPr>
            </w:pPr>
            <w:r>
              <w:rPr>
                <w:b/>
                <w:bCs/>
                <w:color w:val="auto"/>
              </w:rPr>
              <w:t>（</w:t>
            </w:r>
            <w:r>
              <w:rPr>
                <w:rFonts w:hint="eastAsia"/>
                <w:b/>
                <w:bCs/>
                <w:color w:val="auto"/>
              </w:rPr>
              <w:t>6</w:t>
            </w:r>
            <w:r>
              <w:rPr>
                <w:b/>
                <w:bCs/>
                <w:color w:val="auto"/>
              </w:rPr>
              <w:t>）</w:t>
            </w:r>
            <w:r>
              <w:rPr>
                <w:rFonts w:hint="eastAsia"/>
                <w:b/>
                <w:bCs/>
                <w:color w:val="auto"/>
              </w:rPr>
              <w:t>废气非正常工况分析</w:t>
            </w:r>
          </w:p>
          <w:p w14:paraId="297A51CB">
            <w:pPr>
              <w:pStyle w:val="30"/>
              <w:spacing w:line="360" w:lineRule="auto"/>
              <w:ind w:left="0" w:leftChars="0" w:firstLine="480" w:firstLineChars="200"/>
              <w:rPr>
                <w:szCs w:val="32"/>
              </w:rPr>
            </w:pPr>
            <w:r>
              <w:rPr>
                <w:rFonts w:hint="eastAsia"/>
              </w:rPr>
              <w:t>①非正常工况源强分析</w:t>
            </w:r>
          </w:p>
          <w:p w14:paraId="102EFC03">
            <w:pPr>
              <w:pStyle w:val="30"/>
              <w:spacing w:line="360" w:lineRule="auto"/>
              <w:ind w:left="0" w:leftChars="0" w:firstLine="480" w:firstLineChars="200"/>
              <w:rPr>
                <w:szCs w:val="32"/>
              </w:rPr>
            </w:pPr>
            <w:r>
              <w:rPr>
                <w:szCs w:val="32"/>
              </w:rPr>
              <w:t>非正常排放一般包括开停工、设备检修、环保设施不达标三种情况。</w:t>
            </w:r>
          </w:p>
          <w:p w14:paraId="6FB76086">
            <w:pPr>
              <w:pStyle w:val="30"/>
              <w:spacing w:line="360" w:lineRule="auto"/>
              <w:ind w:left="0" w:leftChars="0" w:firstLine="480" w:firstLineChars="200"/>
              <w:rPr>
                <w:szCs w:val="32"/>
              </w:rPr>
            </w:pPr>
            <w:r>
              <w:rPr>
                <w:szCs w:val="32"/>
              </w:rPr>
              <w:t>本项目在开工时，首先运行废气处理装置，然后进行生产作业，使生产中的废气都能得到及时处理。停工时，废气处理装置继续运转，待工艺中的废气完全排出后再关闭。设备检修以及突发性故障</w:t>
            </w:r>
            <w:r>
              <w:rPr>
                <w:rFonts w:hint="eastAsia"/>
                <w:szCs w:val="32"/>
              </w:rPr>
              <w:t>（</w:t>
            </w:r>
            <w:r>
              <w:rPr>
                <w:szCs w:val="32"/>
              </w:rPr>
              <w:t>如区域性停电时的停工</w:t>
            </w:r>
            <w:r>
              <w:rPr>
                <w:rFonts w:hint="eastAsia"/>
                <w:szCs w:val="32"/>
              </w:rPr>
              <w:t>）</w:t>
            </w:r>
            <w:r>
              <w:rPr>
                <w:szCs w:val="32"/>
              </w:rPr>
              <w:t>企业会事先安排好设备正常停工，停止生产。项目在开、停工时排出污染物均可得到有效处理，排出的污染物和正常生产时的情况基本</w:t>
            </w:r>
            <w:r>
              <w:rPr>
                <w:rFonts w:hint="eastAsia"/>
                <w:szCs w:val="32"/>
              </w:rPr>
              <w:t>一</w:t>
            </w:r>
            <w:r>
              <w:rPr>
                <w:szCs w:val="32"/>
              </w:rPr>
              <w:t>致。因此，非正常工况考虑废气环保设施运行不正常的情况，处理效率下降至50%。本项目非正常工况为废气处理装置发生故障。</w:t>
            </w:r>
          </w:p>
          <w:p w14:paraId="6E35861B">
            <w:pPr>
              <w:spacing w:line="360" w:lineRule="auto"/>
              <w:jc w:val="center"/>
              <w:rPr>
                <w:b/>
                <w:lang w:val="en-GB"/>
              </w:rPr>
            </w:pPr>
            <w:r>
              <w:rPr>
                <w:b/>
                <w:lang w:val="en-GB"/>
              </w:rPr>
              <w:t>表4-</w:t>
            </w:r>
            <w:r>
              <w:rPr>
                <w:rFonts w:hint="eastAsia"/>
                <w:b/>
                <w:lang w:val="en-US" w:eastAsia="zh-CN"/>
              </w:rPr>
              <w:t>7</w:t>
            </w:r>
            <w:r>
              <w:rPr>
                <w:b/>
                <w:lang w:val="en-GB"/>
              </w:rPr>
              <w:t xml:space="preserve"> 项目废气</w:t>
            </w:r>
            <w:r>
              <w:rPr>
                <w:rFonts w:hint="eastAsia"/>
                <w:b/>
                <w:lang w:val="en-GB"/>
              </w:rPr>
              <w:t>非正常排放</w:t>
            </w:r>
            <w:r>
              <w:rPr>
                <w:b/>
                <w:lang w:val="en-GB"/>
              </w:rPr>
              <w:t>一览表</w:t>
            </w:r>
          </w:p>
          <w:tbl>
            <w:tblPr>
              <w:tblStyle w:val="36"/>
              <w:tblW w:w="503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9"/>
              <w:gridCol w:w="2762"/>
              <w:gridCol w:w="1133"/>
              <w:gridCol w:w="1464"/>
              <w:gridCol w:w="1189"/>
              <w:gridCol w:w="957"/>
            </w:tblGrid>
            <w:tr w14:paraId="583993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6" w:type="pct"/>
                  <w:tcBorders>
                    <w:tl2br w:val="nil"/>
                    <w:tr2bl w:val="nil"/>
                  </w:tcBorders>
                  <w:vAlign w:val="center"/>
                </w:tcPr>
                <w:p w14:paraId="30F5AC95">
                  <w:pPr>
                    <w:pStyle w:val="30"/>
                    <w:ind w:left="0" w:leftChars="0"/>
                    <w:jc w:val="center"/>
                    <w:rPr>
                      <w:b/>
                      <w:bCs/>
                      <w:sz w:val="21"/>
                      <w:szCs w:val="21"/>
                    </w:rPr>
                  </w:pPr>
                  <w:r>
                    <w:rPr>
                      <w:rFonts w:hint="eastAsia"/>
                      <w:b/>
                      <w:bCs/>
                      <w:sz w:val="21"/>
                      <w:szCs w:val="21"/>
                    </w:rPr>
                    <w:t>非正常排放源</w:t>
                  </w:r>
                </w:p>
              </w:tc>
              <w:tc>
                <w:tcPr>
                  <w:tcW w:w="1528" w:type="pct"/>
                  <w:tcBorders>
                    <w:tl2br w:val="nil"/>
                    <w:tr2bl w:val="nil"/>
                  </w:tcBorders>
                  <w:vAlign w:val="center"/>
                </w:tcPr>
                <w:p w14:paraId="5A06ABA2">
                  <w:pPr>
                    <w:pStyle w:val="30"/>
                    <w:ind w:left="0" w:leftChars="0"/>
                    <w:jc w:val="center"/>
                    <w:rPr>
                      <w:b/>
                      <w:bCs/>
                      <w:sz w:val="21"/>
                      <w:szCs w:val="21"/>
                    </w:rPr>
                  </w:pPr>
                  <w:r>
                    <w:rPr>
                      <w:rFonts w:hint="eastAsia"/>
                      <w:b/>
                      <w:bCs/>
                      <w:sz w:val="21"/>
                      <w:szCs w:val="21"/>
                    </w:rPr>
                    <w:t>非正常排放原因</w:t>
                  </w:r>
                </w:p>
              </w:tc>
              <w:tc>
                <w:tcPr>
                  <w:tcW w:w="627" w:type="pct"/>
                  <w:tcBorders>
                    <w:tl2br w:val="nil"/>
                    <w:tr2bl w:val="nil"/>
                  </w:tcBorders>
                  <w:vAlign w:val="center"/>
                </w:tcPr>
                <w:p w14:paraId="1A138498">
                  <w:pPr>
                    <w:pStyle w:val="30"/>
                    <w:ind w:left="0" w:leftChars="0"/>
                    <w:jc w:val="center"/>
                    <w:rPr>
                      <w:b/>
                      <w:bCs/>
                      <w:sz w:val="21"/>
                      <w:szCs w:val="21"/>
                    </w:rPr>
                  </w:pPr>
                  <w:r>
                    <w:rPr>
                      <w:rFonts w:hint="eastAsia"/>
                      <w:b/>
                      <w:bCs/>
                      <w:sz w:val="21"/>
                      <w:szCs w:val="21"/>
                    </w:rPr>
                    <w:t>污染物</w:t>
                  </w:r>
                </w:p>
              </w:tc>
              <w:tc>
                <w:tcPr>
                  <w:tcW w:w="810" w:type="pct"/>
                  <w:tcBorders>
                    <w:tl2br w:val="nil"/>
                    <w:tr2bl w:val="nil"/>
                  </w:tcBorders>
                  <w:vAlign w:val="center"/>
                </w:tcPr>
                <w:p w14:paraId="6672C8B3">
                  <w:pPr>
                    <w:pStyle w:val="30"/>
                    <w:ind w:left="0" w:leftChars="0"/>
                    <w:jc w:val="center"/>
                    <w:rPr>
                      <w:b/>
                      <w:bCs/>
                      <w:sz w:val="21"/>
                      <w:szCs w:val="21"/>
                    </w:rPr>
                  </w:pPr>
                  <w:r>
                    <w:rPr>
                      <w:rFonts w:hint="eastAsia"/>
                      <w:b/>
                      <w:bCs/>
                      <w:sz w:val="21"/>
                      <w:szCs w:val="21"/>
                    </w:rPr>
                    <w:t>非正常排放速率（kg/h）</w:t>
                  </w:r>
                </w:p>
              </w:tc>
              <w:tc>
                <w:tcPr>
                  <w:tcW w:w="658" w:type="pct"/>
                  <w:tcBorders>
                    <w:tl2br w:val="nil"/>
                    <w:tr2bl w:val="nil"/>
                  </w:tcBorders>
                  <w:vAlign w:val="center"/>
                </w:tcPr>
                <w:p w14:paraId="16ECC08F">
                  <w:pPr>
                    <w:pStyle w:val="30"/>
                    <w:ind w:left="0" w:leftChars="0"/>
                    <w:jc w:val="center"/>
                    <w:rPr>
                      <w:b/>
                      <w:bCs/>
                      <w:sz w:val="21"/>
                      <w:szCs w:val="21"/>
                    </w:rPr>
                  </w:pPr>
                  <w:r>
                    <w:rPr>
                      <w:rFonts w:hint="eastAsia"/>
                      <w:b/>
                      <w:bCs/>
                      <w:sz w:val="21"/>
                      <w:szCs w:val="21"/>
                    </w:rPr>
                    <w:t>单次持续时间/h</w:t>
                  </w:r>
                </w:p>
              </w:tc>
              <w:tc>
                <w:tcPr>
                  <w:tcW w:w="529" w:type="pct"/>
                  <w:tcBorders>
                    <w:tl2br w:val="nil"/>
                    <w:tr2bl w:val="nil"/>
                  </w:tcBorders>
                  <w:vAlign w:val="center"/>
                </w:tcPr>
                <w:p w14:paraId="6A93D1BD">
                  <w:pPr>
                    <w:pStyle w:val="30"/>
                    <w:ind w:left="0" w:leftChars="0"/>
                    <w:jc w:val="center"/>
                    <w:rPr>
                      <w:b/>
                      <w:bCs/>
                      <w:sz w:val="21"/>
                      <w:szCs w:val="21"/>
                    </w:rPr>
                  </w:pPr>
                  <w:r>
                    <w:rPr>
                      <w:rFonts w:hint="eastAsia"/>
                      <w:b/>
                      <w:bCs/>
                      <w:sz w:val="21"/>
                      <w:szCs w:val="21"/>
                    </w:rPr>
                    <w:t>年发生频次/次</w:t>
                  </w:r>
                </w:p>
              </w:tc>
            </w:tr>
            <w:tr w14:paraId="3F3F40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6" w:type="pct"/>
                  <w:tcBorders>
                    <w:tl2br w:val="nil"/>
                    <w:tr2bl w:val="nil"/>
                  </w:tcBorders>
                  <w:vAlign w:val="center"/>
                </w:tcPr>
                <w:p w14:paraId="3851F933">
                  <w:pPr>
                    <w:pStyle w:val="30"/>
                    <w:ind w:left="0" w:leftChars="0"/>
                    <w:jc w:val="center"/>
                    <w:rPr>
                      <w:sz w:val="21"/>
                      <w:szCs w:val="21"/>
                    </w:rPr>
                  </w:pPr>
                  <w:r>
                    <w:rPr>
                      <w:sz w:val="21"/>
                      <w:szCs w:val="21"/>
                    </w:rPr>
                    <w:t>DA001</w:t>
                  </w:r>
                </w:p>
              </w:tc>
              <w:tc>
                <w:tcPr>
                  <w:tcW w:w="1528" w:type="pct"/>
                  <w:tcBorders>
                    <w:tl2br w:val="nil"/>
                    <w:tr2bl w:val="nil"/>
                  </w:tcBorders>
                  <w:vAlign w:val="center"/>
                </w:tcPr>
                <w:p w14:paraId="399DCF86">
                  <w:pPr>
                    <w:jc w:val="center"/>
                    <w:rPr>
                      <w:sz w:val="21"/>
                      <w:szCs w:val="21"/>
                    </w:rPr>
                  </w:pPr>
                  <w:r>
                    <w:rPr>
                      <w:rFonts w:hint="eastAsia"/>
                      <w:sz w:val="21"/>
                      <w:szCs w:val="21"/>
                    </w:rPr>
                    <w:t>布袋除尘器故障</w:t>
                  </w:r>
                </w:p>
              </w:tc>
              <w:tc>
                <w:tcPr>
                  <w:tcW w:w="627" w:type="pct"/>
                  <w:tcBorders>
                    <w:tl2br w:val="nil"/>
                    <w:tr2bl w:val="nil"/>
                  </w:tcBorders>
                  <w:vAlign w:val="center"/>
                </w:tcPr>
                <w:p w14:paraId="5755E4F1">
                  <w:pPr>
                    <w:jc w:val="center"/>
                    <w:rPr>
                      <w:sz w:val="21"/>
                      <w:szCs w:val="21"/>
                    </w:rPr>
                  </w:pPr>
                  <w:r>
                    <w:rPr>
                      <w:rFonts w:hint="eastAsia"/>
                      <w:sz w:val="21"/>
                      <w:szCs w:val="21"/>
                    </w:rPr>
                    <w:t>颗粒物</w:t>
                  </w:r>
                </w:p>
              </w:tc>
              <w:tc>
                <w:tcPr>
                  <w:tcW w:w="810" w:type="pct"/>
                  <w:tcBorders>
                    <w:tl2br w:val="nil"/>
                    <w:tr2bl w:val="nil"/>
                  </w:tcBorders>
                  <w:vAlign w:val="center"/>
                </w:tcPr>
                <w:p w14:paraId="52B74069">
                  <w:pPr>
                    <w:wordWrap w:val="0"/>
                    <w:topLinePunct/>
                    <w:jc w:val="center"/>
                    <w:rPr>
                      <w:snapToGrid w:val="0"/>
                      <w:spacing w:val="4"/>
                      <w:sz w:val="21"/>
                      <w:szCs w:val="21"/>
                    </w:rPr>
                  </w:pPr>
                  <w:r>
                    <w:rPr>
                      <w:rFonts w:hint="eastAsia"/>
                      <w:snapToGrid w:val="0"/>
                      <w:spacing w:val="4"/>
                      <w:sz w:val="21"/>
                      <w:szCs w:val="21"/>
                    </w:rPr>
                    <w:t>0.056</w:t>
                  </w:r>
                </w:p>
              </w:tc>
              <w:tc>
                <w:tcPr>
                  <w:tcW w:w="658" w:type="pct"/>
                  <w:tcBorders>
                    <w:tl2br w:val="nil"/>
                    <w:tr2bl w:val="nil"/>
                  </w:tcBorders>
                  <w:vAlign w:val="center"/>
                </w:tcPr>
                <w:p w14:paraId="044FF584">
                  <w:pPr>
                    <w:jc w:val="center"/>
                    <w:rPr>
                      <w:sz w:val="21"/>
                      <w:szCs w:val="21"/>
                    </w:rPr>
                  </w:pPr>
                  <w:r>
                    <w:rPr>
                      <w:rFonts w:hint="eastAsia"/>
                      <w:sz w:val="21"/>
                      <w:szCs w:val="21"/>
                    </w:rPr>
                    <w:t>1</w:t>
                  </w:r>
                </w:p>
              </w:tc>
              <w:tc>
                <w:tcPr>
                  <w:tcW w:w="529" w:type="pct"/>
                  <w:tcBorders>
                    <w:tl2br w:val="nil"/>
                    <w:tr2bl w:val="nil"/>
                  </w:tcBorders>
                  <w:vAlign w:val="center"/>
                </w:tcPr>
                <w:p w14:paraId="3F2CBCCE">
                  <w:pPr>
                    <w:jc w:val="center"/>
                    <w:rPr>
                      <w:sz w:val="21"/>
                      <w:szCs w:val="21"/>
                    </w:rPr>
                  </w:pPr>
                  <w:r>
                    <w:rPr>
                      <w:rFonts w:hint="eastAsia"/>
                      <w:sz w:val="21"/>
                      <w:szCs w:val="21"/>
                    </w:rPr>
                    <w:t>1~2</w:t>
                  </w:r>
                </w:p>
              </w:tc>
            </w:tr>
          </w:tbl>
          <w:p w14:paraId="39C350C0">
            <w:pPr>
              <w:pStyle w:val="30"/>
              <w:spacing w:line="360" w:lineRule="auto"/>
              <w:ind w:left="480"/>
              <w:rPr>
                <w:szCs w:val="32"/>
              </w:rPr>
            </w:pPr>
            <w:r>
              <w:rPr>
                <w:szCs w:val="32"/>
              </w:rPr>
              <w:t>②非正常工况防范措施</w:t>
            </w:r>
          </w:p>
          <w:p w14:paraId="59669C27">
            <w:pPr>
              <w:pStyle w:val="30"/>
              <w:spacing w:line="360" w:lineRule="auto"/>
              <w:ind w:left="0" w:leftChars="0" w:firstLine="480" w:firstLineChars="200"/>
              <w:rPr>
                <w:szCs w:val="32"/>
              </w:rPr>
            </w:pPr>
            <w:r>
              <w:rPr>
                <w:szCs w:val="32"/>
              </w:rPr>
              <w:t>为确保项目废气处理装置正常运行，企业在日常运行过程中，拟采取如下措施:</w:t>
            </w:r>
          </w:p>
          <w:p w14:paraId="381B79B8">
            <w:pPr>
              <w:pStyle w:val="30"/>
              <w:spacing w:line="360" w:lineRule="auto"/>
              <w:ind w:left="0" w:leftChars="0" w:firstLine="480" w:firstLineChars="200"/>
              <w:rPr>
                <w:szCs w:val="32"/>
              </w:rPr>
            </w:pPr>
            <w:r>
              <w:rPr>
                <w:szCs w:val="32"/>
              </w:rPr>
              <w:t>a委派专人负责每日巡检废气处理装置，做好巡检记录。</w:t>
            </w:r>
          </w:p>
          <w:p w14:paraId="6D44A941">
            <w:pPr>
              <w:pStyle w:val="30"/>
              <w:spacing w:line="360" w:lineRule="auto"/>
              <w:ind w:left="0" w:leftChars="0" w:firstLine="480" w:firstLineChars="200"/>
              <w:rPr>
                <w:szCs w:val="32"/>
              </w:rPr>
            </w:pPr>
            <w:r>
              <w:rPr>
                <w:szCs w:val="32"/>
              </w:rPr>
              <w:t>b.当发现废气处理设施故障并导致废气非正常排放时，应立即停止生产待废气处理装置故障排除后并可正常运行时方可恢复生产。</w:t>
            </w:r>
          </w:p>
          <w:p w14:paraId="02CF39A4">
            <w:pPr>
              <w:pStyle w:val="30"/>
              <w:spacing w:line="360" w:lineRule="auto"/>
              <w:ind w:left="0" w:leftChars="0" w:firstLine="480" w:firstLineChars="200"/>
              <w:rPr>
                <w:szCs w:val="32"/>
              </w:rPr>
            </w:pPr>
            <w:r>
              <w:rPr>
                <w:szCs w:val="32"/>
              </w:rPr>
              <w:t>c.按照环评要求定期对废气处理装置进行维护保养，确保废气正常排放。</w:t>
            </w:r>
          </w:p>
          <w:p w14:paraId="4C970BF9">
            <w:pPr>
              <w:pStyle w:val="30"/>
              <w:spacing w:line="360" w:lineRule="auto"/>
              <w:ind w:left="0" w:leftChars="0" w:firstLine="480" w:firstLineChars="200"/>
              <w:rPr>
                <w:szCs w:val="32"/>
              </w:rPr>
            </w:pPr>
            <w:r>
              <w:rPr>
                <w:szCs w:val="32"/>
              </w:rPr>
              <w:t>d.建立废气处理装置运行管理台账，由专人负责记录。</w:t>
            </w:r>
          </w:p>
          <w:p w14:paraId="348C0D07">
            <w:pPr>
              <w:pStyle w:val="98"/>
              <w:ind w:firstLine="482"/>
              <w:rPr>
                <w:b/>
                <w:bCs/>
                <w:color w:val="auto"/>
              </w:rPr>
            </w:pPr>
            <w:r>
              <w:rPr>
                <w:b/>
                <w:bCs/>
                <w:color w:val="auto"/>
              </w:rPr>
              <w:t>（</w:t>
            </w:r>
            <w:r>
              <w:rPr>
                <w:rFonts w:hint="eastAsia"/>
                <w:b/>
                <w:bCs/>
                <w:color w:val="auto"/>
              </w:rPr>
              <w:t>7</w:t>
            </w:r>
            <w:r>
              <w:rPr>
                <w:b/>
                <w:bCs/>
                <w:color w:val="auto"/>
              </w:rPr>
              <w:t>）</w:t>
            </w:r>
            <w:r>
              <w:rPr>
                <w:rFonts w:hint="eastAsia"/>
                <w:b/>
                <w:bCs/>
                <w:color w:val="auto"/>
              </w:rPr>
              <w:t>大气环境影响和保护措施小结</w:t>
            </w:r>
          </w:p>
          <w:p w14:paraId="2C3CB05A">
            <w:pPr>
              <w:pStyle w:val="30"/>
              <w:spacing w:line="360" w:lineRule="auto"/>
              <w:ind w:left="0" w:leftChars="0" w:firstLine="480" w:firstLineChars="200"/>
              <w:rPr>
                <w:u w:val="single"/>
              </w:rPr>
            </w:pPr>
            <w:r>
              <w:rPr>
                <w:rFonts w:hint="eastAsia"/>
              </w:rPr>
              <w:t>本项目粉碎包装废气经管道收集后由布袋除尘器处理达到</w:t>
            </w:r>
            <w:r>
              <w:rPr>
                <w:rFonts w:hint="eastAsia"/>
                <w:color w:val="000000" w:themeColor="text1"/>
                <w:kern w:val="0"/>
                <w:lang w:bidi="ar"/>
                <w14:textFill>
                  <w14:solidFill>
                    <w14:schemeClr w14:val="tx1"/>
                  </w14:solidFill>
                </w14:textFill>
              </w:rPr>
              <w:t>《大气污染物综合排放标准》（GB16297-1996）表2标准要求</w:t>
            </w:r>
            <w:r>
              <w:rPr>
                <w:rFonts w:hint="eastAsia"/>
              </w:rPr>
              <w:t>，通过15m高DA001排气筒排放；干燥工序天然气燃烧废气满足</w:t>
            </w:r>
            <w:r>
              <w:rPr>
                <w:rFonts w:hint="eastAsia"/>
                <w:color w:val="000000" w:themeColor="text1"/>
                <w:lang w:bidi="ar"/>
                <w14:textFill>
                  <w14:solidFill>
                    <w14:schemeClr w14:val="tx1"/>
                  </w14:solidFill>
                </w14:textFill>
              </w:rPr>
              <w:t>《锅炉大气污染物排放标准》（GB13271-2014）中表3限值，</w:t>
            </w:r>
            <w:r>
              <w:rPr>
                <w:rFonts w:hint="eastAsia"/>
              </w:rPr>
              <w:t>通过15m高DA00</w:t>
            </w:r>
            <w:r>
              <w:rPr>
                <w:rFonts w:hint="eastAsia"/>
                <w:lang w:val="en-US" w:eastAsia="zh-CN"/>
              </w:rPr>
              <w:t>2</w:t>
            </w:r>
            <w:r>
              <w:rPr>
                <w:rFonts w:hint="eastAsia"/>
              </w:rPr>
              <w:t>排气筒排放</w:t>
            </w:r>
            <w:r>
              <w:rPr>
                <w:rFonts w:hint="eastAsia"/>
                <w:lang w:eastAsia="zh-CN"/>
              </w:rPr>
              <w:t>；</w:t>
            </w:r>
            <w:r>
              <w:rPr>
                <w:rFonts w:hint="eastAsia"/>
                <w:u w:val="single"/>
                <w:lang w:val="en-US" w:eastAsia="zh-CN"/>
              </w:rPr>
              <w:t>VOCs采用移动式VOCs处理设备吸附处理后车间无组织排放</w:t>
            </w:r>
            <w:r>
              <w:rPr>
                <w:rFonts w:hint="eastAsia"/>
                <w:u w:val="single"/>
              </w:rPr>
              <w:t>。</w:t>
            </w:r>
          </w:p>
          <w:p w14:paraId="3DD11128">
            <w:pPr>
              <w:pStyle w:val="30"/>
              <w:spacing w:line="360" w:lineRule="auto"/>
              <w:ind w:left="0" w:leftChars="0" w:firstLine="480" w:firstLineChars="200"/>
              <w:rPr>
                <w:b/>
                <w:bCs/>
                <w:szCs w:val="32"/>
              </w:rPr>
            </w:pPr>
            <w:r>
              <w:rPr>
                <w:rFonts w:hint="eastAsia"/>
                <w:u w:val="single"/>
              </w:rPr>
              <w:t>综上，</w:t>
            </w:r>
            <w:r>
              <w:rPr>
                <w:u w:val="single"/>
              </w:rPr>
              <w:t>本项目</w:t>
            </w:r>
            <w:r>
              <w:rPr>
                <w:rFonts w:hint="eastAsia"/>
                <w:u w:val="single"/>
              </w:rPr>
              <w:t>颗粒物</w:t>
            </w:r>
            <w:r>
              <w:rPr>
                <w:rFonts w:hint="eastAsia"/>
                <w:u w:val="single"/>
                <w:lang w:eastAsia="zh-CN"/>
              </w:rPr>
              <w:t>、</w:t>
            </w:r>
            <w:r>
              <w:rPr>
                <w:rFonts w:hint="eastAsia"/>
                <w:u w:val="single"/>
                <w:lang w:val="en-US" w:eastAsia="zh-CN"/>
              </w:rPr>
              <w:t>VOCs</w:t>
            </w:r>
            <w:r>
              <w:rPr>
                <w:rFonts w:hint="eastAsia"/>
                <w:u w:val="single"/>
              </w:rPr>
              <w:t>治理采用</w:t>
            </w:r>
            <w:r>
              <w:rPr>
                <w:color w:val="000000" w:themeColor="text1"/>
                <w:u w:val="single"/>
                <w14:textFill>
                  <w14:solidFill>
                    <w14:schemeClr w14:val="tx1"/>
                  </w14:solidFill>
                </w14:textFill>
              </w:rPr>
              <w:t>《排污许可证申请与核发技术规范</w:t>
            </w:r>
            <w:r>
              <w:rPr>
                <w:rFonts w:hint="eastAsia"/>
                <w:color w:val="000000" w:themeColor="text1"/>
                <w:u w:val="single"/>
                <w:lang w:val="en-US" w:eastAsia="zh-CN"/>
                <w14:textFill>
                  <w14:solidFill>
                    <w14:schemeClr w14:val="tx1"/>
                  </w14:solidFill>
                </w14:textFill>
              </w:rPr>
              <w:t xml:space="preserve"> </w:t>
            </w:r>
            <w:r>
              <w:rPr>
                <w:rFonts w:hint="eastAsia"/>
                <w:color w:val="000000" w:themeColor="text1"/>
                <w:u w:val="single"/>
                <w:lang w:eastAsia="zh-CN"/>
                <w14:textFill>
                  <w14:solidFill>
                    <w14:schemeClr w14:val="tx1"/>
                  </w14:solidFill>
                </w14:textFill>
              </w:rPr>
              <w:t>专用化学产品制造工业</w:t>
            </w:r>
            <w:r>
              <w:rPr>
                <w:color w:val="000000" w:themeColor="text1"/>
                <w:u w:val="single"/>
                <w14:textFill>
                  <w14:solidFill>
                    <w14:schemeClr w14:val="tx1"/>
                  </w14:solidFill>
                </w14:textFill>
              </w:rPr>
              <w:t>》</w:t>
            </w:r>
            <w:r>
              <w:rPr>
                <w:rFonts w:hint="eastAsia"/>
                <w:color w:val="000000" w:themeColor="text1"/>
                <w:u w:val="single"/>
                <w:lang w:eastAsia="zh-CN"/>
                <w14:textFill>
                  <w14:solidFill>
                    <w14:schemeClr w14:val="tx1"/>
                  </w14:solidFill>
                </w14:textFill>
              </w:rPr>
              <w:t>（</w:t>
            </w:r>
            <w:r>
              <w:rPr>
                <w:color w:val="000000" w:themeColor="text1"/>
                <w:u w:val="single"/>
                <w14:textFill>
                  <w14:solidFill>
                    <w14:schemeClr w14:val="tx1"/>
                  </w14:solidFill>
                </w14:textFill>
              </w:rPr>
              <w:t>HJ1</w:t>
            </w:r>
            <w:r>
              <w:rPr>
                <w:rFonts w:hint="eastAsia"/>
                <w:color w:val="000000" w:themeColor="text1"/>
                <w:u w:val="single"/>
                <w:lang w:val="en-US" w:eastAsia="zh-CN"/>
                <w14:textFill>
                  <w14:solidFill>
                    <w14:schemeClr w14:val="tx1"/>
                  </w14:solidFill>
                </w14:textFill>
              </w:rPr>
              <w:t>103</w:t>
            </w:r>
            <w:r>
              <w:rPr>
                <w:color w:val="000000" w:themeColor="text1"/>
                <w:u w:val="single"/>
                <w14:textFill>
                  <w14:solidFill>
                    <w14:schemeClr w14:val="tx1"/>
                  </w14:solidFill>
                </w14:textFill>
              </w:rPr>
              <w:t>-20</w:t>
            </w:r>
            <w:r>
              <w:rPr>
                <w:rFonts w:hint="eastAsia"/>
                <w:color w:val="000000" w:themeColor="text1"/>
                <w:u w:val="single"/>
                <w:lang w:val="en-US" w:eastAsia="zh-CN"/>
                <w14:textFill>
                  <w14:solidFill>
                    <w14:schemeClr w14:val="tx1"/>
                  </w14:solidFill>
                </w14:textFill>
              </w:rPr>
              <w:t>20</w:t>
            </w:r>
            <w:r>
              <w:rPr>
                <w:rFonts w:hint="eastAsia"/>
                <w:color w:val="000000" w:themeColor="text1"/>
                <w:u w:val="single"/>
                <w:lang w:eastAsia="zh-CN"/>
                <w14:textFill>
                  <w14:solidFill>
                    <w14:schemeClr w14:val="tx1"/>
                  </w14:solidFill>
                </w14:textFill>
              </w:rPr>
              <w:t>）</w:t>
            </w:r>
            <w:r>
              <w:rPr>
                <w:rFonts w:hint="eastAsia"/>
                <w:color w:val="000000" w:themeColor="text1"/>
                <w:u w:val="single"/>
                <w14:textFill>
                  <w14:solidFill>
                    <w14:schemeClr w14:val="tx1"/>
                  </w14:solidFill>
                </w14:textFill>
              </w:rPr>
              <w:t>中可行技术</w:t>
            </w:r>
            <w:r>
              <w:rPr>
                <w:rFonts w:hint="eastAsia"/>
                <w:color w:val="000000" w:themeColor="text1"/>
                <w14:textFill>
                  <w14:solidFill>
                    <w14:schemeClr w14:val="tx1"/>
                  </w14:solidFill>
                </w14:textFill>
              </w:rPr>
              <w:t>，各污染物经治理后均满足达标排放要求，</w:t>
            </w:r>
            <w:r>
              <w:t>对周围环境的影响</w:t>
            </w:r>
            <w:r>
              <w:rPr>
                <w:rFonts w:hint="eastAsia"/>
              </w:rPr>
              <w:t>可以接受。</w:t>
            </w:r>
          </w:p>
          <w:p w14:paraId="1F565AEE">
            <w:pPr>
              <w:pStyle w:val="30"/>
              <w:spacing w:line="360" w:lineRule="auto"/>
              <w:ind w:left="480"/>
              <w:rPr>
                <w:b/>
                <w:bCs/>
                <w:szCs w:val="32"/>
              </w:rPr>
            </w:pPr>
            <w:r>
              <w:rPr>
                <w:b/>
                <w:bCs/>
                <w:szCs w:val="32"/>
              </w:rPr>
              <w:t>2、废水</w:t>
            </w:r>
          </w:p>
          <w:p w14:paraId="2C192AF2">
            <w:pPr>
              <w:spacing w:line="360" w:lineRule="auto"/>
              <w:ind w:firstLine="482" w:firstLineChars="200"/>
              <w:rPr>
                <w:b/>
                <w:bCs/>
              </w:rPr>
            </w:pPr>
            <w:r>
              <w:rPr>
                <w:rFonts w:hint="eastAsia"/>
                <w:b/>
                <w:bCs/>
              </w:rPr>
              <w:t>（1）废水源强分析</w:t>
            </w:r>
          </w:p>
          <w:p w14:paraId="7061FD1A">
            <w:pPr>
              <w:spacing w:line="360" w:lineRule="auto"/>
              <w:ind w:firstLine="480" w:firstLineChars="200"/>
              <w:rPr>
                <w:u w:val="single"/>
              </w:rPr>
            </w:pPr>
            <w:r>
              <w:rPr>
                <w:rFonts w:hint="eastAsia"/>
                <w:u w:val="single"/>
              </w:rPr>
              <w:t>项目废水主要为</w:t>
            </w:r>
            <w:r>
              <w:rPr>
                <w:rFonts w:hint="eastAsia"/>
                <w:u w:val="single"/>
                <w:lang w:eastAsia="zh-CN"/>
              </w:rPr>
              <w:t>挤出冷却废水</w:t>
            </w:r>
            <w:r>
              <w:rPr>
                <w:rFonts w:hint="eastAsia"/>
                <w:u w:val="single"/>
                <w:lang w:val="en-US" w:eastAsia="zh-CN"/>
              </w:rPr>
              <w:t>W1</w:t>
            </w:r>
            <w:r>
              <w:rPr>
                <w:rFonts w:hint="eastAsia"/>
                <w:u w:val="single"/>
                <w:lang w:eastAsia="zh-CN"/>
              </w:rPr>
              <w:t>、化验室废水</w:t>
            </w:r>
            <w:r>
              <w:rPr>
                <w:rFonts w:hint="eastAsia"/>
                <w:u w:val="single"/>
                <w:lang w:val="en-US" w:eastAsia="zh-CN"/>
              </w:rPr>
              <w:t>W2</w:t>
            </w:r>
            <w:r>
              <w:rPr>
                <w:rFonts w:hint="eastAsia"/>
                <w:u w:val="single"/>
                <w:lang w:eastAsia="zh-CN"/>
              </w:rPr>
              <w:t>、</w:t>
            </w:r>
            <w:r>
              <w:rPr>
                <w:rFonts w:hint="eastAsia"/>
                <w:u w:val="single"/>
              </w:rPr>
              <w:t>生活污水</w:t>
            </w:r>
            <w:r>
              <w:rPr>
                <w:rFonts w:hint="eastAsia"/>
                <w:u w:val="single"/>
                <w:lang w:val="en-US" w:eastAsia="zh-CN"/>
              </w:rPr>
              <w:t>W3</w:t>
            </w:r>
            <w:r>
              <w:rPr>
                <w:u w:val="single"/>
              </w:rPr>
              <w:t>。</w:t>
            </w:r>
          </w:p>
          <w:p w14:paraId="45E46DB2">
            <w:pPr>
              <w:spacing w:line="360" w:lineRule="auto"/>
              <w:ind w:firstLine="480" w:firstLineChars="200"/>
              <w:rPr>
                <w:rFonts w:hint="default"/>
                <w:kern w:val="24"/>
                <w:szCs w:val="32"/>
                <w:u w:val="single"/>
                <w:vertAlign w:val="baseline"/>
                <w:lang w:val="en-US" w:eastAsia="zh-CN"/>
              </w:rPr>
            </w:pPr>
            <w:r>
              <w:rPr>
                <w:rFonts w:hint="eastAsia"/>
                <w:kern w:val="24"/>
                <w:szCs w:val="32"/>
                <w:u w:val="single"/>
                <w:lang w:eastAsia="zh-CN"/>
              </w:rPr>
              <w:t>挤出冷却废水</w:t>
            </w:r>
            <w:r>
              <w:rPr>
                <w:rFonts w:hint="eastAsia"/>
                <w:kern w:val="24"/>
                <w:szCs w:val="32"/>
                <w:u w:val="single"/>
                <w:lang w:val="en-US" w:eastAsia="zh-CN"/>
              </w:rPr>
              <w:t>W1：项目挤出机出口长条形功能阻燃材料需经过冷却水冷却降温，该过程为直接接触冷却，冷却水池规格为3m*1m*0.8m，有效容积为1.5m</w:t>
            </w:r>
            <w:r>
              <w:rPr>
                <w:rFonts w:hint="eastAsia"/>
                <w:kern w:val="24"/>
                <w:szCs w:val="32"/>
                <w:u w:val="single"/>
                <w:vertAlign w:val="superscript"/>
                <w:lang w:val="en-US" w:eastAsia="zh-CN"/>
              </w:rPr>
              <w:t>3</w:t>
            </w:r>
            <w:r>
              <w:rPr>
                <w:rFonts w:hint="eastAsia"/>
                <w:kern w:val="24"/>
                <w:szCs w:val="32"/>
                <w:u w:val="single"/>
                <w:vertAlign w:val="baseline"/>
                <w:lang w:val="en-US" w:eastAsia="zh-CN"/>
              </w:rPr>
              <w:t>，根据建设单位提供的资料，该部分水年更换次数为2次，每次更换量为1.5</w:t>
            </w:r>
            <w:r>
              <w:rPr>
                <w:rFonts w:hint="eastAsia"/>
                <w:kern w:val="24"/>
                <w:szCs w:val="32"/>
                <w:u w:val="single"/>
                <w:lang w:val="en-US" w:eastAsia="zh-CN"/>
              </w:rPr>
              <w:t>m</w:t>
            </w:r>
            <w:r>
              <w:rPr>
                <w:rFonts w:hint="eastAsia"/>
                <w:kern w:val="24"/>
                <w:szCs w:val="32"/>
                <w:u w:val="single"/>
                <w:vertAlign w:val="superscript"/>
                <w:lang w:val="en-US" w:eastAsia="zh-CN"/>
              </w:rPr>
              <w:t>3</w:t>
            </w:r>
            <w:r>
              <w:rPr>
                <w:rFonts w:hint="eastAsia"/>
                <w:kern w:val="24"/>
                <w:szCs w:val="32"/>
                <w:u w:val="single"/>
                <w:vertAlign w:val="baseline"/>
                <w:lang w:val="en-US" w:eastAsia="zh-CN"/>
              </w:rPr>
              <w:t>，则挤出冷却废水W1产生量为3t/a（0.009t/d）</w:t>
            </w:r>
            <w:r>
              <w:rPr>
                <w:rFonts w:hint="eastAsia"/>
                <w:kern w:val="24"/>
                <w:szCs w:val="32"/>
                <w:u w:val="single"/>
                <w:lang w:val="en-US" w:eastAsia="zh-CN"/>
              </w:rPr>
              <w:t>污染因子及产生浓度为COD：400mg/L、SS：100。该部分废水采用专用废水收集桶收集，定期运至</w:t>
            </w:r>
            <w:r>
              <w:rPr>
                <w:rFonts w:hint="eastAsia" w:ascii="Times New Roman" w:cs="Times New Roman"/>
                <w:bCs/>
                <w:u w:val="single"/>
              </w:rPr>
              <w:t>衡阳丰联精细化工有限公司</w:t>
            </w:r>
            <w:r>
              <w:rPr>
                <w:rFonts w:hint="eastAsia" w:ascii="Times New Roman" w:cs="Times New Roman"/>
                <w:bCs/>
                <w:u w:val="single"/>
                <w:lang w:eastAsia="zh-CN"/>
              </w:rPr>
              <w:t>废水处理站处理，通过丰联公司废水处理站排口排放至园区污水处理厂深度处理</w:t>
            </w:r>
            <w:r>
              <w:rPr>
                <w:rFonts w:hint="eastAsia"/>
                <w:kern w:val="24"/>
                <w:szCs w:val="32"/>
                <w:u w:val="single"/>
                <w:lang w:val="en-US" w:eastAsia="zh-CN"/>
              </w:rPr>
              <w:t>。</w:t>
            </w:r>
          </w:p>
          <w:p w14:paraId="1D058BEC">
            <w:pPr>
              <w:spacing w:line="360" w:lineRule="auto"/>
              <w:ind w:firstLine="480" w:firstLineChars="200"/>
              <w:rPr>
                <w:rFonts w:hint="eastAsia" w:eastAsia="宋体"/>
                <w:kern w:val="24"/>
                <w:szCs w:val="32"/>
                <w:u w:val="single"/>
                <w:lang w:val="en-US" w:eastAsia="zh-CN"/>
              </w:rPr>
            </w:pPr>
            <w:r>
              <w:rPr>
                <w:rFonts w:hint="eastAsia"/>
                <w:kern w:val="24"/>
                <w:szCs w:val="32"/>
                <w:u w:val="single"/>
                <w:lang w:eastAsia="zh-CN"/>
              </w:rPr>
              <w:t>化验室废水</w:t>
            </w:r>
            <w:r>
              <w:rPr>
                <w:rFonts w:hint="eastAsia"/>
                <w:kern w:val="24"/>
                <w:szCs w:val="32"/>
                <w:u w:val="single"/>
                <w:lang w:val="en-US" w:eastAsia="zh-CN"/>
              </w:rPr>
              <w:t>W2</w:t>
            </w:r>
            <w:r>
              <w:rPr>
                <w:rFonts w:hint="eastAsia"/>
                <w:kern w:val="24"/>
                <w:szCs w:val="32"/>
                <w:u w:val="single"/>
                <w:lang w:eastAsia="zh-CN"/>
              </w:rPr>
              <w:t>：项目焦磷酸哌嗪、无卤阻燃剂、功能阻燃母粒产品需抽批次检验其性能，采用仪器对其</w:t>
            </w:r>
            <w:r>
              <w:rPr>
                <w:rFonts w:hint="eastAsia"/>
                <w:kern w:val="24"/>
                <w:szCs w:val="32"/>
                <w:u w:val="single"/>
                <w:lang w:val="en-US" w:eastAsia="zh-CN"/>
              </w:rPr>
              <w:t>溶解度、</w:t>
            </w:r>
            <w:r>
              <w:rPr>
                <w:rFonts w:hint="eastAsia"/>
                <w:kern w:val="24"/>
                <w:szCs w:val="32"/>
                <w:u w:val="single"/>
                <w:lang w:eastAsia="zh-CN"/>
              </w:rPr>
              <w:t>白度、粒径等参数进行检验，检验过程不添加化学试剂，仅在溶解度测试时会产生化验废水，根据建设单位提供的资料，化验废水产生量约为</w:t>
            </w:r>
            <w:r>
              <w:rPr>
                <w:rFonts w:hint="eastAsia"/>
                <w:kern w:val="24"/>
                <w:szCs w:val="32"/>
                <w:u w:val="single"/>
                <w:lang w:val="en-US" w:eastAsia="zh-CN"/>
              </w:rPr>
              <w:t>0.05t/d（16.65t/a），污染因子及产生浓度为COD：1000mg/L、SS：400。化验废水采用专用废水收集桶收集，定期运至</w:t>
            </w:r>
            <w:r>
              <w:rPr>
                <w:rFonts w:hint="eastAsia" w:ascii="Times New Roman" w:cs="Times New Roman"/>
                <w:bCs/>
                <w:u w:val="single"/>
              </w:rPr>
              <w:t>衡阳丰联精细化工有限公司</w:t>
            </w:r>
            <w:r>
              <w:rPr>
                <w:rFonts w:hint="eastAsia" w:ascii="Times New Roman" w:cs="Times New Roman"/>
                <w:bCs/>
                <w:u w:val="single"/>
                <w:lang w:eastAsia="zh-CN"/>
              </w:rPr>
              <w:t>废水处理站处理，通过丰联公司废水处理站排口排放至园区污水处理厂深度处理。</w:t>
            </w:r>
          </w:p>
          <w:p w14:paraId="0BF0CC5C">
            <w:pPr>
              <w:spacing w:line="360" w:lineRule="auto"/>
              <w:ind w:firstLine="480" w:firstLineChars="200"/>
            </w:pPr>
            <w:r>
              <w:rPr>
                <w:kern w:val="24"/>
                <w:szCs w:val="32"/>
              </w:rPr>
              <w:t>本项目生活污水主要来自于职工日常用水，</w:t>
            </w:r>
            <w:r>
              <w:rPr>
                <w:szCs w:val="32"/>
              </w:rPr>
              <w:t>项目劳动定员为</w:t>
            </w:r>
            <w:r>
              <w:rPr>
                <w:rFonts w:hint="eastAsia"/>
                <w:szCs w:val="32"/>
                <w:lang w:val="en-US" w:eastAsia="zh-CN"/>
              </w:rPr>
              <w:t>12</w:t>
            </w:r>
            <w:r>
              <w:rPr>
                <w:szCs w:val="32"/>
              </w:rPr>
              <w:t>人，均不在厂内食宿。</w:t>
            </w:r>
            <w:r>
              <w:t>生活用水量参照《湖南省用水定额》（DB43/T388-2020），</w:t>
            </w:r>
            <w:r>
              <w:rPr>
                <w:rFonts w:hint="eastAsia"/>
              </w:rPr>
              <w:t>员工用水定额取38m</w:t>
            </w:r>
            <w:r>
              <w:rPr>
                <w:rFonts w:hint="eastAsia"/>
                <w:vertAlign w:val="superscript"/>
              </w:rPr>
              <w:t>3</w:t>
            </w:r>
            <w:r>
              <w:rPr>
                <w:rFonts w:hint="eastAsia"/>
              </w:rPr>
              <w:t>/人·a。则本项目</w:t>
            </w:r>
            <w:r>
              <w:t>用水量为</w:t>
            </w:r>
            <w:r>
              <w:rPr>
                <w:rFonts w:hint="eastAsia"/>
                <w:lang w:val="en-US" w:eastAsia="zh-CN"/>
              </w:rPr>
              <w:t>456</w:t>
            </w:r>
            <w:r>
              <w:t>t/</w:t>
            </w:r>
            <w:r>
              <w:rPr>
                <w:rFonts w:hint="eastAsia"/>
              </w:rPr>
              <w:t>a</w:t>
            </w:r>
            <w:r>
              <w:t>（</w:t>
            </w:r>
            <w:r>
              <w:rPr>
                <w:rFonts w:hint="eastAsia"/>
                <w:lang w:val="en-US" w:eastAsia="zh-CN"/>
              </w:rPr>
              <w:t>1.37</w:t>
            </w:r>
            <w:r>
              <w:t>t/</w:t>
            </w:r>
            <w:r>
              <w:rPr>
                <w:rFonts w:hint="eastAsia"/>
              </w:rPr>
              <w:t>d</w:t>
            </w:r>
            <w:r>
              <w:t>），排放系数以0.8计，则</w:t>
            </w:r>
            <w:r>
              <w:rPr>
                <w:kern w:val="0"/>
              </w:rPr>
              <w:t>生活污水排放量为</w:t>
            </w:r>
            <w:r>
              <w:rPr>
                <w:rFonts w:hint="eastAsia"/>
                <w:lang w:val="en-US" w:eastAsia="zh-CN"/>
              </w:rPr>
              <w:t>364.8</w:t>
            </w:r>
            <w:r>
              <w:rPr>
                <w:kern w:val="0"/>
              </w:rPr>
              <w:t>t/</w:t>
            </w:r>
            <w:r>
              <w:rPr>
                <w:rFonts w:hint="eastAsia"/>
                <w:kern w:val="0"/>
              </w:rPr>
              <w:t>a</w:t>
            </w:r>
            <w:r>
              <w:rPr>
                <w:kern w:val="0"/>
              </w:rPr>
              <w:t>（</w:t>
            </w:r>
            <w:r>
              <w:rPr>
                <w:rFonts w:hint="eastAsia"/>
                <w:kern w:val="0"/>
                <w:lang w:val="en-US" w:eastAsia="zh-CN"/>
              </w:rPr>
              <w:t>1.1</w:t>
            </w:r>
            <w:r>
              <w:rPr>
                <w:kern w:val="0"/>
              </w:rPr>
              <w:t>t/a）</w:t>
            </w:r>
            <w:r>
              <w:t>。</w:t>
            </w:r>
            <w:r>
              <w:rPr>
                <w:rFonts w:hint="eastAsia"/>
                <w:color w:val="000000"/>
                <w:kern w:val="0"/>
                <w:lang w:bidi="ar"/>
              </w:rPr>
              <w:t>按类比资料分析，衡阳市生活污水产生浓度为</w:t>
            </w:r>
            <w:r>
              <w:rPr>
                <w:color w:val="000000"/>
                <w:kern w:val="0"/>
                <w:lang w:bidi="ar"/>
              </w:rPr>
              <w:t>CODcr：</w:t>
            </w:r>
            <w:r>
              <w:rPr>
                <w:rFonts w:hint="eastAsia"/>
                <w:color w:val="000000"/>
                <w:kern w:val="0"/>
                <w:lang w:bidi="ar"/>
              </w:rPr>
              <w:t>350</w:t>
            </w:r>
            <w:r>
              <w:rPr>
                <w:color w:val="000000"/>
                <w:kern w:val="0"/>
                <w:lang w:bidi="ar"/>
              </w:rPr>
              <w:t>mg/L、BOD</w:t>
            </w:r>
            <w:r>
              <w:rPr>
                <w:color w:val="000000"/>
                <w:kern w:val="0"/>
                <w:vertAlign w:val="subscript"/>
                <w:lang w:bidi="ar"/>
              </w:rPr>
              <w:t>5</w:t>
            </w:r>
            <w:r>
              <w:rPr>
                <w:color w:val="000000"/>
                <w:kern w:val="0"/>
                <w:lang w:bidi="ar"/>
              </w:rPr>
              <w:t>：1</w:t>
            </w:r>
            <w:r>
              <w:rPr>
                <w:rFonts w:hint="eastAsia"/>
                <w:color w:val="000000"/>
                <w:kern w:val="0"/>
                <w:lang w:bidi="ar"/>
              </w:rPr>
              <w:t>8</w:t>
            </w:r>
            <w:r>
              <w:rPr>
                <w:color w:val="000000"/>
                <w:kern w:val="0"/>
                <w:lang w:bidi="ar"/>
              </w:rPr>
              <w:t>0mg/L、SS：</w:t>
            </w:r>
            <w:r>
              <w:rPr>
                <w:rFonts w:hint="eastAsia"/>
                <w:color w:val="000000"/>
                <w:kern w:val="0"/>
                <w:lang w:bidi="ar"/>
              </w:rPr>
              <w:t>25</w:t>
            </w:r>
            <w:r>
              <w:rPr>
                <w:color w:val="000000"/>
                <w:kern w:val="0"/>
                <w:lang w:bidi="ar"/>
              </w:rPr>
              <w:t>0mg/L、NH</w:t>
            </w:r>
            <w:r>
              <w:rPr>
                <w:color w:val="000000"/>
                <w:kern w:val="0"/>
                <w:vertAlign w:val="subscript"/>
                <w:lang w:bidi="ar"/>
              </w:rPr>
              <w:t>3</w:t>
            </w:r>
            <w:r>
              <w:rPr>
                <w:color w:val="000000"/>
                <w:kern w:val="0"/>
                <w:lang w:bidi="ar"/>
              </w:rPr>
              <w:t>-N：</w:t>
            </w:r>
            <w:r>
              <w:rPr>
                <w:rFonts w:hint="eastAsia"/>
                <w:color w:val="000000"/>
                <w:kern w:val="0"/>
                <w:lang w:bidi="ar"/>
              </w:rPr>
              <w:t>25</w:t>
            </w:r>
            <w:r>
              <w:rPr>
                <w:color w:val="000000"/>
                <w:kern w:val="0"/>
                <w:lang w:bidi="ar"/>
              </w:rPr>
              <w:t>mg/L</w:t>
            </w:r>
            <w:r>
              <w:t>；</w:t>
            </w:r>
            <w:r>
              <w:rPr>
                <w:rFonts w:hint="eastAsia"/>
              </w:rPr>
              <w:t>项目</w:t>
            </w:r>
            <w:r>
              <w:t>生活污水经化粪池</w:t>
            </w:r>
            <w:r>
              <w:rPr>
                <w:rFonts w:hint="eastAsia"/>
              </w:rPr>
              <w:t>预</w:t>
            </w:r>
            <w:r>
              <w:t>处理</w:t>
            </w:r>
            <w:r>
              <w:rPr>
                <w:rFonts w:hint="eastAsia"/>
              </w:rPr>
              <w:t>后排入市政管网，进入松木污水处理厂处理达到《城镇污水处理厂污染物排放标准》（GB18918-2002）一级A标准后排入湘江。</w:t>
            </w:r>
          </w:p>
          <w:p w14:paraId="159E6211">
            <w:pPr>
              <w:pStyle w:val="30"/>
              <w:spacing w:line="360" w:lineRule="auto"/>
              <w:ind w:left="480"/>
              <w:rPr>
                <w:bCs/>
                <w:kern w:val="0"/>
              </w:rPr>
            </w:pPr>
            <w:r>
              <w:rPr>
                <w:rFonts w:hint="eastAsia"/>
                <w:szCs w:val="32"/>
              </w:rPr>
              <w:t>综上分析，本项目废水主要为</w:t>
            </w:r>
            <w:r>
              <w:rPr>
                <w:szCs w:val="32"/>
              </w:rPr>
              <w:t>生活污水</w:t>
            </w:r>
            <w:r>
              <w:rPr>
                <w:rFonts w:hint="eastAsia"/>
                <w:szCs w:val="32"/>
              </w:rPr>
              <w:t>，其</w:t>
            </w:r>
            <w:r>
              <w:rPr>
                <w:bCs/>
                <w:kern w:val="0"/>
              </w:rPr>
              <w:t>产生及排放情况详见下表。</w:t>
            </w:r>
          </w:p>
          <w:p w14:paraId="6B670A30">
            <w:pPr>
              <w:spacing w:line="360" w:lineRule="auto"/>
              <w:jc w:val="center"/>
              <w:rPr>
                <w:b/>
                <w:sz w:val="22"/>
                <w:szCs w:val="22"/>
                <w:lang w:val="en-GB"/>
              </w:rPr>
            </w:pPr>
            <w:r>
              <w:rPr>
                <w:b/>
                <w:sz w:val="22"/>
                <w:szCs w:val="22"/>
                <w:lang w:val="en-GB"/>
              </w:rPr>
              <w:t>表4-</w:t>
            </w:r>
            <w:r>
              <w:rPr>
                <w:rFonts w:hint="eastAsia"/>
                <w:b/>
                <w:sz w:val="22"/>
                <w:szCs w:val="22"/>
                <w:lang w:val="en-US" w:eastAsia="zh-CN"/>
              </w:rPr>
              <w:t>8</w:t>
            </w:r>
            <w:r>
              <w:rPr>
                <w:b/>
                <w:sz w:val="22"/>
                <w:szCs w:val="22"/>
                <w:lang w:val="en-GB"/>
              </w:rPr>
              <w:t xml:space="preserve">  生活污水水污染物产生及排放情况一览表</w:t>
            </w:r>
          </w:p>
          <w:tbl>
            <w:tblPr>
              <w:tblStyle w:val="37"/>
              <w:tblW w:w="897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8"/>
              <w:gridCol w:w="848"/>
              <w:gridCol w:w="794"/>
              <w:gridCol w:w="962"/>
              <w:gridCol w:w="1006"/>
              <w:gridCol w:w="710"/>
              <w:gridCol w:w="899"/>
              <w:gridCol w:w="805"/>
              <w:gridCol w:w="736"/>
              <w:gridCol w:w="914"/>
              <w:gridCol w:w="847"/>
            </w:tblGrid>
            <w:tr w14:paraId="2FFBD1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62" w:type="dxa"/>
                  <w:gridSpan w:val="4"/>
                  <w:tcBorders>
                    <w:tl2br w:val="nil"/>
                    <w:tr2bl w:val="nil"/>
                  </w:tcBorders>
                  <w:vAlign w:val="center"/>
                </w:tcPr>
                <w:p w14:paraId="45E3E3D2">
                  <w:pPr>
                    <w:pStyle w:val="16"/>
                    <w:spacing w:after="0"/>
                    <w:ind w:left="0" w:leftChars="0"/>
                    <w:jc w:val="center"/>
                    <w:rPr>
                      <w:b/>
                      <w:bCs/>
                      <w:sz w:val="21"/>
                      <w:szCs w:val="21"/>
                      <w:lang w:val="en-GB"/>
                    </w:rPr>
                  </w:pPr>
                  <w:r>
                    <w:rPr>
                      <w:b/>
                      <w:bCs/>
                      <w:sz w:val="21"/>
                      <w:szCs w:val="21"/>
                      <w:lang w:val="en-GB"/>
                    </w:rPr>
                    <w:t>废水产生</w:t>
                  </w:r>
                </w:p>
              </w:tc>
              <w:tc>
                <w:tcPr>
                  <w:tcW w:w="1716" w:type="dxa"/>
                  <w:gridSpan w:val="2"/>
                  <w:tcBorders>
                    <w:tl2br w:val="nil"/>
                    <w:tr2bl w:val="nil"/>
                  </w:tcBorders>
                  <w:vAlign w:val="center"/>
                </w:tcPr>
                <w:p w14:paraId="439E3053">
                  <w:pPr>
                    <w:pStyle w:val="16"/>
                    <w:spacing w:after="0"/>
                    <w:ind w:left="0" w:leftChars="0"/>
                    <w:jc w:val="center"/>
                    <w:rPr>
                      <w:b/>
                      <w:bCs/>
                      <w:sz w:val="21"/>
                      <w:szCs w:val="21"/>
                      <w:lang w:val="en-GB"/>
                    </w:rPr>
                  </w:pPr>
                  <w:r>
                    <w:rPr>
                      <w:b/>
                      <w:bCs/>
                      <w:sz w:val="21"/>
                      <w:szCs w:val="21"/>
                      <w:lang w:val="en-GB"/>
                    </w:rPr>
                    <w:t>环保设施</w:t>
                  </w:r>
                </w:p>
              </w:tc>
              <w:tc>
                <w:tcPr>
                  <w:tcW w:w="1704" w:type="dxa"/>
                  <w:gridSpan w:val="2"/>
                  <w:tcBorders>
                    <w:tl2br w:val="nil"/>
                    <w:tr2bl w:val="nil"/>
                  </w:tcBorders>
                  <w:vAlign w:val="center"/>
                </w:tcPr>
                <w:p w14:paraId="45689EA7">
                  <w:pPr>
                    <w:pStyle w:val="16"/>
                    <w:spacing w:after="0"/>
                    <w:ind w:left="0" w:leftChars="0"/>
                    <w:jc w:val="center"/>
                    <w:rPr>
                      <w:b/>
                      <w:bCs/>
                      <w:sz w:val="21"/>
                      <w:szCs w:val="21"/>
                      <w:lang w:val="en-GB"/>
                    </w:rPr>
                  </w:pPr>
                  <w:r>
                    <w:rPr>
                      <w:b/>
                      <w:bCs/>
                      <w:sz w:val="21"/>
                      <w:szCs w:val="21"/>
                      <w:lang w:val="en-GB"/>
                    </w:rPr>
                    <w:t>排放情况</w:t>
                  </w:r>
                </w:p>
              </w:tc>
              <w:tc>
                <w:tcPr>
                  <w:tcW w:w="2497" w:type="dxa"/>
                  <w:gridSpan w:val="3"/>
                  <w:tcBorders>
                    <w:tl2br w:val="nil"/>
                    <w:tr2bl w:val="nil"/>
                  </w:tcBorders>
                  <w:vAlign w:val="center"/>
                </w:tcPr>
                <w:p w14:paraId="7E87DED1">
                  <w:pPr>
                    <w:pStyle w:val="16"/>
                    <w:spacing w:after="0"/>
                    <w:ind w:left="0" w:leftChars="0"/>
                    <w:jc w:val="center"/>
                    <w:rPr>
                      <w:b/>
                      <w:bCs/>
                      <w:sz w:val="21"/>
                      <w:szCs w:val="21"/>
                      <w:lang w:val="en-GB"/>
                    </w:rPr>
                  </w:pPr>
                  <w:r>
                    <w:rPr>
                      <w:b/>
                      <w:bCs/>
                      <w:sz w:val="21"/>
                      <w:szCs w:val="21"/>
                      <w:lang w:val="en-GB"/>
                    </w:rPr>
                    <w:t>最终排入环境</w:t>
                  </w:r>
                </w:p>
              </w:tc>
            </w:tr>
            <w:tr w14:paraId="6AF66E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8" w:type="dxa"/>
                  <w:vMerge w:val="restart"/>
                  <w:tcBorders>
                    <w:tl2br w:val="nil"/>
                    <w:tr2bl w:val="nil"/>
                  </w:tcBorders>
                  <w:vAlign w:val="center"/>
                </w:tcPr>
                <w:p w14:paraId="16DB7F64">
                  <w:pPr>
                    <w:pStyle w:val="16"/>
                    <w:spacing w:after="0"/>
                    <w:ind w:left="0" w:leftChars="0"/>
                    <w:jc w:val="center"/>
                    <w:rPr>
                      <w:rFonts w:hint="default" w:eastAsia="宋体"/>
                      <w:sz w:val="21"/>
                      <w:szCs w:val="21"/>
                      <w:u w:val="single"/>
                      <w:lang w:val="en-US" w:eastAsia="zh-CN"/>
                    </w:rPr>
                  </w:pPr>
                  <w:r>
                    <w:rPr>
                      <w:rFonts w:hint="eastAsia"/>
                      <w:sz w:val="21"/>
                      <w:szCs w:val="21"/>
                      <w:u w:val="single"/>
                      <w:lang w:val="en-US" w:eastAsia="zh-CN"/>
                    </w:rPr>
                    <w:t>挤出冷却废水</w:t>
                  </w:r>
                </w:p>
              </w:tc>
              <w:tc>
                <w:tcPr>
                  <w:tcW w:w="848" w:type="dxa"/>
                  <w:tcBorders>
                    <w:tl2br w:val="nil"/>
                    <w:tr2bl w:val="nil"/>
                  </w:tcBorders>
                  <w:vAlign w:val="center"/>
                </w:tcPr>
                <w:p w14:paraId="572F57E0">
                  <w:pPr>
                    <w:pStyle w:val="16"/>
                    <w:spacing w:after="0"/>
                    <w:ind w:left="0" w:leftChars="0"/>
                    <w:jc w:val="center"/>
                    <w:rPr>
                      <w:b/>
                      <w:bCs/>
                      <w:sz w:val="21"/>
                      <w:szCs w:val="21"/>
                      <w:u w:val="single"/>
                      <w:lang w:val="en-GB"/>
                    </w:rPr>
                  </w:pPr>
                  <w:r>
                    <w:rPr>
                      <w:b/>
                      <w:bCs/>
                      <w:sz w:val="21"/>
                      <w:szCs w:val="21"/>
                      <w:u w:val="single"/>
                      <w:lang w:val="en-GB"/>
                    </w:rPr>
                    <w:t>指标</w:t>
                  </w:r>
                </w:p>
              </w:tc>
              <w:tc>
                <w:tcPr>
                  <w:tcW w:w="794" w:type="dxa"/>
                  <w:tcBorders>
                    <w:tl2br w:val="nil"/>
                    <w:tr2bl w:val="nil"/>
                  </w:tcBorders>
                  <w:vAlign w:val="center"/>
                </w:tcPr>
                <w:p w14:paraId="67F70235">
                  <w:pPr>
                    <w:pStyle w:val="16"/>
                    <w:spacing w:after="0"/>
                    <w:ind w:left="0" w:leftChars="0"/>
                    <w:jc w:val="center"/>
                    <w:rPr>
                      <w:b/>
                      <w:bCs/>
                      <w:sz w:val="21"/>
                      <w:szCs w:val="21"/>
                      <w:u w:val="single"/>
                    </w:rPr>
                  </w:pPr>
                  <w:r>
                    <w:rPr>
                      <w:b/>
                      <w:bCs/>
                      <w:sz w:val="21"/>
                      <w:szCs w:val="21"/>
                      <w:u w:val="single"/>
                      <w:lang w:val="en-GB"/>
                    </w:rPr>
                    <w:t>产生量</w:t>
                  </w:r>
                  <w:r>
                    <w:rPr>
                      <w:rFonts w:hint="eastAsia"/>
                      <w:b/>
                      <w:bCs/>
                      <w:sz w:val="21"/>
                      <w:szCs w:val="21"/>
                      <w:u w:val="single"/>
                    </w:rPr>
                    <w:t>t/a</w:t>
                  </w:r>
                </w:p>
              </w:tc>
              <w:tc>
                <w:tcPr>
                  <w:tcW w:w="962" w:type="dxa"/>
                  <w:tcBorders>
                    <w:tl2br w:val="nil"/>
                    <w:tr2bl w:val="nil"/>
                  </w:tcBorders>
                  <w:vAlign w:val="center"/>
                </w:tcPr>
                <w:p w14:paraId="6AC8EDA1">
                  <w:pPr>
                    <w:pStyle w:val="16"/>
                    <w:spacing w:after="0"/>
                    <w:ind w:left="0" w:leftChars="0"/>
                    <w:jc w:val="center"/>
                    <w:rPr>
                      <w:b/>
                      <w:bCs/>
                      <w:sz w:val="21"/>
                      <w:szCs w:val="21"/>
                      <w:u w:val="single"/>
                      <w:vertAlign w:val="superscript"/>
                    </w:rPr>
                  </w:pPr>
                  <w:r>
                    <w:rPr>
                      <w:b/>
                      <w:bCs/>
                      <w:sz w:val="21"/>
                      <w:szCs w:val="21"/>
                      <w:u w:val="single"/>
                      <w:lang w:val="en-GB"/>
                    </w:rPr>
                    <w:t>产生浓度</w:t>
                  </w:r>
                  <w:r>
                    <w:rPr>
                      <w:rFonts w:hint="eastAsia"/>
                      <w:b/>
                      <w:bCs/>
                      <w:sz w:val="21"/>
                      <w:szCs w:val="21"/>
                      <w:u w:val="single"/>
                    </w:rPr>
                    <w:t>mg/m</w:t>
                  </w:r>
                  <w:r>
                    <w:rPr>
                      <w:rFonts w:hint="eastAsia"/>
                      <w:b/>
                      <w:bCs/>
                      <w:sz w:val="21"/>
                      <w:szCs w:val="21"/>
                      <w:u w:val="single"/>
                      <w:vertAlign w:val="superscript"/>
                    </w:rPr>
                    <w:t>3</w:t>
                  </w:r>
                </w:p>
              </w:tc>
              <w:tc>
                <w:tcPr>
                  <w:tcW w:w="1006" w:type="dxa"/>
                  <w:tcBorders>
                    <w:tl2br w:val="nil"/>
                    <w:tr2bl w:val="nil"/>
                  </w:tcBorders>
                  <w:vAlign w:val="center"/>
                </w:tcPr>
                <w:p w14:paraId="34866C50">
                  <w:pPr>
                    <w:pStyle w:val="16"/>
                    <w:spacing w:after="0"/>
                    <w:ind w:left="0" w:leftChars="0"/>
                    <w:jc w:val="center"/>
                    <w:rPr>
                      <w:b/>
                      <w:bCs/>
                      <w:sz w:val="21"/>
                      <w:szCs w:val="21"/>
                      <w:u w:val="single"/>
                      <w:lang w:val="en-GB"/>
                    </w:rPr>
                  </w:pPr>
                  <w:r>
                    <w:rPr>
                      <w:b/>
                      <w:bCs/>
                      <w:sz w:val="21"/>
                      <w:szCs w:val="21"/>
                      <w:u w:val="single"/>
                      <w:lang w:val="en-GB"/>
                    </w:rPr>
                    <w:t>处理措施</w:t>
                  </w:r>
                </w:p>
              </w:tc>
              <w:tc>
                <w:tcPr>
                  <w:tcW w:w="710" w:type="dxa"/>
                  <w:tcBorders>
                    <w:tl2br w:val="nil"/>
                    <w:tr2bl w:val="nil"/>
                  </w:tcBorders>
                  <w:vAlign w:val="center"/>
                </w:tcPr>
                <w:p w14:paraId="35FB0918">
                  <w:pPr>
                    <w:pStyle w:val="16"/>
                    <w:spacing w:after="0"/>
                    <w:ind w:left="0" w:leftChars="0"/>
                    <w:jc w:val="center"/>
                    <w:rPr>
                      <w:rFonts w:hint="eastAsia" w:eastAsia="宋体"/>
                      <w:b/>
                      <w:bCs/>
                      <w:sz w:val="21"/>
                      <w:szCs w:val="21"/>
                      <w:u w:val="single"/>
                      <w:lang w:val="en-US" w:eastAsia="zh-CN"/>
                    </w:rPr>
                  </w:pPr>
                  <w:r>
                    <w:rPr>
                      <w:b/>
                      <w:bCs/>
                      <w:sz w:val="21"/>
                      <w:szCs w:val="21"/>
                      <w:u w:val="single"/>
                      <w:lang w:val="en-GB"/>
                    </w:rPr>
                    <w:t>处理效果</w:t>
                  </w:r>
                  <w:r>
                    <w:rPr>
                      <w:rFonts w:hint="eastAsia"/>
                      <w:b/>
                      <w:bCs/>
                      <w:sz w:val="21"/>
                      <w:szCs w:val="21"/>
                      <w:u w:val="single"/>
                      <w:lang w:val="en-US" w:eastAsia="zh-CN"/>
                    </w:rPr>
                    <w:t>%</w:t>
                  </w:r>
                </w:p>
              </w:tc>
              <w:tc>
                <w:tcPr>
                  <w:tcW w:w="899" w:type="dxa"/>
                  <w:tcBorders>
                    <w:tl2br w:val="nil"/>
                    <w:tr2bl w:val="nil"/>
                  </w:tcBorders>
                  <w:vAlign w:val="center"/>
                </w:tcPr>
                <w:p w14:paraId="4A5085C8">
                  <w:pPr>
                    <w:pStyle w:val="16"/>
                    <w:spacing w:after="0"/>
                    <w:ind w:left="0" w:leftChars="0"/>
                    <w:jc w:val="center"/>
                    <w:rPr>
                      <w:b/>
                      <w:bCs/>
                      <w:sz w:val="21"/>
                      <w:szCs w:val="21"/>
                      <w:u w:val="single"/>
                      <w:lang w:val="en-GB"/>
                    </w:rPr>
                  </w:pPr>
                  <w:r>
                    <w:rPr>
                      <w:b/>
                      <w:bCs/>
                      <w:sz w:val="21"/>
                      <w:szCs w:val="21"/>
                      <w:u w:val="single"/>
                      <w:lang w:val="en-GB"/>
                    </w:rPr>
                    <w:t>排放量</w:t>
                  </w:r>
                  <w:r>
                    <w:rPr>
                      <w:rFonts w:hint="eastAsia"/>
                      <w:b/>
                      <w:bCs/>
                      <w:sz w:val="21"/>
                      <w:szCs w:val="21"/>
                      <w:u w:val="single"/>
                    </w:rPr>
                    <w:t>t/a</w:t>
                  </w:r>
                </w:p>
              </w:tc>
              <w:tc>
                <w:tcPr>
                  <w:tcW w:w="805" w:type="dxa"/>
                  <w:tcBorders>
                    <w:tl2br w:val="nil"/>
                    <w:tr2bl w:val="nil"/>
                  </w:tcBorders>
                  <w:vAlign w:val="center"/>
                </w:tcPr>
                <w:p w14:paraId="38D83FEE">
                  <w:pPr>
                    <w:pStyle w:val="16"/>
                    <w:spacing w:after="0"/>
                    <w:ind w:left="0" w:leftChars="0"/>
                    <w:jc w:val="center"/>
                    <w:rPr>
                      <w:b/>
                      <w:bCs/>
                      <w:sz w:val="21"/>
                      <w:szCs w:val="21"/>
                      <w:u w:val="single"/>
                      <w:lang w:val="en-GB"/>
                    </w:rPr>
                  </w:pPr>
                  <w:r>
                    <w:rPr>
                      <w:b/>
                      <w:bCs/>
                      <w:sz w:val="21"/>
                      <w:szCs w:val="21"/>
                      <w:u w:val="single"/>
                      <w:lang w:val="en-GB"/>
                    </w:rPr>
                    <w:t>排放浓度</w:t>
                  </w:r>
                  <w:r>
                    <w:rPr>
                      <w:rFonts w:hint="eastAsia"/>
                      <w:b/>
                      <w:bCs/>
                      <w:sz w:val="21"/>
                      <w:szCs w:val="21"/>
                      <w:u w:val="single"/>
                    </w:rPr>
                    <w:t>mg/m</w:t>
                  </w:r>
                  <w:r>
                    <w:rPr>
                      <w:rFonts w:hint="eastAsia"/>
                      <w:b/>
                      <w:bCs/>
                      <w:sz w:val="21"/>
                      <w:szCs w:val="21"/>
                      <w:u w:val="single"/>
                      <w:vertAlign w:val="superscript"/>
                    </w:rPr>
                    <w:t>3</w:t>
                  </w:r>
                </w:p>
              </w:tc>
              <w:tc>
                <w:tcPr>
                  <w:tcW w:w="736" w:type="dxa"/>
                  <w:tcBorders>
                    <w:tl2br w:val="nil"/>
                    <w:tr2bl w:val="nil"/>
                  </w:tcBorders>
                  <w:vAlign w:val="center"/>
                </w:tcPr>
                <w:p w14:paraId="479672A6">
                  <w:pPr>
                    <w:pStyle w:val="16"/>
                    <w:spacing w:after="0"/>
                    <w:ind w:left="0" w:leftChars="0"/>
                    <w:jc w:val="center"/>
                    <w:rPr>
                      <w:b/>
                      <w:bCs/>
                      <w:sz w:val="21"/>
                      <w:szCs w:val="21"/>
                      <w:u w:val="single"/>
                      <w:lang w:val="en-GB"/>
                    </w:rPr>
                  </w:pPr>
                  <w:r>
                    <w:rPr>
                      <w:b/>
                      <w:bCs/>
                      <w:sz w:val="21"/>
                      <w:szCs w:val="21"/>
                      <w:u w:val="single"/>
                      <w:lang w:val="en-GB"/>
                    </w:rPr>
                    <w:t>厂外处理方式</w:t>
                  </w:r>
                </w:p>
              </w:tc>
              <w:tc>
                <w:tcPr>
                  <w:tcW w:w="914" w:type="dxa"/>
                  <w:tcBorders>
                    <w:tl2br w:val="nil"/>
                    <w:tr2bl w:val="nil"/>
                  </w:tcBorders>
                  <w:vAlign w:val="center"/>
                </w:tcPr>
                <w:p w14:paraId="7B3387F4">
                  <w:pPr>
                    <w:pStyle w:val="16"/>
                    <w:spacing w:after="0"/>
                    <w:ind w:left="0" w:leftChars="0"/>
                    <w:jc w:val="center"/>
                    <w:rPr>
                      <w:b/>
                      <w:bCs/>
                      <w:sz w:val="21"/>
                      <w:szCs w:val="21"/>
                      <w:u w:val="single"/>
                      <w:lang w:val="en-GB"/>
                    </w:rPr>
                  </w:pPr>
                  <w:r>
                    <w:rPr>
                      <w:b/>
                      <w:bCs/>
                      <w:sz w:val="21"/>
                      <w:szCs w:val="21"/>
                      <w:u w:val="single"/>
                      <w:lang w:val="en-GB"/>
                    </w:rPr>
                    <w:t>排放量</w:t>
                  </w:r>
                  <w:r>
                    <w:rPr>
                      <w:rFonts w:hint="eastAsia"/>
                      <w:b/>
                      <w:bCs/>
                      <w:sz w:val="21"/>
                      <w:szCs w:val="21"/>
                      <w:u w:val="single"/>
                    </w:rPr>
                    <w:t>t/a</w:t>
                  </w:r>
                </w:p>
              </w:tc>
              <w:tc>
                <w:tcPr>
                  <w:tcW w:w="847" w:type="dxa"/>
                  <w:tcBorders>
                    <w:tl2br w:val="nil"/>
                    <w:tr2bl w:val="nil"/>
                  </w:tcBorders>
                  <w:vAlign w:val="center"/>
                </w:tcPr>
                <w:p w14:paraId="117163C3">
                  <w:pPr>
                    <w:pStyle w:val="16"/>
                    <w:spacing w:after="0"/>
                    <w:ind w:left="0" w:leftChars="0"/>
                    <w:jc w:val="center"/>
                    <w:rPr>
                      <w:b/>
                      <w:bCs/>
                      <w:sz w:val="21"/>
                      <w:szCs w:val="21"/>
                      <w:u w:val="single"/>
                      <w:lang w:val="en-GB"/>
                    </w:rPr>
                  </w:pPr>
                  <w:r>
                    <w:rPr>
                      <w:b/>
                      <w:bCs/>
                      <w:sz w:val="21"/>
                      <w:szCs w:val="21"/>
                      <w:u w:val="single"/>
                      <w:lang w:val="en-GB"/>
                    </w:rPr>
                    <w:t>排放浓度</w:t>
                  </w:r>
                  <w:r>
                    <w:rPr>
                      <w:rFonts w:hint="eastAsia"/>
                      <w:b/>
                      <w:bCs/>
                      <w:sz w:val="21"/>
                      <w:szCs w:val="21"/>
                      <w:u w:val="single"/>
                    </w:rPr>
                    <w:t>mg/m</w:t>
                  </w:r>
                  <w:r>
                    <w:rPr>
                      <w:rFonts w:hint="eastAsia"/>
                      <w:b/>
                      <w:bCs/>
                      <w:sz w:val="21"/>
                      <w:szCs w:val="21"/>
                      <w:u w:val="single"/>
                      <w:vertAlign w:val="superscript"/>
                    </w:rPr>
                    <w:t>3</w:t>
                  </w:r>
                </w:p>
              </w:tc>
            </w:tr>
            <w:tr w14:paraId="12C679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8" w:type="dxa"/>
                  <w:vMerge w:val="continue"/>
                  <w:tcBorders>
                    <w:tl2br w:val="nil"/>
                    <w:tr2bl w:val="nil"/>
                  </w:tcBorders>
                  <w:vAlign w:val="center"/>
                </w:tcPr>
                <w:p w14:paraId="0B0AF790">
                  <w:pPr>
                    <w:pStyle w:val="16"/>
                    <w:spacing w:after="0"/>
                    <w:ind w:left="0" w:leftChars="0"/>
                    <w:jc w:val="center"/>
                    <w:rPr>
                      <w:sz w:val="21"/>
                      <w:szCs w:val="21"/>
                      <w:u w:val="single"/>
                      <w:lang w:val="en-GB"/>
                    </w:rPr>
                  </w:pPr>
                </w:p>
              </w:tc>
              <w:tc>
                <w:tcPr>
                  <w:tcW w:w="848" w:type="dxa"/>
                  <w:tcBorders>
                    <w:tl2br w:val="nil"/>
                    <w:tr2bl w:val="nil"/>
                  </w:tcBorders>
                  <w:vAlign w:val="center"/>
                </w:tcPr>
                <w:p w14:paraId="0667AE15">
                  <w:pPr>
                    <w:pStyle w:val="16"/>
                    <w:spacing w:after="0"/>
                    <w:ind w:left="0" w:leftChars="0"/>
                    <w:jc w:val="center"/>
                    <w:rPr>
                      <w:rFonts w:hint="default" w:eastAsia="宋体"/>
                      <w:sz w:val="21"/>
                      <w:szCs w:val="21"/>
                      <w:u w:val="single"/>
                      <w:lang w:val="en-US" w:eastAsia="zh-CN"/>
                    </w:rPr>
                  </w:pPr>
                  <w:r>
                    <w:rPr>
                      <w:rFonts w:hint="eastAsia"/>
                      <w:sz w:val="21"/>
                      <w:szCs w:val="21"/>
                      <w:u w:val="single"/>
                      <w:lang w:val="en-US" w:eastAsia="zh-CN"/>
                    </w:rPr>
                    <w:t>水量</w:t>
                  </w:r>
                </w:p>
              </w:tc>
              <w:tc>
                <w:tcPr>
                  <w:tcW w:w="794" w:type="dxa"/>
                  <w:tcBorders>
                    <w:tl2br w:val="nil"/>
                    <w:tr2bl w:val="nil"/>
                  </w:tcBorders>
                  <w:vAlign w:val="center"/>
                </w:tcPr>
                <w:p w14:paraId="332CE88C">
                  <w:pPr>
                    <w:pStyle w:val="16"/>
                    <w:spacing w:after="0"/>
                    <w:ind w:left="0" w:leftChars="0"/>
                    <w:jc w:val="center"/>
                    <w:rPr>
                      <w:rFonts w:hint="default" w:eastAsia="宋体"/>
                      <w:sz w:val="21"/>
                      <w:szCs w:val="21"/>
                      <w:u w:val="single"/>
                      <w:lang w:val="en-US" w:eastAsia="zh-CN"/>
                    </w:rPr>
                  </w:pPr>
                  <w:r>
                    <w:rPr>
                      <w:rFonts w:hint="eastAsia"/>
                      <w:sz w:val="21"/>
                      <w:szCs w:val="21"/>
                      <w:u w:val="single"/>
                      <w:lang w:val="en-US" w:eastAsia="zh-CN"/>
                    </w:rPr>
                    <w:t>3</w:t>
                  </w:r>
                </w:p>
              </w:tc>
              <w:tc>
                <w:tcPr>
                  <w:tcW w:w="962" w:type="dxa"/>
                  <w:tcBorders>
                    <w:tl2br w:val="nil"/>
                    <w:tr2bl w:val="nil"/>
                  </w:tcBorders>
                  <w:vAlign w:val="center"/>
                </w:tcPr>
                <w:p w14:paraId="42FE72DF">
                  <w:pPr>
                    <w:pStyle w:val="16"/>
                    <w:spacing w:after="0"/>
                    <w:ind w:left="0" w:leftChars="0"/>
                    <w:jc w:val="center"/>
                    <w:rPr>
                      <w:rFonts w:hint="default" w:eastAsia="宋体"/>
                      <w:sz w:val="21"/>
                      <w:szCs w:val="21"/>
                      <w:u w:val="single"/>
                      <w:lang w:val="en-US" w:eastAsia="zh-CN"/>
                    </w:rPr>
                  </w:pPr>
                  <w:r>
                    <w:rPr>
                      <w:rFonts w:hint="eastAsia"/>
                      <w:sz w:val="21"/>
                      <w:szCs w:val="21"/>
                      <w:u w:val="single"/>
                      <w:lang w:val="en-US" w:eastAsia="zh-CN"/>
                    </w:rPr>
                    <w:t>/</w:t>
                  </w:r>
                </w:p>
              </w:tc>
              <w:tc>
                <w:tcPr>
                  <w:tcW w:w="1006" w:type="dxa"/>
                  <w:vMerge w:val="restart"/>
                  <w:tcBorders>
                    <w:tl2br w:val="nil"/>
                    <w:tr2bl w:val="nil"/>
                  </w:tcBorders>
                  <w:vAlign w:val="center"/>
                </w:tcPr>
                <w:p w14:paraId="252205B6">
                  <w:pPr>
                    <w:pStyle w:val="16"/>
                    <w:spacing w:after="0"/>
                    <w:ind w:left="0" w:leftChars="0"/>
                    <w:jc w:val="center"/>
                    <w:rPr>
                      <w:rFonts w:hint="eastAsia" w:eastAsia="宋体"/>
                      <w:sz w:val="21"/>
                      <w:szCs w:val="21"/>
                      <w:u w:val="single"/>
                      <w:lang w:val="en-GB" w:eastAsia="zh-CN"/>
                    </w:rPr>
                  </w:pPr>
                  <w:r>
                    <w:rPr>
                      <w:rFonts w:hint="eastAsia"/>
                      <w:sz w:val="21"/>
                      <w:szCs w:val="21"/>
                      <w:u w:val="single"/>
                      <w:lang w:val="en-GB" w:eastAsia="zh-CN"/>
                    </w:rPr>
                    <w:t>丰联公司污水处理站</w:t>
                  </w:r>
                </w:p>
              </w:tc>
              <w:tc>
                <w:tcPr>
                  <w:tcW w:w="710" w:type="dxa"/>
                  <w:tcBorders>
                    <w:tl2br w:val="nil"/>
                    <w:tr2bl w:val="nil"/>
                  </w:tcBorders>
                  <w:vAlign w:val="center"/>
                </w:tcPr>
                <w:p w14:paraId="1D6C09DA">
                  <w:pPr>
                    <w:pStyle w:val="16"/>
                    <w:spacing w:after="0"/>
                    <w:ind w:left="0" w:leftChars="0"/>
                    <w:jc w:val="center"/>
                    <w:rPr>
                      <w:rFonts w:hint="eastAsia" w:eastAsia="宋体"/>
                      <w:sz w:val="21"/>
                      <w:szCs w:val="21"/>
                      <w:u w:val="single"/>
                      <w:lang w:val="en-US" w:eastAsia="zh-CN"/>
                    </w:rPr>
                  </w:pPr>
                  <w:r>
                    <w:rPr>
                      <w:rFonts w:hint="eastAsia"/>
                      <w:sz w:val="21"/>
                      <w:szCs w:val="21"/>
                      <w:u w:val="single"/>
                      <w:lang w:val="en-US" w:eastAsia="zh-CN"/>
                    </w:rPr>
                    <w:t>/</w:t>
                  </w:r>
                </w:p>
              </w:tc>
              <w:tc>
                <w:tcPr>
                  <w:tcW w:w="899" w:type="dxa"/>
                  <w:tcBorders>
                    <w:tl2br w:val="nil"/>
                    <w:tr2bl w:val="nil"/>
                  </w:tcBorders>
                  <w:vAlign w:val="center"/>
                </w:tcPr>
                <w:p w14:paraId="7A5F407E">
                  <w:pPr>
                    <w:pStyle w:val="16"/>
                    <w:spacing w:after="0"/>
                    <w:ind w:left="0" w:leftChars="0"/>
                    <w:jc w:val="center"/>
                    <w:rPr>
                      <w:rFonts w:hint="default" w:eastAsia="宋体"/>
                      <w:sz w:val="21"/>
                      <w:szCs w:val="21"/>
                      <w:u w:val="single"/>
                      <w:lang w:val="en-US" w:eastAsia="zh-CN"/>
                    </w:rPr>
                  </w:pPr>
                  <w:r>
                    <w:rPr>
                      <w:rFonts w:hint="eastAsia"/>
                      <w:sz w:val="21"/>
                      <w:szCs w:val="21"/>
                      <w:u w:val="single"/>
                      <w:lang w:val="en-US" w:eastAsia="zh-CN"/>
                    </w:rPr>
                    <w:t>3</w:t>
                  </w:r>
                </w:p>
              </w:tc>
              <w:tc>
                <w:tcPr>
                  <w:tcW w:w="805" w:type="dxa"/>
                  <w:tcBorders>
                    <w:tl2br w:val="nil"/>
                    <w:tr2bl w:val="nil"/>
                  </w:tcBorders>
                  <w:vAlign w:val="center"/>
                </w:tcPr>
                <w:p w14:paraId="71763595">
                  <w:pPr>
                    <w:pStyle w:val="16"/>
                    <w:spacing w:after="0"/>
                    <w:ind w:left="0" w:leftChars="0"/>
                    <w:jc w:val="center"/>
                    <w:rPr>
                      <w:rFonts w:hint="eastAsia" w:eastAsia="宋体"/>
                      <w:sz w:val="21"/>
                      <w:szCs w:val="21"/>
                      <w:u w:val="single"/>
                      <w:lang w:val="en-US" w:eastAsia="zh-CN"/>
                    </w:rPr>
                  </w:pPr>
                </w:p>
              </w:tc>
              <w:tc>
                <w:tcPr>
                  <w:tcW w:w="736" w:type="dxa"/>
                  <w:vMerge w:val="restart"/>
                  <w:tcBorders>
                    <w:tl2br w:val="nil"/>
                    <w:tr2bl w:val="nil"/>
                  </w:tcBorders>
                  <w:vAlign w:val="center"/>
                </w:tcPr>
                <w:p w14:paraId="04F93540">
                  <w:pPr>
                    <w:pStyle w:val="16"/>
                    <w:spacing w:after="0"/>
                    <w:ind w:left="0" w:leftChars="0"/>
                    <w:jc w:val="center"/>
                    <w:rPr>
                      <w:sz w:val="21"/>
                      <w:szCs w:val="21"/>
                      <w:u w:val="single"/>
                      <w:lang w:val="en-GB"/>
                    </w:rPr>
                  </w:pPr>
                  <w:r>
                    <w:rPr>
                      <w:rFonts w:hint="eastAsia"/>
                      <w:sz w:val="21"/>
                      <w:szCs w:val="21"/>
                      <w:u w:val="single"/>
                      <w:lang w:val="en-GB"/>
                    </w:rPr>
                    <w:t>松木污水处理厂</w:t>
                  </w:r>
                </w:p>
              </w:tc>
              <w:tc>
                <w:tcPr>
                  <w:tcW w:w="914" w:type="dxa"/>
                  <w:tcBorders>
                    <w:tl2br w:val="nil"/>
                    <w:tr2bl w:val="nil"/>
                  </w:tcBorders>
                  <w:vAlign w:val="center"/>
                </w:tcPr>
                <w:p w14:paraId="2D3A2A66">
                  <w:pPr>
                    <w:pStyle w:val="16"/>
                    <w:spacing w:after="0"/>
                    <w:ind w:left="0" w:leftChars="0"/>
                    <w:jc w:val="center"/>
                    <w:rPr>
                      <w:rFonts w:hint="default" w:eastAsia="宋体"/>
                      <w:sz w:val="21"/>
                      <w:szCs w:val="21"/>
                      <w:u w:val="single"/>
                      <w:lang w:val="en-US" w:eastAsia="zh-CN"/>
                    </w:rPr>
                  </w:pPr>
                  <w:r>
                    <w:rPr>
                      <w:rFonts w:hint="eastAsia"/>
                      <w:sz w:val="21"/>
                      <w:szCs w:val="21"/>
                      <w:u w:val="single"/>
                      <w:lang w:val="en-US" w:eastAsia="zh-CN"/>
                    </w:rPr>
                    <w:t>3</w:t>
                  </w:r>
                </w:p>
              </w:tc>
              <w:tc>
                <w:tcPr>
                  <w:tcW w:w="847" w:type="dxa"/>
                  <w:tcBorders>
                    <w:tl2br w:val="nil"/>
                    <w:tr2bl w:val="nil"/>
                  </w:tcBorders>
                  <w:vAlign w:val="center"/>
                </w:tcPr>
                <w:p w14:paraId="68FE9276">
                  <w:pPr>
                    <w:pStyle w:val="16"/>
                    <w:spacing w:after="0"/>
                    <w:ind w:left="0" w:leftChars="0"/>
                    <w:jc w:val="center"/>
                    <w:rPr>
                      <w:rFonts w:hint="default" w:eastAsia="宋体"/>
                      <w:sz w:val="21"/>
                      <w:szCs w:val="21"/>
                      <w:u w:val="single"/>
                      <w:lang w:val="en-US" w:eastAsia="zh-CN"/>
                    </w:rPr>
                  </w:pPr>
                  <w:r>
                    <w:rPr>
                      <w:rFonts w:hint="eastAsia"/>
                      <w:sz w:val="21"/>
                      <w:szCs w:val="21"/>
                      <w:u w:val="single"/>
                      <w:lang w:val="en-US" w:eastAsia="zh-CN"/>
                    </w:rPr>
                    <w:t>/</w:t>
                  </w:r>
                </w:p>
              </w:tc>
            </w:tr>
            <w:tr w14:paraId="29B94A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8" w:type="dxa"/>
                  <w:vMerge w:val="continue"/>
                  <w:tcBorders>
                    <w:tl2br w:val="nil"/>
                    <w:tr2bl w:val="nil"/>
                  </w:tcBorders>
                  <w:vAlign w:val="center"/>
                </w:tcPr>
                <w:p w14:paraId="25C5D1BB">
                  <w:pPr>
                    <w:pStyle w:val="16"/>
                    <w:spacing w:after="0"/>
                    <w:ind w:left="0" w:leftChars="0"/>
                    <w:jc w:val="center"/>
                    <w:rPr>
                      <w:sz w:val="21"/>
                      <w:szCs w:val="21"/>
                      <w:u w:val="single"/>
                      <w:lang w:val="en-GB"/>
                    </w:rPr>
                  </w:pPr>
                </w:p>
              </w:tc>
              <w:tc>
                <w:tcPr>
                  <w:tcW w:w="848" w:type="dxa"/>
                  <w:tcBorders>
                    <w:tl2br w:val="nil"/>
                    <w:tr2bl w:val="nil"/>
                  </w:tcBorders>
                  <w:vAlign w:val="center"/>
                </w:tcPr>
                <w:p w14:paraId="1C78E552">
                  <w:pPr>
                    <w:pStyle w:val="16"/>
                    <w:spacing w:after="0"/>
                    <w:ind w:left="0" w:leftChars="0"/>
                    <w:jc w:val="center"/>
                    <w:rPr>
                      <w:sz w:val="21"/>
                      <w:szCs w:val="21"/>
                      <w:u w:val="single"/>
                    </w:rPr>
                  </w:pPr>
                  <w:r>
                    <w:rPr>
                      <w:rFonts w:hint="eastAsia"/>
                      <w:sz w:val="21"/>
                      <w:szCs w:val="21"/>
                      <w:u w:val="single"/>
                      <w:lang w:val="en-US" w:eastAsia="zh-CN"/>
                    </w:rPr>
                    <w:t>COD</w:t>
                  </w:r>
                </w:p>
              </w:tc>
              <w:tc>
                <w:tcPr>
                  <w:tcW w:w="794" w:type="dxa"/>
                  <w:tcBorders>
                    <w:tl2br w:val="nil"/>
                    <w:tr2bl w:val="nil"/>
                  </w:tcBorders>
                  <w:vAlign w:val="center"/>
                </w:tcPr>
                <w:p w14:paraId="4C914926">
                  <w:pPr>
                    <w:widowControl/>
                    <w:jc w:val="center"/>
                    <w:textAlignment w:val="center"/>
                    <w:rPr>
                      <w:rFonts w:hint="default" w:eastAsia="宋体"/>
                      <w:sz w:val="21"/>
                      <w:szCs w:val="21"/>
                      <w:u w:val="single"/>
                      <w:lang w:val="en-US" w:eastAsia="zh-CN"/>
                    </w:rPr>
                  </w:pPr>
                  <w:r>
                    <w:rPr>
                      <w:rFonts w:hint="eastAsia"/>
                      <w:sz w:val="21"/>
                      <w:szCs w:val="21"/>
                      <w:u w:val="single"/>
                      <w:lang w:val="en-US" w:eastAsia="zh-CN"/>
                    </w:rPr>
                    <w:t>0.0012</w:t>
                  </w:r>
                </w:p>
              </w:tc>
              <w:tc>
                <w:tcPr>
                  <w:tcW w:w="962" w:type="dxa"/>
                  <w:tcBorders>
                    <w:tl2br w:val="nil"/>
                    <w:tr2bl w:val="nil"/>
                  </w:tcBorders>
                  <w:vAlign w:val="center"/>
                </w:tcPr>
                <w:p w14:paraId="2DEA9F95">
                  <w:pPr>
                    <w:pStyle w:val="16"/>
                    <w:spacing w:after="0"/>
                    <w:ind w:left="0" w:leftChars="0"/>
                    <w:jc w:val="center"/>
                    <w:rPr>
                      <w:rFonts w:hint="default" w:eastAsia="宋体"/>
                      <w:sz w:val="21"/>
                      <w:szCs w:val="21"/>
                      <w:u w:val="single"/>
                      <w:lang w:val="en-US" w:eastAsia="zh-CN"/>
                    </w:rPr>
                  </w:pPr>
                  <w:r>
                    <w:rPr>
                      <w:rFonts w:hint="eastAsia"/>
                      <w:sz w:val="21"/>
                      <w:szCs w:val="21"/>
                      <w:u w:val="single"/>
                      <w:lang w:val="en-US" w:eastAsia="zh-CN"/>
                    </w:rPr>
                    <w:t>400</w:t>
                  </w:r>
                </w:p>
              </w:tc>
              <w:tc>
                <w:tcPr>
                  <w:tcW w:w="1006" w:type="dxa"/>
                  <w:vMerge w:val="continue"/>
                  <w:tcBorders>
                    <w:tl2br w:val="nil"/>
                    <w:tr2bl w:val="nil"/>
                  </w:tcBorders>
                  <w:vAlign w:val="center"/>
                </w:tcPr>
                <w:p w14:paraId="081B5EA0">
                  <w:pPr>
                    <w:pStyle w:val="16"/>
                    <w:spacing w:after="0"/>
                    <w:ind w:left="0" w:leftChars="0"/>
                    <w:jc w:val="center"/>
                    <w:rPr>
                      <w:sz w:val="21"/>
                      <w:szCs w:val="21"/>
                      <w:u w:val="single"/>
                      <w:lang w:val="en-GB"/>
                    </w:rPr>
                  </w:pPr>
                </w:p>
              </w:tc>
              <w:tc>
                <w:tcPr>
                  <w:tcW w:w="710" w:type="dxa"/>
                  <w:tcBorders>
                    <w:tl2br w:val="nil"/>
                    <w:tr2bl w:val="nil"/>
                  </w:tcBorders>
                  <w:vAlign w:val="center"/>
                </w:tcPr>
                <w:p w14:paraId="1F21F8FF">
                  <w:pPr>
                    <w:pStyle w:val="16"/>
                    <w:spacing w:after="0"/>
                    <w:ind w:left="0" w:leftChars="0"/>
                    <w:jc w:val="center"/>
                    <w:rPr>
                      <w:rFonts w:hint="default"/>
                      <w:sz w:val="21"/>
                      <w:szCs w:val="21"/>
                      <w:u w:val="single"/>
                      <w:lang w:val="en-US"/>
                    </w:rPr>
                  </w:pPr>
                  <w:r>
                    <w:rPr>
                      <w:rFonts w:hint="eastAsia"/>
                      <w:sz w:val="21"/>
                      <w:szCs w:val="21"/>
                      <w:u w:val="single"/>
                      <w:lang w:val="en-US" w:eastAsia="zh-CN"/>
                    </w:rPr>
                    <w:t>98.64</w:t>
                  </w:r>
                </w:p>
              </w:tc>
              <w:tc>
                <w:tcPr>
                  <w:tcW w:w="899" w:type="dxa"/>
                  <w:tcBorders>
                    <w:tl2br w:val="nil"/>
                    <w:tr2bl w:val="nil"/>
                  </w:tcBorders>
                  <w:vAlign w:val="center"/>
                </w:tcPr>
                <w:p w14:paraId="3B6A3457">
                  <w:pPr>
                    <w:widowControl/>
                    <w:jc w:val="center"/>
                    <w:textAlignment w:val="center"/>
                    <w:rPr>
                      <w:rFonts w:hint="default" w:eastAsia="宋体"/>
                      <w:sz w:val="21"/>
                      <w:szCs w:val="21"/>
                      <w:u w:val="single"/>
                      <w:lang w:val="en-US" w:eastAsia="zh-CN"/>
                    </w:rPr>
                  </w:pPr>
                  <w:r>
                    <w:rPr>
                      <w:rFonts w:hint="eastAsia"/>
                      <w:sz w:val="21"/>
                      <w:szCs w:val="21"/>
                      <w:u w:val="single"/>
                      <w:lang w:val="en-US" w:eastAsia="zh-CN"/>
                    </w:rPr>
                    <w:t>0.00002</w:t>
                  </w:r>
                </w:p>
              </w:tc>
              <w:tc>
                <w:tcPr>
                  <w:tcW w:w="805" w:type="dxa"/>
                  <w:tcBorders>
                    <w:tl2br w:val="nil"/>
                    <w:tr2bl w:val="nil"/>
                  </w:tcBorders>
                  <w:vAlign w:val="center"/>
                </w:tcPr>
                <w:p w14:paraId="2A055BC2">
                  <w:pPr>
                    <w:widowControl/>
                    <w:jc w:val="center"/>
                    <w:textAlignment w:val="center"/>
                    <w:rPr>
                      <w:rFonts w:hint="default" w:eastAsia="宋体"/>
                      <w:sz w:val="21"/>
                      <w:szCs w:val="21"/>
                      <w:u w:val="single"/>
                      <w:lang w:val="en-US" w:eastAsia="zh-CN"/>
                    </w:rPr>
                  </w:pPr>
                  <w:r>
                    <w:rPr>
                      <w:rFonts w:hint="eastAsia"/>
                      <w:sz w:val="21"/>
                      <w:szCs w:val="21"/>
                      <w:u w:val="single"/>
                      <w:lang w:val="en-US" w:eastAsia="zh-CN"/>
                    </w:rPr>
                    <w:t>5.44</w:t>
                  </w:r>
                </w:p>
              </w:tc>
              <w:tc>
                <w:tcPr>
                  <w:tcW w:w="736" w:type="dxa"/>
                  <w:vMerge w:val="continue"/>
                  <w:tcBorders>
                    <w:tl2br w:val="nil"/>
                    <w:tr2bl w:val="nil"/>
                  </w:tcBorders>
                  <w:vAlign w:val="center"/>
                </w:tcPr>
                <w:p w14:paraId="7325F71E">
                  <w:pPr>
                    <w:pStyle w:val="16"/>
                    <w:spacing w:after="0"/>
                    <w:ind w:left="0" w:leftChars="0"/>
                    <w:jc w:val="center"/>
                    <w:rPr>
                      <w:sz w:val="21"/>
                      <w:szCs w:val="21"/>
                      <w:u w:val="single"/>
                      <w:lang w:val="en-GB"/>
                    </w:rPr>
                  </w:pPr>
                </w:p>
              </w:tc>
              <w:tc>
                <w:tcPr>
                  <w:tcW w:w="914" w:type="dxa"/>
                  <w:tcBorders>
                    <w:tl2br w:val="nil"/>
                    <w:tr2bl w:val="nil"/>
                  </w:tcBorders>
                  <w:vAlign w:val="center"/>
                </w:tcPr>
                <w:p w14:paraId="1FED582A">
                  <w:pPr>
                    <w:pStyle w:val="16"/>
                    <w:spacing w:after="0"/>
                    <w:ind w:left="0" w:leftChars="0"/>
                    <w:jc w:val="center"/>
                    <w:rPr>
                      <w:rFonts w:hint="default" w:eastAsia="宋体"/>
                      <w:sz w:val="21"/>
                      <w:szCs w:val="21"/>
                      <w:u w:val="single"/>
                      <w:lang w:val="en-US" w:eastAsia="zh-CN"/>
                    </w:rPr>
                  </w:pPr>
                  <w:r>
                    <w:rPr>
                      <w:rFonts w:hint="eastAsia"/>
                      <w:sz w:val="21"/>
                      <w:szCs w:val="21"/>
                      <w:u w:val="single"/>
                      <w:lang w:val="en-US" w:eastAsia="zh-CN"/>
                    </w:rPr>
                    <w:t>0.00015</w:t>
                  </w:r>
                </w:p>
              </w:tc>
              <w:tc>
                <w:tcPr>
                  <w:tcW w:w="847" w:type="dxa"/>
                  <w:tcBorders>
                    <w:tl2br w:val="nil"/>
                    <w:tr2bl w:val="nil"/>
                  </w:tcBorders>
                  <w:vAlign w:val="center"/>
                </w:tcPr>
                <w:p w14:paraId="5E575CF7">
                  <w:pPr>
                    <w:pStyle w:val="16"/>
                    <w:spacing w:after="0"/>
                    <w:ind w:left="0" w:leftChars="0"/>
                    <w:jc w:val="center"/>
                    <w:rPr>
                      <w:rFonts w:hint="default" w:eastAsia="宋体"/>
                      <w:sz w:val="21"/>
                      <w:szCs w:val="21"/>
                      <w:u w:val="single"/>
                      <w:lang w:val="en-US" w:eastAsia="zh-CN"/>
                    </w:rPr>
                  </w:pPr>
                  <w:r>
                    <w:rPr>
                      <w:rFonts w:hint="eastAsia"/>
                      <w:sz w:val="21"/>
                      <w:szCs w:val="21"/>
                      <w:u w:val="single"/>
                      <w:lang w:val="en-US" w:eastAsia="zh-CN"/>
                    </w:rPr>
                    <w:t>50</w:t>
                  </w:r>
                </w:p>
              </w:tc>
            </w:tr>
            <w:tr w14:paraId="588B4B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8" w:type="dxa"/>
                  <w:vMerge w:val="continue"/>
                  <w:tcBorders>
                    <w:tl2br w:val="nil"/>
                    <w:tr2bl w:val="nil"/>
                  </w:tcBorders>
                  <w:vAlign w:val="center"/>
                </w:tcPr>
                <w:p w14:paraId="7A248132">
                  <w:pPr>
                    <w:pStyle w:val="16"/>
                    <w:spacing w:after="0"/>
                    <w:ind w:left="0" w:leftChars="0"/>
                    <w:jc w:val="center"/>
                    <w:rPr>
                      <w:sz w:val="21"/>
                      <w:szCs w:val="21"/>
                      <w:u w:val="single"/>
                      <w:lang w:val="en-GB"/>
                    </w:rPr>
                  </w:pPr>
                </w:p>
              </w:tc>
              <w:tc>
                <w:tcPr>
                  <w:tcW w:w="848" w:type="dxa"/>
                  <w:tcBorders>
                    <w:tl2br w:val="nil"/>
                    <w:tr2bl w:val="nil"/>
                  </w:tcBorders>
                  <w:vAlign w:val="center"/>
                </w:tcPr>
                <w:p w14:paraId="1125A37A">
                  <w:pPr>
                    <w:pStyle w:val="16"/>
                    <w:spacing w:after="0"/>
                    <w:ind w:left="0" w:leftChars="0"/>
                    <w:jc w:val="center"/>
                    <w:rPr>
                      <w:rFonts w:hint="default" w:eastAsia="宋体"/>
                      <w:sz w:val="21"/>
                      <w:szCs w:val="21"/>
                      <w:u w:val="single"/>
                      <w:vertAlign w:val="subscript"/>
                      <w:lang w:val="en-US" w:eastAsia="zh-CN"/>
                    </w:rPr>
                  </w:pPr>
                  <w:r>
                    <w:rPr>
                      <w:rFonts w:hint="eastAsia"/>
                      <w:sz w:val="21"/>
                      <w:szCs w:val="21"/>
                      <w:u w:val="single"/>
                      <w:vertAlign w:val="baseline"/>
                      <w:lang w:val="en-US" w:eastAsia="zh-CN"/>
                    </w:rPr>
                    <w:t>SS</w:t>
                  </w:r>
                </w:p>
              </w:tc>
              <w:tc>
                <w:tcPr>
                  <w:tcW w:w="794" w:type="dxa"/>
                  <w:tcBorders>
                    <w:tl2br w:val="nil"/>
                    <w:tr2bl w:val="nil"/>
                  </w:tcBorders>
                  <w:vAlign w:val="center"/>
                </w:tcPr>
                <w:p w14:paraId="1AA4467E">
                  <w:pPr>
                    <w:widowControl/>
                    <w:jc w:val="center"/>
                    <w:textAlignment w:val="center"/>
                    <w:rPr>
                      <w:rFonts w:hint="default" w:eastAsia="宋体"/>
                      <w:sz w:val="21"/>
                      <w:szCs w:val="21"/>
                      <w:u w:val="single"/>
                      <w:lang w:val="en-US" w:eastAsia="zh-CN"/>
                    </w:rPr>
                  </w:pPr>
                  <w:r>
                    <w:rPr>
                      <w:rFonts w:hint="eastAsia"/>
                      <w:sz w:val="21"/>
                      <w:szCs w:val="21"/>
                      <w:u w:val="single"/>
                      <w:lang w:val="en-US" w:eastAsia="zh-CN"/>
                    </w:rPr>
                    <w:t>0.0003</w:t>
                  </w:r>
                </w:p>
              </w:tc>
              <w:tc>
                <w:tcPr>
                  <w:tcW w:w="962" w:type="dxa"/>
                  <w:tcBorders>
                    <w:tl2br w:val="nil"/>
                    <w:tr2bl w:val="nil"/>
                  </w:tcBorders>
                  <w:vAlign w:val="center"/>
                </w:tcPr>
                <w:p w14:paraId="40055256">
                  <w:pPr>
                    <w:pStyle w:val="16"/>
                    <w:spacing w:after="0"/>
                    <w:ind w:left="0" w:leftChars="0"/>
                    <w:jc w:val="center"/>
                    <w:rPr>
                      <w:rFonts w:hint="default" w:eastAsia="宋体"/>
                      <w:sz w:val="21"/>
                      <w:szCs w:val="21"/>
                      <w:u w:val="single"/>
                      <w:lang w:val="en-US" w:eastAsia="zh-CN"/>
                    </w:rPr>
                  </w:pPr>
                  <w:r>
                    <w:rPr>
                      <w:rFonts w:hint="eastAsia"/>
                      <w:sz w:val="21"/>
                      <w:szCs w:val="21"/>
                      <w:u w:val="single"/>
                      <w:lang w:val="en-US" w:eastAsia="zh-CN"/>
                    </w:rPr>
                    <w:t>100</w:t>
                  </w:r>
                </w:p>
              </w:tc>
              <w:tc>
                <w:tcPr>
                  <w:tcW w:w="1006" w:type="dxa"/>
                  <w:vMerge w:val="continue"/>
                  <w:tcBorders>
                    <w:tl2br w:val="nil"/>
                    <w:tr2bl w:val="nil"/>
                  </w:tcBorders>
                  <w:vAlign w:val="center"/>
                </w:tcPr>
                <w:p w14:paraId="34B9D52B">
                  <w:pPr>
                    <w:pStyle w:val="16"/>
                    <w:spacing w:after="0"/>
                    <w:ind w:left="0" w:leftChars="0"/>
                    <w:jc w:val="center"/>
                    <w:rPr>
                      <w:sz w:val="21"/>
                      <w:szCs w:val="21"/>
                      <w:u w:val="single"/>
                      <w:lang w:val="en-GB"/>
                    </w:rPr>
                  </w:pPr>
                </w:p>
              </w:tc>
              <w:tc>
                <w:tcPr>
                  <w:tcW w:w="710" w:type="dxa"/>
                  <w:tcBorders>
                    <w:tl2br w:val="nil"/>
                    <w:tr2bl w:val="nil"/>
                  </w:tcBorders>
                  <w:vAlign w:val="center"/>
                </w:tcPr>
                <w:p w14:paraId="01F8BBC4">
                  <w:pPr>
                    <w:pStyle w:val="16"/>
                    <w:spacing w:after="0"/>
                    <w:ind w:left="0" w:leftChars="0"/>
                    <w:jc w:val="center"/>
                    <w:rPr>
                      <w:rFonts w:hint="default" w:eastAsia="宋体"/>
                      <w:sz w:val="21"/>
                      <w:szCs w:val="21"/>
                      <w:u w:val="single"/>
                      <w:lang w:val="en-US" w:eastAsia="zh-CN"/>
                    </w:rPr>
                  </w:pPr>
                  <w:r>
                    <w:rPr>
                      <w:rFonts w:hint="eastAsia"/>
                      <w:sz w:val="21"/>
                      <w:szCs w:val="21"/>
                      <w:u w:val="single"/>
                      <w:lang w:val="en-US" w:eastAsia="zh-CN"/>
                    </w:rPr>
                    <w:t>96</w:t>
                  </w:r>
                </w:p>
              </w:tc>
              <w:tc>
                <w:tcPr>
                  <w:tcW w:w="899" w:type="dxa"/>
                  <w:tcBorders>
                    <w:tl2br w:val="nil"/>
                    <w:tr2bl w:val="nil"/>
                  </w:tcBorders>
                  <w:vAlign w:val="center"/>
                </w:tcPr>
                <w:p w14:paraId="38DBFA29">
                  <w:pPr>
                    <w:widowControl/>
                    <w:jc w:val="center"/>
                    <w:textAlignment w:val="center"/>
                    <w:rPr>
                      <w:rFonts w:hint="default" w:eastAsia="宋体"/>
                      <w:sz w:val="21"/>
                      <w:szCs w:val="21"/>
                      <w:u w:val="single"/>
                      <w:lang w:val="en-US" w:eastAsia="zh-CN"/>
                    </w:rPr>
                  </w:pPr>
                  <w:r>
                    <w:rPr>
                      <w:rFonts w:hint="eastAsia"/>
                      <w:sz w:val="21"/>
                      <w:szCs w:val="21"/>
                      <w:u w:val="single"/>
                      <w:lang w:val="en-US" w:eastAsia="zh-CN"/>
                    </w:rPr>
                    <w:t>0.00001</w:t>
                  </w:r>
                </w:p>
              </w:tc>
              <w:tc>
                <w:tcPr>
                  <w:tcW w:w="805" w:type="dxa"/>
                  <w:tcBorders>
                    <w:tl2br w:val="nil"/>
                    <w:tr2bl w:val="nil"/>
                  </w:tcBorders>
                  <w:vAlign w:val="center"/>
                </w:tcPr>
                <w:p w14:paraId="1726A7A4">
                  <w:pPr>
                    <w:widowControl/>
                    <w:jc w:val="center"/>
                    <w:textAlignment w:val="center"/>
                    <w:rPr>
                      <w:rFonts w:hint="default" w:eastAsia="宋体"/>
                      <w:sz w:val="21"/>
                      <w:szCs w:val="21"/>
                      <w:u w:val="single"/>
                      <w:lang w:val="en-US" w:eastAsia="zh-CN"/>
                    </w:rPr>
                  </w:pPr>
                  <w:r>
                    <w:rPr>
                      <w:rFonts w:hint="eastAsia"/>
                      <w:sz w:val="21"/>
                      <w:szCs w:val="21"/>
                      <w:u w:val="single"/>
                      <w:lang w:val="en-US" w:eastAsia="zh-CN"/>
                    </w:rPr>
                    <w:t>4</w:t>
                  </w:r>
                </w:p>
              </w:tc>
              <w:tc>
                <w:tcPr>
                  <w:tcW w:w="736" w:type="dxa"/>
                  <w:vMerge w:val="continue"/>
                  <w:tcBorders>
                    <w:tl2br w:val="nil"/>
                    <w:tr2bl w:val="nil"/>
                  </w:tcBorders>
                  <w:vAlign w:val="center"/>
                </w:tcPr>
                <w:p w14:paraId="6C34E3C0">
                  <w:pPr>
                    <w:pStyle w:val="16"/>
                    <w:spacing w:after="0"/>
                    <w:ind w:left="0" w:leftChars="0"/>
                    <w:jc w:val="center"/>
                    <w:rPr>
                      <w:sz w:val="21"/>
                      <w:szCs w:val="21"/>
                      <w:u w:val="single"/>
                      <w:lang w:val="en-GB"/>
                    </w:rPr>
                  </w:pPr>
                </w:p>
              </w:tc>
              <w:tc>
                <w:tcPr>
                  <w:tcW w:w="914" w:type="dxa"/>
                  <w:tcBorders>
                    <w:tl2br w:val="nil"/>
                    <w:tr2bl w:val="nil"/>
                  </w:tcBorders>
                  <w:vAlign w:val="center"/>
                </w:tcPr>
                <w:p w14:paraId="5D9195FE">
                  <w:pPr>
                    <w:pStyle w:val="16"/>
                    <w:spacing w:after="0"/>
                    <w:ind w:left="0" w:leftChars="0"/>
                    <w:jc w:val="center"/>
                    <w:rPr>
                      <w:rFonts w:hint="default" w:eastAsia="宋体"/>
                      <w:sz w:val="21"/>
                      <w:szCs w:val="21"/>
                      <w:u w:val="single"/>
                      <w:lang w:val="en-US" w:eastAsia="zh-CN"/>
                    </w:rPr>
                  </w:pPr>
                  <w:r>
                    <w:rPr>
                      <w:rFonts w:hint="eastAsia"/>
                      <w:sz w:val="21"/>
                      <w:szCs w:val="21"/>
                      <w:u w:val="single"/>
                      <w:lang w:val="en-US" w:eastAsia="zh-CN"/>
                    </w:rPr>
                    <w:t>0.00003</w:t>
                  </w:r>
                </w:p>
              </w:tc>
              <w:tc>
                <w:tcPr>
                  <w:tcW w:w="847" w:type="dxa"/>
                  <w:tcBorders>
                    <w:tl2br w:val="nil"/>
                    <w:tr2bl w:val="nil"/>
                  </w:tcBorders>
                  <w:vAlign w:val="center"/>
                </w:tcPr>
                <w:p w14:paraId="601E0788">
                  <w:pPr>
                    <w:pStyle w:val="16"/>
                    <w:spacing w:after="0"/>
                    <w:ind w:left="0" w:leftChars="0"/>
                    <w:jc w:val="center"/>
                    <w:rPr>
                      <w:rFonts w:hint="default" w:eastAsia="宋体"/>
                      <w:sz w:val="21"/>
                      <w:szCs w:val="21"/>
                      <w:u w:val="single"/>
                      <w:lang w:val="en-US" w:eastAsia="zh-CN"/>
                    </w:rPr>
                  </w:pPr>
                  <w:r>
                    <w:rPr>
                      <w:rFonts w:hint="eastAsia"/>
                      <w:sz w:val="21"/>
                      <w:szCs w:val="21"/>
                      <w:u w:val="single"/>
                      <w:lang w:val="en-US" w:eastAsia="zh-CN"/>
                    </w:rPr>
                    <w:t>10</w:t>
                  </w:r>
                </w:p>
              </w:tc>
            </w:tr>
            <w:tr w14:paraId="2877B2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8" w:type="dxa"/>
                  <w:vMerge w:val="restart"/>
                  <w:tcBorders>
                    <w:tl2br w:val="nil"/>
                    <w:tr2bl w:val="nil"/>
                  </w:tcBorders>
                  <w:vAlign w:val="center"/>
                </w:tcPr>
                <w:p w14:paraId="114D483B">
                  <w:pPr>
                    <w:pStyle w:val="16"/>
                    <w:spacing w:after="0"/>
                    <w:ind w:left="0" w:leftChars="0"/>
                    <w:jc w:val="center"/>
                    <w:rPr>
                      <w:sz w:val="21"/>
                      <w:szCs w:val="21"/>
                      <w:u w:val="single"/>
                      <w:lang w:val="en-GB"/>
                    </w:rPr>
                  </w:pPr>
                  <w:r>
                    <w:rPr>
                      <w:rFonts w:hint="eastAsia"/>
                      <w:sz w:val="21"/>
                      <w:szCs w:val="21"/>
                      <w:u w:val="single"/>
                      <w:lang w:val="en-GB" w:eastAsia="zh-CN"/>
                    </w:rPr>
                    <w:t>化验废水</w:t>
                  </w:r>
                </w:p>
              </w:tc>
              <w:tc>
                <w:tcPr>
                  <w:tcW w:w="848" w:type="dxa"/>
                  <w:tcBorders>
                    <w:tl2br w:val="nil"/>
                    <w:tr2bl w:val="nil"/>
                  </w:tcBorders>
                  <w:shd w:val="clear" w:color="auto" w:fill="auto"/>
                  <w:vAlign w:val="center"/>
                </w:tcPr>
                <w:p w14:paraId="1C62CA73">
                  <w:pPr>
                    <w:pStyle w:val="16"/>
                    <w:spacing w:after="0"/>
                    <w:ind w:left="0" w:leftChars="0"/>
                    <w:jc w:val="center"/>
                    <w:rPr>
                      <w:rFonts w:hint="eastAsia" w:ascii="Times New Roman" w:hAnsi="Times New Roman" w:eastAsia="宋体" w:cs="Times New Roman"/>
                      <w:kern w:val="0"/>
                      <w:sz w:val="21"/>
                      <w:szCs w:val="21"/>
                      <w:u w:val="single"/>
                      <w:lang w:val="en-US" w:eastAsia="zh-CN" w:bidi="ar-SA"/>
                    </w:rPr>
                  </w:pPr>
                  <w:r>
                    <w:rPr>
                      <w:rFonts w:hint="eastAsia"/>
                      <w:sz w:val="21"/>
                      <w:szCs w:val="21"/>
                      <w:u w:val="single"/>
                      <w:lang w:val="en-US" w:eastAsia="zh-CN"/>
                    </w:rPr>
                    <w:t>水量</w:t>
                  </w:r>
                </w:p>
              </w:tc>
              <w:tc>
                <w:tcPr>
                  <w:tcW w:w="794" w:type="dxa"/>
                  <w:tcBorders>
                    <w:tl2br w:val="nil"/>
                    <w:tr2bl w:val="nil"/>
                  </w:tcBorders>
                  <w:shd w:val="clear" w:color="auto" w:fill="auto"/>
                  <w:vAlign w:val="center"/>
                </w:tcPr>
                <w:p w14:paraId="56C189F2">
                  <w:pPr>
                    <w:pStyle w:val="16"/>
                    <w:spacing w:after="0"/>
                    <w:ind w:left="0" w:leftChars="0"/>
                    <w:jc w:val="center"/>
                    <w:rPr>
                      <w:rFonts w:hint="default" w:ascii="Times New Roman" w:hAnsi="Times New Roman" w:eastAsia="宋体" w:cs="Times New Roman"/>
                      <w:kern w:val="0"/>
                      <w:sz w:val="21"/>
                      <w:szCs w:val="21"/>
                      <w:u w:val="single"/>
                      <w:lang w:val="en-US" w:eastAsia="zh-CN" w:bidi="ar-SA"/>
                    </w:rPr>
                  </w:pPr>
                  <w:r>
                    <w:rPr>
                      <w:rFonts w:hint="eastAsia"/>
                      <w:sz w:val="21"/>
                      <w:szCs w:val="21"/>
                      <w:u w:val="single"/>
                      <w:lang w:val="en-US" w:eastAsia="zh-CN"/>
                    </w:rPr>
                    <w:t>16.65</w:t>
                  </w:r>
                </w:p>
              </w:tc>
              <w:tc>
                <w:tcPr>
                  <w:tcW w:w="962" w:type="dxa"/>
                  <w:tcBorders>
                    <w:tl2br w:val="nil"/>
                    <w:tr2bl w:val="nil"/>
                  </w:tcBorders>
                  <w:shd w:val="clear" w:color="auto" w:fill="auto"/>
                  <w:vAlign w:val="center"/>
                </w:tcPr>
                <w:p w14:paraId="188794E3">
                  <w:pPr>
                    <w:pStyle w:val="16"/>
                    <w:spacing w:after="0"/>
                    <w:ind w:left="0" w:leftChars="0"/>
                    <w:jc w:val="center"/>
                    <w:rPr>
                      <w:rFonts w:hint="eastAsia" w:ascii="Times New Roman" w:hAnsi="Times New Roman" w:eastAsia="宋体" w:cs="Times New Roman"/>
                      <w:kern w:val="0"/>
                      <w:sz w:val="21"/>
                      <w:szCs w:val="21"/>
                      <w:u w:val="single"/>
                      <w:lang w:val="en-US" w:eastAsia="zh-CN" w:bidi="ar-SA"/>
                    </w:rPr>
                  </w:pPr>
                  <w:r>
                    <w:rPr>
                      <w:rFonts w:hint="eastAsia"/>
                      <w:sz w:val="21"/>
                      <w:szCs w:val="21"/>
                      <w:u w:val="single"/>
                      <w:lang w:val="en-US" w:eastAsia="zh-CN"/>
                    </w:rPr>
                    <w:t>/</w:t>
                  </w:r>
                </w:p>
              </w:tc>
              <w:tc>
                <w:tcPr>
                  <w:tcW w:w="1006" w:type="dxa"/>
                  <w:vMerge w:val="continue"/>
                  <w:tcBorders>
                    <w:tl2br w:val="nil"/>
                    <w:tr2bl w:val="nil"/>
                  </w:tcBorders>
                  <w:vAlign w:val="center"/>
                </w:tcPr>
                <w:p w14:paraId="0C32DF00">
                  <w:pPr>
                    <w:pStyle w:val="16"/>
                    <w:spacing w:after="0"/>
                    <w:ind w:left="0" w:leftChars="0"/>
                    <w:jc w:val="center"/>
                    <w:rPr>
                      <w:sz w:val="21"/>
                      <w:szCs w:val="21"/>
                      <w:u w:val="single"/>
                      <w:lang w:val="en-GB"/>
                    </w:rPr>
                  </w:pPr>
                </w:p>
              </w:tc>
              <w:tc>
                <w:tcPr>
                  <w:tcW w:w="710" w:type="dxa"/>
                  <w:tcBorders>
                    <w:tl2br w:val="nil"/>
                    <w:tr2bl w:val="nil"/>
                  </w:tcBorders>
                  <w:vAlign w:val="center"/>
                </w:tcPr>
                <w:p w14:paraId="6FA88472">
                  <w:pPr>
                    <w:pStyle w:val="16"/>
                    <w:spacing w:after="0"/>
                    <w:ind w:left="0" w:leftChars="0"/>
                    <w:jc w:val="center"/>
                    <w:rPr>
                      <w:rFonts w:hint="eastAsia"/>
                      <w:sz w:val="21"/>
                      <w:szCs w:val="21"/>
                      <w:u w:val="single"/>
                      <w:lang w:val="en-US" w:eastAsia="zh-CN"/>
                    </w:rPr>
                  </w:pPr>
                  <w:r>
                    <w:rPr>
                      <w:rFonts w:hint="eastAsia"/>
                      <w:sz w:val="21"/>
                      <w:szCs w:val="21"/>
                      <w:u w:val="single"/>
                      <w:lang w:val="en-US" w:eastAsia="zh-CN"/>
                    </w:rPr>
                    <w:t>/</w:t>
                  </w:r>
                </w:p>
              </w:tc>
              <w:tc>
                <w:tcPr>
                  <w:tcW w:w="899" w:type="dxa"/>
                  <w:tcBorders>
                    <w:tl2br w:val="nil"/>
                    <w:tr2bl w:val="nil"/>
                  </w:tcBorders>
                  <w:vAlign w:val="center"/>
                </w:tcPr>
                <w:p w14:paraId="4C0EAEC6">
                  <w:pPr>
                    <w:pStyle w:val="16"/>
                    <w:spacing w:after="0"/>
                    <w:ind w:left="0" w:leftChars="0"/>
                    <w:jc w:val="center"/>
                    <w:rPr>
                      <w:rFonts w:hint="default"/>
                      <w:sz w:val="21"/>
                      <w:szCs w:val="21"/>
                      <w:u w:val="single"/>
                      <w:lang w:val="en-US" w:eastAsia="zh-CN"/>
                    </w:rPr>
                  </w:pPr>
                  <w:r>
                    <w:rPr>
                      <w:rFonts w:hint="eastAsia"/>
                      <w:sz w:val="21"/>
                      <w:szCs w:val="21"/>
                      <w:u w:val="single"/>
                      <w:lang w:val="en-US" w:eastAsia="zh-CN"/>
                    </w:rPr>
                    <w:t>16.65</w:t>
                  </w:r>
                </w:p>
              </w:tc>
              <w:tc>
                <w:tcPr>
                  <w:tcW w:w="805" w:type="dxa"/>
                  <w:tcBorders>
                    <w:tl2br w:val="nil"/>
                    <w:tr2bl w:val="nil"/>
                  </w:tcBorders>
                  <w:vAlign w:val="center"/>
                </w:tcPr>
                <w:p w14:paraId="25D7CA31">
                  <w:pPr>
                    <w:pStyle w:val="16"/>
                    <w:spacing w:after="0"/>
                    <w:ind w:left="0" w:leftChars="0"/>
                    <w:jc w:val="center"/>
                    <w:rPr>
                      <w:rFonts w:hint="eastAsia"/>
                      <w:sz w:val="21"/>
                      <w:szCs w:val="21"/>
                      <w:u w:val="single"/>
                      <w:lang w:val="en-US" w:eastAsia="zh-CN"/>
                    </w:rPr>
                  </w:pPr>
                  <w:r>
                    <w:rPr>
                      <w:rFonts w:hint="eastAsia"/>
                      <w:sz w:val="21"/>
                      <w:szCs w:val="21"/>
                      <w:u w:val="single"/>
                      <w:lang w:val="en-US" w:eastAsia="zh-CN"/>
                    </w:rPr>
                    <w:t>/</w:t>
                  </w:r>
                </w:p>
              </w:tc>
              <w:tc>
                <w:tcPr>
                  <w:tcW w:w="736" w:type="dxa"/>
                  <w:vMerge w:val="continue"/>
                  <w:tcBorders>
                    <w:tl2br w:val="nil"/>
                    <w:tr2bl w:val="nil"/>
                  </w:tcBorders>
                  <w:vAlign w:val="center"/>
                </w:tcPr>
                <w:p w14:paraId="0EB44268">
                  <w:pPr>
                    <w:pStyle w:val="16"/>
                    <w:spacing w:after="0"/>
                    <w:ind w:left="0" w:leftChars="0"/>
                    <w:jc w:val="center"/>
                    <w:rPr>
                      <w:sz w:val="21"/>
                      <w:szCs w:val="21"/>
                      <w:u w:val="single"/>
                      <w:lang w:val="en-GB"/>
                    </w:rPr>
                  </w:pPr>
                </w:p>
              </w:tc>
              <w:tc>
                <w:tcPr>
                  <w:tcW w:w="914" w:type="dxa"/>
                  <w:tcBorders>
                    <w:tl2br w:val="nil"/>
                    <w:tr2bl w:val="nil"/>
                  </w:tcBorders>
                  <w:vAlign w:val="center"/>
                </w:tcPr>
                <w:p w14:paraId="7952C7AB">
                  <w:pPr>
                    <w:pStyle w:val="16"/>
                    <w:spacing w:after="0"/>
                    <w:ind w:left="0" w:leftChars="0"/>
                    <w:jc w:val="center"/>
                    <w:rPr>
                      <w:rFonts w:hint="default"/>
                      <w:sz w:val="21"/>
                      <w:szCs w:val="21"/>
                      <w:u w:val="single"/>
                      <w:lang w:val="en-US" w:eastAsia="zh-CN"/>
                    </w:rPr>
                  </w:pPr>
                  <w:r>
                    <w:rPr>
                      <w:rFonts w:hint="eastAsia"/>
                      <w:sz w:val="21"/>
                      <w:szCs w:val="21"/>
                      <w:u w:val="single"/>
                      <w:lang w:val="en-US" w:eastAsia="zh-CN"/>
                    </w:rPr>
                    <w:t>16.65</w:t>
                  </w:r>
                </w:p>
              </w:tc>
              <w:tc>
                <w:tcPr>
                  <w:tcW w:w="847" w:type="dxa"/>
                  <w:tcBorders>
                    <w:tl2br w:val="nil"/>
                    <w:tr2bl w:val="nil"/>
                  </w:tcBorders>
                  <w:vAlign w:val="center"/>
                </w:tcPr>
                <w:p w14:paraId="6353D365">
                  <w:pPr>
                    <w:pStyle w:val="16"/>
                    <w:spacing w:after="0"/>
                    <w:ind w:left="0" w:leftChars="0"/>
                    <w:jc w:val="center"/>
                    <w:rPr>
                      <w:rFonts w:hint="eastAsia"/>
                      <w:sz w:val="21"/>
                      <w:szCs w:val="21"/>
                      <w:u w:val="single"/>
                      <w:lang w:val="en-US" w:eastAsia="zh-CN"/>
                    </w:rPr>
                  </w:pPr>
                  <w:r>
                    <w:rPr>
                      <w:rFonts w:hint="eastAsia"/>
                      <w:sz w:val="21"/>
                      <w:szCs w:val="21"/>
                      <w:u w:val="single"/>
                      <w:lang w:val="en-US" w:eastAsia="zh-CN"/>
                    </w:rPr>
                    <w:t>/</w:t>
                  </w:r>
                </w:p>
              </w:tc>
            </w:tr>
            <w:tr w14:paraId="3BE81A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8" w:type="dxa"/>
                  <w:vMerge w:val="continue"/>
                  <w:tcBorders>
                    <w:tl2br w:val="nil"/>
                    <w:tr2bl w:val="nil"/>
                  </w:tcBorders>
                  <w:vAlign w:val="center"/>
                </w:tcPr>
                <w:p w14:paraId="32248EC6">
                  <w:pPr>
                    <w:pStyle w:val="16"/>
                    <w:spacing w:after="0"/>
                    <w:ind w:left="0" w:leftChars="0"/>
                    <w:jc w:val="center"/>
                    <w:rPr>
                      <w:sz w:val="21"/>
                      <w:szCs w:val="21"/>
                      <w:u w:val="single"/>
                      <w:lang w:val="en-GB"/>
                    </w:rPr>
                  </w:pPr>
                </w:p>
              </w:tc>
              <w:tc>
                <w:tcPr>
                  <w:tcW w:w="848" w:type="dxa"/>
                  <w:tcBorders>
                    <w:tl2br w:val="nil"/>
                    <w:tr2bl w:val="nil"/>
                  </w:tcBorders>
                  <w:shd w:val="clear" w:color="auto" w:fill="auto"/>
                  <w:vAlign w:val="center"/>
                </w:tcPr>
                <w:p w14:paraId="4C30D2A8">
                  <w:pPr>
                    <w:pStyle w:val="16"/>
                    <w:spacing w:after="0"/>
                    <w:ind w:left="0" w:leftChars="0"/>
                    <w:jc w:val="center"/>
                    <w:rPr>
                      <w:rFonts w:hint="eastAsia" w:ascii="Times New Roman" w:hAnsi="Times New Roman" w:eastAsia="宋体" w:cs="Times New Roman"/>
                      <w:kern w:val="0"/>
                      <w:sz w:val="21"/>
                      <w:szCs w:val="21"/>
                      <w:u w:val="single"/>
                      <w:lang w:val="en-US" w:eastAsia="zh-CN" w:bidi="ar-SA"/>
                    </w:rPr>
                  </w:pPr>
                  <w:r>
                    <w:rPr>
                      <w:rFonts w:hint="eastAsia"/>
                      <w:sz w:val="21"/>
                      <w:szCs w:val="21"/>
                      <w:u w:val="single"/>
                      <w:lang w:val="en-US" w:eastAsia="zh-CN"/>
                    </w:rPr>
                    <w:t>COD</w:t>
                  </w:r>
                </w:p>
              </w:tc>
              <w:tc>
                <w:tcPr>
                  <w:tcW w:w="794" w:type="dxa"/>
                  <w:tcBorders>
                    <w:tl2br w:val="nil"/>
                    <w:tr2bl w:val="nil"/>
                  </w:tcBorders>
                  <w:shd w:val="clear" w:color="auto" w:fill="auto"/>
                  <w:vAlign w:val="center"/>
                </w:tcPr>
                <w:p w14:paraId="101DB0CF">
                  <w:pPr>
                    <w:widowControl/>
                    <w:jc w:val="center"/>
                    <w:textAlignment w:val="center"/>
                    <w:rPr>
                      <w:rFonts w:hint="default"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0.0167</w:t>
                  </w:r>
                </w:p>
              </w:tc>
              <w:tc>
                <w:tcPr>
                  <w:tcW w:w="962" w:type="dxa"/>
                  <w:tcBorders>
                    <w:tl2br w:val="nil"/>
                    <w:tr2bl w:val="nil"/>
                  </w:tcBorders>
                  <w:shd w:val="clear" w:color="auto" w:fill="auto"/>
                  <w:vAlign w:val="center"/>
                </w:tcPr>
                <w:p w14:paraId="5E733EB3">
                  <w:pPr>
                    <w:pStyle w:val="16"/>
                    <w:spacing w:after="0"/>
                    <w:ind w:left="0" w:leftChars="0"/>
                    <w:jc w:val="center"/>
                    <w:rPr>
                      <w:rFonts w:hint="eastAsia" w:ascii="Times New Roman" w:hAnsi="Times New Roman" w:eastAsia="宋体" w:cs="Times New Roman"/>
                      <w:kern w:val="0"/>
                      <w:sz w:val="21"/>
                      <w:szCs w:val="21"/>
                      <w:u w:val="single"/>
                      <w:lang w:val="en-US" w:eastAsia="zh-CN" w:bidi="ar-SA"/>
                    </w:rPr>
                  </w:pPr>
                  <w:r>
                    <w:rPr>
                      <w:rFonts w:hint="eastAsia"/>
                      <w:sz w:val="21"/>
                      <w:szCs w:val="21"/>
                      <w:u w:val="single"/>
                      <w:lang w:val="en-US" w:eastAsia="zh-CN"/>
                    </w:rPr>
                    <w:t>1000</w:t>
                  </w:r>
                </w:p>
              </w:tc>
              <w:tc>
                <w:tcPr>
                  <w:tcW w:w="1006" w:type="dxa"/>
                  <w:vMerge w:val="continue"/>
                  <w:tcBorders>
                    <w:tl2br w:val="nil"/>
                    <w:tr2bl w:val="nil"/>
                  </w:tcBorders>
                  <w:vAlign w:val="center"/>
                </w:tcPr>
                <w:p w14:paraId="3051417B">
                  <w:pPr>
                    <w:pStyle w:val="16"/>
                    <w:spacing w:after="0"/>
                    <w:ind w:left="0" w:leftChars="0"/>
                    <w:jc w:val="center"/>
                    <w:rPr>
                      <w:sz w:val="21"/>
                      <w:szCs w:val="21"/>
                      <w:u w:val="single"/>
                      <w:lang w:val="en-GB"/>
                    </w:rPr>
                  </w:pPr>
                </w:p>
              </w:tc>
              <w:tc>
                <w:tcPr>
                  <w:tcW w:w="710" w:type="dxa"/>
                  <w:tcBorders>
                    <w:tl2br w:val="nil"/>
                    <w:tr2bl w:val="nil"/>
                  </w:tcBorders>
                  <w:vAlign w:val="center"/>
                </w:tcPr>
                <w:p w14:paraId="4198F40C">
                  <w:pPr>
                    <w:pStyle w:val="16"/>
                    <w:spacing w:after="0"/>
                    <w:ind w:left="0" w:leftChars="0"/>
                    <w:jc w:val="center"/>
                    <w:rPr>
                      <w:rFonts w:hint="eastAsia"/>
                      <w:sz w:val="21"/>
                      <w:szCs w:val="21"/>
                      <w:u w:val="single"/>
                      <w:lang w:val="en-US" w:eastAsia="zh-CN"/>
                    </w:rPr>
                  </w:pPr>
                  <w:r>
                    <w:rPr>
                      <w:rFonts w:hint="eastAsia"/>
                      <w:sz w:val="21"/>
                      <w:szCs w:val="21"/>
                      <w:u w:val="single"/>
                      <w:lang w:val="en-US" w:eastAsia="zh-CN"/>
                    </w:rPr>
                    <w:t>98.64</w:t>
                  </w:r>
                </w:p>
              </w:tc>
              <w:tc>
                <w:tcPr>
                  <w:tcW w:w="899" w:type="dxa"/>
                  <w:tcBorders>
                    <w:tl2br w:val="nil"/>
                    <w:tr2bl w:val="nil"/>
                  </w:tcBorders>
                  <w:vAlign w:val="center"/>
                </w:tcPr>
                <w:p w14:paraId="60E04954">
                  <w:pPr>
                    <w:widowControl/>
                    <w:jc w:val="center"/>
                    <w:textAlignment w:val="center"/>
                    <w:rPr>
                      <w:rFonts w:hint="default"/>
                      <w:sz w:val="21"/>
                      <w:szCs w:val="21"/>
                      <w:u w:val="single"/>
                      <w:lang w:val="en-US" w:eastAsia="zh-CN"/>
                    </w:rPr>
                  </w:pPr>
                  <w:r>
                    <w:rPr>
                      <w:rFonts w:hint="eastAsia"/>
                      <w:sz w:val="21"/>
                      <w:szCs w:val="21"/>
                      <w:u w:val="single"/>
                      <w:lang w:val="en-US" w:eastAsia="zh-CN"/>
                    </w:rPr>
                    <w:t>0.0002</w:t>
                  </w:r>
                </w:p>
              </w:tc>
              <w:tc>
                <w:tcPr>
                  <w:tcW w:w="805" w:type="dxa"/>
                  <w:tcBorders>
                    <w:tl2br w:val="nil"/>
                    <w:tr2bl w:val="nil"/>
                  </w:tcBorders>
                  <w:vAlign w:val="center"/>
                </w:tcPr>
                <w:p w14:paraId="7A33151C">
                  <w:pPr>
                    <w:widowControl/>
                    <w:jc w:val="center"/>
                    <w:textAlignment w:val="center"/>
                    <w:rPr>
                      <w:rFonts w:hint="eastAsia"/>
                      <w:sz w:val="21"/>
                      <w:szCs w:val="21"/>
                      <w:u w:val="single"/>
                      <w:lang w:val="en-US" w:eastAsia="zh-CN"/>
                    </w:rPr>
                  </w:pPr>
                  <w:r>
                    <w:rPr>
                      <w:rFonts w:hint="eastAsia"/>
                      <w:sz w:val="21"/>
                      <w:szCs w:val="21"/>
                      <w:u w:val="single"/>
                      <w:lang w:val="en-US" w:eastAsia="zh-CN"/>
                    </w:rPr>
                    <w:t>13.6</w:t>
                  </w:r>
                </w:p>
              </w:tc>
              <w:tc>
                <w:tcPr>
                  <w:tcW w:w="736" w:type="dxa"/>
                  <w:vMerge w:val="continue"/>
                  <w:tcBorders>
                    <w:tl2br w:val="nil"/>
                    <w:tr2bl w:val="nil"/>
                  </w:tcBorders>
                  <w:vAlign w:val="center"/>
                </w:tcPr>
                <w:p w14:paraId="4E128C71">
                  <w:pPr>
                    <w:pStyle w:val="16"/>
                    <w:spacing w:after="0"/>
                    <w:ind w:left="0" w:leftChars="0"/>
                    <w:jc w:val="center"/>
                    <w:rPr>
                      <w:sz w:val="21"/>
                      <w:szCs w:val="21"/>
                      <w:u w:val="single"/>
                      <w:lang w:val="en-GB"/>
                    </w:rPr>
                  </w:pPr>
                </w:p>
              </w:tc>
              <w:tc>
                <w:tcPr>
                  <w:tcW w:w="914" w:type="dxa"/>
                  <w:tcBorders>
                    <w:tl2br w:val="nil"/>
                    <w:tr2bl w:val="nil"/>
                  </w:tcBorders>
                  <w:vAlign w:val="center"/>
                </w:tcPr>
                <w:p w14:paraId="0571C378">
                  <w:pPr>
                    <w:pStyle w:val="16"/>
                    <w:spacing w:after="0"/>
                    <w:ind w:left="0" w:leftChars="0"/>
                    <w:jc w:val="center"/>
                    <w:rPr>
                      <w:rFonts w:hint="default"/>
                      <w:sz w:val="21"/>
                      <w:szCs w:val="21"/>
                      <w:u w:val="single"/>
                      <w:lang w:val="en-US" w:eastAsia="zh-CN"/>
                    </w:rPr>
                  </w:pPr>
                  <w:r>
                    <w:rPr>
                      <w:rFonts w:hint="eastAsia"/>
                      <w:sz w:val="21"/>
                      <w:szCs w:val="21"/>
                      <w:u w:val="single"/>
                      <w:lang w:val="en-US" w:eastAsia="zh-CN"/>
                    </w:rPr>
                    <w:t>0.0008</w:t>
                  </w:r>
                </w:p>
              </w:tc>
              <w:tc>
                <w:tcPr>
                  <w:tcW w:w="847" w:type="dxa"/>
                  <w:tcBorders>
                    <w:tl2br w:val="nil"/>
                    <w:tr2bl w:val="nil"/>
                  </w:tcBorders>
                  <w:vAlign w:val="center"/>
                </w:tcPr>
                <w:p w14:paraId="191FCA1A">
                  <w:pPr>
                    <w:pStyle w:val="16"/>
                    <w:spacing w:after="0"/>
                    <w:ind w:left="0" w:leftChars="0"/>
                    <w:jc w:val="center"/>
                    <w:rPr>
                      <w:rFonts w:hint="eastAsia"/>
                      <w:sz w:val="21"/>
                      <w:szCs w:val="21"/>
                      <w:u w:val="single"/>
                      <w:lang w:val="en-US" w:eastAsia="zh-CN"/>
                    </w:rPr>
                  </w:pPr>
                  <w:r>
                    <w:rPr>
                      <w:rFonts w:hint="eastAsia"/>
                      <w:sz w:val="21"/>
                      <w:szCs w:val="21"/>
                      <w:u w:val="single"/>
                      <w:lang w:val="en-US" w:eastAsia="zh-CN"/>
                    </w:rPr>
                    <w:t>50</w:t>
                  </w:r>
                </w:p>
              </w:tc>
            </w:tr>
            <w:tr w14:paraId="04D579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8" w:type="dxa"/>
                  <w:vMerge w:val="continue"/>
                  <w:tcBorders>
                    <w:tl2br w:val="nil"/>
                    <w:tr2bl w:val="nil"/>
                  </w:tcBorders>
                  <w:vAlign w:val="center"/>
                </w:tcPr>
                <w:p w14:paraId="370D9AAA">
                  <w:pPr>
                    <w:pStyle w:val="16"/>
                    <w:spacing w:after="0"/>
                    <w:ind w:left="0" w:leftChars="0"/>
                    <w:jc w:val="center"/>
                    <w:rPr>
                      <w:sz w:val="21"/>
                      <w:szCs w:val="21"/>
                      <w:u w:val="single"/>
                      <w:lang w:val="en-GB"/>
                    </w:rPr>
                  </w:pPr>
                </w:p>
              </w:tc>
              <w:tc>
                <w:tcPr>
                  <w:tcW w:w="848" w:type="dxa"/>
                  <w:tcBorders>
                    <w:tl2br w:val="nil"/>
                    <w:tr2bl w:val="nil"/>
                  </w:tcBorders>
                  <w:shd w:val="clear" w:color="auto" w:fill="auto"/>
                  <w:vAlign w:val="center"/>
                </w:tcPr>
                <w:p w14:paraId="349F7EFA">
                  <w:pPr>
                    <w:pStyle w:val="16"/>
                    <w:spacing w:after="0"/>
                    <w:ind w:left="0" w:leftChars="0"/>
                    <w:jc w:val="center"/>
                    <w:rPr>
                      <w:rFonts w:hint="eastAsia" w:ascii="Times New Roman" w:hAnsi="Times New Roman" w:eastAsia="宋体" w:cs="Times New Roman"/>
                      <w:kern w:val="0"/>
                      <w:sz w:val="21"/>
                      <w:szCs w:val="21"/>
                      <w:u w:val="single"/>
                      <w:vertAlign w:val="subscript"/>
                      <w:lang w:val="en-US" w:eastAsia="zh-CN" w:bidi="ar-SA"/>
                    </w:rPr>
                  </w:pPr>
                  <w:r>
                    <w:rPr>
                      <w:rFonts w:hint="eastAsia"/>
                      <w:sz w:val="21"/>
                      <w:szCs w:val="21"/>
                      <w:u w:val="single"/>
                      <w:vertAlign w:val="baseline"/>
                      <w:lang w:val="en-US" w:eastAsia="zh-CN"/>
                    </w:rPr>
                    <w:t>SS</w:t>
                  </w:r>
                </w:p>
              </w:tc>
              <w:tc>
                <w:tcPr>
                  <w:tcW w:w="794" w:type="dxa"/>
                  <w:tcBorders>
                    <w:tl2br w:val="nil"/>
                    <w:tr2bl w:val="nil"/>
                  </w:tcBorders>
                  <w:shd w:val="clear" w:color="auto" w:fill="auto"/>
                  <w:vAlign w:val="center"/>
                </w:tcPr>
                <w:p w14:paraId="0A22925E">
                  <w:pPr>
                    <w:widowControl/>
                    <w:jc w:val="center"/>
                    <w:textAlignment w:val="center"/>
                    <w:rPr>
                      <w:rFonts w:hint="default"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0.0067</w:t>
                  </w:r>
                </w:p>
              </w:tc>
              <w:tc>
                <w:tcPr>
                  <w:tcW w:w="962" w:type="dxa"/>
                  <w:tcBorders>
                    <w:tl2br w:val="nil"/>
                    <w:tr2bl w:val="nil"/>
                  </w:tcBorders>
                  <w:shd w:val="clear" w:color="auto" w:fill="auto"/>
                  <w:vAlign w:val="center"/>
                </w:tcPr>
                <w:p w14:paraId="0B397089">
                  <w:pPr>
                    <w:pStyle w:val="16"/>
                    <w:spacing w:after="0"/>
                    <w:ind w:left="0" w:leftChars="0"/>
                    <w:jc w:val="center"/>
                    <w:rPr>
                      <w:rFonts w:hint="eastAsia" w:ascii="Times New Roman" w:hAnsi="Times New Roman" w:eastAsia="宋体" w:cs="Times New Roman"/>
                      <w:kern w:val="0"/>
                      <w:sz w:val="21"/>
                      <w:szCs w:val="21"/>
                      <w:u w:val="single"/>
                      <w:lang w:val="en-US" w:eastAsia="zh-CN" w:bidi="ar-SA"/>
                    </w:rPr>
                  </w:pPr>
                  <w:r>
                    <w:rPr>
                      <w:rFonts w:hint="eastAsia"/>
                      <w:sz w:val="21"/>
                      <w:szCs w:val="21"/>
                      <w:u w:val="single"/>
                      <w:lang w:val="en-US" w:eastAsia="zh-CN"/>
                    </w:rPr>
                    <w:t>400</w:t>
                  </w:r>
                </w:p>
              </w:tc>
              <w:tc>
                <w:tcPr>
                  <w:tcW w:w="1006" w:type="dxa"/>
                  <w:vMerge w:val="continue"/>
                  <w:tcBorders>
                    <w:tl2br w:val="nil"/>
                    <w:tr2bl w:val="nil"/>
                  </w:tcBorders>
                  <w:vAlign w:val="center"/>
                </w:tcPr>
                <w:p w14:paraId="6E564FC3">
                  <w:pPr>
                    <w:pStyle w:val="16"/>
                    <w:spacing w:after="0"/>
                    <w:ind w:left="0" w:leftChars="0"/>
                    <w:jc w:val="center"/>
                    <w:rPr>
                      <w:sz w:val="21"/>
                      <w:szCs w:val="21"/>
                      <w:u w:val="single"/>
                      <w:lang w:val="en-GB"/>
                    </w:rPr>
                  </w:pPr>
                </w:p>
              </w:tc>
              <w:tc>
                <w:tcPr>
                  <w:tcW w:w="710" w:type="dxa"/>
                  <w:tcBorders>
                    <w:tl2br w:val="nil"/>
                    <w:tr2bl w:val="nil"/>
                  </w:tcBorders>
                  <w:vAlign w:val="center"/>
                </w:tcPr>
                <w:p w14:paraId="7F865246">
                  <w:pPr>
                    <w:pStyle w:val="16"/>
                    <w:spacing w:after="0"/>
                    <w:ind w:left="0" w:leftChars="0"/>
                    <w:jc w:val="center"/>
                    <w:rPr>
                      <w:rFonts w:hint="eastAsia"/>
                      <w:sz w:val="21"/>
                      <w:szCs w:val="21"/>
                      <w:u w:val="single"/>
                      <w:lang w:val="en-US" w:eastAsia="zh-CN"/>
                    </w:rPr>
                  </w:pPr>
                  <w:r>
                    <w:rPr>
                      <w:rFonts w:hint="eastAsia"/>
                      <w:sz w:val="21"/>
                      <w:szCs w:val="21"/>
                      <w:u w:val="single"/>
                      <w:lang w:val="en-US" w:eastAsia="zh-CN"/>
                    </w:rPr>
                    <w:t>96</w:t>
                  </w:r>
                </w:p>
              </w:tc>
              <w:tc>
                <w:tcPr>
                  <w:tcW w:w="899" w:type="dxa"/>
                  <w:tcBorders>
                    <w:tl2br w:val="nil"/>
                    <w:tr2bl w:val="nil"/>
                  </w:tcBorders>
                  <w:vAlign w:val="center"/>
                </w:tcPr>
                <w:p w14:paraId="12DAE71F">
                  <w:pPr>
                    <w:widowControl/>
                    <w:jc w:val="center"/>
                    <w:textAlignment w:val="center"/>
                    <w:rPr>
                      <w:rFonts w:hint="default"/>
                      <w:sz w:val="21"/>
                      <w:szCs w:val="21"/>
                      <w:u w:val="single"/>
                      <w:lang w:val="en-US" w:eastAsia="zh-CN"/>
                    </w:rPr>
                  </w:pPr>
                  <w:r>
                    <w:rPr>
                      <w:rFonts w:hint="eastAsia"/>
                      <w:sz w:val="21"/>
                      <w:szCs w:val="21"/>
                      <w:u w:val="single"/>
                      <w:lang w:val="en-US" w:eastAsia="zh-CN"/>
                    </w:rPr>
                    <w:t>0.00003</w:t>
                  </w:r>
                </w:p>
              </w:tc>
              <w:tc>
                <w:tcPr>
                  <w:tcW w:w="805" w:type="dxa"/>
                  <w:tcBorders>
                    <w:tl2br w:val="nil"/>
                    <w:tr2bl w:val="nil"/>
                  </w:tcBorders>
                  <w:vAlign w:val="center"/>
                </w:tcPr>
                <w:p w14:paraId="4A0EDDA3">
                  <w:pPr>
                    <w:widowControl/>
                    <w:jc w:val="center"/>
                    <w:textAlignment w:val="center"/>
                    <w:rPr>
                      <w:rFonts w:hint="eastAsia"/>
                      <w:sz w:val="21"/>
                      <w:szCs w:val="21"/>
                      <w:u w:val="single"/>
                      <w:lang w:val="en-US" w:eastAsia="zh-CN"/>
                    </w:rPr>
                  </w:pPr>
                  <w:r>
                    <w:rPr>
                      <w:rFonts w:hint="eastAsia"/>
                      <w:sz w:val="21"/>
                      <w:szCs w:val="21"/>
                      <w:u w:val="single"/>
                      <w:lang w:val="en-US" w:eastAsia="zh-CN"/>
                    </w:rPr>
                    <w:t>16</w:t>
                  </w:r>
                </w:p>
              </w:tc>
              <w:tc>
                <w:tcPr>
                  <w:tcW w:w="736" w:type="dxa"/>
                  <w:vMerge w:val="continue"/>
                  <w:tcBorders>
                    <w:tl2br w:val="nil"/>
                    <w:tr2bl w:val="nil"/>
                  </w:tcBorders>
                  <w:vAlign w:val="center"/>
                </w:tcPr>
                <w:p w14:paraId="3D859F45">
                  <w:pPr>
                    <w:pStyle w:val="16"/>
                    <w:spacing w:after="0"/>
                    <w:ind w:left="0" w:leftChars="0"/>
                    <w:jc w:val="center"/>
                    <w:rPr>
                      <w:sz w:val="21"/>
                      <w:szCs w:val="21"/>
                      <w:u w:val="single"/>
                      <w:lang w:val="en-GB"/>
                    </w:rPr>
                  </w:pPr>
                </w:p>
              </w:tc>
              <w:tc>
                <w:tcPr>
                  <w:tcW w:w="914" w:type="dxa"/>
                  <w:tcBorders>
                    <w:tl2br w:val="nil"/>
                    <w:tr2bl w:val="nil"/>
                  </w:tcBorders>
                  <w:vAlign w:val="center"/>
                </w:tcPr>
                <w:p w14:paraId="7EF5DC21">
                  <w:pPr>
                    <w:pStyle w:val="16"/>
                    <w:spacing w:after="0"/>
                    <w:ind w:left="0" w:leftChars="0"/>
                    <w:jc w:val="center"/>
                    <w:rPr>
                      <w:rFonts w:hint="default"/>
                      <w:sz w:val="21"/>
                      <w:szCs w:val="21"/>
                      <w:u w:val="single"/>
                      <w:lang w:val="en-US" w:eastAsia="zh-CN"/>
                    </w:rPr>
                  </w:pPr>
                  <w:r>
                    <w:rPr>
                      <w:rFonts w:hint="eastAsia"/>
                      <w:sz w:val="21"/>
                      <w:szCs w:val="21"/>
                      <w:u w:val="single"/>
                      <w:lang w:val="en-US" w:eastAsia="zh-CN"/>
                    </w:rPr>
                    <w:t>0.0002</w:t>
                  </w:r>
                </w:p>
              </w:tc>
              <w:tc>
                <w:tcPr>
                  <w:tcW w:w="847" w:type="dxa"/>
                  <w:tcBorders>
                    <w:tl2br w:val="nil"/>
                    <w:tr2bl w:val="nil"/>
                  </w:tcBorders>
                  <w:vAlign w:val="center"/>
                </w:tcPr>
                <w:p w14:paraId="3C75BEC6">
                  <w:pPr>
                    <w:pStyle w:val="16"/>
                    <w:spacing w:after="0"/>
                    <w:ind w:left="0" w:leftChars="0"/>
                    <w:jc w:val="center"/>
                    <w:rPr>
                      <w:rFonts w:hint="eastAsia"/>
                      <w:sz w:val="21"/>
                      <w:szCs w:val="21"/>
                      <w:u w:val="single"/>
                      <w:lang w:val="en-US" w:eastAsia="zh-CN"/>
                    </w:rPr>
                  </w:pPr>
                  <w:r>
                    <w:rPr>
                      <w:rFonts w:hint="eastAsia"/>
                      <w:sz w:val="21"/>
                      <w:szCs w:val="21"/>
                      <w:u w:val="single"/>
                      <w:lang w:val="en-US" w:eastAsia="zh-CN"/>
                    </w:rPr>
                    <w:t>10</w:t>
                  </w:r>
                </w:p>
              </w:tc>
            </w:tr>
            <w:tr w14:paraId="2B54EC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8" w:type="dxa"/>
                  <w:vMerge w:val="restart"/>
                  <w:tcBorders>
                    <w:tl2br w:val="nil"/>
                    <w:tr2bl w:val="nil"/>
                  </w:tcBorders>
                  <w:vAlign w:val="center"/>
                </w:tcPr>
                <w:p w14:paraId="1A345C5F">
                  <w:pPr>
                    <w:pStyle w:val="16"/>
                    <w:spacing w:after="0"/>
                    <w:ind w:left="0" w:leftChars="0"/>
                    <w:jc w:val="center"/>
                    <w:rPr>
                      <w:sz w:val="21"/>
                      <w:szCs w:val="21"/>
                      <w:lang w:val="en-GB"/>
                    </w:rPr>
                  </w:pPr>
                  <w:r>
                    <w:rPr>
                      <w:rFonts w:hint="eastAsia"/>
                      <w:b w:val="0"/>
                      <w:bCs w:val="0"/>
                      <w:sz w:val="21"/>
                      <w:szCs w:val="21"/>
                      <w:lang w:val="en-GB"/>
                    </w:rPr>
                    <w:t>生活污水</w:t>
                  </w:r>
                </w:p>
              </w:tc>
              <w:tc>
                <w:tcPr>
                  <w:tcW w:w="848" w:type="dxa"/>
                  <w:tcBorders>
                    <w:tl2br w:val="nil"/>
                    <w:tr2bl w:val="nil"/>
                  </w:tcBorders>
                  <w:vAlign w:val="center"/>
                </w:tcPr>
                <w:p w14:paraId="66D3EAA5">
                  <w:pPr>
                    <w:pStyle w:val="16"/>
                    <w:spacing w:after="0"/>
                    <w:ind w:left="0" w:leftChars="0"/>
                    <w:jc w:val="center"/>
                    <w:rPr>
                      <w:rFonts w:hint="eastAsia" w:ascii="Times New Roman" w:hAnsi="Times New Roman" w:eastAsia="宋体" w:cs="Times New Roman"/>
                      <w:kern w:val="0"/>
                      <w:sz w:val="21"/>
                      <w:szCs w:val="21"/>
                      <w:lang w:val="en-GB" w:eastAsia="zh-CN" w:bidi="ar-SA"/>
                    </w:rPr>
                  </w:pPr>
                  <w:r>
                    <w:rPr>
                      <w:rFonts w:hint="eastAsia"/>
                      <w:sz w:val="21"/>
                      <w:szCs w:val="21"/>
                      <w:lang w:val="en-GB"/>
                    </w:rPr>
                    <w:t>水量</w:t>
                  </w:r>
                </w:p>
              </w:tc>
              <w:tc>
                <w:tcPr>
                  <w:tcW w:w="794" w:type="dxa"/>
                  <w:tcBorders>
                    <w:tl2br w:val="nil"/>
                    <w:tr2bl w:val="nil"/>
                  </w:tcBorders>
                  <w:vAlign w:val="center"/>
                </w:tcPr>
                <w:p w14:paraId="2F182A83">
                  <w:pPr>
                    <w:pStyle w:val="16"/>
                    <w:spacing w:after="0"/>
                    <w:ind w:left="0" w:leftChars="0"/>
                    <w:jc w:val="center"/>
                    <w:rPr>
                      <w:rFonts w:hint="default" w:ascii="Times New Roman" w:hAnsi="Times New Roman" w:eastAsia="宋体" w:cs="Times New Roman"/>
                      <w:kern w:val="0"/>
                      <w:sz w:val="21"/>
                      <w:szCs w:val="21"/>
                      <w:lang w:val="en-US" w:eastAsia="zh-CN" w:bidi="ar-SA"/>
                    </w:rPr>
                  </w:pPr>
                  <w:r>
                    <w:rPr>
                      <w:rFonts w:hint="eastAsia"/>
                      <w:sz w:val="21"/>
                      <w:szCs w:val="21"/>
                      <w:lang w:val="en-US" w:eastAsia="zh-CN"/>
                    </w:rPr>
                    <w:t>364.8</w:t>
                  </w:r>
                </w:p>
              </w:tc>
              <w:tc>
                <w:tcPr>
                  <w:tcW w:w="962" w:type="dxa"/>
                  <w:tcBorders>
                    <w:tl2br w:val="nil"/>
                    <w:tr2bl w:val="nil"/>
                  </w:tcBorders>
                  <w:vAlign w:val="center"/>
                </w:tcPr>
                <w:p w14:paraId="277E7E94">
                  <w:pPr>
                    <w:pStyle w:val="16"/>
                    <w:spacing w:after="0"/>
                    <w:ind w:left="0" w:leftChars="0"/>
                    <w:jc w:val="center"/>
                    <w:rPr>
                      <w:rFonts w:hint="eastAsia" w:ascii="Times New Roman" w:hAnsi="Times New Roman" w:eastAsia="宋体" w:cs="Times New Roman"/>
                      <w:kern w:val="0"/>
                      <w:sz w:val="21"/>
                      <w:szCs w:val="21"/>
                      <w:lang w:val="en-US" w:eastAsia="zh-CN" w:bidi="ar-SA"/>
                    </w:rPr>
                  </w:pPr>
                  <w:r>
                    <w:rPr>
                      <w:rFonts w:hint="eastAsia"/>
                      <w:sz w:val="21"/>
                      <w:szCs w:val="21"/>
                    </w:rPr>
                    <w:t>/</w:t>
                  </w:r>
                </w:p>
              </w:tc>
              <w:tc>
                <w:tcPr>
                  <w:tcW w:w="1006" w:type="dxa"/>
                  <w:vMerge w:val="restart"/>
                  <w:tcBorders>
                    <w:tl2br w:val="nil"/>
                    <w:tr2bl w:val="nil"/>
                  </w:tcBorders>
                  <w:vAlign w:val="center"/>
                </w:tcPr>
                <w:p w14:paraId="75530C15">
                  <w:pPr>
                    <w:pStyle w:val="16"/>
                    <w:spacing w:after="0"/>
                    <w:ind w:left="0" w:leftChars="0"/>
                    <w:jc w:val="center"/>
                    <w:rPr>
                      <w:rFonts w:ascii="Times New Roman" w:hAnsi="Times New Roman" w:eastAsia="宋体" w:cs="Times New Roman"/>
                      <w:kern w:val="0"/>
                      <w:sz w:val="21"/>
                      <w:szCs w:val="21"/>
                      <w:lang w:val="en-GB" w:eastAsia="zh-CN" w:bidi="ar-SA"/>
                    </w:rPr>
                  </w:pPr>
                  <w:r>
                    <w:rPr>
                      <w:rFonts w:hint="eastAsia"/>
                      <w:sz w:val="21"/>
                      <w:szCs w:val="21"/>
                      <w:lang w:val="en-GB"/>
                    </w:rPr>
                    <w:t>化粪池</w:t>
                  </w:r>
                </w:p>
              </w:tc>
              <w:tc>
                <w:tcPr>
                  <w:tcW w:w="710" w:type="dxa"/>
                  <w:tcBorders>
                    <w:tl2br w:val="nil"/>
                    <w:tr2bl w:val="nil"/>
                  </w:tcBorders>
                  <w:vAlign w:val="center"/>
                </w:tcPr>
                <w:p w14:paraId="76FB1677">
                  <w:pPr>
                    <w:pStyle w:val="16"/>
                    <w:spacing w:after="0"/>
                    <w:ind w:left="0" w:leftChars="0"/>
                    <w:jc w:val="center"/>
                    <w:rPr>
                      <w:rFonts w:hint="eastAsia" w:ascii="Times New Roman" w:hAnsi="Times New Roman" w:eastAsia="宋体" w:cs="Times New Roman"/>
                      <w:kern w:val="0"/>
                      <w:sz w:val="21"/>
                      <w:szCs w:val="21"/>
                      <w:lang w:val="en-US" w:eastAsia="zh-CN" w:bidi="ar-SA"/>
                    </w:rPr>
                  </w:pPr>
                  <w:r>
                    <w:rPr>
                      <w:rFonts w:hint="eastAsia"/>
                      <w:sz w:val="21"/>
                      <w:szCs w:val="21"/>
                    </w:rPr>
                    <w:t>/</w:t>
                  </w:r>
                </w:p>
              </w:tc>
              <w:tc>
                <w:tcPr>
                  <w:tcW w:w="899" w:type="dxa"/>
                  <w:tcBorders>
                    <w:tl2br w:val="nil"/>
                    <w:tr2bl w:val="nil"/>
                  </w:tcBorders>
                  <w:vAlign w:val="center"/>
                </w:tcPr>
                <w:p w14:paraId="3F2FA4C2">
                  <w:pPr>
                    <w:pStyle w:val="16"/>
                    <w:spacing w:after="0"/>
                    <w:ind w:left="0" w:leftChars="0"/>
                    <w:jc w:val="center"/>
                    <w:rPr>
                      <w:rFonts w:ascii="Times New Roman" w:hAnsi="Times New Roman" w:eastAsia="宋体" w:cs="Times New Roman"/>
                      <w:kern w:val="0"/>
                      <w:sz w:val="21"/>
                      <w:szCs w:val="21"/>
                      <w:lang w:val="en-GB" w:eastAsia="zh-CN" w:bidi="ar-SA"/>
                    </w:rPr>
                  </w:pPr>
                  <w:r>
                    <w:rPr>
                      <w:rFonts w:hint="eastAsia"/>
                      <w:sz w:val="21"/>
                      <w:szCs w:val="21"/>
                      <w:lang w:val="en-US" w:eastAsia="zh-CN"/>
                    </w:rPr>
                    <w:t>364.8</w:t>
                  </w:r>
                </w:p>
              </w:tc>
              <w:tc>
                <w:tcPr>
                  <w:tcW w:w="805" w:type="dxa"/>
                  <w:tcBorders>
                    <w:tl2br w:val="nil"/>
                    <w:tr2bl w:val="nil"/>
                  </w:tcBorders>
                  <w:vAlign w:val="center"/>
                </w:tcPr>
                <w:p w14:paraId="2FDAE61D">
                  <w:pPr>
                    <w:pStyle w:val="16"/>
                    <w:spacing w:after="0"/>
                    <w:ind w:left="0" w:leftChars="0"/>
                    <w:jc w:val="center"/>
                    <w:rPr>
                      <w:rFonts w:ascii="Times New Roman" w:hAnsi="Times New Roman" w:eastAsia="宋体" w:cs="Times New Roman"/>
                      <w:kern w:val="0"/>
                      <w:sz w:val="21"/>
                      <w:szCs w:val="21"/>
                      <w:lang w:val="en-US" w:eastAsia="zh-CN" w:bidi="ar-SA"/>
                    </w:rPr>
                  </w:pPr>
                  <w:r>
                    <w:rPr>
                      <w:rFonts w:hint="eastAsia"/>
                      <w:sz w:val="21"/>
                      <w:szCs w:val="21"/>
                    </w:rPr>
                    <w:t>/</w:t>
                  </w:r>
                </w:p>
              </w:tc>
              <w:tc>
                <w:tcPr>
                  <w:tcW w:w="736" w:type="dxa"/>
                  <w:vMerge w:val="restart"/>
                  <w:tcBorders>
                    <w:tl2br w:val="nil"/>
                    <w:tr2bl w:val="nil"/>
                  </w:tcBorders>
                  <w:vAlign w:val="center"/>
                </w:tcPr>
                <w:p w14:paraId="555C142D">
                  <w:pPr>
                    <w:pStyle w:val="16"/>
                    <w:spacing w:after="0"/>
                    <w:ind w:left="0" w:leftChars="0"/>
                    <w:jc w:val="center"/>
                    <w:rPr>
                      <w:rFonts w:ascii="Times New Roman" w:hAnsi="Times New Roman" w:eastAsia="宋体" w:cs="Times New Roman"/>
                      <w:kern w:val="0"/>
                      <w:sz w:val="21"/>
                      <w:szCs w:val="21"/>
                      <w:lang w:val="en-GB" w:eastAsia="zh-CN" w:bidi="ar-SA"/>
                    </w:rPr>
                  </w:pPr>
                  <w:r>
                    <w:rPr>
                      <w:rFonts w:hint="eastAsia"/>
                      <w:sz w:val="21"/>
                      <w:szCs w:val="21"/>
                      <w:lang w:val="en-GB"/>
                    </w:rPr>
                    <w:t>松木污水处理厂</w:t>
                  </w:r>
                </w:p>
              </w:tc>
              <w:tc>
                <w:tcPr>
                  <w:tcW w:w="914" w:type="dxa"/>
                  <w:tcBorders>
                    <w:tl2br w:val="nil"/>
                    <w:tr2bl w:val="nil"/>
                  </w:tcBorders>
                  <w:vAlign w:val="center"/>
                </w:tcPr>
                <w:p w14:paraId="79B0118B">
                  <w:pPr>
                    <w:pStyle w:val="16"/>
                    <w:spacing w:after="0"/>
                    <w:ind w:left="0" w:leftChars="0"/>
                    <w:jc w:val="center"/>
                    <w:rPr>
                      <w:rFonts w:hint="eastAsia" w:ascii="Times New Roman" w:hAnsi="Times New Roman" w:eastAsia="宋体" w:cs="Times New Roman"/>
                      <w:kern w:val="0"/>
                      <w:sz w:val="21"/>
                      <w:szCs w:val="21"/>
                      <w:lang w:val="en-GB" w:eastAsia="zh-CN" w:bidi="ar-SA"/>
                    </w:rPr>
                  </w:pPr>
                  <w:r>
                    <w:rPr>
                      <w:rFonts w:hint="eastAsia"/>
                      <w:sz w:val="21"/>
                      <w:szCs w:val="21"/>
                      <w:lang w:val="en-US" w:eastAsia="zh-CN"/>
                    </w:rPr>
                    <w:t>364.8</w:t>
                  </w:r>
                </w:p>
              </w:tc>
              <w:tc>
                <w:tcPr>
                  <w:tcW w:w="847" w:type="dxa"/>
                  <w:tcBorders>
                    <w:tl2br w:val="nil"/>
                    <w:tr2bl w:val="nil"/>
                  </w:tcBorders>
                  <w:vAlign w:val="center"/>
                </w:tcPr>
                <w:p w14:paraId="73037D90">
                  <w:pPr>
                    <w:pStyle w:val="16"/>
                    <w:spacing w:after="0"/>
                    <w:ind w:left="0" w:leftChars="0"/>
                    <w:jc w:val="center"/>
                    <w:rPr>
                      <w:rFonts w:hint="eastAsia" w:ascii="Times New Roman" w:hAnsi="Times New Roman" w:eastAsia="宋体" w:cs="Times New Roman"/>
                      <w:kern w:val="0"/>
                      <w:sz w:val="21"/>
                      <w:szCs w:val="21"/>
                      <w:lang w:val="en-US" w:eastAsia="zh-CN" w:bidi="ar-SA"/>
                    </w:rPr>
                  </w:pPr>
                  <w:r>
                    <w:rPr>
                      <w:rFonts w:hint="eastAsia"/>
                      <w:sz w:val="21"/>
                      <w:szCs w:val="21"/>
                    </w:rPr>
                    <w:t>/</w:t>
                  </w:r>
                </w:p>
              </w:tc>
            </w:tr>
            <w:tr w14:paraId="4DA164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8" w:type="dxa"/>
                  <w:vMerge w:val="continue"/>
                  <w:tcBorders>
                    <w:tl2br w:val="nil"/>
                    <w:tr2bl w:val="nil"/>
                  </w:tcBorders>
                  <w:vAlign w:val="center"/>
                </w:tcPr>
                <w:p w14:paraId="082411EE">
                  <w:pPr>
                    <w:pStyle w:val="16"/>
                    <w:spacing w:after="0"/>
                    <w:ind w:left="0" w:leftChars="0"/>
                    <w:jc w:val="center"/>
                    <w:rPr>
                      <w:sz w:val="21"/>
                      <w:szCs w:val="21"/>
                      <w:lang w:val="en-GB"/>
                    </w:rPr>
                  </w:pPr>
                </w:p>
              </w:tc>
              <w:tc>
                <w:tcPr>
                  <w:tcW w:w="848" w:type="dxa"/>
                  <w:tcBorders>
                    <w:tl2br w:val="nil"/>
                    <w:tr2bl w:val="nil"/>
                  </w:tcBorders>
                  <w:vAlign w:val="center"/>
                </w:tcPr>
                <w:p w14:paraId="0B34C1B5">
                  <w:pPr>
                    <w:pStyle w:val="16"/>
                    <w:spacing w:after="0"/>
                    <w:ind w:left="0" w:leftChars="0"/>
                    <w:jc w:val="center"/>
                    <w:rPr>
                      <w:rFonts w:hint="eastAsia" w:ascii="Times New Roman" w:hAnsi="Times New Roman" w:eastAsia="宋体" w:cs="Times New Roman"/>
                      <w:kern w:val="0"/>
                      <w:sz w:val="21"/>
                      <w:szCs w:val="21"/>
                      <w:lang w:val="en-US" w:eastAsia="zh-CN" w:bidi="ar-SA"/>
                    </w:rPr>
                  </w:pPr>
                  <w:r>
                    <w:rPr>
                      <w:rFonts w:hint="eastAsia"/>
                      <w:sz w:val="21"/>
                      <w:szCs w:val="21"/>
                    </w:rPr>
                    <w:t>CODcr</w:t>
                  </w:r>
                </w:p>
              </w:tc>
              <w:tc>
                <w:tcPr>
                  <w:tcW w:w="794" w:type="dxa"/>
                  <w:tcBorders>
                    <w:tl2br w:val="nil"/>
                    <w:tr2bl w:val="nil"/>
                  </w:tcBorders>
                  <w:vAlign w:val="center"/>
                </w:tcPr>
                <w:p w14:paraId="2A64E2D9">
                  <w:pPr>
                    <w:widowControl/>
                    <w:jc w:val="center"/>
                    <w:textAlignment w:val="center"/>
                    <w:rPr>
                      <w:rFonts w:ascii="Times New Roman" w:hAnsi="Times New Roman" w:eastAsia="宋体" w:cs="Times New Roman"/>
                      <w:kern w:val="2"/>
                      <w:sz w:val="21"/>
                      <w:szCs w:val="21"/>
                      <w:lang w:val="en-US" w:eastAsia="zh-CN" w:bidi="ar-SA"/>
                    </w:rPr>
                  </w:pPr>
                  <w:r>
                    <w:rPr>
                      <w:color w:val="000000"/>
                      <w:kern w:val="0"/>
                      <w:sz w:val="21"/>
                      <w:szCs w:val="21"/>
                      <w:lang w:bidi="ar"/>
                    </w:rPr>
                    <w:t>0.</w:t>
                  </w:r>
                  <w:r>
                    <w:rPr>
                      <w:rFonts w:hint="eastAsia"/>
                      <w:color w:val="000000"/>
                      <w:kern w:val="0"/>
                      <w:sz w:val="21"/>
                      <w:szCs w:val="21"/>
                      <w:lang w:val="en-US" w:eastAsia="zh-CN" w:bidi="ar"/>
                    </w:rPr>
                    <w:t>128</w:t>
                  </w:r>
                  <w:r>
                    <w:rPr>
                      <w:color w:val="000000"/>
                      <w:kern w:val="0"/>
                      <w:sz w:val="21"/>
                      <w:szCs w:val="21"/>
                      <w:lang w:bidi="ar"/>
                    </w:rPr>
                    <w:t xml:space="preserve"> </w:t>
                  </w:r>
                </w:p>
              </w:tc>
              <w:tc>
                <w:tcPr>
                  <w:tcW w:w="962" w:type="dxa"/>
                  <w:tcBorders>
                    <w:tl2br w:val="nil"/>
                    <w:tr2bl w:val="nil"/>
                  </w:tcBorders>
                  <w:vAlign w:val="center"/>
                </w:tcPr>
                <w:p w14:paraId="5FF4E742">
                  <w:pPr>
                    <w:pStyle w:val="16"/>
                    <w:spacing w:after="0"/>
                    <w:ind w:left="0" w:leftChars="0"/>
                    <w:jc w:val="center"/>
                    <w:rPr>
                      <w:rFonts w:hint="eastAsia" w:ascii="Times New Roman" w:hAnsi="Times New Roman" w:eastAsia="宋体" w:cs="Times New Roman"/>
                      <w:kern w:val="0"/>
                      <w:sz w:val="21"/>
                      <w:szCs w:val="21"/>
                      <w:lang w:val="en-US" w:eastAsia="zh-CN" w:bidi="ar-SA"/>
                    </w:rPr>
                  </w:pPr>
                  <w:r>
                    <w:rPr>
                      <w:rFonts w:hint="eastAsia"/>
                      <w:sz w:val="21"/>
                      <w:szCs w:val="21"/>
                    </w:rPr>
                    <w:t>350</w:t>
                  </w:r>
                </w:p>
              </w:tc>
              <w:tc>
                <w:tcPr>
                  <w:tcW w:w="1006" w:type="dxa"/>
                  <w:vMerge w:val="continue"/>
                  <w:tcBorders>
                    <w:tl2br w:val="nil"/>
                    <w:tr2bl w:val="nil"/>
                  </w:tcBorders>
                  <w:vAlign w:val="center"/>
                </w:tcPr>
                <w:p w14:paraId="088E65A9">
                  <w:pPr>
                    <w:pStyle w:val="16"/>
                    <w:spacing w:after="0"/>
                    <w:ind w:left="0" w:leftChars="0"/>
                    <w:jc w:val="center"/>
                    <w:rPr>
                      <w:sz w:val="21"/>
                      <w:szCs w:val="21"/>
                      <w:lang w:val="en-GB"/>
                    </w:rPr>
                  </w:pPr>
                </w:p>
              </w:tc>
              <w:tc>
                <w:tcPr>
                  <w:tcW w:w="710" w:type="dxa"/>
                  <w:tcBorders>
                    <w:tl2br w:val="nil"/>
                    <w:tr2bl w:val="nil"/>
                  </w:tcBorders>
                  <w:vAlign w:val="center"/>
                </w:tcPr>
                <w:p w14:paraId="143F9323">
                  <w:pPr>
                    <w:pStyle w:val="16"/>
                    <w:spacing w:after="0"/>
                    <w:ind w:left="0" w:leftChars="0"/>
                    <w:jc w:val="center"/>
                    <w:rPr>
                      <w:rFonts w:hint="eastAsia" w:ascii="Times New Roman" w:hAnsi="Times New Roman" w:eastAsia="宋体" w:cs="Times New Roman"/>
                      <w:kern w:val="0"/>
                      <w:sz w:val="21"/>
                      <w:szCs w:val="21"/>
                      <w:lang w:val="en-GB" w:eastAsia="zh-CN" w:bidi="ar-SA"/>
                    </w:rPr>
                  </w:pPr>
                  <w:r>
                    <w:rPr>
                      <w:rFonts w:hint="eastAsia"/>
                      <w:sz w:val="21"/>
                      <w:szCs w:val="21"/>
                    </w:rPr>
                    <w:t>15</w:t>
                  </w:r>
                </w:p>
              </w:tc>
              <w:tc>
                <w:tcPr>
                  <w:tcW w:w="899" w:type="dxa"/>
                  <w:tcBorders>
                    <w:tl2br w:val="nil"/>
                    <w:tr2bl w:val="nil"/>
                  </w:tcBorders>
                  <w:vAlign w:val="center"/>
                </w:tcPr>
                <w:p w14:paraId="34E3050E">
                  <w:pPr>
                    <w:widowControl/>
                    <w:jc w:val="center"/>
                    <w:textAlignment w:val="center"/>
                    <w:rPr>
                      <w:rFonts w:ascii="Times New Roman" w:hAnsi="Times New Roman" w:eastAsia="宋体" w:cs="Times New Roman"/>
                      <w:kern w:val="2"/>
                      <w:sz w:val="21"/>
                      <w:szCs w:val="21"/>
                      <w:lang w:val="en-US" w:eastAsia="zh-CN" w:bidi="ar-SA"/>
                    </w:rPr>
                  </w:pPr>
                  <w:r>
                    <w:rPr>
                      <w:color w:val="000000"/>
                      <w:kern w:val="0"/>
                      <w:sz w:val="21"/>
                      <w:szCs w:val="21"/>
                      <w:lang w:bidi="ar"/>
                    </w:rPr>
                    <w:t>0.</w:t>
                  </w:r>
                  <w:r>
                    <w:rPr>
                      <w:rFonts w:hint="eastAsia"/>
                      <w:color w:val="000000"/>
                      <w:kern w:val="0"/>
                      <w:sz w:val="21"/>
                      <w:szCs w:val="21"/>
                      <w:lang w:val="en-US" w:eastAsia="zh-CN" w:bidi="ar"/>
                    </w:rPr>
                    <w:t>109</w:t>
                  </w:r>
                  <w:r>
                    <w:rPr>
                      <w:color w:val="000000"/>
                      <w:kern w:val="0"/>
                      <w:sz w:val="21"/>
                      <w:szCs w:val="21"/>
                      <w:lang w:bidi="ar"/>
                    </w:rPr>
                    <w:t xml:space="preserve"> </w:t>
                  </w:r>
                </w:p>
              </w:tc>
              <w:tc>
                <w:tcPr>
                  <w:tcW w:w="805" w:type="dxa"/>
                  <w:tcBorders>
                    <w:tl2br w:val="nil"/>
                    <w:tr2bl w:val="nil"/>
                  </w:tcBorders>
                  <w:vAlign w:val="center"/>
                </w:tcPr>
                <w:p w14:paraId="57F2963C">
                  <w:pPr>
                    <w:widowControl/>
                    <w:jc w:val="center"/>
                    <w:textAlignment w:val="center"/>
                    <w:rPr>
                      <w:rFonts w:ascii="Times New Roman" w:hAnsi="Times New Roman" w:eastAsia="宋体" w:cs="Times New Roman"/>
                      <w:kern w:val="2"/>
                      <w:sz w:val="21"/>
                      <w:szCs w:val="21"/>
                      <w:lang w:val="en-US" w:eastAsia="zh-CN" w:bidi="ar-SA"/>
                    </w:rPr>
                  </w:pPr>
                  <w:r>
                    <w:rPr>
                      <w:color w:val="000000"/>
                      <w:kern w:val="0"/>
                      <w:sz w:val="21"/>
                      <w:szCs w:val="21"/>
                      <w:lang w:bidi="ar"/>
                    </w:rPr>
                    <w:t>297.5</w:t>
                  </w:r>
                </w:p>
              </w:tc>
              <w:tc>
                <w:tcPr>
                  <w:tcW w:w="736" w:type="dxa"/>
                  <w:vMerge w:val="continue"/>
                  <w:tcBorders>
                    <w:tl2br w:val="nil"/>
                    <w:tr2bl w:val="nil"/>
                  </w:tcBorders>
                  <w:vAlign w:val="center"/>
                </w:tcPr>
                <w:p w14:paraId="5327912E">
                  <w:pPr>
                    <w:pStyle w:val="16"/>
                    <w:spacing w:after="0"/>
                    <w:ind w:left="0" w:leftChars="0"/>
                    <w:jc w:val="center"/>
                    <w:rPr>
                      <w:sz w:val="21"/>
                      <w:szCs w:val="21"/>
                      <w:lang w:val="en-GB"/>
                    </w:rPr>
                  </w:pPr>
                </w:p>
              </w:tc>
              <w:tc>
                <w:tcPr>
                  <w:tcW w:w="914" w:type="dxa"/>
                  <w:tcBorders>
                    <w:tl2br w:val="nil"/>
                    <w:tr2bl w:val="nil"/>
                  </w:tcBorders>
                  <w:vAlign w:val="center"/>
                </w:tcPr>
                <w:p w14:paraId="4992739D">
                  <w:pPr>
                    <w:pStyle w:val="16"/>
                    <w:spacing w:after="0"/>
                    <w:ind w:left="0" w:leftChars="0"/>
                    <w:jc w:val="center"/>
                    <w:rPr>
                      <w:rFonts w:hint="default" w:ascii="Times New Roman" w:hAnsi="Times New Roman" w:eastAsia="宋体" w:cs="Times New Roman"/>
                      <w:kern w:val="0"/>
                      <w:sz w:val="21"/>
                      <w:szCs w:val="21"/>
                      <w:lang w:val="en-US" w:eastAsia="zh-CN" w:bidi="ar-SA"/>
                    </w:rPr>
                  </w:pPr>
                  <w:r>
                    <w:rPr>
                      <w:rFonts w:hint="eastAsia"/>
                      <w:sz w:val="21"/>
                      <w:szCs w:val="21"/>
                    </w:rPr>
                    <w:t>0.0</w:t>
                  </w:r>
                  <w:r>
                    <w:rPr>
                      <w:rFonts w:hint="eastAsia"/>
                      <w:sz w:val="21"/>
                      <w:szCs w:val="21"/>
                      <w:lang w:val="en-US" w:eastAsia="zh-CN"/>
                    </w:rPr>
                    <w:t>18</w:t>
                  </w:r>
                </w:p>
              </w:tc>
              <w:tc>
                <w:tcPr>
                  <w:tcW w:w="847" w:type="dxa"/>
                  <w:tcBorders>
                    <w:tl2br w:val="nil"/>
                    <w:tr2bl w:val="nil"/>
                  </w:tcBorders>
                  <w:vAlign w:val="center"/>
                </w:tcPr>
                <w:p w14:paraId="19034DDC">
                  <w:pPr>
                    <w:pStyle w:val="16"/>
                    <w:spacing w:after="0"/>
                    <w:ind w:left="0" w:leftChars="0"/>
                    <w:jc w:val="center"/>
                    <w:rPr>
                      <w:rFonts w:hint="eastAsia" w:ascii="Times New Roman" w:hAnsi="Times New Roman" w:eastAsia="宋体" w:cs="Times New Roman"/>
                      <w:kern w:val="0"/>
                      <w:sz w:val="21"/>
                      <w:szCs w:val="21"/>
                      <w:lang w:val="en-US" w:eastAsia="zh-CN" w:bidi="ar-SA"/>
                    </w:rPr>
                  </w:pPr>
                  <w:r>
                    <w:rPr>
                      <w:rFonts w:hint="eastAsia"/>
                      <w:sz w:val="21"/>
                      <w:szCs w:val="21"/>
                    </w:rPr>
                    <w:t>50</w:t>
                  </w:r>
                </w:p>
              </w:tc>
            </w:tr>
            <w:tr w14:paraId="003B8F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8" w:type="dxa"/>
                  <w:vMerge w:val="continue"/>
                  <w:tcBorders>
                    <w:tl2br w:val="nil"/>
                    <w:tr2bl w:val="nil"/>
                  </w:tcBorders>
                  <w:vAlign w:val="center"/>
                </w:tcPr>
                <w:p w14:paraId="59EC9106">
                  <w:pPr>
                    <w:pStyle w:val="16"/>
                    <w:spacing w:after="0"/>
                    <w:ind w:left="0" w:leftChars="0"/>
                    <w:jc w:val="center"/>
                    <w:rPr>
                      <w:sz w:val="21"/>
                      <w:szCs w:val="21"/>
                      <w:lang w:val="en-GB"/>
                    </w:rPr>
                  </w:pPr>
                </w:p>
              </w:tc>
              <w:tc>
                <w:tcPr>
                  <w:tcW w:w="848" w:type="dxa"/>
                  <w:tcBorders>
                    <w:tl2br w:val="nil"/>
                    <w:tr2bl w:val="nil"/>
                  </w:tcBorders>
                  <w:vAlign w:val="center"/>
                </w:tcPr>
                <w:p w14:paraId="4C14943C">
                  <w:pPr>
                    <w:pStyle w:val="16"/>
                    <w:spacing w:after="0"/>
                    <w:ind w:left="0" w:leftChars="0"/>
                    <w:jc w:val="center"/>
                    <w:rPr>
                      <w:rFonts w:hint="eastAsia" w:ascii="Times New Roman" w:hAnsi="Times New Roman" w:eastAsia="宋体" w:cs="Times New Roman"/>
                      <w:kern w:val="0"/>
                      <w:sz w:val="21"/>
                      <w:szCs w:val="21"/>
                      <w:vertAlign w:val="subscript"/>
                      <w:lang w:val="en-US" w:eastAsia="zh-CN" w:bidi="ar-SA"/>
                    </w:rPr>
                  </w:pPr>
                  <w:r>
                    <w:rPr>
                      <w:rFonts w:hint="eastAsia"/>
                      <w:sz w:val="21"/>
                      <w:szCs w:val="21"/>
                    </w:rPr>
                    <w:t>BOD</w:t>
                  </w:r>
                  <w:r>
                    <w:rPr>
                      <w:rFonts w:hint="eastAsia"/>
                      <w:sz w:val="21"/>
                      <w:szCs w:val="21"/>
                      <w:vertAlign w:val="subscript"/>
                    </w:rPr>
                    <w:t>5</w:t>
                  </w:r>
                </w:p>
              </w:tc>
              <w:tc>
                <w:tcPr>
                  <w:tcW w:w="794" w:type="dxa"/>
                  <w:tcBorders>
                    <w:tl2br w:val="nil"/>
                    <w:tr2bl w:val="nil"/>
                  </w:tcBorders>
                  <w:vAlign w:val="center"/>
                </w:tcPr>
                <w:p w14:paraId="74ACF20F">
                  <w:pPr>
                    <w:widowControl/>
                    <w:jc w:val="center"/>
                    <w:textAlignment w:val="center"/>
                    <w:rPr>
                      <w:rFonts w:ascii="Times New Roman" w:hAnsi="Times New Roman" w:eastAsia="宋体" w:cs="Times New Roman"/>
                      <w:kern w:val="2"/>
                      <w:sz w:val="21"/>
                      <w:szCs w:val="21"/>
                      <w:lang w:val="en-US" w:eastAsia="zh-CN" w:bidi="ar-SA"/>
                    </w:rPr>
                  </w:pPr>
                  <w:r>
                    <w:rPr>
                      <w:color w:val="000000"/>
                      <w:kern w:val="0"/>
                      <w:sz w:val="21"/>
                      <w:szCs w:val="21"/>
                      <w:lang w:bidi="ar"/>
                    </w:rPr>
                    <w:t>0.0</w:t>
                  </w:r>
                  <w:r>
                    <w:rPr>
                      <w:rFonts w:hint="eastAsia"/>
                      <w:color w:val="000000"/>
                      <w:kern w:val="0"/>
                      <w:sz w:val="21"/>
                      <w:szCs w:val="21"/>
                      <w:lang w:val="en-US" w:eastAsia="zh-CN" w:bidi="ar"/>
                    </w:rPr>
                    <w:t>66</w:t>
                  </w:r>
                  <w:r>
                    <w:rPr>
                      <w:color w:val="000000"/>
                      <w:kern w:val="0"/>
                      <w:sz w:val="21"/>
                      <w:szCs w:val="21"/>
                      <w:lang w:bidi="ar"/>
                    </w:rPr>
                    <w:t xml:space="preserve"> </w:t>
                  </w:r>
                </w:p>
              </w:tc>
              <w:tc>
                <w:tcPr>
                  <w:tcW w:w="962" w:type="dxa"/>
                  <w:tcBorders>
                    <w:tl2br w:val="nil"/>
                    <w:tr2bl w:val="nil"/>
                  </w:tcBorders>
                  <w:vAlign w:val="center"/>
                </w:tcPr>
                <w:p w14:paraId="54D043A4">
                  <w:pPr>
                    <w:pStyle w:val="16"/>
                    <w:spacing w:after="0"/>
                    <w:ind w:left="0" w:leftChars="0"/>
                    <w:jc w:val="center"/>
                    <w:rPr>
                      <w:rFonts w:hint="eastAsia" w:ascii="Times New Roman" w:hAnsi="Times New Roman" w:eastAsia="宋体" w:cs="Times New Roman"/>
                      <w:kern w:val="0"/>
                      <w:sz w:val="21"/>
                      <w:szCs w:val="21"/>
                      <w:lang w:val="en-US" w:eastAsia="zh-CN" w:bidi="ar-SA"/>
                    </w:rPr>
                  </w:pPr>
                  <w:r>
                    <w:rPr>
                      <w:rFonts w:hint="eastAsia"/>
                      <w:sz w:val="21"/>
                      <w:szCs w:val="21"/>
                    </w:rPr>
                    <w:t>180</w:t>
                  </w:r>
                </w:p>
              </w:tc>
              <w:tc>
                <w:tcPr>
                  <w:tcW w:w="1006" w:type="dxa"/>
                  <w:vMerge w:val="continue"/>
                  <w:tcBorders>
                    <w:tl2br w:val="nil"/>
                    <w:tr2bl w:val="nil"/>
                  </w:tcBorders>
                  <w:vAlign w:val="center"/>
                </w:tcPr>
                <w:p w14:paraId="6C065726">
                  <w:pPr>
                    <w:pStyle w:val="16"/>
                    <w:spacing w:after="0"/>
                    <w:ind w:left="0" w:leftChars="0"/>
                    <w:jc w:val="center"/>
                    <w:rPr>
                      <w:sz w:val="21"/>
                      <w:szCs w:val="21"/>
                      <w:lang w:val="en-GB"/>
                    </w:rPr>
                  </w:pPr>
                </w:p>
              </w:tc>
              <w:tc>
                <w:tcPr>
                  <w:tcW w:w="710" w:type="dxa"/>
                  <w:tcBorders>
                    <w:tl2br w:val="nil"/>
                    <w:tr2bl w:val="nil"/>
                  </w:tcBorders>
                  <w:vAlign w:val="center"/>
                </w:tcPr>
                <w:p w14:paraId="2CD068A3">
                  <w:pPr>
                    <w:pStyle w:val="16"/>
                    <w:spacing w:after="0"/>
                    <w:ind w:left="0" w:leftChars="0"/>
                    <w:jc w:val="center"/>
                    <w:rPr>
                      <w:rFonts w:hint="eastAsia" w:ascii="Times New Roman" w:hAnsi="Times New Roman" w:eastAsia="宋体" w:cs="Times New Roman"/>
                      <w:kern w:val="0"/>
                      <w:sz w:val="21"/>
                      <w:szCs w:val="21"/>
                      <w:lang w:val="en-US" w:eastAsia="zh-CN" w:bidi="ar-SA"/>
                    </w:rPr>
                  </w:pPr>
                  <w:r>
                    <w:rPr>
                      <w:rFonts w:hint="eastAsia"/>
                      <w:sz w:val="21"/>
                      <w:szCs w:val="21"/>
                    </w:rPr>
                    <w:t>10</w:t>
                  </w:r>
                </w:p>
              </w:tc>
              <w:tc>
                <w:tcPr>
                  <w:tcW w:w="899" w:type="dxa"/>
                  <w:tcBorders>
                    <w:tl2br w:val="nil"/>
                    <w:tr2bl w:val="nil"/>
                  </w:tcBorders>
                  <w:vAlign w:val="center"/>
                </w:tcPr>
                <w:p w14:paraId="6FDA3912">
                  <w:pPr>
                    <w:widowControl/>
                    <w:jc w:val="center"/>
                    <w:textAlignment w:val="center"/>
                    <w:rPr>
                      <w:rFonts w:ascii="Times New Roman" w:hAnsi="Times New Roman" w:eastAsia="宋体" w:cs="Times New Roman"/>
                      <w:kern w:val="2"/>
                      <w:sz w:val="21"/>
                      <w:szCs w:val="21"/>
                      <w:lang w:val="en-US" w:eastAsia="zh-CN" w:bidi="ar-SA"/>
                    </w:rPr>
                  </w:pPr>
                  <w:r>
                    <w:rPr>
                      <w:color w:val="000000"/>
                      <w:kern w:val="0"/>
                      <w:sz w:val="21"/>
                      <w:szCs w:val="21"/>
                      <w:lang w:bidi="ar"/>
                    </w:rPr>
                    <w:t>0.0</w:t>
                  </w:r>
                  <w:r>
                    <w:rPr>
                      <w:rFonts w:hint="eastAsia"/>
                      <w:color w:val="000000"/>
                      <w:kern w:val="0"/>
                      <w:sz w:val="21"/>
                      <w:szCs w:val="21"/>
                      <w:lang w:val="en-US" w:eastAsia="zh-CN" w:bidi="ar"/>
                    </w:rPr>
                    <w:t>59</w:t>
                  </w:r>
                  <w:r>
                    <w:rPr>
                      <w:color w:val="000000"/>
                      <w:kern w:val="0"/>
                      <w:sz w:val="21"/>
                      <w:szCs w:val="21"/>
                      <w:lang w:bidi="ar"/>
                    </w:rPr>
                    <w:t xml:space="preserve"> </w:t>
                  </w:r>
                </w:p>
              </w:tc>
              <w:tc>
                <w:tcPr>
                  <w:tcW w:w="805" w:type="dxa"/>
                  <w:tcBorders>
                    <w:tl2br w:val="nil"/>
                    <w:tr2bl w:val="nil"/>
                  </w:tcBorders>
                  <w:vAlign w:val="center"/>
                </w:tcPr>
                <w:p w14:paraId="3B1EE53D">
                  <w:pPr>
                    <w:widowControl/>
                    <w:jc w:val="center"/>
                    <w:textAlignment w:val="center"/>
                    <w:rPr>
                      <w:rFonts w:ascii="Times New Roman" w:hAnsi="Times New Roman" w:eastAsia="宋体" w:cs="Times New Roman"/>
                      <w:kern w:val="2"/>
                      <w:sz w:val="21"/>
                      <w:szCs w:val="21"/>
                      <w:lang w:val="en-US" w:eastAsia="zh-CN" w:bidi="ar-SA"/>
                    </w:rPr>
                  </w:pPr>
                  <w:r>
                    <w:rPr>
                      <w:color w:val="000000"/>
                      <w:kern w:val="0"/>
                      <w:sz w:val="21"/>
                      <w:szCs w:val="21"/>
                      <w:lang w:bidi="ar"/>
                    </w:rPr>
                    <w:t>162</w:t>
                  </w:r>
                </w:p>
              </w:tc>
              <w:tc>
                <w:tcPr>
                  <w:tcW w:w="736" w:type="dxa"/>
                  <w:vMerge w:val="continue"/>
                  <w:tcBorders>
                    <w:tl2br w:val="nil"/>
                    <w:tr2bl w:val="nil"/>
                  </w:tcBorders>
                  <w:vAlign w:val="center"/>
                </w:tcPr>
                <w:p w14:paraId="6DF3CEF8">
                  <w:pPr>
                    <w:pStyle w:val="16"/>
                    <w:spacing w:after="0"/>
                    <w:ind w:left="0" w:leftChars="0"/>
                    <w:jc w:val="center"/>
                    <w:rPr>
                      <w:sz w:val="21"/>
                      <w:szCs w:val="21"/>
                      <w:lang w:val="en-GB"/>
                    </w:rPr>
                  </w:pPr>
                </w:p>
              </w:tc>
              <w:tc>
                <w:tcPr>
                  <w:tcW w:w="914" w:type="dxa"/>
                  <w:tcBorders>
                    <w:tl2br w:val="nil"/>
                    <w:tr2bl w:val="nil"/>
                  </w:tcBorders>
                  <w:vAlign w:val="center"/>
                </w:tcPr>
                <w:p w14:paraId="6AF405DA">
                  <w:pPr>
                    <w:pStyle w:val="16"/>
                    <w:spacing w:after="0"/>
                    <w:ind w:left="0" w:leftChars="0"/>
                    <w:jc w:val="center"/>
                    <w:rPr>
                      <w:rFonts w:hint="eastAsia" w:ascii="Times New Roman" w:hAnsi="Times New Roman" w:eastAsia="宋体" w:cs="Times New Roman"/>
                      <w:kern w:val="0"/>
                      <w:sz w:val="21"/>
                      <w:szCs w:val="21"/>
                      <w:lang w:val="en-US" w:eastAsia="zh-CN" w:bidi="ar-SA"/>
                    </w:rPr>
                  </w:pPr>
                  <w:r>
                    <w:rPr>
                      <w:rFonts w:hint="eastAsia"/>
                      <w:sz w:val="21"/>
                      <w:szCs w:val="21"/>
                    </w:rPr>
                    <w:t>0.00</w:t>
                  </w:r>
                  <w:r>
                    <w:rPr>
                      <w:rFonts w:hint="eastAsia"/>
                      <w:sz w:val="21"/>
                      <w:szCs w:val="21"/>
                      <w:lang w:val="en-US" w:eastAsia="zh-CN"/>
                    </w:rPr>
                    <w:t>4</w:t>
                  </w:r>
                </w:p>
              </w:tc>
              <w:tc>
                <w:tcPr>
                  <w:tcW w:w="847" w:type="dxa"/>
                  <w:tcBorders>
                    <w:tl2br w:val="nil"/>
                    <w:tr2bl w:val="nil"/>
                  </w:tcBorders>
                  <w:vAlign w:val="center"/>
                </w:tcPr>
                <w:p w14:paraId="6CD8ED93">
                  <w:pPr>
                    <w:pStyle w:val="16"/>
                    <w:spacing w:after="0"/>
                    <w:ind w:left="0" w:leftChars="0"/>
                    <w:jc w:val="center"/>
                    <w:rPr>
                      <w:rFonts w:hint="eastAsia" w:ascii="Times New Roman" w:hAnsi="Times New Roman" w:eastAsia="宋体" w:cs="Times New Roman"/>
                      <w:kern w:val="0"/>
                      <w:sz w:val="21"/>
                      <w:szCs w:val="21"/>
                      <w:lang w:val="en-US" w:eastAsia="zh-CN" w:bidi="ar-SA"/>
                    </w:rPr>
                  </w:pPr>
                  <w:r>
                    <w:rPr>
                      <w:rFonts w:hint="eastAsia"/>
                      <w:sz w:val="21"/>
                      <w:szCs w:val="21"/>
                    </w:rPr>
                    <w:t>10</w:t>
                  </w:r>
                </w:p>
              </w:tc>
            </w:tr>
            <w:tr w14:paraId="118DA1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8" w:type="dxa"/>
                  <w:vMerge w:val="continue"/>
                  <w:tcBorders>
                    <w:tl2br w:val="nil"/>
                    <w:tr2bl w:val="nil"/>
                  </w:tcBorders>
                  <w:vAlign w:val="center"/>
                </w:tcPr>
                <w:p w14:paraId="6805F071">
                  <w:pPr>
                    <w:pStyle w:val="16"/>
                    <w:spacing w:after="0"/>
                    <w:ind w:left="0" w:leftChars="0"/>
                    <w:jc w:val="center"/>
                    <w:rPr>
                      <w:sz w:val="21"/>
                      <w:szCs w:val="21"/>
                      <w:lang w:val="en-GB"/>
                    </w:rPr>
                  </w:pPr>
                </w:p>
              </w:tc>
              <w:tc>
                <w:tcPr>
                  <w:tcW w:w="848" w:type="dxa"/>
                  <w:tcBorders>
                    <w:tl2br w:val="nil"/>
                    <w:tr2bl w:val="nil"/>
                  </w:tcBorders>
                  <w:vAlign w:val="center"/>
                </w:tcPr>
                <w:p w14:paraId="61D66F2E">
                  <w:pPr>
                    <w:pStyle w:val="16"/>
                    <w:spacing w:after="0"/>
                    <w:ind w:left="0" w:leftChars="0"/>
                    <w:jc w:val="center"/>
                    <w:rPr>
                      <w:rFonts w:hint="eastAsia" w:ascii="Times New Roman" w:hAnsi="Times New Roman" w:eastAsia="宋体" w:cs="Times New Roman"/>
                      <w:kern w:val="0"/>
                      <w:sz w:val="21"/>
                      <w:szCs w:val="21"/>
                      <w:lang w:val="en-US" w:eastAsia="zh-CN" w:bidi="ar-SA"/>
                    </w:rPr>
                  </w:pPr>
                  <w:r>
                    <w:rPr>
                      <w:rFonts w:hint="eastAsia"/>
                      <w:sz w:val="21"/>
                      <w:szCs w:val="21"/>
                    </w:rPr>
                    <w:t>SS</w:t>
                  </w:r>
                </w:p>
              </w:tc>
              <w:tc>
                <w:tcPr>
                  <w:tcW w:w="794" w:type="dxa"/>
                  <w:tcBorders>
                    <w:tl2br w:val="nil"/>
                    <w:tr2bl w:val="nil"/>
                  </w:tcBorders>
                  <w:vAlign w:val="center"/>
                </w:tcPr>
                <w:p w14:paraId="0C216A07">
                  <w:pPr>
                    <w:widowControl/>
                    <w:jc w:val="center"/>
                    <w:textAlignment w:val="center"/>
                    <w:rPr>
                      <w:rFonts w:ascii="Times New Roman" w:hAnsi="Times New Roman" w:eastAsia="宋体" w:cs="Times New Roman"/>
                      <w:kern w:val="2"/>
                      <w:sz w:val="21"/>
                      <w:szCs w:val="21"/>
                      <w:lang w:val="en-US" w:eastAsia="zh-CN" w:bidi="ar-SA"/>
                    </w:rPr>
                  </w:pPr>
                  <w:r>
                    <w:rPr>
                      <w:color w:val="000000"/>
                      <w:kern w:val="0"/>
                      <w:sz w:val="21"/>
                      <w:szCs w:val="21"/>
                      <w:lang w:bidi="ar"/>
                    </w:rPr>
                    <w:t>0.0</w:t>
                  </w:r>
                  <w:r>
                    <w:rPr>
                      <w:rFonts w:hint="eastAsia"/>
                      <w:color w:val="000000"/>
                      <w:kern w:val="0"/>
                      <w:sz w:val="21"/>
                      <w:szCs w:val="21"/>
                      <w:lang w:val="en-US" w:eastAsia="zh-CN" w:bidi="ar"/>
                    </w:rPr>
                    <w:t>91</w:t>
                  </w:r>
                </w:p>
              </w:tc>
              <w:tc>
                <w:tcPr>
                  <w:tcW w:w="962" w:type="dxa"/>
                  <w:tcBorders>
                    <w:tl2br w:val="nil"/>
                    <w:tr2bl w:val="nil"/>
                  </w:tcBorders>
                  <w:vAlign w:val="center"/>
                </w:tcPr>
                <w:p w14:paraId="70448A0F">
                  <w:pPr>
                    <w:pStyle w:val="16"/>
                    <w:spacing w:after="0"/>
                    <w:ind w:left="0" w:leftChars="0"/>
                    <w:jc w:val="center"/>
                    <w:rPr>
                      <w:rFonts w:hint="eastAsia" w:ascii="Times New Roman" w:hAnsi="Times New Roman" w:eastAsia="宋体" w:cs="Times New Roman"/>
                      <w:kern w:val="0"/>
                      <w:sz w:val="21"/>
                      <w:szCs w:val="21"/>
                      <w:lang w:val="en-US" w:eastAsia="zh-CN" w:bidi="ar-SA"/>
                    </w:rPr>
                  </w:pPr>
                  <w:r>
                    <w:rPr>
                      <w:rFonts w:hint="eastAsia"/>
                      <w:sz w:val="21"/>
                      <w:szCs w:val="21"/>
                    </w:rPr>
                    <w:t>250</w:t>
                  </w:r>
                </w:p>
              </w:tc>
              <w:tc>
                <w:tcPr>
                  <w:tcW w:w="1006" w:type="dxa"/>
                  <w:vMerge w:val="continue"/>
                  <w:tcBorders>
                    <w:tl2br w:val="nil"/>
                    <w:tr2bl w:val="nil"/>
                  </w:tcBorders>
                  <w:vAlign w:val="center"/>
                </w:tcPr>
                <w:p w14:paraId="029710D3">
                  <w:pPr>
                    <w:pStyle w:val="16"/>
                    <w:spacing w:after="0"/>
                    <w:ind w:left="0" w:leftChars="0"/>
                    <w:jc w:val="center"/>
                    <w:rPr>
                      <w:sz w:val="21"/>
                      <w:szCs w:val="21"/>
                      <w:lang w:val="en-GB"/>
                    </w:rPr>
                  </w:pPr>
                </w:p>
              </w:tc>
              <w:tc>
                <w:tcPr>
                  <w:tcW w:w="710" w:type="dxa"/>
                  <w:tcBorders>
                    <w:tl2br w:val="nil"/>
                    <w:tr2bl w:val="nil"/>
                  </w:tcBorders>
                  <w:vAlign w:val="center"/>
                </w:tcPr>
                <w:p w14:paraId="38C4101B">
                  <w:pPr>
                    <w:pStyle w:val="16"/>
                    <w:spacing w:after="0"/>
                    <w:ind w:left="0" w:leftChars="0"/>
                    <w:jc w:val="center"/>
                    <w:rPr>
                      <w:rFonts w:hint="eastAsia" w:ascii="Times New Roman" w:hAnsi="Times New Roman" w:eastAsia="宋体" w:cs="Times New Roman"/>
                      <w:kern w:val="0"/>
                      <w:sz w:val="21"/>
                      <w:szCs w:val="21"/>
                      <w:lang w:val="en-US" w:eastAsia="zh-CN" w:bidi="ar-SA"/>
                    </w:rPr>
                  </w:pPr>
                  <w:r>
                    <w:rPr>
                      <w:rFonts w:hint="eastAsia"/>
                      <w:sz w:val="21"/>
                      <w:szCs w:val="21"/>
                    </w:rPr>
                    <w:t>35</w:t>
                  </w:r>
                </w:p>
              </w:tc>
              <w:tc>
                <w:tcPr>
                  <w:tcW w:w="899" w:type="dxa"/>
                  <w:tcBorders>
                    <w:tl2br w:val="nil"/>
                    <w:tr2bl w:val="nil"/>
                  </w:tcBorders>
                  <w:vAlign w:val="center"/>
                </w:tcPr>
                <w:p w14:paraId="5D34241F">
                  <w:pPr>
                    <w:widowControl/>
                    <w:jc w:val="center"/>
                    <w:textAlignment w:val="center"/>
                    <w:rPr>
                      <w:rFonts w:ascii="Times New Roman" w:hAnsi="Times New Roman" w:eastAsia="宋体" w:cs="Times New Roman"/>
                      <w:kern w:val="2"/>
                      <w:sz w:val="21"/>
                      <w:szCs w:val="21"/>
                      <w:lang w:val="en-US" w:eastAsia="zh-CN" w:bidi="ar-SA"/>
                    </w:rPr>
                  </w:pPr>
                  <w:r>
                    <w:rPr>
                      <w:color w:val="000000"/>
                      <w:kern w:val="0"/>
                      <w:sz w:val="21"/>
                      <w:szCs w:val="21"/>
                      <w:lang w:bidi="ar"/>
                    </w:rPr>
                    <w:t>0.0</w:t>
                  </w:r>
                  <w:r>
                    <w:rPr>
                      <w:rFonts w:hint="eastAsia"/>
                      <w:color w:val="000000"/>
                      <w:kern w:val="0"/>
                      <w:sz w:val="21"/>
                      <w:szCs w:val="21"/>
                      <w:lang w:val="en-US" w:eastAsia="zh-CN" w:bidi="ar"/>
                    </w:rPr>
                    <w:t>59</w:t>
                  </w:r>
                  <w:r>
                    <w:rPr>
                      <w:color w:val="000000"/>
                      <w:kern w:val="0"/>
                      <w:sz w:val="21"/>
                      <w:szCs w:val="21"/>
                      <w:lang w:bidi="ar"/>
                    </w:rPr>
                    <w:t xml:space="preserve"> </w:t>
                  </w:r>
                </w:p>
              </w:tc>
              <w:tc>
                <w:tcPr>
                  <w:tcW w:w="805" w:type="dxa"/>
                  <w:tcBorders>
                    <w:tl2br w:val="nil"/>
                    <w:tr2bl w:val="nil"/>
                  </w:tcBorders>
                  <w:vAlign w:val="center"/>
                </w:tcPr>
                <w:p w14:paraId="2737B3DC">
                  <w:pPr>
                    <w:widowControl/>
                    <w:jc w:val="center"/>
                    <w:textAlignment w:val="center"/>
                    <w:rPr>
                      <w:rFonts w:ascii="Times New Roman" w:hAnsi="Times New Roman" w:eastAsia="宋体" w:cs="Times New Roman"/>
                      <w:kern w:val="2"/>
                      <w:sz w:val="21"/>
                      <w:szCs w:val="21"/>
                      <w:lang w:val="en-US" w:eastAsia="zh-CN" w:bidi="ar-SA"/>
                    </w:rPr>
                  </w:pPr>
                  <w:r>
                    <w:rPr>
                      <w:color w:val="000000"/>
                      <w:kern w:val="0"/>
                      <w:sz w:val="21"/>
                      <w:szCs w:val="21"/>
                      <w:lang w:bidi="ar"/>
                    </w:rPr>
                    <w:t>162.5</w:t>
                  </w:r>
                </w:p>
              </w:tc>
              <w:tc>
                <w:tcPr>
                  <w:tcW w:w="736" w:type="dxa"/>
                  <w:vMerge w:val="continue"/>
                  <w:tcBorders>
                    <w:tl2br w:val="nil"/>
                    <w:tr2bl w:val="nil"/>
                  </w:tcBorders>
                  <w:vAlign w:val="center"/>
                </w:tcPr>
                <w:p w14:paraId="5A394420">
                  <w:pPr>
                    <w:pStyle w:val="16"/>
                    <w:spacing w:after="0"/>
                    <w:ind w:left="0" w:leftChars="0"/>
                    <w:jc w:val="center"/>
                    <w:rPr>
                      <w:sz w:val="21"/>
                      <w:szCs w:val="21"/>
                      <w:lang w:val="en-GB"/>
                    </w:rPr>
                  </w:pPr>
                </w:p>
              </w:tc>
              <w:tc>
                <w:tcPr>
                  <w:tcW w:w="914" w:type="dxa"/>
                  <w:tcBorders>
                    <w:tl2br w:val="nil"/>
                    <w:tr2bl w:val="nil"/>
                  </w:tcBorders>
                  <w:vAlign w:val="center"/>
                </w:tcPr>
                <w:p w14:paraId="2C09E07C">
                  <w:pPr>
                    <w:pStyle w:val="16"/>
                    <w:spacing w:after="0"/>
                    <w:ind w:left="0" w:leftChars="0"/>
                    <w:jc w:val="center"/>
                    <w:rPr>
                      <w:rFonts w:hint="eastAsia" w:ascii="Times New Roman" w:hAnsi="Times New Roman" w:eastAsia="宋体" w:cs="Times New Roman"/>
                      <w:kern w:val="0"/>
                      <w:sz w:val="21"/>
                      <w:szCs w:val="21"/>
                      <w:lang w:val="en-US" w:eastAsia="zh-CN" w:bidi="ar-SA"/>
                    </w:rPr>
                  </w:pPr>
                  <w:r>
                    <w:rPr>
                      <w:rFonts w:hint="eastAsia"/>
                      <w:sz w:val="21"/>
                      <w:szCs w:val="21"/>
                    </w:rPr>
                    <w:t>0.00</w:t>
                  </w:r>
                  <w:r>
                    <w:rPr>
                      <w:rFonts w:hint="eastAsia"/>
                      <w:sz w:val="21"/>
                      <w:szCs w:val="21"/>
                      <w:lang w:val="en-US" w:eastAsia="zh-CN"/>
                    </w:rPr>
                    <w:t>4</w:t>
                  </w:r>
                </w:p>
              </w:tc>
              <w:tc>
                <w:tcPr>
                  <w:tcW w:w="847" w:type="dxa"/>
                  <w:tcBorders>
                    <w:tl2br w:val="nil"/>
                    <w:tr2bl w:val="nil"/>
                  </w:tcBorders>
                  <w:vAlign w:val="center"/>
                </w:tcPr>
                <w:p w14:paraId="586B18D3">
                  <w:pPr>
                    <w:pStyle w:val="16"/>
                    <w:spacing w:after="0"/>
                    <w:ind w:left="0" w:leftChars="0"/>
                    <w:jc w:val="center"/>
                    <w:rPr>
                      <w:rFonts w:hint="eastAsia" w:ascii="Times New Roman" w:hAnsi="Times New Roman" w:eastAsia="宋体" w:cs="Times New Roman"/>
                      <w:kern w:val="0"/>
                      <w:sz w:val="21"/>
                      <w:szCs w:val="21"/>
                      <w:lang w:val="en-US" w:eastAsia="zh-CN" w:bidi="ar-SA"/>
                    </w:rPr>
                  </w:pPr>
                  <w:r>
                    <w:rPr>
                      <w:rFonts w:hint="eastAsia"/>
                      <w:sz w:val="21"/>
                      <w:szCs w:val="21"/>
                    </w:rPr>
                    <w:t>10</w:t>
                  </w:r>
                </w:p>
              </w:tc>
            </w:tr>
            <w:tr w14:paraId="7FCDE8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8" w:type="dxa"/>
                  <w:vMerge w:val="continue"/>
                  <w:tcBorders>
                    <w:tl2br w:val="nil"/>
                    <w:tr2bl w:val="nil"/>
                  </w:tcBorders>
                  <w:vAlign w:val="center"/>
                </w:tcPr>
                <w:p w14:paraId="42DC6E8C">
                  <w:pPr>
                    <w:pStyle w:val="16"/>
                    <w:spacing w:after="0"/>
                    <w:ind w:left="0" w:leftChars="0"/>
                    <w:jc w:val="center"/>
                    <w:rPr>
                      <w:sz w:val="21"/>
                      <w:szCs w:val="21"/>
                      <w:lang w:val="en-GB"/>
                    </w:rPr>
                  </w:pPr>
                </w:p>
              </w:tc>
              <w:tc>
                <w:tcPr>
                  <w:tcW w:w="848" w:type="dxa"/>
                  <w:tcBorders>
                    <w:tl2br w:val="nil"/>
                    <w:tr2bl w:val="nil"/>
                  </w:tcBorders>
                  <w:vAlign w:val="center"/>
                </w:tcPr>
                <w:p w14:paraId="77D98020">
                  <w:pPr>
                    <w:pStyle w:val="16"/>
                    <w:spacing w:after="0"/>
                    <w:ind w:left="0" w:leftChars="0"/>
                    <w:jc w:val="center"/>
                    <w:rPr>
                      <w:rFonts w:hint="eastAsia" w:ascii="Times New Roman" w:hAnsi="Times New Roman" w:eastAsia="宋体" w:cs="Times New Roman"/>
                      <w:kern w:val="0"/>
                      <w:sz w:val="21"/>
                      <w:szCs w:val="21"/>
                      <w:lang w:val="en-US" w:eastAsia="zh-CN" w:bidi="ar-SA"/>
                    </w:rPr>
                  </w:pPr>
                  <w:r>
                    <w:rPr>
                      <w:rFonts w:hint="eastAsia"/>
                      <w:sz w:val="21"/>
                      <w:szCs w:val="21"/>
                    </w:rPr>
                    <w:t>NH</w:t>
                  </w:r>
                  <w:r>
                    <w:rPr>
                      <w:rFonts w:hint="eastAsia"/>
                      <w:sz w:val="21"/>
                      <w:szCs w:val="21"/>
                      <w:vertAlign w:val="subscript"/>
                    </w:rPr>
                    <w:t>3</w:t>
                  </w:r>
                  <w:r>
                    <w:rPr>
                      <w:rFonts w:hint="eastAsia"/>
                      <w:sz w:val="21"/>
                      <w:szCs w:val="21"/>
                    </w:rPr>
                    <w:t>-N</w:t>
                  </w:r>
                </w:p>
              </w:tc>
              <w:tc>
                <w:tcPr>
                  <w:tcW w:w="794" w:type="dxa"/>
                  <w:tcBorders>
                    <w:tl2br w:val="nil"/>
                    <w:tr2bl w:val="nil"/>
                  </w:tcBorders>
                  <w:vAlign w:val="center"/>
                </w:tcPr>
                <w:p w14:paraId="0FB9A04E">
                  <w:pPr>
                    <w:widowControl/>
                    <w:jc w:val="center"/>
                    <w:textAlignment w:val="center"/>
                    <w:rPr>
                      <w:rFonts w:ascii="Times New Roman" w:hAnsi="Times New Roman" w:eastAsia="宋体" w:cs="Times New Roman"/>
                      <w:kern w:val="2"/>
                      <w:sz w:val="21"/>
                      <w:szCs w:val="21"/>
                      <w:lang w:val="en-US" w:eastAsia="zh-CN" w:bidi="ar-SA"/>
                    </w:rPr>
                  </w:pPr>
                  <w:r>
                    <w:rPr>
                      <w:color w:val="000000"/>
                      <w:kern w:val="0"/>
                      <w:sz w:val="21"/>
                      <w:szCs w:val="21"/>
                      <w:lang w:bidi="ar"/>
                    </w:rPr>
                    <w:t>0.0</w:t>
                  </w:r>
                  <w:r>
                    <w:rPr>
                      <w:rFonts w:hint="eastAsia"/>
                      <w:color w:val="000000"/>
                      <w:kern w:val="0"/>
                      <w:sz w:val="21"/>
                      <w:szCs w:val="21"/>
                      <w:lang w:val="en-US" w:eastAsia="zh-CN" w:bidi="ar"/>
                    </w:rPr>
                    <w:t>09</w:t>
                  </w:r>
                  <w:r>
                    <w:rPr>
                      <w:color w:val="000000"/>
                      <w:kern w:val="0"/>
                      <w:sz w:val="21"/>
                      <w:szCs w:val="21"/>
                      <w:lang w:bidi="ar"/>
                    </w:rPr>
                    <w:t xml:space="preserve"> </w:t>
                  </w:r>
                </w:p>
              </w:tc>
              <w:tc>
                <w:tcPr>
                  <w:tcW w:w="962" w:type="dxa"/>
                  <w:tcBorders>
                    <w:tl2br w:val="nil"/>
                    <w:tr2bl w:val="nil"/>
                  </w:tcBorders>
                  <w:vAlign w:val="center"/>
                </w:tcPr>
                <w:p w14:paraId="1784FA2D">
                  <w:pPr>
                    <w:pStyle w:val="16"/>
                    <w:spacing w:after="0"/>
                    <w:ind w:left="0" w:leftChars="0"/>
                    <w:jc w:val="center"/>
                    <w:rPr>
                      <w:rFonts w:hint="eastAsia" w:ascii="Times New Roman" w:hAnsi="Times New Roman" w:eastAsia="宋体" w:cs="Times New Roman"/>
                      <w:kern w:val="0"/>
                      <w:sz w:val="21"/>
                      <w:szCs w:val="21"/>
                      <w:lang w:val="en-US" w:eastAsia="zh-CN" w:bidi="ar-SA"/>
                    </w:rPr>
                  </w:pPr>
                  <w:r>
                    <w:rPr>
                      <w:rFonts w:hint="eastAsia"/>
                      <w:sz w:val="21"/>
                      <w:szCs w:val="21"/>
                    </w:rPr>
                    <w:t>25</w:t>
                  </w:r>
                </w:p>
              </w:tc>
              <w:tc>
                <w:tcPr>
                  <w:tcW w:w="1006" w:type="dxa"/>
                  <w:vMerge w:val="continue"/>
                  <w:tcBorders>
                    <w:tl2br w:val="nil"/>
                    <w:tr2bl w:val="nil"/>
                  </w:tcBorders>
                  <w:vAlign w:val="center"/>
                </w:tcPr>
                <w:p w14:paraId="16BB3F4F">
                  <w:pPr>
                    <w:pStyle w:val="16"/>
                    <w:spacing w:after="0"/>
                    <w:ind w:left="0" w:leftChars="0"/>
                    <w:jc w:val="center"/>
                    <w:rPr>
                      <w:sz w:val="21"/>
                      <w:szCs w:val="21"/>
                      <w:lang w:val="en-GB"/>
                    </w:rPr>
                  </w:pPr>
                </w:p>
              </w:tc>
              <w:tc>
                <w:tcPr>
                  <w:tcW w:w="710" w:type="dxa"/>
                  <w:tcBorders>
                    <w:tl2br w:val="nil"/>
                    <w:tr2bl w:val="nil"/>
                  </w:tcBorders>
                  <w:vAlign w:val="center"/>
                </w:tcPr>
                <w:p w14:paraId="2F7E8FE7">
                  <w:pPr>
                    <w:pStyle w:val="16"/>
                    <w:spacing w:after="0"/>
                    <w:ind w:left="0" w:leftChars="0"/>
                    <w:jc w:val="center"/>
                    <w:rPr>
                      <w:rFonts w:hint="eastAsia" w:ascii="Times New Roman" w:hAnsi="Times New Roman" w:eastAsia="宋体" w:cs="Times New Roman"/>
                      <w:kern w:val="0"/>
                      <w:sz w:val="21"/>
                      <w:szCs w:val="21"/>
                      <w:lang w:val="en-US" w:eastAsia="zh-CN" w:bidi="ar-SA"/>
                    </w:rPr>
                  </w:pPr>
                  <w:r>
                    <w:rPr>
                      <w:rFonts w:hint="eastAsia"/>
                      <w:sz w:val="21"/>
                      <w:szCs w:val="21"/>
                    </w:rPr>
                    <w:t>0</w:t>
                  </w:r>
                </w:p>
              </w:tc>
              <w:tc>
                <w:tcPr>
                  <w:tcW w:w="899" w:type="dxa"/>
                  <w:tcBorders>
                    <w:tl2br w:val="nil"/>
                    <w:tr2bl w:val="nil"/>
                  </w:tcBorders>
                  <w:vAlign w:val="center"/>
                </w:tcPr>
                <w:p w14:paraId="7629338B">
                  <w:pPr>
                    <w:widowControl/>
                    <w:jc w:val="center"/>
                    <w:textAlignment w:val="center"/>
                    <w:rPr>
                      <w:rFonts w:ascii="Times New Roman" w:hAnsi="Times New Roman" w:eastAsia="宋体" w:cs="Times New Roman"/>
                      <w:kern w:val="2"/>
                      <w:sz w:val="21"/>
                      <w:szCs w:val="21"/>
                      <w:lang w:val="en-US" w:eastAsia="zh-CN" w:bidi="ar-SA"/>
                    </w:rPr>
                  </w:pPr>
                  <w:r>
                    <w:rPr>
                      <w:color w:val="000000"/>
                      <w:kern w:val="0"/>
                      <w:sz w:val="21"/>
                      <w:szCs w:val="21"/>
                      <w:lang w:bidi="ar"/>
                    </w:rPr>
                    <w:t>0.00</w:t>
                  </w:r>
                  <w:r>
                    <w:rPr>
                      <w:rFonts w:hint="eastAsia"/>
                      <w:color w:val="000000"/>
                      <w:kern w:val="0"/>
                      <w:sz w:val="21"/>
                      <w:szCs w:val="21"/>
                      <w:lang w:val="en-US" w:eastAsia="zh-CN" w:bidi="ar"/>
                    </w:rPr>
                    <w:t>9</w:t>
                  </w:r>
                  <w:r>
                    <w:rPr>
                      <w:color w:val="000000"/>
                      <w:kern w:val="0"/>
                      <w:sz w:val="21"/>
                      <w:szCs w:val="21"/>
                      <w:lang w:bidi="ar"/>
                    </w:rPr>
                    <w:t xml:space="preserve"> </w:t>
                  </w:r>
                </w:p>
              </w:tc>
              <w:tc>
                <w:tcPr>
                  <w:tcW w:w="805" w:type="dxa"/>
                  <w:tcBorders>
                    <w:tl2br w:val="nil"/>
                    <w:tr2bl w:val="nil"/>
                  </w:tcBorders>
                  <w:vAlign w:val="center"/>
                </w:tcPr>
                <w:p w14:paraId="4317848F">
                  <w:pPr>
                    <w:widowControl/>
                    <w:jc w:val="center"/>
                    <w:textAlignment w:val="center"/>
                    <w:rPr>
                      <w:rFonts w:ascii="Times New Roman" w:hAnsi="Times New Roman" w:eastAsia="宋体" w:cs="Times New Roman"/>
                      <w:kern w:val="2"/>
                      <w:sz w:val="21"/>
                      <w:szCs w:val="21"/>
                      <w:lang w:val="en-US" w:eastAsia="zh-CN" w:bidi="ar-SA"/>
                    </w:rPr>
                  </w:pPr>
                  <w:r>
                    <w:rPr>
                      <w:color w:val="000000"/>
                      <w:kern w:val="0"/>
                      <w:sz w:val="21"/>
                      <w:szCs w:val="21"/>
                      <w:lang w:bidi="ar"/>
                    </w:rPr>
                    <w:t>25</w:t>
                  </w:r>
                </w:p>
              </w:tc>
              <w:tc>
                <w:tcPr>
                  <w:tcW w:w="736" w:type="dxa"/>
                  <w:vMerge w:val="continue"/>
                  <w:tcBorders>
                    <w:tl2br w:val="nil"/>
                    <w:tr2bl w:val="nil"/>
                  </w:tcBorders>
                  <w:vAlign w:val="center"/>
                </w:tcPr>
                <w:p w14:paraId="760EB2BC">
                  <w:pPr>
                    <w:pStyle w:val="16"/>
                    <w:spacing w:after="0"/>
                    <w:ind w:left="0" w:leftChars="0"/>
                    <w:jc w:val="center"/>
                    <w:rPr>
                      <w:sz w:val="21"/>
                      <w:szCs w:val="21"/>
                      <w:lang w:val="en-GB"/>
                    </w:rPr>
                  </w:pPr>
                </w:p>
              </w:tc>
              <w:tc>
                <w:tcPr>
                  <w:tcW w:w="914" w:type="dxa"/>
                  <w:tcBorders>
                    <w:tl2br w:val="nil"/>
                    <w:tr2bl w:val="nil"/>
                  </w:tcBorders>
                  <w:vAlign w:val="center"/>
                </w:tcPr>
                <w:p w14:paraId="4F95A939">
                  <w:pPr>
                    <w:pStyle w:val="16"/>
                    <w:spacing w:after="0"/>
                    <w:ind w:left="0" w:leftChars="0"/>
                    <w:jc w:val="center"/>
                    <w:rPr>
                      <w:rFonts w:hint="eastAsia" w:ascii="Times New Roman" w:hAnsi="Times New Roman" w:eastAsia="宋体" w:cs="Times New Roman"/>
                      <w:kern w:val="0"/>
                      <w:sz w:val="21"/>
                      <w:szCs w:val="21"/>
                      <w:lang w:val="en-US" w:eastAsia="zh-CN" w:bidi="ar-SA"/>
                    </w:rPr>
                  </w:pPr>
                  <w:r>
                    <w:rPr>
                      <w:rFonts w:hint="eastAsia"/>
                      <w:sz w:val="21"/>
                      <w:szCs w:val="21"/>
                    </w:rPr>
                    <w:t>0.00</w:t>
                  </w:r>
                  <w:r>
                    <w:rPr>
                      <w:rFonts w:hint="eastAsia"/>
                      <w:sz w:val="21"/>
                      <w:szCs w:val="21"/>
                      <w:lang w:val="en-US" w:eastAsia="zh-CN"/>
                    </w:rPr>
                    <w:t>3</w:t>
                  </w:r>
                </w:p>
              </w:tc>
              <w:tc>
                <w:tcPr>
                  <w:tcW w:w="847" w:type="dxa"/>
                  <w:tcBorders>
                    <w:tl2br w:val="nil"/>
                    <w:tr2bl w:val="nil"/>
                  </w:tcBorders>
                  <w:vAlign w:val="center"/>
                </w:tcPr>
                <w:p w14:paraId="7E47037D">
                  <w:pPr>
                    <w:pStyle w:val="16"/>
                    <w:spacing w:after="0"/>
                    <w:ind w:left="0" w:leftChars="0"/>
                    <w:jc w:val="center"/>
                    <w:rPr>
                      <w:rFonts w:hint="eastAsia" w:ascii="Times New Roman" w:hAnsi="Times New Roman" w:eastAsia="宋体" w:cs="Times New Roman"/>
                      <w:kern w:val="0"/>
                      <w:sz w:val="21"/>
                      <w:szCs w:val="21"/>
                      <w:lang w:val="en-US" w:eastAsia="zh-CN" w:bidi="ar-SA"/>
                    </w:rPr>
                  </w:pPr>
                  <w:r>
                    <w:rPr>
                      <w:rFonts w:hint="eastAsia"/>
                      <w:sz w:val="21"/>
                      <w:szCs w:val="21"/>
                    </w:rPr>
                    <w:t>8</w:t>
                  </w:r>
                </w:p>
              </w:tc>
            </w:tr>
          </w:tbl>
          <w:p w14:paraId="3AA60592">
            <w:pPr>
              <w:spacing w:line="360" w:lineRule="auto"/>
              <w:ind w:firstLine="480" w:firstLineChars="200"/>
              <w:rPr>
                <w:bCs/>
                <w:kern w:val="0"/>
              </w:rPr>
            </w:pPr>
            <w:r>
              <w:rPr>
                <w:bCs/>
                <w:kern w:val="0"/>
              </w:rPr>
              <w:t>本项目运营期废水治理设施信息及排污口情况详见表4-</w:t>
            </w:r>
            <w:r>
              <w:rPr>
                <w:rFonts w:hint="eastAsia"/>
                <w:bCs/>
                <w:kern w:val="0"/>
                <w:lang w:val="en-US" w:eastAsia="zh-CN"/>
              </w:rPr>
              <w:t>9</w:t>
            </w:r>
            <w:r>
              <w:rPr>
                <w:bCs/>
                <w:kern w:val="0"/>
              </w:rPr>
              <w:t>、表4-</w:t>
            </w:r>
            <w:r>
              <w:rPr>
                <w:rFonts w:hint="eastAsia"/>
                <w:bCs/>
                <w:kern w:val="0"/>
                <w:lang w:val="en-US" w:eastAsia="zh-CN"/>
              </w:rPr>
              <w:t>10</w:t>
            </w:r>
            <w:r>
              <w:rPr>
                <w:bCs/>
                <w:kern w:val="0"/>
              </w:rPr>
              <w:t>。</w:t>
            </w:r>
          </w:p>
          <w:p w14:paraId="5F99D59C">
            <w:pPr>
              <w:spacing w:line="360" w:lineRule="auto"/>
              <w:jc w:val="center"/>
              <w:rPr>
                <w:b/>
                <w:lang w:val="en-GB"/>
              </w:rPr>
            </w:pPr>
            <w:r>
              <w:rPr>
                <w:b/>
                <w:lang w:val="en-GB"/>
              </w:rPr>
              <w:t>表4-</w:t>
            </w:r>
            <w:r>
              <w:rPr>
                <w:rFonts w:hint="eastAsia"/>
                <w:b/>
                <w:lang w:val="en-US" w:eastAsia="zh-CN"/>
              </w:rPr>
              <w:t>9</w:t>
            </w:r>
            <w:r>
              <w:rPr>
                <w:b/>
                <w:lang w:val="en-GB"/>
              </w:rPr>
              <w:t xml:space="preserve">  本项目废水类别、污染物及污染治理设施信息表</w:t>
            </w:r>
          </w:p>
          <w:tbl>
            <w:tblPr>
              <w:tblStyle w:val="37"/>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6"/>
              <w:gridCol w:w="631"/>
              <w:gridCol w:w="1317"/>
              <w:gridCol w:w="812"/>
              <w:gridCol w:w="1121"/>
              <w:gridCol w:w="812"/>
              <w:gridCol w:w="877"/>
              <w:gridCol w:w="818"/>
              <w:gridCol w:w="830"/>
              <w:gridCol w:w="776"/>
              <w:gridCol w:w="575"/>
            </w:tblGrid>
            <w:tr w14:paraId="79445E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 w:type="pct"/>
                  <w:vMerge w:val="restart"/>
                  <w:vAlign w:val="center"/>
                </w:tcPr>
                <w:p w14:paraId="1E3B654E">
                  <w:pPr>
                    <w:jc w:val="center"/>
                    <w:rPr>
                      <w:b/>
                      <w:spacing w:val="-10"/>
                      <w:sz w:val="21"/>
                      <w:szCs w:val="21"/>
                    </w:rPr>
                  </w:pPr>
                  <w:r>
                    <w:rPr>
                      <w:b/>
                      <w:spacing w:val="-10"/>
                      <w:sz w:val="21"/>
                      <w:szCs w:val="21"/>
                    </w:rPr>
                    <w:t>序号</w:t>
                  </w:r>
                </w:p>
              </w:tc>
              <w:tc>
                <w:tcPr>
                  <w:tcW w:w="351" w:type="pct"/>
                  <w:vMerge w:val="restart"/>
                  <w:vAlign w:val="center"/>
                </w:tcPr>
                <w:p w14:paraId="761752D7">
                  <w:pPr>
                    <w:jc w:val="center"/>
                    <w:rPr>
                      <w:b/>
                      <w:spacing w:val="-10"/>
                      <w:sz w:val="21"/>
                      <w:szCs w:val="21"/>
                    </w:rPr>
                  </w:pPr>
                  <w:r>
                    <w:rPr>
                      <w:b/>
                      <w:spacing w:val="-10"/>
                      <w:sz w:val="21"/>
                      <w:szCs w:val="21"/>
                    </w:rPr>
                    <w:t>废水类别</w:t>
                  </w:r>
                </w:p>
              </w:tc>
              <w:tc>
                <w:tcPr>
                  <w:tcW w:w="733" w:type="pct"/>
                  <w:vMerge w:val="restart"/>
                  <w:vAlign w:val="center"/>
                </w:tcPr>
                <w:p w14:paraId="0E405B58">
                  <w:pPr>
                    <w:jc w:val="center"/>
                    <w:rPr>
                      <w:b/>
                      <w:spacing w:val="-10"/>
                      <w:sz w:val="21"/>
                      <w:szCs w:val="21"/>
                    </w:rPr>
                  </w:pPr>
                  <w:r>
                    <w:rPr>
                      <w:b/>
                      <w:spacing w:val="-10"/>
                      <w:sz w:val="21"/>
                      <w:szCs w:val="21"/>
                    </w:rPr>
                    <w:t>污染物种类</w:t>
                  </w:r>
                </w:p>
              </w:tc>
              <w:tc>
                <w:tcPr>
                  <w:tcW w:w="452" w:type="pct"/>
                  <w:vMerge w:val="restart"/>
                  <w:vAlign w:val="center"/>
                </w:tcPr>
                <w:p w14:paraId="0FC5E35C">
                  <w:pPr>
                    <w:jc w:val="center"/>
                    <w:rPr>
                      <w:b/>
                      <w:spacing w:val="-10"/>
                      <w:sz w:val="21"/>
                      <w:szCs w:val="21"/>
                    </w:rPr>
                  </w:pPr>
                  <w:r>
                    <w:rPr>
                      <w:b/>
                      <w:spacing w:val="-10"/>
                      <w:sz w:val="21"/>
                      <w:szCs w:val="21"/>
                    </w:rPr>
                    <w:t>排放去向</w:t>
                  </w:r>
                </w:p>
              </w:tc>
              <w:tc>
                <w:tcPr>
                  <w:tcW w:w="624" w:type="pct"/>
                  <w:vMerge w:val="restart"/>
                  <w:vAlign w:val="center"/>
                </w:tcPr>
                <w:p w14:paraId="48D56800">
                  <w:pPr>
                    <w:jc w:val="center"/>
                    <w:rPr>
                      <w:b/>
                      <w:spacing w:val="-10"/>
                      <w:sz w:val="21"/>
                      <w:szCs w:val="21"/>
                    </w:rPr>
                  </w:pPr>
                  <w:r>
                    <w:rPr>
                      <w:b/>
                      <w:spacing w:val="-10"/>
                      <w:sz w:val="21"/>
                      <w:szCs w:val="21"/>
                    </w:rPr>
                    <w:t>排放规律</w:t>
                  </w:r>
                </w:p>
              </w:tc>
              <w:tc>
                <w:tcPr>
                  <w:tcW w:w="1395" w:type="pct"/>
                  <w:gridSpan w:val="3"/>
                  <w:vAlign w:val="center"/>
                </w:tcPr>
                <w:p w14:paraId="4F353704">
                  <w:pPr>
                    <w:jc w:val="center"/>
                    <w:rPr>
                      <w:b/>
                      <w:spacing w:val="-10"/>
                      <w:sz w:val="21"/>
                      <w:szCs w:val="21"/>
                    </w:rPr>
                  </w:pPr>
                  <w:r>
                    <w:rPr>
                      <w:b/>
                      <w:spacing w:val="-10"/>
                      <w:sz w:val="21"/>
                      <w:szCs w:val="21"/>
                    </w:rPr>
                    <w:t>污染治理设施</w:t>
                  </w:r>
                </w:p>
              </w:tc>
              <w:tc>
                <w:tcPr>
                  <w:tcW w:w="462" w:type="pct"/>
                  <w:vMerge w:val="restart"/>
                  <w:vAlign w:val="center"/>
                </w:tcPr>
                <w:p w14:paraId="43FC14E6">
                  <w:pPr>
                    <w:jc w:val="center"/>
                    <w:rPr>
                      <w:b/>
                      <w:spacing w:val="-10"/>
                      <w:sz w:val="21"/>
                      <w:szCs w:val="21"/>
                    </w:rPr>
                  </w:pPr>
                  <w:r>
                    <w:rPr>
                      <w:b/>
                      <w:spacing w:val="-10"/>
                      <w:sz w:val="21"/>
                      <w:szCs w:val="21"/>
                    </w:rPr>
                    <w:t>排放口编号</w:t>
                  </w:r>
                </w:p>
              </w:tc>
              <w:tc>
                <w:tcPr>
                  <w:tcW w:w="432" w:type="pct"/>
                  <w:vMerge w:val="restart"/>
                  <w:vAlign w:val="center"/>
                </w:tcPr>
                <w:p w14:paraId="70248AC0">
                  <w:pPr>
                    <w:jc w:val="center"/>
                    <w:rPr>
                      <w:b/>
                      <w:spacing w:val="-10"/>
                      <w:sz w:val="21"/>
                      <w:szCs w:val="21"/>
                    </w:rPr>
                  </w:pPr>
                  <w:r>
                    <w:rPr>
                      <w:b/>
                      <w:spacing w:val="-10"/>
                      <w:sz w:val="21"/>
                      <w:szCs w:val="21"/>
                    </w:rPr>
                    <w:t>排放口设置是否符合要求</w:t>
                  </w:r>
                </w:p>
              </w:tc>
              <w:tc>
                <w:tcPr>
                  <w:tcW w:w="320" w:type="pct"/>
                  <w:vMerge w:val="restart"/>
                  <w:vAlign w:val="center"/>
                </w:tcPr>
                <w:p w14:paraId="72BF83C5">
                  <w:pPr>
                    <w:jc w:val="center"/>
                    <w:rPr>
                      <w:b/>
                      <w:spacing w:val="-10"/>
                      <w:sz w:val="21"/>
                      <w:szCs w:val="21"/>
                    </w:rPr>
                  </w:pPr>
                  <w:r>
                    <w:rPr>
                      <w:b/>
                      <w:spacing w:val="-10"/>
                      <w:sz w:val="21"/>
                      <w:szCs w:val="21"/>
                    </w:rPr>
                    <w:t>排放口类型</w:t>
                  </w:r>
                </w:p>
              </w:tc>
            </w:tr>
            <w:tr w14:paraId="49B6E6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 w:type="pct"/>
                  <w:vMerge w:val="continue"/>
                  <w:vAlign w:val="center"/>
                </w:tcPr>
                <w:p w14:paraId="3BD838F9">
                  <w:pPr>
                    <w:jc w:val="center"/>
                    <w:rPr>
                      <w:b/>
                      <w:spacing w:val="-10"/>
                      <w:sz w:val="21"/>
                      <w:szCs w:val="21"/>
                    </w:rPr>
                  </w:pPr>
                </w:p>
              </w:tc>
              <w:tc>
                <w:tcPr>
                  <w:tcW w:w="351" w:type="pct"/>
                  <w:vMerge w:val="continue"/>
                  <w:vAlign w:val="center"/>
                </w:tcPr>
                <w:p w14:paraId="6386D598">
                  <w:pPr>
                    <w:jc w:val="center"/>
                    <w:rPr>
                      <w:b/>
                      <w:spacing w:val="-10"/>
                      <w:sz w:val="21"/>
                      <w:szCs w:val="21"/>
                    </w:rPr>
                  </w:pPr>
                </w:p>
              </w:tc>
              <w:tc>
                <w:tcPr>
                  <w:tcW w:w="733" w:type="pct"/>
                  <w:vMerge w:val="continue"/>
                  <w:vAlign w:val="center"/>
                </w:tcPr>
                <w:p w14:paraId="065BFE3B">
                  <w:pPr>
                    <w:jc w:val="center"/>
                    <w:rPr>
                      <w:b/>
                      <w:spacing w:val="-10"/>
                      <w:sz w:val="21"/>
                      <w:szCs w:val="21"/>
                    </w:rPr>
                  </w:pPr>
                </w:p>
              </w:tc>
              <w:tc>
                <w:tcPr>
                  <w:tcW w:w="452" w:type="pct"/>
                  <w:vMerge w:val="continue"/>
                  <w:vAlign w:val="center"/>
                </w:tcPr>
                <w:p w14:paraId="5F73B69F">
                  <w:pPr>
                    <w:jc w:val="center"/>
                    <w:rPr>
                      <w:b/>
                      <w:spacing w:val="-10"/>
                      <w:sz w:val="21"/>
                      <w:szCs w:val="21"/>
                    </w:rPr>
                  </w:pPr>
                </w:p>
              </w:tc>
              <w:tc>
                <w:tcPr>
                  <w:tcW w:w="624" w:type="pct"/>
                  <w:vMerge w:val="continue"/>
                  <w:vAlign w:val="center"/>
                </w:tcPr>
                <w:p w14:paraId="4548697C">
                  <w:pPr>
                    <w:jc w:val="center"/>
                    <w:rPr>
                      <w:b/>
                      <w:spacing w:val="-10"/>
                      <w:sz w:val="21"/>
                      <w:szCs w:val="21"/>
                    </w:rPr>
                  </w:pPr>
                </w:p>
              </w:tc>
              <w:tc>
                <w:tcPr>
                  <w:tcW w:w="452" w:type="pct"/>
                  <w:vAlign w:val="center"/>
                </w:tcPr>
                <w:p w14:paraId="146480EC">
                  <w:pPr>
                    <w:jc w:val="center"/>
                    <w:rPr>
                      <w:b/>
                      <w:spacing w:val="-10"/>
                      <w:sz w:val="21"/>
                      <w:szCs w:val="21"/>
                    </w:rPr>
                  </w:pPr>
                  <w:r>
                    <w:rPr>
                      <w:b/>
                      <w:spacing w:val="-10"/>
                      <w:sz w:val="21"/>
                      <w:szCs w:val="21"/>
                    </w:rPr>
                    <w:t>污染治理设施编号</w:t>
                  </w:r>
                </w:p>
              </w:tc>
              <w:tc>
                <w:tcPr>
                  <w:tcW w:w="488" w:type="pct"/>
                  <w:vAlign w:val="center"/>
                </w:tcPr>
                <w:p w14:paraId="67C8946D">
                  <w:pPr>
                    <w:jc w:val="center"/>
                    <w:rPr>
                      <w:b/>
                      <w:spacing w:val="-10"/>
                      <w:sz w:val="21"/>
                      <w:szCs w:val="21"/>
                    </w:rPr>
                  </w:pPr>
                  <w:r>
                    <w:rPr>
                      <w:b/>
                      <w:spacing w:val="-10"/>
                      <w:sz w:val="21"/>
                      <w:szCs w:val="21"/>
                    </w:rPr>
                    <w:t>污染治理设施名称</w:t>
                  </w:r>
                </w:p>
              </w:tc>
              <w:tc>
                <w:tcPr>
                  <w:tcW w:w="454" w:type="pct"/>
                  <w:vAlign w:val="center"/>
                </w:tcPr>
                <w:p w14:paraId="0EA08B78">
                  <w:pPr>
                    <w:jc w:val="center"/>
                    <w:rPr>
                      <w:b/>
                      <w:spacing w:val="-10"/>
                      <w:sz w:val="21"/>
                      <w:szCs w:val="21"/>
                    </w:rPr>
                  </w:pPr>
                  <w:r>
                    <w:rPr>
                      <w:b/>
                      <w:spacing w:val="-10"/>
                      <w:sz w:val="21"/>
                      <w:szCs w:val="21"/>
                    </w:rPr>
                    <w:t>污染治理设施工艺</w:t>
                  </w:r>
                </w:p>
              </w:tc>
              <w:tc>
                <w:tcPr>
                  <w:tcW w:w="462" w:type="pct"/>
                  <w:vMerge w:val="continue"/>
                  <w:vAlign w:val="center"/>
                </w:tcPr>
                <w:p w14:paraId="310F2D13">
                  <w:pPr>
                    <w:jc w:val="center"/>
                    <w:rPr>
                      <w:b/>
                      <w:spacing w:val="-10"/>
                      <w:sz w:val="21"/>
                      <w:szCs w:val="21"/>
                    </w:rPr>
                  </w:pPr>
                </w:p>
              </w:tc>
              <w:tc>
                <w:tcPr>
                  <w:tcW w:w="432" w:type="pct"/>
                  <w:vMerge w:val="continue"/>
                  <w:vAlign w:val="center"/>
                </w:tcPr>
                <w:p w14:paraId="098997D2">
                  <w:pPr>
                    <w:jc w:val="center"/>
                    <w:rPr>
                      <w:b/>
                      <w:spacing w:val="-10"/>
                      <w:sz w:val="21"/>
                      <w:szCs w:val="21"/>
                    </w:rPr>
                  </w:pPr>
                </w:p>
              </w:tc>
              <w:tc>
                <w:tcPr>
                  <w:tcW w:w="320" w:type="pct"/>
                  <w:vMerge w:val="continue"/>
                  <w:vAlign w:val="center"/>
                </w:tcPr>
                <w:p w14:paraId="697CA004">
                  <w:pPr>
                    <w:jc w:val="center"/>
                    <w:rPr>
                      <w:b/>
                      <w:spacing w:val="-10"/>
                      <w:sz w:val="21"/>
                      <w:szCs w:val="21"/>
                    </w:rPr>
                  </w:pPr>
                </w:p>
              </w:tc>
            </w:tr>
            <w:tr w14:paraId="686E5B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6" w:type="pct"/>
                  <w:vAlign w:val="center"/>
                </w:tcPr>
                <w:p w14:paraId="50147EB7">
                  <w:pPr>
                    <w:jc w:val="center"/>
                    <w:rPr>
                      <w:bCs/>
                      <w:spacing w:val="-10"/>
                      <w:sz w:val="21"/>
                      <w:szCs w:val="21"/>
                    </w:rPr>
                  </w:pPr>
                  <w:r>
                    <w:rPr>
                      <w:bCs/>
                      <w:spacing w:val="-10"/>
                      <w:sz w:val="21"/>
                      <w:szCs w:val="21"/>
                    </w:rPr>
                    <w:t>1</w:t>
                  </w:r>
                </w:p>
              </w:tc>
              <w:tc>
                <w:tcPr>
                  <w:tcW w:w="351" w:type="pct"/>
                  <w:vAlign w:val="center"/>
                </w:tcPr>
                <w:p w14:paraId="4B3038CF">
                  <w:pPr>
                    <w:jc w:val="center"/>
                    <w:rPr>
                      <w:bCs/>
                      <w:spacing w:val="-10"/>
                      <w:sz w:val="21"/>
                      <w:szCs w:val="21"/>
                    </w:rPr>
                  </w:pPr>
                  <w:r>
                    <w:rPr>
                      <w:bCs/>
                      <w:spacing w:val="-10"/>
                      <w:sz w:val="21"/>
                      <w:szCs w:val="21"/>
                    </w:rPr>
                    <w:t>生活污水</w:t>
                  </w:r>
                </w:p>
              </w:tc>
              <w:tc>
                <w:tcPr>
                  <w:tcW w:w="733" w:type="pct"/>
                  <w:vAlign w:val="center"/>
                </w:tcPr>
                <w:p w14:paraId="5FBAFA72">
                  <w:pPr>
                    <w:jc w:val="center"/>
                    <w:rPr>
                      <w:spacing w:val="4"/>
                      <w:sz w:val="21"/>
                      <w:szCs w:val="21"/>
                    </w:rPr>
                  </w:pPr>
                  <w:r>
                    <w:rPr>
                      <w:spacing w:val="4"/>
                      <w:sz w:val="21"/>
                      <w:szCs w:val="21"/>
                    </w:rPr>
                    <w:t>SS、BOD</w:t>
                  </w:r>
                  <w:r>
                    <w:rPr>
                      <w:spacing w:val="4"/>
                      <w:sz w:val="21"/>
                      <w:szCs w:val="21"/>
                      <w:vertAlign w:val="subscript"/>
                    </w:rPr>
                    <w:t>5</w:t>
                  </w:r>
                  <w:r>
                    <w:rPr>
                      <w:spacing w:val="4"/>
                      <w:sz w:val="21"/>
                      <w:szCs w:val="21"/>
                    </w:rPr>
                    <w:t>、COD、氨氮</w:t>
                  </w:r>
                </w:p>
              </w:tc>
              <w:tc>
                <w:tcPr>
                  <w:tcW w:w="452" w:type="pct"/>
                  <w:vMerge w:val="restart"/>
                  <w:vAlign w:val="center"/>
                </w:tcPr>
                <w:p w14:paraId="10C07AF0">
                  <w:pPr>
                    <w:jc w:val="center"/>
                    <w:rPr>
                      <w:bCs/>
                      <w:spacing w:val="-10"/>
                      <w:sz w:val="21"/>
                      <w:szCs w:val="21"/>
                    </w:rPr>
                  </w:pPr>
                  <w:r>
                    <w:rPr>
                      <w:bCs/>
                      <w:spacing w:val="-10"/>
                      <w:sz w:val="21"/>
                      <w:szCs w:val="21"/>
                    </w:rPr>
                    <w:t>进入</w:t>
                  </w:r>
                  <w:r>
                    <w:rPr>
                      <w:rFonts w:hint="eastAsia"/>
                      <w:bCs/>
                      <w:spacing w:val="-10"/>
                      <w:sz w:val="21"/>
                      <w:szCs w:val="21"/>
                    </w:rPr>
                    <w:t>松木污水处理厂</w:t>
                  </w:r>
                </w:p>
              </w:tc>
              <w:tc>
                <w:tcPr>
                  <w:tcW w:w="624" w:type="pct"/>
                  <w:vMerge w:val="restart"/>
                  <w:vAlign w:val="center"/>
                </w:tcPr>
                <w:p w14:paraId="02BD39E9">
                  <w:pPr>
                    <w:jc w:val="center"/>
                    <w:rPr>
                      <w:bCs/>
                      <w:spacing w:val="-10"/>
                      <w:sz w:val="21"/>
                      <w:szCs w:val="21"/>
                    </w:rPr>
                  </w:pPr>
                  <w:r>
                    <w:rPr>
                      <w:bCs/>
                      <w:spacing w:val="-10"/>
                      <w:sz w:val="21"/>
                      <w:szCs w:val="21"/>
                    </w:rPr>
                    <w:t>连续排放，流量不稳定且无规律，但不属于冲击型排放</w:t>
                  </w:r>
                </w:p>
              </w:tc>
              <w:tc>
                <w:tcPr>
                  <w:tcW w:w="452" w:type="pct"/>
                  <w:vAlign w:val="center"/>
                </w:tcPr>
                <w:p w14:paraId="47C5B708">
                  <w:pPr>
                    <w:jc w:val="center"/>
                    <w:rPr>
                      <w:rFonts w:hint="eastAsia" w:eastAsia="宋体"/>
                      <w:bCs/>
                      <w:spacing w:val="-10"/>
                      <w:sz w:val="21"/>
                      <w:szCs w:val="21"/>
                      <w:lang w:val="en-US" w:eastAsia="zh-CN"/>
                    </w:rPr>
                  </w:pPr>
                  <w:r>
                    <w:rPr>
                      <w:rFonts w:hint="eastAsia"/>
                      <w:bCs/>
                      <w:spacing w:val="-10"/>
                      <w:sz w:val="21"/>
                      <w:szCs w:val="21"/>
                    </w:rPr>
                    <w:t>TW00</w:t>
                  </w:r>
                  <w:r>
                    <w:rPr>
                      <w:rFonts w:hint="eastAsia"/>
                      <w:bCs/>
                      <w:spacing w:val="-10"/>
                      <w:sz w:val="21"/>
                      <w:szCs w:val="21"/>
                      <w:lang w:val="en-US" w:eastAsia="zh-CN"/>
                    </w:rPr>
                    <w:t>1</w:t>
                  </w:r>
                </w:p>
              </w:tc>
              <w:tc>
                <w:tcPr>
                  <w:tcW w:w="488" w:type="pct"/>
                  <w:vAlign w:val="center"/>
                </w:tcPr>
                <w:p w14:paraId="7A79389F">
                  <w:pPr>
                    <w:jc w:val="center"/>
                    <w:rPr>
                      <w:bCs/>
                      <w:spacing w:val="-10"/>
                      <w:sz w:val="21"/>
                      <w:szCs w:val="21"/>
                    </w:rPr>
                  </w:pPr>
                  <w:r>
                    <w:rPr>
                      <w:bCs/>
                      <w:spacing w:val="-10"/>
                      <w:sz w:val="21"/>
                      <w:szCs w:val="21"/>
                    </w:rPr>
                    <w:t>化粪池</w:t>
                  </w:r>
                </w:p>
              </w:tc>
              <w:tc>
                <w:tcPr>
                  <w:tcW w:w="454" w:type="pct"/>
                  <w:vAlign w:val="center"/>
                </w:tcPr>
                <w:p w14:paraId="7ECCE0B0">
                  <w:pPr>
                    <w:jc w:val="center"/>
                    <w:rPr>
                      <w:bCs/>
                      <w:spacing w:val="-10"/>
                      <w:sz w:val="21"/>
                      <w:szCs w:val="21"/>
                    </w:rPr>
                  </w:pPr>
                  <w:r>
                    <w:rPr>
                      <w:bCs/>
                      <w:spacing w:val="-10"/>
                      <w:sz w:val="21"/>
                      <w:szCs w:val="21"/>
                    </w:rPr>
                    <w:t>化粪池</w:t>
                  </w:r>
                </w:p>
              </w:tc>
              <w:tc>
                <w:tcPr>
                  <w:tcW w:w="462" w:type="pct"/>
                  <w:vAlign w:val="center"/>
                </w:tcPr>
                <w:p w14:paraId="721D4E51">
                  <w:pPr>
                    <w:jc w:val="center"/>
                    <w:rPr>
                      <w:bCs/>
                      <w:spacing w:val="-10"/>
                      <w:sz w:val="21"/>
                      <w:szCs w:val="21"/>
                    </w:rPr>
                  </w:pPr>
                  <w:r>
                    <w:rPr>
                      <w:bCs/>
                      <w:spacing w:val="-10"/>
                      <w:sz w:val="21"/>
                      <w:szCs w:val="21"/>
                    </w:rPr>
                    <w:t>DW001</w:t>
                  </w:r>
                </w:p>
              </w:tc>
              <w:tc>
                <w:tcPr>
                  <w:tcW w:w="432" w:type="pct"/>
                  <w:vMerge w:val="restart"/>
                  <w:vAlign w:val="center"/>
                </w:tcPr>
                <w:p w14:paraId="3B6C6569">
                  <w:pPr>
                    <w:jc w:val="center"/>
                    <w:rPr>
                      <w:bCs/>
                      <w:spacing w:val="-10"/>
                      <w:sz w:val="21"/>
                      <w:szCs w:val="21"/>
                    </w:rPr>
                  </w:pPr>
                  <w:r>
                    <w:rPr>
                      <w:bCs/>
                      <w:spacing w:val="-10"/>
                      <w:sz w:val="21"/>
                      <w:szCs w:val="21"/>
                    </w:rPr>
                    <w:t>是</w:t>
                  </w:r>
                </w:p>
              </w:tc>
              <w:tc>
                <w:tcPr>
                  <w:tcW w:w="320" w:type="pct"/>
                  <w:vMerge w:val="restart"/>
                  <w:vAlign w:val="center"/>
                </w:tcPr>
                <w:p w14:paraId="7886ED00">
                  <w:pPr>
                    <w:jc w:val="center"/>
                    <w:rPr>
                      <w:bCs/>
                      <w:spacing w:val="-10"/>
                      <w:sz w:val="21"/>
                      <w:szCs w:val="21"/>
                    </w:rPr>
                  </w:pPr>
                  <w:r>
                    <w:rPr>
                      <w:bCs/>
                      <w:spacing w:val="-10"/>
                      <w:sz w:val="21"/>
                      <w:szCs w:val="21"/>
                    </w:rPr>
                    <w:t>一般排放口</w:t>
                  </w:r>
                </w:p>
              </w:tc>
            </w:tr>
            <w:tr w14:paraId="6FB17C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6" w:type="pct"/>
                  <w:vAlign w:val="center"/>
                </w:tcPr>
                <w:p w14:paraId="0F79A6AC">
                  <w:pPr>
                    <w:jc w:val="center"/>
                    <w:rPr>
                      <w:rFonts w:hint="eastAsia" w:eastAsia="宋体"/>
                      <w:bCs/>
                      <w:spacing w:val="-10"/>
                      <w:sz w:val="21"/>
                      <w:szCs w:val="21"/>
                      <w:lang w:val="en-US" w:eastAsia="zh-CN"/>
                    </w:rPr>
                  </w:pPr>
                  <w:r>
                    <w:rPr>
                      <w:rFonts w:hint="eastAsia"/>
                      <w:bCs/>
                      <w:spacing w:val="-10"/>
                      <w:sz w:val="21"/>
                      <w:szCs w:val="21"/>
                      <w:lang w:val="en-US" w:eastAsia="zh-CN"/>
                    </w:rPr>
                    <w:t>2</w:t>
                  </w:r>
                </w:p>
              </w:tc>
              <w:tc>
                <w:tcPr>
                  <w:tcW w:w="351" w:type="pct"/>
                  <w:vAlign w:val="center"/>
                </w:tcPr>
                <w:p w14:paraId="476F0EB2">
                  <w:pPr>
                    <w:jc w:val="center"/>
                    <w:rPr>
                      <w:rFonts w:hint="eastAsia"/>
                      <w:bCs/>
                      <w:spacing w:val="-10"/>
                      <w:sz w:val="21"/>
                      <w:szCs w:val="21"/>
                      <w:lang w:eastAsia="zh-CN"/>
                    </w:rPr>
                  </w:pPr>
                  <w:r>
                    <w:rPr>
                      <w:rFonts w:hint="eastAsia"/>
                      <w:bCs/>
                      <w:spacing w:val="-10"/>
                      <w:sz w:val="21"/>
                      <w:szCs w:val="21"/>
                      <w:lang w:eastAsia="zh-CN"/>
                    </w:rPr>
                    <w:t>挤出冷却废水、化验废水</w:t>
                  </w:r>
                </w:p>
              </w:tc>
              <w:tc>
                <w:tcPr>
                  <w:tcW w:w="733" w:type="pct"/>
                  <w:vAlign w:val="center"/>
                </w:tcPr>
                <w:p w14:paraId="70ECF198">
                  <w:pPr>
                    <w:jc w:val="center"/>
                    <w:rPr>
                      <w:spacing w:val="4"/>
                      <w:sz w:val="21"/>
                      <w:szCs w:val="21"/>
                    </w:rPr>
                  </w:pPr>
                  <w:r>
                    <w:rPr>
                      <w:spacing w:val="4"/>
                      <w:sz w:val="21"/>
                      <w:szCs w:val="21"/>
                    </w:rPr>
                    <w:t>COD、SS</w:t>
                  </w:r>
                </w:p>
              </w:tc>
              <w:tc>
                <w:tcPr>
                  <w:tcW w:w="452" w:type="pct"/>
                  <w:vMerge w:val="continue"/>
                  <w:vAlign w:val="center"/>
                </w:tcPr>
                <w:p w14:paraId="28A2EC28">
                  <w:pPr>
                    <w:jc w:val="center"/>
                    <w:rPr>
                      <w:bCs/>
                      <w:spacing w:val="-10"/>
                      <w:sz w:val="21"/>
                      <w:szCs w:val="21"/>
                    </w:rPr>
                  </w:pPr>
                </w:p>
              </w:tc>
              <w:tc>
                <w:tcPr>
                  <w:tcW w:w="624" w:type="pct"/>
                  <w:vMerge w:val="continue"/>
                  <w:vAlign w:val="center"/>
                </w:tcPr>
                <w:p w14:paraId="3544A319">
                  <w:pPr>
                    <w:jc w:val="center"/>
                    <w:rPr>
                      <w:bCs/>
                      <w:spacing w:val="-10"/>
                      <w:sz w:val="21"/>
                      <w:szCs w:val="21"/>
                    </w:rPr>
                  </w:pPr>
                </w:p>
              </w:tc>
              <w:tc>
                <w:tcPr>
                  <w:tcW w:w="452" w:type="pct"/>
                  <w:vAlign w:val="center"/>
                </w:tcPr>
                <w:p w14:paraId="0FDE0D37">
                  <w:pPr>
                    <w:jc w:val="center"/>
                    <w:rPr>
                      <w:rFonts w:hint="eastAsia" w:eastAsia="宋体"/>
                      <w:bCs/>
                      <w:spacing w:val="-10"/>
                      <w:sz w:val="21"/>
                      <w:szCs w:val="21"/>
                      <w:lang w:val="en-US" w:eastAsia="zh-CN"/>
                    </w:rPr>
                  </w:pPr>
                  <w:r>
                    <w:rPr>
                      <w:rFonts w:hint="eastAsia"/>
                      <w:bCs/>
                      <w:spacing w:val="-10"/>
                      <w:sz w:val="21"/>
                      <w:szCs w:val="21"/>
                    </w:rPr>
                    <w:t>TW00</w:t>
                  </w:r>
                  <w:r>
                    <w:rPr>
                      <w:rFonts w:hint="eastAsia"/>
                      <w:bCs/>
                      <w:spacing w:val="-10"/>
                      <w:sz w:val="21"/>
                      <w:szCs w:val="21"/>
                      <w:lang w:val="en-US" w:eastAsia="zh-CN"/>
                    </w:rPr>
                    <w:t>2</w:t>
                  </w:r>
                </w:p>
              </w:tc>
              <w:tc>
                <w:tcPr>
                  <w:tcW w:w="488" w:type="pct"/>
                  <w:vAlign w:val="center"/>
                </w:tcPr>
                <w:p w14:paraId="6561E073">
                  <w:pPr>
                    <w:jc w:val="center"/>
                    <w:rPr>
                      <w:bCs/>
                      <w:spacing w:val="-10"/>
                      <w:sz w:val="21"/>
                      <w:szCs w:val="21"/>
                    </w:rPr>
                  </w:pPr>
                  <w:r>
                    <w:rPr>
                      <w:bCs/>
                      <w:spacing w:val="-10"/>
                      <w:sz w:val="21"/>
                      <w:szCs w:val="21"/>
                    </w:rPr>
                    <w:t>污水处理系统</w:t>
                  </w:r>
                </w:p>
              </w:tc>
              <w:tc>
                <w:tcPr>
                  <w:tcW w:w="454" w:type="pct"/>
                  <w:vAlign w:val="center"/>
                </w:tcPr>
                <w:p w14:paraId="72BBF2D0">
                  <w:pPr>
                    <w:jc w:val="center"/>
                    <w:rPr>
                      <w:rFonts w:hint="default" w:eastAsia="宋体"/>
                      <w:bCs/>
                      <w:spacing w:val="-10"/>
                      <w:sz w:val="21"/>
                      <w:szCs w:val="21"/>
                      <w:lang w:val="en-US" w:eastAsia="zh-CN"/>
                    </w:rPr>
                  </w:pPr>
                  <w:r>
                    <w:rPr>
                      <w:rFonts w:hint="eastAsia"/>
                      <w:bCs/>
                      <w:spacing w:val="-10"/>
                      <w:sz w:val="21"/>
                      <w:szCs w:val="21"/>
                      <w:lang w:eastAsia="zh-CN"/>
                    </w:rPr>
                    <w:t>沉淀</w:t>
                  </w:r>
                  <w:r>
                    <w:rPr>
                      <w:rFonts w:hint="eastAsia"/>
                      <w:bCs/>
                      <w:spacing w:val="-10"/>
                      <w:sz w:val="21"/>
                      <w:szCs w:val="21"/>
                      <w:lang w:val="en-US" w:eastAsia="zh-CN"/>
                    </w:rPr>
                    <w:t>+MVR+生化</w:t>
                  </w:r>
                </w:p>
              </w:tc>
              <w:tc>
                <w:tcPr>
                  <w:tcW w:w="462" w:type="pct"/>
                  <w:vAlign w:val="center"/>
                </w:tcPr>
                <w:p w14:paraId="6F6EDF1F">
                  <w:pPr>
                    <w:jc w:val="center"/>
                    <w:rPr>
                      <w:rFonts w:hint="default" w:eastAsia="宋体"/>
                      <w:bCs/>
                      <w:spacing w:val="-10"/>
                      <w:sz w:val="21"/>
                      <w:szCs w:val="21"/>
                      <w:lang w:val="en-US" w:eastAsia="zh-CN"/>
                    </w:rPr>
                  </w:pPr>
                  <w:r>
                    <w:rPr>
                      <w:rFonts w:hint="eastAsia"/>
                      <w:bCs/>
                      <w:spacing w:val="-10"/>
                      <w:sz w:val="21"/>
                      <w:szCs w:val="21"/>
                      <w:lang w:val="en-US" w:eastAsia="zh-CN"/>
                    </w:rPr>
                    <w:t>DW002</w:t>
                  </w:r>
                </w:p>
              </w:tc>
              <w:tc>
                <w:tcPr>
                  <w:tcW w:w="432" w:type="pct"/>
                  <w:vMerge w:val="continue"/>
                  <w:vAlign w:val="center"/>
                </w:tcPr>
                <w:p w14:paraId="27C62847">
                  <w:pPr>
                    <w:jc w:val="center"/>
                    <w:rPr>
                      <w:bCs/>
                      <w:spacing w:val="-10"/>
                      <w:sz w:val="21"/>
                      <w:szCs w:val="21"/>
                    </w:rPr>
                  </w:pPr>
                </w:p>
              </w:tc>
              <w:tc>
                <w:tcPr>
                  <w:tcW w:w="320" w:type="pct"/>
                  <w:vMerge w:val="continue"/>
                  <w:vAlign w:val="center"/>
                </w:tcPr>
                <w:p w14:paraId="7809AD87">
                  <w:pPr>
                    <w:jc w:val="center"/>
                    <w:rPr>
                      <w:bCs/>
                      <w:spacing w:val="-10"/>
                      <w:sz w:val="21"/>
                      <w:szCs w:val="21"/>
                    </w:rPr>
                  </w:pPr>
                </w:p>
              </w:tc>
            </w:tr>
          </w:tbl>
          <w:p w14:paraId="4754F0A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lang w:val="en-GB"/>
              </w:rPr>
            </w:pPr>
            <w:r>
              <w:rPr>
                <w:b/>
                <w:lang w:val="en-GB"/>
              </w:rPr>
              <w:t>表4-</w:t>
            </w:r>
            <w:r>
              <w:rPr>
                <w:rFonts w:hint="eastAsia"/>
                <w:b/>
                <w:lang w:val="en-US" w:eastAsia="zh-CN"/>
              </w:rPr>
              <w:t>10</w:t>
            </w:r>
            <w:r>
              <w:rPr>
                <w:b/>
                <w:lang w:val="en-GB"/>
              </w:rPr>
              <w:t xml:space="preserve">  本项目废水间接排放口基本情况表</w:t>
            </w:r>
          </w:p>
          <w:tbl>
            <w:tblPr>
              <w:tblStyle w:val="37"/>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3"/>
              <w:gridCol w:w="860"/>
              <w:gridCol w:w="1294"/>
              <w:gridCol w:w="1206"/>
              <w:gridCol w:w="753"/>
              <w:gridCol w:w="535"/>
              <w:gridCol w:w="948"/>
              <w:gridCol w:w="487"/>
              <w:gridCol w:w="503"/>
              <w:gridCol w:w="861"/>
              <w:gridCol w:w="1110"/>
            </w:tblGrid>
            <w:tr w14:paraId="5291C9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3" w:type="dxa"/>
                  <w:vMerge w:val="restart"/>
                  <w:vAlign w:val="center"/>
                </w:tcPr>
                <w:p w14:paraId="5CDDEF4F">
                  <w:pPr>
                    <w:adjustRightInd w:val="0"/>
                    <w:snapToGrid w:val="0"/>
                    <w:jc w:val="center"/>
                    <w:rPr>
                      <w:b/>
                      <w:spacing w:val="-10"/>
                      <w:sz w:val="21"/>
                      <w:szCs w:val="21"/>
                    </w:rPr>
                  </w:pPr>
                  <w:r>
                    <w:rPr>
                      <w:b/>
                      <w:spacing w:val="-10"/>
                      <w:sz w:val="21"/>
                      <w:szCs w:val="21"/>
                    </w:rPr>
                    <w:t>序号</w:t>
                  </w:r>
                </w:p>
              </w:tc>
              <w:tc>
                <w:tcPr>
                  <w:tcW w:w="860" w:type="dxa"/>
                  <w:vMerge w:val="restart"/>
                  <w:vAlign w:val="center"/>
                </w:tcPr>
                <w:p w14:paraId="696C93AA">
                  <w:pPr>
                    <w:adjustRightInd w:val="0"/>
                    <w:snapToGrid w:val="0"/>
                    <w:jc w:val="center"/>
                    <w:rPr>
                      <w:b/>
                      <w:spacing w:val="-10"/>
                      <w:sz w:val="21"/>
                      <w:szCs w:val="21"/>
                    </w:rPr>
                  </w:pPr>
                  <w:r>
                    <w:rPr>
                      <w:b/>
                      <w:spacing w:val="-10"/>
                      <w:sz w:val="21"/>
                      <w:szCs w:val="21"/>
                    </w:rPr>
                    <w:t>排放口编号</w:t>
                  </w:r>
                </w:p>
              </w:tc>
              <w:tc>
                <w:tcPr>
                  <w:tcW w:w="2500" w:type="dxa"/>
                  <w:gridSpan w:val="2"/>
                  <w:vAlign w:val="center"/>
                </w:tcPr>
                <w:p w14:paraId="28DDA2DB">
                  <w:pPr>
                    <w:adjustRightInd w:val="0"/>
                    <w:snapToGrid w:val="0"/>
                    <w:jc w:val="center"/>
                    <w:rPr>
                      <w:b/>
                      <w:spacing w:val="-10"/>
                      <w:sz w:val="21"/>
                      <w:szCs w:val="21"/>
                    </w:rPr>
                  </w:pPr>
                  <w:r>
                    <w:rPr>
                      <w:b/>
                      <w:spacing w:val="-10"/>
                      <w:sz w:val="21"/>
                      <w:szCs w:val="21"/>
                    </w:rPr>
                    <w:t>排放口地理坐标</w:t>
                  </w:r>
                </w:p>
              </w:tc>
              <w:tc>
                <w:tcPr>
                  <w:tcW w:w="753" w:type="dxa"/>
                  <w:vMerge w:val="restart"/>
                  <w:vAlign w:val="center"/>
                </w:tcPr>
                <w:p w14:paraId="686F34EA">
                  <w:pPr>
                    <w:adjustRightInd w:val="0"/>
                    <w:snapToGrid w:val="0"/>
                    <w:jc w:val="center"/>
                    <w:rPr>
                      <w:b/>
                      <w:spacing w:val="-10"/>
                      <w:sz w:val="21"/>
                      <w:szCs w:val="21"/>
                    </w:rPr>
                  </w:pPr>
                  <w:r>
                    <w:rPr>
                      <w:b/>
                      <w:spacing w:val="-10"/>
                      <w:sz w:val="21"/>
                      <w:szCs w:val="21"/>
                    </w:rPr>
                    <w:t>废水排放量（万t/a）</w:t>
                  </w:r>
                </w:p>
              </w:tc>
              <w:tc>
                <w:tcPr>
                  <w:tcW w:w="535" w:type="dxa"/>
                  <w:vMerge w:val="restart"/>
                  <w:vAlign w:val="center"/>
                </w:tcPr>
                <w:p w14:paraId="5346F9DC">
                  <w:pPr>
                    <w:adjustRightInd w:val="0"/>
                    <w:snapToGrid w:val="0"/>
                    <w:jc w:val="center"/>
                    <w:rPr>
                      <w:b/>
                      <w:spacing w:val="-10"/>
                      <w:sz w:val="21"/>
                      <w:szCs w:val="21"/>
                    </w:rPr>
                  </w:pPr>
                  <w:r>
                    <w:rPr>
                      <w:b/>
                      <w:spacing w:val="-10"/>
                      <w:sz w:val="21"/>
                      <w:szCs w:val="21"/>
                    </w:rPr>
                    <w:t>排放去向</w:t>
                  </w:r>
                </w:p>
              </w:tc>
              <w:tc>
                <w:tcPr>
                  <w:tcW w:w="948" w:type="dxa"/>
                  <w:vMerge w:val="restart"/>
                  <w:vAlign w:val="center"/>
                </w:tcPr>
                <w:p w14:paraId="5DF44377">
                  <w:pPr>
                    <w:adjustRightInd w:val="0"/>
                    <w:snapToGrid w:val="0"/>
                    <w:jc w:val="center"/>
                    <w:rPr>
                      <w:b/>
                      <w:spacing w:val="-10"/>
                      <w:sz w:val="21"/>
                      <w:szCs w:val="21"/>
                    </w:rPr>
                  </w:pPr>
                  <w:r>
                    <w:rPr>
                      <w:b/>
                      <w:spacing w:val="-10"/>
                      <w:sz w:val="21"/>
                      <w:szCs w:val="21"/>
                    </w:rPr>
                    <w:t>排放规律</w:t>
                  </w:r>
                </w:p>
              </w:tc>
              <w:tc>
                <w:tcPr>
                  <w:tcW w:w="487" w:type="dxa"/>
                  <w:vMerge w:val="restart"/>
                  <w:vAlign w:val="center"/>
                </w:tcPr>
                <w:p w14:paraId="361E0CE0">
                  <w:pPr>
                    <w:adjustRightInd w:val="0"/>
                    <w:snapToGrid w:val="0"/>
                    <w:jc w:val="center"/>
                    <w:rPr>
                      <w:b/>
                      <w:spacing w:val="-10"/>
                      <w:sz w:val="21"/>
                      <w:szCs w:val="21"/>
                    </w:rPr>
                  </w:pPr>
                  <w:r>
                    <w:rPr>
                      <w:b/>
                      <w:spacing w:val="-10"/>
                      <w:sz w:val="21"/>
                      <w:szCs w:val="21"/>
                    </w:rPr>
                    <w:t>间歇排放时段</w:t>
                  </w:r>
                </w:p>
              </w:tc>
              <w:tc>
                <w:tcPr>
                  <w:tcW w:w="2474" w:type="dxa"/>
                  <w:gridSpan w:val="3"/>
                  <w:vAlign w:val="center"/>
                </w:tcPr>
                <w:p w14:paraId="7DFC90C0">
                  <w:pPr>
                    <w:adjustRightInd w:val="0"/>
                    <w:snapToGrid w:val="0"/>
                    <w:jc w:val="center"/>
                    <w:rPr>
                      <w:b/>
                      <w:spacing w:val="-10"/>
                      <w:sz w:val="21"/>
                      <w:szCs w:val="21"/>
                    </w:rPr>
                  </w:pPr>
                  <w:r>
                    <w:rPr>
                      <w:b/>
                      <w:spacing w:val="-10"/>
                      <w:sz w:val="21"/>
                      <w:szCs w:val="21"/>
                    </w:rPr>
                    <w:t>受纳污水处理厂信息</w:t>
                  </w:r>
                </w:p>
              </w:tc>
            </w:tr>
            <w:tr w14:paraId="136832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3" w:type="dxa"/>
                  <w:vMerge w:val="continue"/>
                  <w:vAlign w:val="center"/>
                </w:tcPr>
                <w:p w14:paraId="0E1555F3">
                  <w:pPr>
                    <w:adjustRightInd w:val="0"/>
                    <w:snapToGrid w:val="0"/>
                    <w:jc w:val="center"/>
                    <w:rPr>
                      <w:b/>
                      <w:spacing w:val="-10"/>
                      <w:sz w:val="21"/>
                      <w:szCs w:val="21"/>
                    </w:rPr>
                  </w:pPr>
                </w:p>
              </w:tc>
              <w:tc>
                <w:tcPr>
                  <w:tcW w:w="860" w:type="dxa"/>
                  <w:vMerge w:val="continue"/>
                  <w:vAlign w:val="center"/>
                </w:tcPr>
                <w:p w14:paraId="618B6981">
                  <w:pPr>
                    <w:adjustRightInd w:val="0"/>
                    <w:snapToGrid w:val="0"/>
                    <w:jc w:val="center"/>
                    <w:rPr>
                      <w:b/>
                      <w:spacing w:val="-10"/>
                      <w:sz w:val="21"/>
                      <w:szCs w:val="21"/>
                    </w:rPr>
                  </w:pPr>
                </w:p>
              </w:tc>
              <w:tc>
                <w:tcPr>
                  <w:tcW w:w="1294" w:type="dxa"/>
                  <w:vAlign w:val="center"/>
                </w:tcPr>
                <w:p w14:paraId="226A8D89">
                  <w:pPr>
                    <w:adjustRightInd w:val="0"/>
                    <w:snapToGrid w:val="0"/>
                    <w:jc w:val="center"/>
                    <w:rPr>
                      <w:b/>
                      <w:spacing w:val="-10"/>
                      <w:sz w:val="21"/>
                      <w:szCs w:val="21"/>
                    </w:rPr>
                  </w:pPr>
                  <w:r>
                    <w:rPr>
                      <w:b/>
                      <w:spacing w:val="-10"/>
                      <w:sz w:val="21"/>
                      <w:szCs w:val="21"/>
                    </w:rPr>
                    <w:t>经度</w:t>
                  </w:r>
                </w:p>
              </w:tc>
              <w:tc>
                <w:tcPr>
                  <w:tcW w:w="1206" w:type="dxa"/>
                  <w:vAlign w:val="center"/>
                </w:tcPr>
                <w:p w14:paraId="087F8B1C">
                  <w:pPr>
                    <w:adjustRightInd w:val="0"/>
                    <w:snapToGrid w:val="0"/>
                    <w:jc w:val="center"/>
                    <w:rPr>
                      <w:b/>
                      <w:spacing w:val="-10"/>
                      <w:sz w:val="21"/>
                      <w:szCs w:val="21"/>
                    </w:rPr>
                  </w:pPr>
                  <w:r>
                    <w:rPr>
                      <w:b/>
                      <w:spacing w:val="-10"/>
                      <w:sz w:val="21"/>
                      <w:szCs w:val="21"/>
                    </w:rPr>
                    <w:t>纬度</w:t>
                  </w:r>
                </w:p>
              </w:tc>
              <w:tc>
                <w:tcPr>
                  <w:tcW w:w="753" w:type="dxa"/>
                  <w:vMerge w:val="continue"/>
                  <w:vAlign w:val="center"/>
                </w:tcPr>
                <w:p w14:paraId="31A98730">
                  <w:pPr>
                    <w:adjustRightInd w:val="0"/>
                    <w:snapToGrid w:val="0"/>
                    <w:jc w:val="center"/>
                    <w:rPr>
                      <w:b/>
                      <w:spacing w:val="-10"/>
                      <w:sz w:val="21"/>
                      <w:szCs w:val="21"/>
                    </w:rPr>
                  </w:pPr>
                </w:p>
              </w:tc>
              <w:tc>
                <w:tcPr>
                  <w:tcW w:w="535" w:type="dxa"/>
                  <w:vMerge w:val="continue"/>
                  <w:vAlign w:val="center"/>
                </w:tcPr>
                <w:p w14:paraId="60D44BE1">
                  <w:pPr>
                    <w:adjustRightInd w:val="0"/>
                    <w:snapToGrid w:val="0"/>
                    <w:jc w:val="center"/>
                    <w:rPr>
                      <w:b/>
                      <w:spacing w:val="-10"/>
                      <w:sz w:val="21"/>
                      <w:szCs w:val="21"/>
                    </w:rPr>
                  </w:pPr>
                </w:p>
              </w:tc>
              <w:tc>
                <w:tcPr>
                  <w:tcW w:w="948" w:type="dxa"/>
                  <w:vMerge w:val="continue"/>
                  <w:vAlign w:val="center"/>
                </w:tcPr>
                <w:p w14:paraId="6FDF7E9E">
                  <w:pPr>
                    <w:adjustRightInd w:val="0"/>
                    <w:snapToGrid w:val="0"/>
                    <w:jc w:val="center"/>
                    <w:rPr>
                      <w:b/>
                      <w:spacing w:val="-10"/>
                      <w:sz w:val="21"/>
                      <w:szCs w:val="21"/>
                    </w:rPr>
                  </w:pPr>
                </w:p>
              </w:tc>
              <w:tc>
                <w:tcPr>
                  <w:tcW w:w="487" w:type="dxa"/>
                  <w:vMerge w:val="continue"/>
                  <w:vAlign w:val="center"/>
                </w:tcPr>
                <w:p w14:paraId="1A40FEBC">
                  <w:pPr>
                    <w:adjustRightInd w:val="0"/>
                    <w:snapToGrid w:val="0"/>
                    <w:jc w:val="center"/>
                    <w:rPr>
                      <w:b/>
                      <w:spacing w:val="-10"/>
                      <w:sz w:val="21"/>
                      <w:szCs w:val="21"/>
                    </w:rPr>
                  </w:pPr>
                </w:p>
              </w:tc>
              <w:tc>
                <w:tcPr>
                  <w:tcW w:w="503" w:type="dxa"/>
                  <w:vAlign w:val="center"/>
                </w:tcPr>
                <w:p w14:paraId="190CEC32">
                  <w:pPr>
                    <w:adjustRightInd w:val="0"/>
                    <w:snapToGrid w:val="0"/>
                    <w:jc w:val="center"/>
                    <w:rPr>
                      <w:b/>
                      <w:spacing w:val="-10"/>
                      <w:sz w:val="21"/>
                      <w:szCs w:val="21"/>
                    </w:rPr>
                  </w:pPr>
                  <w:r>
                    <w:rPr>
                      <w:b/>
                      <w:spacing w:val="-10"/>
                      <w:sz w:val="21"/>
                      <w:szCs w:val="21"/>
                    </w:rPr>
                    <w:t>名称</w:t>
                  </w:r>
                </w:p>
              </w:tc>
              <w:tc>
                <w:tcPr>
                  <w:tcW w:w="861" w:type="dxa"/>
                  <w:vAlign w:val="center"/>
                </w:tcPr>
                <w:p w14:paraId="143BF74A">
                  <w:pPr>
                    <w:adjustRightInd w:val="0"/>
                    <w:snapToGrid w:val="0"/>
                    <w:jc w:val="center"/>
                    <w:rPr>
                      <w:b/>
                      <w:spacing w:val="-10"/>
                      <w:sz w:val="21"/>
                      <w:szCs w:val="21"/>
                    </w:rPr>
                  </w:pPr>
                  <w:r>
                    <w:rPr>
                      <w:b/>
                      <w:spacing w:val="-10"/>
                      <w:sz w:val="21"/>
                      <w:szCs w:val="21"/>
                    </w:rPr>
                    <w:t>污染物种类</w:t>
                  </w:r>
                </w:p>
              </w:tc>
              <w:tc>
                <w:tcPr>
                  <w:tcW w:w="1110" w:type="dxa"/>
                  <w:vAlign w:val="center"/>
                </w:tcPr>
                <w:p w14:paraId="37B8F25B">
                  <w:pPr>
                    <w:adjustRightInd w:val="0"/>
                    <w:snapToGrid w:val="0"/>
                    <w:jc w:val="center"/>
                    <w:rPr>
                      <w:b/>
                      <w:spacing w:val="-10"/>
                      <w:sz w:val="21"/>
                      <w:szCs w:val="21"/>
                    </w:rPr>
                  </w:pPr>
                  <w:r>
                    <w:rPr>
                      <w:b/>
                      <w:spacing w:val="-10"/>
                      <w:sz w:val="21"/>
                      <w:szCs w:val="21"/>
                    </w:rPr>
                    <w:t>国家或地方污染物排放标准浓度限值/(mg/L)</w:t>
                  </w:r>
                </w:p>
              </w:tc>
            </w:tr>
            <w:tr w14:paraId="6F5755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3" w:type="dxa"/>
                  <w:vMerge w:val="restart"/>
                  <w:vAlign w:val="center"/>
                </w:tcPr>
                <w:p w14:paraId="79741C71">
                  <w:pPr>
                    <w:adjustRightInd w:val="0"/>
                    <w:snapToGrid w:val="0"/>
                    <w:jc w:val="center"/>
                    <w:rPr>
                      <w:bCs/>
                      <w:spacing w:val="-10"/>
                      <w:sz w:val="21"/>
                      <w:szCs w:val="21"/>
                    </w:rPr>
                  </w:pPr>
                  <w:r>
                    <w:rPr>
                      <w:bCs/>
                      <w:spacing w:val="-10"/>
                      <w:sz w:val="21"/>
                      <w:szCs w:val="21"/>
                    </w:rPr>
                    <w:t>1</w:t>
                  </w:r>
                </w:p>
              </w:tc>
              <w:tc>
                <w:tcPr>
                  <w:tcW w:w="860" w:type="dxa"/>
                  <w:vMerge w:val="restart"/>
                  <w:vAlign w:val="center"/>
                </w:tcPr>
                <w:p w14:paraId="5054D68B">
                  <w:pPr>
                    <w:adjustRightInd w:val="0"/>
                    <w:snapToGrid w:val="0"/>
                    <w:jc w:val="center"/>
                    <w:rPr>
                      <w:bCs/>
                      <w:spacing w:val="-10"/>
                      <w:sz w:val="21"/>
                      <w:szCs w:val="21"/>
                    </w:rPr>
                  </w:pPr>
                  <w:r>
                    <w:rPr>
                      <w:bCs/>
                      <w:spacing w:val="-10"/>
                      <w:sz w:val="21"/>
                      <w:szCs w:val="21"/>
                    </w:rPr>
                    <w:t>DW001</w:t>
                  </w:r>
                </w:p>
              </w:tc>
              <w:tc>
                <w:tcPr>
                  <w:tcW w:w="1294" w:type="dxa"/>
                  <w:vMerge w:val="restart"/>
                  <w:vAlign w:val="center"/>
                </w:tcPr>
                <w:p w14:paraId="7CFE2FEE">
                  <w:pPr>
                    <w:adjustRightInd w:val="0"/>
                    <w:snapToGrid w:val="0"/>
                    <w:jc w:val="center"/>
                    <w:rPr>
                      <w:bCs/>
                      <w:spacing w:val="-10"/>
                      <w:sz w:val="21"/>
                      <w:szCs w:val="21"/>
                    </w:rPr>
                  </w:pPr>
                  <w:r>
                    <w:rPr>
                      <w:bCs/>
                      <w:spacing w:val="-10"/>
                      <w:sz w:val="21"/>
                      <w:szCs w:val="21"/>
                    </w:rPr>
                    <w:t>11</w:t>
                  </w:r>
                  <w:r>
                    <w:rPr>
                      <w:rFonts w:hint="eastAsia"/>
                      <w:bCs/>
                      <w:spacing w:val="-10"/>
                      <w:sz w:val="21"/>
                      <w:szCs w:val="21"/>
                    </w:rPr>
                    <w:t>2</w:t>
                  </w:r>
                  <w:r>
                    <w:rPr>
                      <w:bCs/>
                      <w:spacing w:val="-10"/>
                      <w:sz w:val="21"/>
                      <w:szCs w:val="21"/>
                    </w:rPr>
                    <w:t>°</w:t>
                  </w:r>
                  <w:r>
                    <w:rPr>
                      <w:rFonts w:hint="eastAsia"/>
                      <w:bCs/>
                      <w:spacing w:val="-10"/>
                      <w:sz w:val="21"/>
                      <w:szCs w:val="21"/>
                    </w:rPr>
                    <w:t>37</w:t>
                  </w:r>
                  <w:r>
                    <w:rPr>
                      <w:bCs/>
                      <w:spacing w:val="-10"/>
                      <w:sz w:val="21"/>
                      <w:szCs w:val="21"/>
                    </w:rPr>
                    <w:t>′</w:t>
                  </w:r>
                  <w:r>
                    <w:rPr>
                      <w:rFonts w:hint="eastAsia"/>
                      <w:bCs/>
                      <w:spacing w:val="-10"/>
                      <w:sz w:val="21"/>
                      <w:szCs w:val="21"/>
                    </w:rPr>
                    <w:t>37.77</w:t>
                  </w:r>
                  <w:r>
                    <w:rPr>
                      <w:bCs/>
                      <w:spacing w:val="-10"/>
                      <w:sz w:val="21"/>
                      <w:szCs w:val="21"/>
                    </w:rPr>
                    <w:t>″</w:t>
                  </w:r>
                </w:p>
              </w:tc>
              <w:tc>
                <w:tcPr>
                  <w:tcW w:w="1206" w:type="dxa"/>
                  <w:vMerge w:val="restart"/>
                  <w:vAlign w:val="center"/>
                </w:tcPr>
                <w:p w14:paraId="34A25D94">
                  <w:pPr>
                    <w:adjustRightInd w:val="0"/>
                    <w:snapToGrid w:val="0"/>
                    <w:jc w:val="center"/>
                    <w:rPr>
                      <w:bCs/>
                      <w:spacing w:val="-10"/>
                      <w:sz w:val="21"/>
                      <w:szCs w:val="21"/>
                    </w:rPr>
                  </w:pPr>
                  <w:r>
                    <w:rPr>
                      <w:bCs/>
                      <w:spacing w:val="-10"/>
                      <w:sz w:val="21"/>
                      <w:szCs w:val="21"/>
                    </w:rPr>
                    <w:t>2</w:t>
                  </w:r>
                  <w:r>
                    <w:rPr>
                      <w:rFonts w:hint="eastAsia"/>
                      <w:bCs/>
                      <w:spacing w:val="-10"/>
                      <w:sz w:val="21"/>
                      <w:szCs w:val="21"/>
                    </w:rPr>
                    <w:t>6</w:t>
                  </w:r>
                  <w:r>
                    <w:rPr>
                      <w:bCs/>
                      <w:spacing w:val="-10"/>
                      <w:sz w:val="21"/>
                      <w:szCs w:val="21"/>
                    </w:rPr>
                    <w:t>°</w:t>
                  </w:r>
                  <w:r>
                    <w:rPr>
                      <w:rFonts w:hint="eastAsia"/>
                      <w:bCs/>
                      <w:spacing w:val="-10"/>
                      <w:sz w:val="21"/>
                      <w:szCs w:val="21"/>
                    </w:rPr>
                    <w:t>58</w:t>
                  </w:r>
                  <w:r>
                    <w:rPr>
                      <w:bCs/>
                      <w:spacing w:val="-10"/>
                      <w:sz w:val="21"/>
                      <w:szCs w:val="21"/>
                    </w:rPr>
                    <w:t>′</w:t>
                  </w:r>
                  <w:r>
                    <w:rPr>
                      <w:rFonts w:hint="eastAsia"/>
                      <w:bCs/>
                      <w:spacing w:val="-10"/>
                      <w:sz w:val="21"/>
                      <w:szCs w:val="21"/>
                    </w:rPr>
                    <w:t>8.67</w:t>
                  </w:r>
                </w:p>
              </w:tc>
              <w:tc>
                <w:tcPr>
                  <w:tcW w:w="753" w:type="dxa"/>
                  <w:vMerge w:val="restart"/>
                  <w:vAlign w:val="center"/>
                </w:tcPr>
                <w:p w14:paraId="5974318B">
                  <w:pPr>
                    <w:adjustRightInd w:val="0"/>
                    <w:snapToGrid w:val="0"/>
                    <w:jc w:val="center"/>
                    <w:rPr>
                      <w:rFonts w:hint="default" w:eastAsia="宋体"/>
                      <w:bCs/>
                      <w:spacing w:val="-10"/>
                      <w:sz w:val="21"/>
                      <w:szCs w:val="21"/>
                      <w:lang w:val="en-US" w:eastAsia="zh-CN"/>
                    </w:rPr>
                  </w:pPr>
                  <w:r>
                    <w:rPr>
                      <w:bCs/>
                      <w:spacing w:val="-10"/>
                      <w:sz w:val="21"/>
                      <w:szCs w:val="21"/>
                    </w:rPr>
                    <w:t>0.0</w:t>
                  </w:r>
                  <w:r>
                    <w:rPr>
                      <w:rFonts w:hint="eastAsia"/>
                      <w:bCs/>
                      <w:spacing w:val="-10"/>
                      <w:sz w:val="21"/>
                      <w:szCs w:val="21"/>
                      <w:lang w:val="en-US" w:eastAsia="zh-CN"/>
                    </w:rPr>
                    <w:t>36</w:t>
                  </w:r>
                </w:p>
              </w:tc>
              <w:tc>
                <w:tcPr>
                  <w:tcW w:w="535" w:type="dxa"/>
                  <w:vMerge w:val="restart"/>
                  <w:vAlign w:val="center"/>
                </w:tcPr>
                <w:p w14:paraId="395BAED8">
                  <w:pPr>
                    <w:adjustRightInd w:val="0"/>
                    <w:snapToGrid w:val="0"/>
                    <w:jc w:val="center"/>
                    <w:rPr>
                      <w:bCs/>
                      <w:spacing w:val="-10"/>
                      <w:sz w:val="21"/>
                      <w:szCs w:val="21"/>
                    </w:rPr>
                  </w:pPr>
                  <w:r>
                    <w:rPr>
                      <w:rFonts w:hint="eastAsia"/>
                      <w:bCs/>
                      <w:spacing w:val="-10"/>
                      <w:sz w:val="21"/>
                      <w:szCs w:val="21"/>
                    </w:rPr>
                    <w:t>进入城镇</w:t>
                  </w:r>
                  <w:r>
                    <w:rPr>
                      <w:bCs/>
                      <w:spacing w:val="-10"/>
                      <w:sz w:val="21"/>
                      <w:szCs w:val="21"/>
                    </w:rPr>
                    <w:t>污水处理厂</w:t>
                  </w:r>
                </w:p>
              </w:tc>
              <w:tc>
                <w:tcPr>
                  <w:tcW w:w="948" w:type="dxa"/>
                  <w:vMerge w:val="restart"/>
                  <w:vAlign w:val="center"/>
                </w:tcPr>
                <w:p w14:paraId="7F2317B8">
                  <w:pPr>
                    <w:adjustRightInd w:val="0"/>
                    <w:snapToGrid w:val="0"/>
                    <w:jc w:val="center"/>
                    <w:rPr>
                      <w:bCs/>
                      <w:spacing w:val="-10"/>
                      <w:sz w:val="21"/>
                      <w:szCs w:val="21"/>
                    </w:rPr>
                  </w:pPr>
                  <w:r>
                    <w:rPr>
                      <w:bCs/>
                      <w:spacing w:val="-10"/>
                      <w:sz w:val="21"/>
                      <w:szCs w:val="21"/>
                    </w:rPr>
                    <w:t>连续排放，流量不稳定且无规律，但不属于冲击型排放</w:t>
                  </w:r>
                </w:p>
              </w:tc>
              <w:tc>
                <w:tcPr>
                  <w:tcW w:w="487" w:type="dxa"/>
                  <w:vMerge w:val="restart"/>
                  <w:vAlign w:val="center"/>
                </w:tcPr>
                <w:p w14:paraId="7E1F1100">
                  <w:pPr>
                    <w:adjustRightInd w:val="0"/>
                    <w:snapToGrid w:val="0"/>
                    <w:jc w:val="center"/>
                    <w:rPr>
                      <w:bCs/>
                      <w:spacing w:val="-10"/>
                      <w:sz w:val="21"/>
                      <w:szCs w:val="21"/>
                    </w:rPr>
                  </w:pPr>
                  <w:r>
                    <w:rPr>
                      <w:bCs/>
                      <w:spacing w:val="-10"/>
                      <w:sz w:val="21"/>
                      <w:szCs w:val="21"/>
                    </w:rPr>
                    <w:t>/</w:t>
                  </w:r>
                </w:p>
              </w:tc>
              <w:tc>
                <w:tcPr>
                  <w:tcW w:w="503" w:type="dxa"/>
                  <w:vMerge w:val="restart"/>
                  <w:vAlign w:val="center"/>
                </w:tcPr>
                <w:p w14:paraId="6CD8F928">
                  <w:pPr>
                    <w:adjustRightInd w:val="0"/>
                    <w:snapToGrid w:val="0"/>
                    <w:jc w:val="center"/>
                    <w:rPr>
                      <w:bCs/>
                      <w:spacing w:val="-10"/>
                      <w:sz w:val="21"/>
                      <w:szCs w:val="21"/>
                    </w:rPr>
                  </w:pPr>
                  <w:r>
                    <w:rPr>
                      <w:rFonts w:hint="eastAsia"/>
                      <w:bCs/>
                      <w:spacing w:val="-10"/>
                      <w:sz w:val="21"/>
                      <w:szCs w:val="21"/>
                    </w:rPr>
                    <w:t>松木</w:t>
                  </w:r>
                  <w:r>
                    <w:rPr>
                      <w:bCs/>
                      <w:spacing w:val="-10"/>
                      <w:sz w:val="21"/>
                      <w:szCs w:val="21"/>
                    </w:rPr>
                    <w:t>污水处理厂</w:t>
                  </w:r>
                </w:p>
              </w:tc>
              <w:tc>
                <w:tcPr>
                  <w:tcW w:w="861" w:type="dxa"/>
                  <w:vAlign w:val="center"/>
                </w:tcPr>
                <w:p w14:paraId="116B97CC">
                  <w:pPr>
                    <w:adjustRightInd w:val="0"/>
                    <w:snapToGrid w:val="0"/>
                    <w:jc w:val="center"/>
                    <w:rPr>
                      <w:bCs/>
                      <w:spacing w:val="-10"/>
                      <w:sz w:val="21"/>
                      <w:szCs w:val="21"/>
                    </w:rPr>
                  </w:pPr>
                  <w:r>
                    <w:rPr>
                      <w:spacing w:val="4"/>
                      <w:sz w:val="21"/>
                      <w:szCs w:val="21"/>
                    </w:rPr>
                    <w:t>COD</w:t>
                  </w:r>
                </w:p>
              </w:tc>
              <w:tc>
                <w:tcPr>
                  <w:tcW w:w="1110" w:type="dxa"/>
                  <w:vAlign w:val="center"/>
                </w:tcPr>
                <w:p w14:paraId="32B1FA81">
                  <w:pPr>
                    <w:adjustRightInd w:val="0"/>
                    <w:snapToGrid w:val="0"/>
                    <w:jc w:val="center"/>
                    <w:rPr>
                      <w:bCs/>
                      <w:spacing w:val="-10"/>
                      <w:sz w:val="21"/>
                      <w:szCs w:val="21"/>
                    </w:rPr>
                  </w:pPr>
                  <w:r>
                    <w:rPr>
                      <w:bCs/>
                      <w:spacing w:val="-10"/>
                      <w:sz w:val="21"/>
                      <w:szCs w:val="21"/>
                    </w:rPr>
                    <w:t>50</w:t>
                  </w:r>
                </w:p>
              </w:tc>
            </w:tr>
            <w:tr w14:paraId="7B48DA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3" w:type="dxa"/>
                  <w:vMerge w:val="continue"/>
                  <w:vAlign w:val="center"/>
                </w:tcPr>
                <w:p w14:paraId="0CA4BA1D">
                  <w:pPr>
                    <w:adjustRightInd w:val="0"/>
                    <w:snapToGrid w:val="0"/>
                    <w:jc w:val="center"/>
                    <w:rPr>
                      <w:bCs/>
                      <w:spacing w:val="-10"/>
                      <w:sz w:val="21"/>
                      <w:szCs w:val="21"/>
                    </w:rPr>
                  </w:pPr>
                </w:p>
              </w:tc>
              <w:tc>
                <w:tcPr>
                  <w:tcW w:w="860" w:type="dxa"/>
                  <w:vMerge w:val="continue"/>
                  <w:vAlign w:val="center"/>
                </w:tcPr>
                <w:p w14:paraId="6AFE872D">
                  <w:pPr>
                    <w:adjustRightInd w:val="0"/>
                    <w:snapToGrid w:val="0"/>
                    <w:jc w:val="center"/>
                    <w:rPr>
                      <w:bCs/>
                      <w:spacing w:val="-10"/>
                      <w:sz w:val="21"/>
                      <w:szCs w:val="21"/>
                    </w:rPr>
                  </w:pPr>
                </w:p>
              </w:tc>
              <w:tc>
                <w:tcPr>
                  <w:tcW w:w="1294" w:type="dxa"/>
                  <w:vMerge w:val="continue"/>
                  <w:vAlign w:val="center"/>
                </w:tcPr>
                <w:p w14:paraId="65965330">
                  <w:pPr>
                    <w:adjustRightInd w:val="0"/>
                    <w:snapToGrid w:val="0"/>
                    <w:jc w:val="center"/>
                    <w:rPr>
                      <w:bCs/>
                      <w:spacing w:val="-10"/>
                      <w:sz w:val="21"/>
                      <w:szCs w:val="21"/>
                    </w:rPr>
                  </w:pPr>
                </w:p>
              </w:tc>
              <w:tc>
                <w:tcPr>
                  <w:tcW w:w="1206" w:type="dxa"/>
                  <w:vMerge w:val="continue"/>
                  <w:vAlign w:val="center"/>
                </w:tcPr>
                <w:p w14:paraId="0B73BF73">
                  <w:pPr>
                    <w:adjustRightInd w:val="0"/>
                    <w:snapToGrid w:val="0"/>
                    <w:jc w:val="center"/>
                    <w:rPr>
                      <w:bCs/>
                      <w:spacing w:val="-10"/>
                      <w:sz w:val="21"/>
                      <w:szCs w:val="21"/>
                    </w:rPr>
                  </w:pPr>
                </w:p>
              </w:tc>
              <w:tc>
                <w:tcPr>
                  <w:tcW w:w="753" w:type="dxa"/>
                  <w:vMerge w:val="continue"/>
                  <w:vAlign w:val="center"/>
                </w:tcPr>
                <w:p w14:paraId="01994ADB">
                  <w:pPr>
                    <w:adjustRightInd w:val="0"/>
                    <w:snapToGrid w:val="0"/>
                    <w:jc w:val="center"/>
                    <w:rPr>
                      <w:bCs/>
                      <w:spacing w:val="-10"/>
                      <w:sz w:val="21"/>
                      <w:szCs w:val="21"/>
                    </w:rPr>
                  </w:pPr>
                </w:p>
              </w:tc>
              <w:tc>
                <w:tcPr>
                  <w:tcW w:w="535" w:type="dxa"/>
                  <w:vMerge w:val="continue"/>
                  <w:vAlign w:val="center"/>
                </w:tcPr>
                <w:p w14:paraId="3660D484">
                  <w:pPr>
                    <w:adjustRightInd w:val="0"/>
                    <w:snapToGrid w:val="0"/>
                    <w:jc w:val="center"/>
                    <w:rPr>
                      <w:bCs/>
                      <w:spacing w:val="-10"/>
                      <w:sz w:val="21"/>
                      <w:szCs w:val="21"/>
                    </w:rPr>
                  </w:pPr>
                </w:p>
              </w:tc>
              <w:tc>
                <w:tcPr>
                  <w:tcW w:w="948" w:type="dxa"/>
                  <w:vMerge w:val="continue"/>
                  <w:vAlign w:val="center"/>
                </w:tcPr>
                <w:p w14:paraId="6DC94F8A">
                  <w:pPr>
                    <w:adjustRightInd w:val="0"/>
                    <w:snapToGrid w:val="0"/>
                    <w:jc w:val="center"/>
                    <w:rPr>
                      <w:bCs/>
                      <w:spacing w:val="-10"/>
                      <w:sz w:val="21"/>
                      <w:szCs w:val="21"/>
                    </w:rPr>
                  </w:pPr>
                </w:p>
              </w:tc>
              <w:tc>
                <w:tcPr>
                  <w:tcW w:w="487" w:type="dxa"/>
                  <w:vMerge w:val="continue"/>
                  <w:vAlign w:val="center"/>
                </w:tcPr>
                <w:p w14:paraId="539B1F44">
                  <w:pPr>
                    <w:adjustRightInd w:val="0"/>
                    <w:snapToGrid w:val="0"/>
                    <w:jc w:val="center"/>
                    <w:rPr>
                      <w:bCs/>
                      <w:spacing w:val="-10"/>
                      <w:sz w:val="21"/>
                      <w:szCs w:val="21"/>
                    </w:rPr>
                  </w:pPr>
                </w:p>
              </w:tc>
              <w:tc>
                <w:tcPr>
                  <w:tcW w:w="503" w:type="dxa"/>
                  <w:vMerge w:val="continue"/>
                  <w:vAlign w:val="center"/>
                </w:tcPr>
                <w:p w14:paraId="39422A99">
                  <w:pPr>
                    <w:adjustRightInd w:val="0"/>
                    <w:snapToGrid w:val="0"/>
                    <w:jc w:val="center"/>
                    <w:rPr>
                      <w:bCs/>
                      <w:spacing w:val="-10"/>
                      <w:sz w:val="21"/>
                      <w:szCs w:val="21"/>
                    </w:rPr>
                  </w:pPr>
                </w:p>
              </w:tc>
              <w:tc>
                <w:tcPr>
                  <w:tcW w:w="861" w:type="dxa"/>
                  <w:vAlign w:val="center"/>
                </w:tcPr>
                <w:p w14:paraId="0CF698A4">
                  <w:pPr>
                    <w:adjustRightInd w:val="0"/>
                    <w:snapToGrid w:val="0"/>
                    <w:jc w:val="center"/>
                    <w:rPr>
                      <w:bCs/>
                      <w:spacing w:val="-10"/>
                      <w:sz w:val="21"/>
                      <w:szCs w:val="21"/>
                    </w:rPr>
                  </w:pPr>
                  <w:r>
                    <w:rPr>
                      <w:spacing w:val="4"/>
                      <w:sz w:val="21"/>
                      <w:szCs w:val="21"/>
                    </w:rPr>
                    <w:t>NH</w:t>
                  </w:r>
                  <w:r>
                    <w:rPr>
                      <w:spacing w:val="4"/>
                      <w:sz w:val="21"/>
                      <w:szCs w:val="21"/>
                      <w:vertAlign w:val="subscript"/>
                    </w:rPr>
                    <w:t>3</w:t>
                  </w:r>
                  <w:r>
                    <w:rPr>
                      <w:spacing w:val="4"/>
                      <w:sz w:val="21"/>
                      <w:szCs w:val="21"/>
                    </w:rPr>
                    <w:t>-N</w:t>
                  </w:r>
                </w:p>
              </w:tc>
              <w:tc>
                <w:tcPr>
                  <w:tcW w:w="1110" w:type="dxa"/>
                  <w:vAlign w:val="center"/>
                </w:tcPr>
                <w:p w14:paraId="52D5D32B">
                  <w:pPr>
                    <w:adjustRightInd w:val="0"/>
                    <w:snapToGrid w:val="0"/>
                    <w:jc w:val="center"/>
                    <w:rPr>
                      <w:bCs/>
                      <w:spacing w:val="-10"/>
                      <w:sz w:val="21"/>
                      <w:szCs w:val="21"/>
                    </w:rPr>
                  </w:pPr>
                  <w:r>
                    <w:rPr>
                      <w:bCs/>
                      <w:spacing w:val="-10"/>
                      <w:sz w:val="21"/>
                      <w:szCs w:val="21"/>
                    </w:rPr>
                    <w:t>5</w:t>
                  </w:r>
                </w:p>
              </w:tc>
            </w:tr>
            <w:tr w14:paraId="553B4B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423" w:type="dxa"/>
                  <w:vMerge w:val="restart"/>
                  <w:vAlign w:val="center"/>
                </w:tcPr>
                <w:p w14:paraId="027AF0C8">
                  <w:pPr>
                    <w:adjustRightInd w:val="0"/>
                    <w:snapToGrid w:val="0"/>
                    <w:jc w:val="center"/>
                    <w:rPr>
                      <w:rFonts w:hint="eastAsia" w:eastAsia="宋体"/>
                      <w:bCs/>
                      <w:spacing w:val="-10"/>
                      <w:sz w:val="21"/>
                      <w:szCs w:val="21"/>
                      <w:lang w:val="en-US" w:eastAsia="zh-CN"/>
                    </w:rPr>
                  </w:pPr>
                  <w:r>
                    <w:rPr>
                      <w:rFonts w:hint="eastAsia"/>
                      <w:bCs/>
                      <w:spacing w:val="-10"/>
                      <w:sz w:val="21"/>
                      <w:szCs w:val="21"/>
                      <w:lang w:val="en-US" w:eastAsia="zh-CN"/>
                    </w:rPr>
                    <w:t>2</w:t>
                  </w:r>
                </w:p>
              </w:tc>
              <w:tc>
                <w:tcPr>
                  <w:tcW w:w="860" w:type="dxa"/>
                  <w:vMerge w:val="restart"/>
                  <w:vAlign w:val="center"/>
                </w:tcPr>
                <w:p w14:paraId="7A03BF99">
                  <w:pPr>
                    <w:adjustRightInd w:val="0"/>
                    <w:snapToGrid w:val="0"/>
                    <w:jc w:val="center"/>
                    <w:rPr>
                      <w:rFonts w:hint="default" w:eastAsia="宋体"/>
                      <w:bCs/>
                      <w:spacing w:val="-10"/>
                      <w:sz w:val="21"/>
                      <w:szCs w:val="21"/>
                      <w:lang w:val="en-US" w:eastAsia="zh-CN"/>
                    </w:rPr>
                  </w:pPr>
                  <w:r>
                    <w:rPr>
                      <w:rFonts w:hint="eastAsia"/>
                      <w:bCs/>
                      <w:spacing w:val="-10"/>
                      <w:sz w:val="21"/>
                      <w:szCs w:val="21"/>
                      <w:lang w:val="en-US" w:eastAsia="zh-CN"/>
                    </w:rPr>
                    <w:t>DW002</w:t>
                  </w:r>
                </w:p>
              </w:tc>
              <w:tc>
                <w:tcPr>
                  <w:tcW w:w="1294" w:type="dxa"/>
                  <w:vMerge w:val="restart"/>
                  <w:vAlign w:val="center"/>
                </w:tcPr>
                <w:p w14:paraId="568AAD9B">
                  <w:pPr>
                    <w:adjustRightInd w:val="0"/>
                    <w:snapToGrid w:val="0"/>
                    <w:jc w:val="center"/>
                    <w:rPr>
                      <w:rFonts w:hint="default" w:ascii="Times New Roman" w:hAnsi="Times New Roman" w:eastAsia="宋体" w:cs="Times New Roman"/>
                      <w:bCs/>
                      <w:spacing w:val="-10"/>
                      <w:sz w:val="21"/>
                      <w:szCs w:val="21"/>
                    </w:rPr>
                  </w:pPr>
                  <w:r>
                    <w:rPr>
                      <w:rFonts w:hint="default" w:ascii="Times New Roman" w:hAnsi="Times New Roman" w:eastAsia="宋体" w:cs="Times New Roman"/>
                      <w:bCs/>
                      <w:spacing w:val="-10"/>
                      <w:sz w:val="21"/>
                      <w:szCs w:val="21"/>
                    </w:rPr>
                    <w:t>112°38′14.42″</w:t>
                  </w:r>
                </w:p>
              </w:tc>
              <w:tc>
                <w:tcPr>
                  <w:tcW w:w="1206" w:type="dxa"/>
                  <w:vMerge w:val="restart"/>
                  <w:vAlign w:val="center"/>
                </w:tcPr>
                <w:p w14:paraId="56DB7222">
                  <w:pPr>
                    <w:adjustRightInd w:val="0"/>
                    <w:snapToGrid w:val="0"/>
                    <w:jc w:val="center"/>
                    <w:rPr>
                      <w:rFonts w:hint="default" w:ascii="Times New Roman" w:hAnsi="Times New Roman" w:eastAsia="宋体" w:cs="Times New Roman"/>
                      <w:bCs/>
                      <w:spacing w:val="-10"/>
                      <w:sz w:val="21"/>
                      <w:szCs w:val="21"/>
                    </w:rPr>
                  </w:pPr>
                  <w:r>
                    <w:rPr>
                      <w:rFonts w:hint="default" w:ascii="Times New Roman" w:hAnsi="Times New Roman" w:eastAsia="宋体" w:cs="Times New Roman"/>
                      <w:bCs/>
                      <w:spacing w:val="-10"/>
                      <w:sz w:val="21"/>
                      <w:szCs w:val="21"/>
                    </w:rPr>
                    <w:t>26°58′36.92″</w:t>
                  </w:r>
                </w:p>
              </w:tc>
              <w:tc>
                <w:tcPr>
                  <w:tcW w:w="753" w:type="dxa"/>
                  <w:vMerge w:val="restart"/>
                  <w:vAlign w:val="center"/>
                </w:tcPr>
                <w:p w14:paraId="5FB152BD">
                  <w:pPr>
                    <w:adjustRightInd w:val="0"/>
                    <w:snapToGrid w:val="0"/>
                    <w:jc w:val="center"/>
                    <w:rPr>
                      <w:rFonts w:hint="default" w:eastAsia="宋体"/>
                      <w:bCs/>
                      <w:spacing w:val="-10"/>
                      <w:sz w:val="21"/>
                      <w:szCs w:val="21"/>
                      <w:lang w:val="en-US" w:eastAsia="zh-CN"/>
                    </w:rPr>
                  </w:pPr>
                  <w:r>
                    <w:rPr>
                      <w:rFonts w:hint="eastAsia"/>
                      <w:bCs/>
                      <w:spacing w:val="-10"/>
                      <w:sz w:val="21"/>
                      <w:szCs w:val="21"/>
                      <w:lang w:val="en-US" w:eastAsia="zh-CN"/>
                    </w:rPr>
                    <w:t>0.002</w:t>
                  </w:r>
                </w:p>
              </w:tc>
              <w:tc>
                <w:tcPr>
                  <w:tcW w:w="535" w:type="dxa"/>
                  <w:vMerge w:val="continue"/>
                  <w:vAlign w:val="center"/>
                </w:tcPr>
                <w:p w14:paraId="32A5217B">
                  <w:pPr>
                    <w:adjustRightInd w:val="0"/>
                    <w:snapToGrid w:val="0"/>
                    <w:jc w:val="center"/>
                    <w:rPr>
                      <w:bCs/>
                      <w:spacing w:val="-10"/>
                      <w:sz w:val="21"/>
                      <w:szCs w:val="21"/>
                    </w:rPr>
                  </w:pPr>
                </w:p>
              </w:tc>
              <w:tc>
                <w:tcPr>
                  <w:tcW w:w="948" w:type="dxa"/>
                  <w:vMerge w:val="continue"/>
                  <w:vAlign w:val="center"/>
                </w:tcPr>
                <w:p w14:paraId="750CD089">
                  <w:pPr>
                    <w:adjustRightInd w:val="0"/>
                    <w:snapToGrid w:val="0"/>
                    <w:jc w:val="center"/>
                    <w:rPr>
                      <w:bCs/>
                      <w:spacing w:val="-10"/>
                      <w:sz w:val="21"/>
                      <w:szCs w:val="21"/>
                    </w:rPr>
                  </w:pPr>
                </w:p>
              </w:tc>
              <w:tc>
                <w:tcPr>
                  <w:tcW w:w="487" w:type="dxa"/>
                  <w:vMerge w:val="continue"/>
                  <w:vAlign w:val="center"/>
                </w:tcPr>
                <w:p w14:paraId="5CC11F67">
                  <w:pPr>
                    <w:adjustRightInd w:val="0"/>
                    <w:snapToGrid w:val="0"/>
                    <w:jc w:val="center"/>
                    <w:rPr>
                      <w:bCs/>
                      <w:spacing w:val="-10"/>
                      <w:sz w:val="21"/>
                      <w:szCs w:val="21"/>
                    </w:rPr>
                  </w:pPr>
                </w:p>
              </w:tc>
              <w:tc>
                <w:tcPr>
                  <w:tcW w:w="503" w:type="dxa"/>
                  <w:vMerge w:val="continue"/>
                  <w:vAlign w:val="center"/>
                </w:tcPr>
                <w:p w14:paraId="16E98C4C">
                  <w:pPr>
                    <w:adjustRightInd w:val="0"/>
                    <w:snapToGrid w:val="0"/>
                    <w:jc w:val="center"/>
                    <w:rPr>
                      <w:bCs/>
                      <w:spacing w:val="-10"/>
                      <w:sz w:val="21"/>
                      <w:szCs w:val="21"/>
                    </w:rPr>
                  </w:pPr>
                </w:p>
              </w:tc>
              <w:tc>
                <w:tcPr>
                  <w:tcW w:w="861" w:type="dxa"/>
                  <w:vAlign w:val="center"/>
                </w:tcPr>
                <w:p w14:paraId="0B5B5709">
                  <w:pPr>
                    <w:adjustRightInd w:val="0"/>
                    <w:snapToGrid w:val="0"/>
                    <w:jc w:val="center"/>
                    <w:rPr>
                      <w:spacing w:val="4"/>
                      <w:sz w:val="21"/>
                      <w:szCs w:val="21"/>
                    </w:rPr>
                  </w:pPr>
                  <w:r>
                    <w:rPr>
                      <w:spacing w:val="4"/>
                      <w:sz w:val="21"/>
                      <w:szCs w:val="21"/>
                    </w:rPr>
                    <w:t>COD</w:t>
                  </w:r>
                </w:p>
              </w:tc>
              <w:tc>
                <w:tcPr>
                  <w:tcW w:w="1110" w:type="dxa"/>
                  <w:vAlign w:val="center"/>
                </w:tcPr>
                <w:p w14:paraId="0945CF67">
                  <w:pPr>
                    <w:adjustRightInd w:val="0"/>
                    <w:snapToGrid w:val="0"/>
                    <w:jc w:val="center"/>
                    <w:rPr>
                      <w:bCs/>
                      <w:spacing w:val="-10"/>
                      <w:sz w:val="21"/>
                      <w:szCs w:val="21"/>
                    </w:rPr>
                  </w:pPr>
                  <w:r>
                    <w:rPr>
                      <w:bCs/>
                      <w:spacing w:val="-10"/>
                      <w:sz w:val="21"/>
                      <w:szCs w:val="21"/>
                    </w:rPr>
                    <w:t>50</w:t>
                  </w:r>
                </w:p>
              </w:tc>
            </w:tr>
            <w:tr w14:paraId="772FD6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423" w:type="dxa"/>
                  <w:vMerge w:val="continue"/>
                  <w:vAlign w:val="center"/>
                </w:tcPr>
                <w:p w14:paraId="666FB3E3">
                  <w:pPr>
                    <w:adjustRightInd w:val="0"/>
                    <w:snapToGrid w:val="0"/>
                    <w:jc w:val="center"/>
                  </w:pPr>
                </w:p>
              </w:tc>
              <w:tc>
                <w:tcPr>
                  <w:tcW w:w="860" w:type="dxa"/>
                  <w:vMerge w:val="continue"/>
                  <w:vAlign w:val="center"/>
                </w:tcPr>
                <w:p w14:paraId="6B2338B9">
                  <w:pPr>
                    <w:adjustRightInd w:val="0"/>
                    <w:snapToGrid w:val="0"/>
                    <w:jc w:val="center"/>
                  </w:pPr>
                </w:p>
              </w:tc>
              <w:tc>
                <w:tcPr>
                  <w:tcW w:w="1294" w:type="dxa"/>
                  <w:vMerge w:val="continue"/>
                  <w:vAlign w:val="center"/>
                </w:tcPr>
                <w:p w14:paraId="6237B230">
                  <w:pPr>
                    <w:adjustRightInd w:val="0"/>
                    <w:snapToGrid w:val="0"/>
                    <w:jc w:val="center"/>
                  </w:pPr>
                </w:p>
              </w:tc>
              <w:tc>
                <w:tcPr>
                  <w:tcW w:w="1206" w:type="dxa"/>
                  <w:vMerge w:val="continue"/>
                  <w:vAlign w:val="center"/>
                </w:tcPr>
                <w:p w14:paraId="6AAA8EFC">
                  <w:pPr>
                    <w:adjustRightInd w:val="0"/>
                    <w:snapToGrid w:val="0"/>
                    <w:jc w:val="center"/>
                  </w:pPr>
                </w:p>
              </w:tc>
              <w:tc>
                <w:tcPr>
                  <w:tcW w:w="753" w:type="dxa"/>
                  <w:vMerge w:val="continue"/>
                  <w:vAlign w:val="center"/>
                </w:tcPr>
                <w:p w14:paraId="57EFE8B4">
                  <w:pPr>
                    <w:adjustRightInd w:val="0"/>
                    <w:snapToGrid w:val="0"/>
                    <w:jc w:val="center"/>
                  </w:pPr>
                </w:p>
              </w:tc>
              <w:tc>
                <w:tcPr>
                  <w:tcW w:w="535" w:type="dxa"/>
                  <w:vMerge w:val="continue"/>
                  <w:vAlign w:val="center"/>
                </w:tcPr>
                <w:p w14:paraId="12B2EB6F">
                  <w:pPr>
                    <w:adjustRightInd w:val="0"/>
                    <w:snapToGrid w:val="0"/>
                    <w:jc w:val="center"/>
                  </w:pPr>
                </w:p>
              </w:tc>
              <w:tc>
                <w:tcPr>
                  <w:tcW w:w="948" w:type="dxa"/>
                  <w:vMerge w:val="continue"/>
                  <w:vAlign w:val="center"/>
                </w:tcPr>
                <w:p w14:paraId="66CAE477">
                  <w:pPr>
                    <w:adjustRightInd w:val="0"/>
                    <w:snapToGrid w:val="0"/>
                    <w:jc w:val="center"/>
                  </w:pPr>
                </w:p>
              </w:tc>
              <w:tc>
                <w:tcPr>
                  <w:tcW w:w="487" w:type="dxa"/>
                  <w:vMerge w:val="continue"/>
                  <w:vAlign w:val="center"/>
                </w:tcPr>
                <w:p w14:paraId="144B7EDA">
                  <w:pPr>
                    <w:adjustRightInd w:val="0"/>
                    <w:snapToGrid w:val="0"/>
                    <w:jc w:val="center"/>
                  </w:pPr>
                </w:p>
              </w:tc>
              <w:tc>
                <w:tcPr>
                  <w:tcW w:w="503" w:type="dxa"/>
                  <w:vMerge w:val="continue"/>
                  <w:vAlign w:val="center"/>
                </w:tcPr>
                <w:p w14:paraId="3AFC78F4">
                  <w:pPr>
                    <w:adjustRightInd w:val="0"/>
                    <w:snapToGrid w:val="0"/>
                    <w:jc w:val="center"/>
                  </w:pPr>
                </w:p>
              </w:tc>
              <w:tc>
                <w:tcPr>
                  <w:tcW w:w="861" w:type="dxa"/>
                  <w:vAlign w:val="center"/>
                </w:tcPr>
                <w:p w14:paraId="1D66F9D9">
                  <w:pPr>
                    <w:adjustRightInd w:val="0"/>
                    <w:snapToGrid w:val="0"/>
                    <w:jc w:val="center"/>
                    <w:rPr>
                      <w:spacing w:val="4"/>
                      <w:sz w:val="21"/>
                      <w:szCs w:val="21"/>
                    </w:rPr>
                  </w:pPr>
                  <w:r>
                    <w:rPr>
                      <w:spacing w:val="4"/>
                      <w:sz w:val="21"/>
                      <w:szCs w:val="21"/>
                    </w:rPr>
                    <w:t>NH</w:t>
                  </w:r>
                  <w:r>
                    <w:rPr>
                      <w:spacing w:val="4"/>
                      <w:sz w:val="21"/>
                      <w:szCs w:val="21"/>
                      <w:vertAlign w:val="subscript"/>
                    </w:rPr>
                    <w:t>3</w:t>
                  </w:r>
                  <w:r>
                    <w:rPr>
                      <w:spacing w:val="4"/>
                      <w:sz w:val="21"/>
                      <w:szCs w:val="21"/>
                    </w:rPr>
                    <w:t>-N</w:t>
                  </w:r>
                </w:p>
              </w:tc>
              <w:tc>
                <w:tcPr>
                  <w:tcW w:w="1110" w:type="dxa"/>
                  <w:vAlign w:val="center"/>
                </w:tcPr>
                <w:p w14:paraId="731328C9">
                  <w:pPr>
                    <w:adjustRightInd w:val="0"/>
                    <w:snapToGrid w:val="0"/>
                    <w:jc w:val="center"/>
                    <w:rPr>
                      <w:spacing w:val="4"/>
                      <w:sz w:val="21"/>
                      <w:szCs w:val="21"/>
                    </w:rPr>
                  </w:pPr>
                  <w:r>
                    <w:rPr>
                      <w:bCs/>
                      <w:spacing w:val="-10"/>
                      <w:sz w:val="21"/>
                      <w:szCs w:val="21"/>
                    </w:rPr>
                    <w:t>5</w:t>
                  </w:r>
                </w:p>
              </w:tc>
            </w:tr>
          </w:tbl>
          <w:p w14:paraId="14943258">
            <w:pPr>
              <w:wordWrap w:val="0"/>
              <w:topLinePunct/>
              <w:adjustRightInd w:val="0"/>
              <w:snapToGrid w:val="0"/>
              <w:spacing w:line="360" w:lineRule="auto"/>
              <w:ind w:firstLine="480" w:firstLineChars="200"/>
              <w:rPr>
                <w:rFonts w:hint="eastAsia" w:eastAsia="宋体"/>
                <w:bCs/>
                <w:kern w:val="0"/>
                <w:lang w:eastAsia="zh-CN"/>
              </w:rPr>
            </w:pPr>
            <w:r>
              <w:rPr>
                <w:rFonts w:hint="eastAsia"/>
                <w:bCs/>
                <w:kern w:val="0"/>
              </w:rPr>
              <w:t>本项目废水污染物排放执行标准啊见表4-1</w:t>
            </w:r>
            <w:r>
              <w:rPr>
                <w:rFonts w:hint="eastAsia"/>
                <w:bCs/>
                <w:kern w:val="0"/>
                <w:lang w:val="en-US" w:eastAsia="zh-CN"/>
              </w:rPr>
              <w:t>1</w:t>
            </w:r>
          </w:p>
          <w:p w14:paraId="413AE5A5">
            <w:pPr>
              <w:wordWrap w:val="0"/>
              <w:topLinePunct/>
              <w:adjustRightInd w:val="0"/>
              <w:snapToGrid w:val="0"/>
              <w:spacing w:line="360" w:lineRule="auto"/>
              <w:jc w:val="center"/>
              <w:rPr>
                <w:bCs/>
                <w:kern w:val="0"/>
              </w:rPr>
            </w:pPr>
            <w:r>
              <w:rPr>
                <w:b/>
                <w:lang w:val="en-GB"/>
              </w:rPr>
              <w:t>表4-</w:t>
            </w:r>
            <w:r>
              <w:rPr>
                <w:rFonts w:hint="eastAsia"/>
                <w:b/>
              </w:rPr>
              <w:t>1</w:t>
            </w:r>
            <w:r>
              <w:rPr>
                <w:rFonts w:hint="eastAsia"/>
                <w:b/>
                <w:lang w:val="en-US" w:eastAsia="zh-CN"/>
              </w:rPr>
              <w:t>1</w:t>
            </w:r>
            <w:r>
              <w:rPr>
                <w:b/>
                <w:lang w:val="en-GB"/>
              </w:rPr>
              <w:t xml:space="preserve">  本项目</w:t>
            </w:r>
            <w:r>
              <w:rPr>
                <w:rFonts w:hint="eastAsia"/>
                <w:b/>
                <w:lang w:val="en-GB"/>
              </w:rPr>
              <w:t>废水污染物排放执行标准</w:t>
            </w:r>
            <w:r>
              <w:rPr>
                <w:b/>
                <w:lang w:val="en-GB"/>
              </w:rPr>
              <w:t>表</w:t>
            </w:r>
          </w:p>
          <w:tbl>
            <w:tblPr>
              <w:tblStyle w:val="3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97"/>
              <w:gridCol w:w="1498"/>
              <w:gridCol w:w="2973"/>
              <w:gridCol w:w="3012"/>
            </w:tblGrid>
            <w:tr w14:paraId="625024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7" w:type="dxa"/>
                  <w:vMerge w:val="restart"/>
                  <w:tcBorders>
                    <w:tl2br w:val="nil"/>
                    <w:tr2bl w:val="nil"/>
                  </w:tcBorders>
                  <w:vAlign w:val="center"/>
                </w:tcPr>
                <w:p w14:paraId="3B05FAF7">
                  <w:pPr>
                    <w:wordWrap w:val="0"/>
                    <w:topLinePunct/>
                    <w:adjustRightInd w:val="0"/>
                    <w:snapToGrid w:val="0"/>
                    <w:jc w:val="center"/>
                    <w:rPr>
                      <w:bCs/>
                      <w:kern w:val="0"/>
                      <w:sz w:val="21"/>
                      <w:szCs w:val="21"/>
                    </w:rPr>
                  </w:pPr>
                  <w:r>
                    <w:rPr>
                      <w:bCs/>
                      <w:kern w:val="0"/>
                      <w:sz w:val="21"/>
                      <w:szCs w:val="21"/>
                    </w:rPr>
                    <w:t>排放口编号</w:t>
                  </w:r>
                </w:p>
              </w:tc>
              <w:tc>
                <w:tcPr>
                  <w:tcW w:w="1498" w:type="dxa"/>
                  <w:vMerge w:val="restart"/>
                  <w:tcBorders>
                    <w:tl2br w:val="nil"/>
                    <w:tr2bl w:val="nil"/>
                  </w:tcBorders>
                  <w:vAlign w:val="center"/>
                </w:tcPr>
                <w:p w14:paraId="6E70AB6B">
                  <w:pPr>
                    <w:wordWrap w:val="0"/>
                    <w:topLinePunct/>
                    <w:adjustRightInd w:val="0"/>
                    <w:snapToGrid w:val="0"/>
                    <w:jc w:val="center"/>
                    <w:rPr>
                      <w:bCs/>
                      <w:kern w:val="0"/>
                      <w:sz w:val="21"/>
                      <w:szCs w:val="21"/>
                    </w:rPr>
                  </w:pPr>
                  <w:r>
                    <w:rPr>
                      <w:bCs/>
                      <w:kern w:val="0"/>
                      <w:sz w:val="21"/>
                      <w:szCs w:val="21"/>
                    </w:rPr>
                    <w:t>污染物种类</w:t>
                  </w:r>
                </w:p>
              </w:tc>
              <w:tc>
                <w:tcPr>
                  <w:tcW w:w="5985" w:type="dxa"/>
                  <w:gridSpan w:val="2"/>
                  <w:tcBorders>
                    <w:tl2br w:val="nil"/>
                    <w:tr2bl w:val="nil"/>
                  </w:tcBorders>
                  <w:vAlign w:val="center"/>
                </w:tcPr>
                <w:p w14:paraId="5E16B27F">
                  <w:pPr>
                    <w:wordWrap w:val="0"/>
                    <w:topLinePunct/>
                    <w:adjustRightInd w:val="0"/>
                    <w:snapToGrid w:val="0"/>
                    <w:jc w:val="center"/>
                    <w:rPr>
                      <w:bCs/>
                      <w:kern w:val="0"/>
                      <w:sz w:val="21"/>
                      <w:szCs w:val="21"/>
                    </w:rPr>
                  </w:pPr>
                  <w:r>
                    <w:rPr>
                      <w:bCs/>
                      <w:kern w:val="0"/>
                      <w:sz w:val="21"/>
                      <w:szCs w:val="21"/>
                    </w:rPr>
                    <w:t>标准</w:t>
                  </w:r>
                </w:p>
              </w:tc>
            </w:tr>
            <w:tr w14:paraId="5751AF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7" w:type="dxa"/>
                  <w:vMerge w:val="continue"/>
                  <w:tcBorders>
                    <w:tl2br w:val="nil"/>
                    <w:tr2bl w:val="nil"/>
                  </w:tcBorders>
                  <w:vAlign w:val="center"/>
                </w:tcPr>
                <w:p w14:paraId="4DF227FE">
                  <w:pPr>
                    <w:wordWrap w:val="0"/>
                    <w:topLinePunct/>
                    <w:adjustRightInd w:val="0"/>
                    <w:snapToGrid w:val="0"/>
                    <w:jc w:val="center"/>
                    <w:rPr>
                      <w:bCs/>
                      <w:kern w:val="0"/>
                      <w:sz w:val="21"/>
                      <w:szCs w:val="21"/>
                    </w:rPr>
                  </w:pPr>
                </w:p>
              </w:tc>
              <w:tc>
                <w:tcPr>
                  <w:tcW w:w="1498" w:type="dxa"/>
                  <w:vMerge w:val="continue"/>
                  <w:tcBorders>
                    <w:tl2br w:val="nil"/>
                    <w:tr2bl w:val="nil"/>
                  </w:tcBorders>
                  <w:vAlign w:val="center"/>
                </w:tcPr>
                <w:p w14:paraId="19857DF5">
                  <w:pPr>
                    <w:wordWrap w:val="0"/>
                    <w:topLinePunct/>
                    <w:adjustRightInd w:val="0"/>
                    <w:snapToGrid w:val="0"/>
                    <w:jc w:val="center"/>
                    <w:rPr>
                      <w:bCs/>
                      <w:kern w:val="0"/>
                      <w:sz w:val="21"/>
                      <w:szCs w:val="21"/>
                    </w:rPr>
                  </w:pPr>
                </w:p>
              </w:tc>
              <w:tc>
                <w:tcPr>
                  <w:tcW w:w="2973" w:type="dxa"/>
                  <w:tcBorders>
                    <w:tl2br w:val="nil"/>
                    <w:tr2bl w:val="nil"/>
                  </w:tcBorders>
                  <w:vAlign w:val="center"/>
                </w:tcPr>
                <w:p w14:paraId="3368ABA1">
                  <w:pPr>
                    <w:wordWrap w:val="0"/>
                    <w:topLinePunct/>
                    <w:adjustRightInd w:val="0"/>
                    <w:snapToGrid w:val="0"/>
                    <w:jc w:val="center"/>
                    <w:rPr>
                      <w:bCs/>
                      <w:kern w:val="0"/>
                      <w:sz w:val="21"/>
                      <w:szCs w:val="21"/>
                    </w:rPr>
                  </w:pPr>
                  <w:r>
                    <w:rPr>
                      <w:bCs/>
                      <w:kern w:val="0"/>
                      <w:sz w:val="21"/>
                      <w:szCs w:val="21"/>
                    </w:rPr>
                    <w:t>名称</w:t>
                  </w:r>
                </w:p>
              </w:tc>
              <w:tc>
                <w:tcPr>
                  <w:tcW w:w="3012" w:type="dxa"/>
                  <w:tcBorders>
                    <w:tl2br w:val="nil"/>
                    <w:tr2bl w:val="nil"/>
                  </w:tcBorders>
                  <w:vAlign w:val="center"/>
                </w:tcPr>
                <w:p w14:paraId="53D388B0">
                  <w:pPr>
                    <w:wordWrap w:val="0"/>
                    <w:topLinePunct/>
                    <w:adjustRightInd w:val="0"/>
                    <w:snapToGrid w:val="0"/>
                    <w:jc w:val="center"/>
                    <w:rPr>
                      <w:bCs/>
                      <w:kern w:val="0"/>
                      <w:sz w:val="21"/>
                      <w:szCs w:val="21"/>
                    </w:rPr>
                  </w:pPr>
                  <w:r>
                    <w:rPr>
                      <w:bCs/>
                      <w:kern w:val="0"/>
                      <w:sz w:val="21"/>
                      <w:szCs w:val="21"/>
                    </w:rPr>
                    <w:t>浓度限值/（mg/L）</w:t>
                  </w:r>
                </w:p>
              </w:tc>
            </w:tr>
            <w:tr w14:paraId="1BCBE5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7" w:type="dxa"/>
                  <w:vMerge w:val="restart"/>
                  <w:tcBorders>
                    <w:tl2br w:val="nil"/>
                    <w:tr2bl w:val="nil"/>
                  </w:tcBorders>
                  <w:vAlign w:val="center"/>
                </w:tcPr>
                <w:p w14:paraId="145C44F1">
                  <w:pPr>
                    <w:wordWrap w:val="0"/>
                    <w:topLinePunct/>
                    <w:adjustRightInd w:val="0"/>
                    <w:snapToGrid w:val="0"/>
                    <w:jc w:val="center"/>
                    <w:rPr>
                      <w:bCs/>
                      <w:kern w:val="0"/>
                      <w:sz w:val="21"/>
                      <w:szCs w:val="21"/>
                    </w:rPr>
                  </w:pPr>
                  <w:r>
                    <w:rPr>
                      <w:bCs/>
                      <w:kern w:val="0"/>
                      <w:sz w:val="21"/>
                      <w:szCs w:val="21"/>
                    </w:rPr>
                    <w:t>DW001</w:t>
                  </w:r>
                </w:p>
              </w:tc>
              <w:tc>
                <w:tcPr>
                  <w:tcW w:w="1498" w:type="dxa"/>
                  <w:tcBorders>
                    <w:tl2br w:val="nil"/>
                    <w:tr2bl w:val="nil"/>
                  </w:tcBorders>
                  <w:vAlign w:val="center"/>
                </w:tcPr>
                <w:p w14:paraId="17F09DCE">
                  <w:pPr>
                    <w:wordWrap w:val="0"/>
                    <w:topLinePunct/>
                    <w:adjustRightInd w:val="0"/>
                    <w:snapToGrid w:val="0"/>
                    <w:jc w:val="center"/>
                    <w:rPr>
                      <w:bCs/>
                      <w:kern w:val="0"/>
                      <w:sz w:val="21"/>
                      <w:szCs w:val="21"/>
                    </w:rPr>
                  </w:pPr>
                  <w:r>
                    <w:rPr>
                      <w:bCs/>
                      <w:kern w:val="0"/>
                      <w:sz w:val="21"/>
                      <w:szCs w:val="21"/>
                    </w:rPr>
                    <w:t>COD</w:t>
                  </w:r>
                </w:p>
              </w:tc>
              <w:tc>
                <w:tcPr>
                  <w:tcW w:w="2973" w:type="dxa"/>
                  <w:vMerge w:val="restart"/>
                  <w:tcBorders>
                    <w:tl2br w:val="nil"/>
                    <w:tr2bl w:val="nil"/>
                  </w:tcBorders>
                  <w:vAlign w:val="center"/>
                </w:tcPr>
                <w:p w14:paraId="6D42A935">
                  <w:pPr>
                    <w:wordWrap w:val="0"/>
                    <w:topLinePunct/>
                    <w:adjustRightInd w:val="0"/>
                    <w:snapToGrid w:val="0"/>
                    <w:jc w:val="center"/>
                    <w:rPr>
                      <w:bCs/>
                      <w:kern w:val="0"/>
                      <w:sz w:val="21"/>
                      <w:szCs w:val="21"/>
                    </w:rPr>
                  </w:pPr>
                  <w:r>
                    <w:rPr>
                      <w:bCs/>
                      <w:kern w:val="0"/>
                      <w:sz w:val="21"/>
                      <w:szCs w:val="21"/>
                    </w:rPr>
                    <w:t>《污水综合排放标准》（GB8978-1996）表4三级排放标准</w:t>
                  </w:r>
                </w:p>
              </w:tc>
              <w:tc>
                <w:tcPr>
                  <w:tcW w:w="3012" w:type="dxa"/>
                  <w:tcBorders>
                    <w:tl2br w:val="nil"/>
                    <w:tr2bl w:val="nil"/>
                  </w:tcBorders>
                  <w:vAlign w:val="center"/>
                </w:tcPr>
                <w:p w14:paraId="27F0DE92">
                  <w:pPr>
                    <w:wordWrap w:val="0"/>
                    <w:topLinePunct/>
                    <w:adjustRightInd w:val="0"/>
                    <w:snapToGrid w:val="0"/>
                    <w:jc w:val="center"/>
                    <w:rPr>
                      <w:bCs/>
                      <w:kern w:val="0"/>
                      <w:sz w:val="21"/>
                      <w:szCs w:val="21"/>
                    </w:rPr>
                  </w:pPr>
                  <w:r>
                    <w:rPr>
                      <w:rFonts w:hint="eastAsia"/>
                      <w:bCs/>
                      <w:kern w:val="0"/>
                      <w:sz w:val="21"/>
                      <w:szCs w:val="21"/>
                    </w:rPr>
                    <w:t>500</w:t>
                  </w:r>
                </w:p>
              </w:tc>
            </w:tr>
            <w:tr w14:paraId="4B77BA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7" w:type="dxa"/>
                  <w:vMerge w:val="continue"/>
                  <w:tcBorders>
                    <w:tl2br w:val="nil"/>
                    <w:tr2bl w:val="nil"/>
                  </w:tcBorders>
                  <w:vAlign w:val="center"/>
                </w:tcPr>
                <w:p w14:paraId="4BF2E25D">
                  <w:pPr>
                    <w:wordWrap w:val="0"/>
                    <w:topLinePunct/>
                    <w:adjustRightInd w:val="0"/>
                    <w:snapToGrid w:val="0"/>
                    <w:jc w:val="center"/>
                    <w:rPr>
                      <w:bCs/>
                      <w:kern w:val="0"/>
                      <w:sz w:val="21"/>
                      <w:szCs w:val="21"/>
                    </w:rPr>
                  </w:pPr>
                </w:p>
              </w:tc>
              <w:tc>
                <w:tcPr>
                  <w:tcW w:w="1498" w:type="dxa"/>
                  <w:tcBorders>
                    <w:tl2br w:val="nil"/>
                    <w:tr2bl w:val="nil"/>
                  </w:tcBorders>
                  <w:vAlign w:val="center"/>
                </w:tcPr>
                <w:p w14:paraId="10BA1FAE">
                  <w:pPr>
                    <w:wordWrap w:val="0"/>
                    <w:topLinePunct/>
                    <w:adjustRightInd w:val="0"/>
                    <w:snapToGrid w:val="0"/>
                    <w:jc w:val="center"/>
                    <w:rPr>
                      <w:bCs/>
                      <w:kern w:val="0"/>
                      <w:sz w:val="21"/>
                      <w:szCs w:val="21"/>
                    </w:rPr>
                  </w:pPr>
                  <w:r>
                    <w:rPr>
                      <w:bCs/>
                      <w:kern w:val="0"/>
                      <w:sz w:val="21"/>
                      <w:szCs w:val="21"/>
                    </w:rPr>
                    <w:t>SS</w:t>
                  </w:r>
                </w:p>
              </w:tc>
              <w:tc>
                <w:tcPr>
                  <w:tcW w:w="2973" w:type="dxa"/>
                  <w:vMerge w:val="continue"/>
                  <w:tcBorders>
                    <w:tl2br w:val="nil"/>
                    <w:tr2bl w:val="nil"/>
                  </w:tcBorders>
                  <w:vAlign w:val="center"/>
                </w:tcPr>
                <w:p w14:paraId="12D951D2">
                  <w:pPr>
                    <w:wordWrap w:val="0"/>
                    <w:topLinePunct/>
                    <w:adjustRightInd w:val="0"/>
                    <w:snapToGrid w:val="0"/>
                    <w:jc w:val="center"/>
                    <w:rPr>
                      <w:bCs/>
                      <w:kern w:val="0"/>
                      <w:sz w:val="21"/>
                      <w:szCs w:val="21"/>
                    </w:rPr>
                  </w:pPr>
                </w:p>
              </w:tc>
              <w:tc>
                <w:tcPr>
                  <w:tcW w:w="3012" w:type="dxa"/>
                  <w:tcBorders>
                    <w:tl2br w:val="nil"/>
                    <w:tr2bl w:val="nil"/>
                  </w:tcBorders>
                  <w:vAlign w:val="center"/>
                </w:tcPr>
                <w:p w14:paraId="6FCE7272">
                  <w:pPr>
                    <w:wordWrap w:val="0"/>
                    <w:topLinePunct/>
                    <w:adjustRightInd w:val="0"/>
                    <w:snapToGrid w:val="0"/>
                    <w:jc w:val="center"/>
                    <w:rPr>
                      <w:bCs/>
                      <w:kern w:val="0"/>
                      <w:sz w:val="21"/>
                      <w:szCs w:val="21"/>
                    </w:rPr>
                  </w:pPr>
                  <w:r>
                    <w:rPr>
                      <w:rFonts w:hint="eastAsia"/>
                      <w:bCs/>
                      <w:kern w:val="0"/>
                      <w:sz w:val="21"/>
                      <w:szCs w:val="21"/>
                    </w:rPr>
                    <w:t>400</w:t>
                  </w:r>
                </w:p>
              </w:tc>
            </w:tr>
            <w:tr w14:paraId="2AEDDA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7" w:type="dxa"/>
                  <w:vMerge w:val="continue"/>
                  <w:tcBorders>
                    <w:tl2br w:val="nil"/>
                    <w:tr2bl w:val="nil"/>
                  </w:tcBorders>
                  <w:vAlign w:val="center"/>
                </w:tcPr>
                <w:p w14:paraId="08C7B231">
                  <w:pPr>
                    <w:wordWrap w:val="0"/>
                    <w:topLinePunct/>
                    <w:adjustRightInd w:val="0"/>
                    <w:snapToGrid w:val="0"/>
                    <w:jc w:val="center"/>
                    <w:rPr>
                      <w:bCs/>
                      <w:kern w:val="0"/>
                      <w:sz w:val="21"/>
                      <w:szCs w:val="21"/>
                    </w:rPr>
                  </w:pPr>
                </w:p>
              </w:tc>
              <w:tc>
                <w:tcPr>
                  <w:tcW w:w="1498" w:type="dxa"/>
                  <w:tcBorders>
                    <w:tl2br w:val="nil"/>
                    <w:tr2bl w:val="nil"/>
                  </w:tcBorders>
                  <w:vAlign w:val="center"/>
                </w:tcPr>
                <w:p w14:paraId="74F67DD8">
                  <w:pPr>
                    <w:wordWrap w:val="0"/>
                    <w:topLinePunct/>
                    <w:adjustRightInd w:val="0"/>
                    <w:snapToGrid w:val="0"/>
                    <w:jc w:val="center"/>
                    <w:rPr>
                      <w:bCs/>
                      <w:kern w:val="0"/>
                      <w:sz w:val="21"/>
                      <w:szCs w:val="21"/>
                    </w:rPr>
                  </w:pPr>
                  <w:r>
                    <w:rPr>
                      <w:bCs/>
                      <w:kern w:val="0"/>
                      <w:sz w:val="21"/>
                      <w:szCs w:val="21"/>
                    </w:rPr>
                    <w:t>BOD</w:t>
                  </w:r>
                  <w:r>
                    <w:rPr>
                      <w:bCs/>
                      <w:kern w:val="0"/>
                      <w:sz w:val="21"/>
                      <w:szCs w:val="21"/>
                      <w:vertAlign w:val="subscript"/>
                    </w:rPr>
                    <w:t>5</w:t>
                  </w:r>
                </w:p>
              </w:tc>
              <w:tc>
                <w:tcPr>
                  <w:tcW w:w="2973" w:type="dxa"/>
                  <w:vMerge w:val="continue"/>
                  <w:tcBorders>
                    <w:tl2br w:val="nil"/>
                    <w:tr2bl w:val="nil"/>
                  </w:tcBorders>
                  <w:vAlign w:val="center"/>
                </w:tcPr>
                <w:p w14:paraId="02456067">
                  <w:pPr>
                    <w:wordWrap w:val="0"/>
                    <w:topLinePunct/>
                    <w:adjustRightInd w:val="0"/>
                    <w:snapToGrid w:val="0"/>
                    <w:jc w:val="center"/>
                    <w:rPr>
                      <w:bCs/>
                      <w:kern w:val="0"/>
                      <w:sz w:val="21"/>
                      <w:szCs w:val="21"/>
                    </w:rPr>
                  </w:pPr>
                </w:p>
              </w:tc>
              <w:tc>
                <w:tcPr>
                  <w:tcW w:w="3012" w:type="dxa"/>
                  <w:tcBorders>
                    <w:tl2br w:val="nil"/>
                    <w:tr2bl w:val="nil"/>
                  </w:tcBorders>
                  <w:vAlign w:val="center"/>
                </w:tcPr>
                <w:p w14:paraId="4A26B474">
                  <w:pPr>
                    <w:wordWrap w:val="0"/>
                    <w:topLinePunct/>
                    <w:adjustRightInd w:val="0"/>
                    <w:snapToGrid w:val="0"/>
                    <w:jc w:val="center"/>
                    <w:rPr>
                      <w:bCs/>
                      <w:kern w:val="0"/>
                      <w:sz w:val="21"/>
                      <w:szCs w:val="21"/>
                    </w:rPr>
                  </w:pPr>
                  <w:r>
                    <w:rPr>
                      <w:rFonts w:hint="eastAsia"/>
                      <w:bCs/>
                      <w:kern w:val="0"/>
                      <w:sz w:val="21"/>
                      <w:szCs w:val="21"/>
                    </w:rPr>
                    <w:t>300</w:t>
                  </w:r>
                </w:p>
              </w:tc>
            </w:tr>
            <w:tr w14:paraId="6D1C1B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7" w:type="dxa"/>
                  <w:vMerge w:val="continue"/>
                  <w:tcBorders>
                    <w:tl2br w:val="nil"/>
                    <w:tr2bl w:val="nil"/>
                  </w:tcBorders>
                  <w:vAlign w:val="center"/>
                </w:tcPr>
                <w:p w14:paraId="0964E89B">
                  <w:pPr>
                    <w:wordWrap w:val="0"/>
                    <w:topLinePunct/>
                    <w:adjustRightInd w:val="0"/>
                    <w:snapToGrid w:val="0"/>
                    <w:jc w:val="center"/>
                    <w:rPr>
                      <w:bCs/>
                      <w:kern w:val="0"/>
                      <w:sz w:val="21"/>
                      <w:szCs w:val="21"/>
                    </w:rPr>
                  </w:pPr>
                </w:p>
              </w:tc>
              <w:tc>
                <w:tcPr>
                  <w:tcW w:w="1498" w:type="dxa"/>
                  <w:tcBorders>
                    <w:tl2br w:val="nil"/>
                    <w:tr2bl w:val="nil"/>
                  </w:tcBorders>
                  <w:vAlign w:val="center"/>
                </w:tcPr>
                <w:p w14:paraId="70393CBF">
                  <w:pPr>
                    <w:wordWrap w:val="0"/>
                    <w:topLinePunct/>
                    <w:adjustRightInd w:val="0"/>
                    <w:snapToGrid w:val="0"/>
                    <w:jc w:val="center"/>
                    <w:rPr>
                      <w:bCs/>
                      <w:kern w:val="0"/>
                      <w:sz w:val="21"/>
                      <w:szCs w:val="21"/>
                    </w:rPr>
                  </w:pPr>
                  <w:r>
                    <w:rPr>
                      <w:bCs/>
                      <w:kern w:val="0"/>
                      <w:sz w:val="21"/>
                      <w:szCs w:val="21"/>
                    </w:rPr>
                    <w:t>NH</w:t>
                  </w:r>
                  <w:r>
                    <w:rPr>
                      <w:bCs/>
                      <w:kern w:val="0"/>
                      <w:sz w:val="21"/>
                      <w:szCs w:val="21"/>
                      <w:vertAlign w:val="subscript"/>
                    </w:rPr>
                    <w:t>3</w:t>
                  </w:r>
                  <w:r>
                    <w:rPr>
                      <w:bCs/>
                      <w:kern w:val="0"/>
                      <w:sz w:val="21"/>
                      <w:szCs w:val="21"/>
                    </w:rPr>
                    <w:t>-N</w:t>
                  </w:r>
                </w:p>
              </w:tc>
              <w:tc>
                <w:tcPr>
                  <w:tcW w:w="2973" w:type="dxa"/>
                  <w:vMerge w:val="continue"/>
                  <w:tcBorders>
                    <w:tl2br w:val="nil"/>
                    <w:tr2bl w:val="nil"/>
                  </w:tcBorders>
                  <w:vAlign w:val="center"/>
                </w:tcPr>
                <w:p w14:paraId="08BE1105">
                  <w:pPr>
                    <w:wordWrap w:val="0"/>
                    <w:topLinePunct/>
                    <w:adjustRightInd w:val="0"/>
                    <w:snapToGrid w:val="0"/>
                    <w:jc w:val="center"/>
                    <w:rPr>
                      <w:bCs/>
                      <w:kern w:val="0"/>
                      <w:sz w:val="21"/>
                      <w:szCs w:val="21"/>
                    </w:rPr>
                  </w:pPr>
                </w:p>
              </w:tc>
              <w:tc>
                <w:tcPr>
                  <w:tcW w:w="3012" w:type="dxa"/>
                  <w:tcBorders>
                    <w:tl2br w:val="nil"/>
                    <w:tr2bl w:val="nil"/>
                  </w:tcBorders>
                  <w:vAlign w:val="center"/>
                </w:tcPr>
                <w:p w14:paraId="0A466F51">
                  <w:pPr>
                    <w:wordWrap w:val="0"/>
                    <w:topLinePunct/>
                    <w:adjustRightInd w:val="0"/>
                    <w:snapToGrid w:val="0"/>
                    <w:jc w:val="center"/>
                    <w:rPr>
                      <w:bCs/>
                      <w:kern w:val="0"/>
                      <w:sz w:val="21"/>
                      <w:szCs w:val="21"/>
                    </w:rPr>
                  </w:pPr>
                  <w:r>
                    <w:rPr>
                      <w:rFonts w:hint="eastAsia"/>
                      <w:bCs/>
                      <w:kern w:val="0"/>
                      <w:sz w:val="21"/>
                      <w:szCs w:val="21"/>
                    </w:rPr>
                    <w:t>/</w:t>
                  </w:r>
                </w:p>
              </w:tc>
            </w:tr>
            <w:tr w14:paraId="53415F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7" w:type="dxa"/>
                  <w:vMerge w:val="restart"/>
                  <w:tcBorders>
                    <w:tl2br w:val="nil"/>
                    <w:tr2bl w:val="nil"/>
                  </w:tcBorders>
                  <w:vAlign w:val="center"/>
                </w:tcPr>
                <w:p w14:paraId="5412B4DD">
                  <w:pPr>
                    <w:wordWrap w:val="0"/>
                    <w:topLinePunct/>
                    <w:adjustRightInd w:val="0"/>
                    <w:snapToGrid w:val="0"/>
                    <w:jc w:val="center"/>
                    <w:rPr>
                      <w:rFonts w:hint="default" w:eastAsia="宋体"/>
                      <w:bCs/>
                      <w:kern w:val="0"/>
                      <w:sz w:val="21"/>
                      <w:szCs w:val="21"/>
                      <w:lang w:val="en-US" w:eastAsia="zh-CN"/>
                    </w:rPr>
                  </w:pPr>
                  <w:r>
                    <w:rPr>
                      <w:rFonts w:hint="eastAsia"/>
                      <w:bCs/>
                      <w:kern w:val="0"/>
                      <w:sz w:val="21"/>
                      <w:szCs w:val="21"/>
                      <w:lang w:val="en-US" w:eastAsia="zh-CN"/>
                    </w:rPr>
                    <w:t>DW002</w:t>
                  </w:r>
                </w:p>
              </w:tc>
              <w:tc>
                <w:tcPr>
                  <w:tcW w:w="1498" w:type="dxa"/>
                  <w:tcBorders>
                    <w:tl2br w:val="nil"/>
                    <w:tr2bl w:val="nil"/>
                  </w:tcBorders>
                  <w:vAlign w:val="center"/>
                </w:tcPr>
                <w:p w14:paraId="550B6D69">
                  <w:pPr>
                    <w:wordWrap w:val="0"/>
                    <w:topLinePunct/>
                    <w:adjustRightInd w:val="0"/>
                    <w:snapToGrid w:val="0"/>
                    <w:jc w:val="center"/>
                    <w:rPr>
                      <w:bCs/>
                      <w:kern w:val="0"/>
                      <w:sz w:val="21"/>
                      <w:szCs w:val="21"/>
                    </w:rPr>
                  </w:pPr>
                  <w:r>
                    <w:rPr>
                      <w:bCs/>
                      <w:kern w:val="0"/>
                      <w:sz w:val="21"/>
                      <w:szCs w:val="21"/>
                    </w:rPr>
                    <w:t>COD</w:t>
                  </w:r>
                </w:p>
              </w:tc>
              <w:tc>
                <w:tcPr>
                  <w:tcW w:w="2973" w:type="dxa"/>
                  <w:vMerge w:val="continue"/>
                  <w:tcBorders>
                    <w:tl2br w:val="nil"/>
                    <w:tr2bl w:val="nil"/>
                  </w:tcBorders>
                  <w:vAlign w:val="center"/>
                </w:tcPr>
                <w:p w14:paraId="28C160DF">
                  <w:pPr>
                    <w:wordWrap w:val="0"/>
                    <w:topLinePunct/>
                    <w:adjustRightInd w:val="0"/>
                    <w:snapToGrid w:val="0"/>
                    <w:jc w:val="center"/>
                    <w:rPr>
                      <w:bCs/>
                      <w:kern w:val="0"/>
                      <w:sz w:val="21"/>
                      <w:szCs w:val="21"/>
                    </w:rPr>
                  </w:pPr>
                </w:p>
              </w:tc>
              <w:tc>
                <w:tcPr>
                  <w:tcW w:w="3012" w:type="dxa"/>
                  <w:tcBorders>
                    <w:tl2br w:val="nil"/>
                    <w:tr2bl w:val="nil"/>
                  </w:tcBorders>
                  <w:vAlign w:val="center"/>
                </w:tcPr>
                <w:p w14:paraId="6BEC4D4E">
                  <w:pPr>
                    <w:wordWrap w:val="0"/>
                    <w:topLinePunct/>
                    <w:adjustRightInd w:val="0"/>
                    <w:snapToGrid w:val="0"/>
                    <w:jc w:val="center"/>
                    <w:rPr>
                      <w:rFonts w:hint="eastAsia"/>
                      <w:bCs/>
                      <w:kern w:val="0"/>
                      <w:sz w:val="21"/>
                      <w:szCs w:val="21"/>
                    </w:rPr>
                  </w:pPr>
                  <w:r>
                    <w:rPr>
                      <w:rFonts w:hint="eastAsia"/>
                      <w:bCs/>
                      <w:kern w:val="0"/>
                      <w:sz w:val="21"/>
                      <w:szCs w:val="21"/>
                    </w:rPr>
                    <w:t>500</w:t>
                  </w:r>
                </w:p>
              </w:tc>
            </w:tr>
            <w:tr w14:paraId="17104A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7" w:type="dxa"/>
                  <w:vMerge w:val="continue"/>
                  <w:tcBorders>
                    <w:tl2br w:val="nil"/>
                    <w:tr2bl w:val="nil"/>
                  </w:tcBorders>
                  <w:vAlign w:val="center"/>
                </w:tcPr>
                <w:p w14:paraId="63D9ACDC">
                  <w:pPr>
                    <w:wordWrap w:val="0"/>
                    <w:topLinePunct/>
                    <w:adjustRightInd w:val="0"/>
                    <w:snapToGrid w:val="0"/>
                    <w:jc w:val="center"/>
                    <w:rPr>
                      <w:bCs/>
                      <w:kern w:val="0"/>
                      <w:sz w:val="21"/>
                      <w:szCs w:val="21"/>
                    </w:rPr>
                  </w:pPr>
                </w:p>
              </w:tc>
              <w:tc>
                <w:tcPr>
                  <w:tcW w:w="1498" w:type="dxa"/>
                  <w:tcBorders>
                    <w:tl2br w:val="nil"/>
                    <w:tr2bl w:val="nil"/>
                  </w:tcBorders>
                  <w:vAlign w:val="center"/>
                </w:tcPr>
                <w:p w14:paraId="1471EE9F">
                  <w:pPr>
                    <w:wordWrap w:val="0"/>
                    <w:topLinePunct/>
                    <w:adjustRightInd w:val="0"/>
                    <w:snapToGrid w:val="0"/>
                    <w:jc w:val="center"/>
                    <w:rPr>
                      <w:bCs/>
                      <w:kern w:val="0"/>
                      <w:sz w:val="21"/>
                      <w:szCs w:val="21"/>
                    </w:rPr>
                  </w:pPr>
                  <w:r>
                    <w:rPr>
                      <w:bCs/>
                      <w:kern w:val="0"/>
                      <w:sz w:val="21"/>
                      <w:szCs w:val="21"/>
                    </w:rPr>
                    <w:t>SS</w:t>
                  </w:r>
                </w:p>
              </w:tc>
              <w:tc>
                <w:tcPr>
                  <w:tcW w:w="2973" w:type="dxa"/>
                  <w:vMerge w:val="continue"/>
                  <w:tcBorders>
                    <w:tl2br w:val="nil"/>
                    <w:tr2bl w:val="nil"/>
                  </w:tcBorders>
                  <w:vAlign w:val="center"/>
                </w:tcPr>
                <w:p w14:paraId="59E56754">
                  <w:pPr>
                    <w:wordWrap w:val="0"/>
                    <w:topLinePunct/>
                    <w:adjustRightInd w:val="0"/>
                    <w:snapToGrid w:val="0"/>
                    <w:jc w:val="center"/>
                    <w:rPr>
                      <w:bCs/>
                      <w:kern w:val="0"/>
                      <w:sz w:val="21"/>
                      <w:szCs w:val="21"/>
                    </w:rPr>
                  </w:pPr>
                </w:p>
              </w:tc>
              <w:tc>
                <w:tcPr>
                  <w:tcW w:w="3012" w:type="dxa"/>
                  <w:tcBorders>
                    <w:tl2br w:val="nil"/>
                    <w:tr2bl w:val="nil"/>
                  </w:tcBorders>
                  <w:vAlign w:val="center"/>
                </w:tcPr>
                <w:p w14:paraId="722B9063">
                  <w:pPr>
                    <w:wordWrap w:val="0"/>
                    <w:topLinePunct/>
                    <w:adjustRightInd w:val="0"/>
                    <w:snapToGrid w:val="0"/>
                    <w:jc w:val="center"/>
                    <w:rPr>
                      <w:rFonts w:hint="eastAsia"/>
                      <w:bCs/>
                      <w:kern w:val="0"/>
                      <w:sz w:val="21"/>
                      <w:szCs w:val="21"/>
                    </w:rPr>
                  </w:pPr>
                  <w:r>
                    <w:rPr>
                      <w:rFonts w:hint="eastAsia"/>
                      <w:bCs/>
                      <w:kern w:val="0"/>
                      <w:sz w:val="21"/>
                      <w:szCs w:val="21"/>
                    </w:rPr>
                    <w:t>400</w:t>
                  </w:r>
                </w:p>
              </w:tc>
            </w:tr>
          </w:tbl>
          <w:p w14:paraId="462E703E">
            <w:pPr>
              <w:wordWrap w:val="0"/>
              <w:topLinePunct/>
              <w:adjustRightInd w:val="0"/>
              <w:snapToGrid w:val="0"/>
              <w:spacing w:line="360" w:lineRule="auto"/>
              <w:ind w:firstLine="480" w:firstLineChars="200"/>
              <w:rPr>
                <w:rFonts w:hint="eastAsia" w:eastAsia="宋体"/>
                <w:bCs/>
                <w:kern w:val="0"/>
                <w:lang w:eastAsia="zh-CN"/>
              </w:rPr>
            </w:pPr>
            <w:r>
              <w:rPr>
                <w:rFonts w:hint="eastAsia"/>
                <w:bCs/>
                <w:kern w:val="0"/>
              </w:rPr>
              <w:t>本项目废水污染物排放信息表见表4-1</w:t>
            </w:r>
            <w:r>
              <w:rPr>
                <w:rFonts w:hint="eastAsia"/>
                <w:bCs/>
                <w:kern w:val="0"/>
                <w:lang w:val="en-US" w:eastAsia="zh-CN"/>
              </w:rPr>
              <w:t>2</w:t>
            </w:r>
          </w:p>
          <w:p w14:paraId="09FF7C63">
            <w:pPr>
              <w:wordWrap w:val="0"/>
              <w:topLinePunct/>
              <w:adjustRightInd w:val="0"/>
              <w:snapToGrid w:val="0"/>
              <w:spacing w:line="360" w:lineRule="auto"/>
              <w:jc w:val="center"/>
              <w:rPr>
                <w:bCs/>
                <w:kern w:val="0"/>
              </w:rPr>
            </w:pPr>
            <w:r>
              <w:rPr>
                <w:b/>
                <w:lang w:val="en-GB"/>
              </w:rPr>
              <w:t>表4-</w:t>
            </w:r>
            <w:r>
              <w:rPr>
                <w:rFonts w:hint="eastAsia"/>
                <w:b/>
              </w:rPr>
              <w:t>1</w:t>
            </w:r>
            <w:r>
              <w:rPr>
                <w:rFonts w:hint="eastAsia"/>
                <w:b/>
                <w:lang w:val="en-US" w:eastAsia="zh-CN"/>
              </w:rPr>
              <w:t>2</w:t>
            </w:r>
            <w:r>
              <w:rPr>
                <w:b/>
                <w:lang w:val="en-GB"/>
              </w:rPr>
              <w:t xml:space="preserve">  本项目</w:t>
            </w:r>
            <w:r>
              <w:rPr>
                <w:rFonts w:hint="eastAsia"/>
                <w:b/>
                <w:lang w:val="en-GB"/>
              </w:rPr>
              <w:t>废水污染物排放信息</w:t>
            </w:r>
            <w:r>
              <w:rPr>
                <w:b/>
                <w:lang w:val="en-GB"/>
              </w:rPr>
              <w:t>表</w:t>
            </w:r>
          </w:p>
          <w:tbl>
            <w:tblPr>
              <w:tblStyle w:val="3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92"/>
              <w:gridCol w:w="1527"/>
              <w:gridCol w:w="2051"/>
              <w:gridCol w:w="1901"/>
              <w:gridCol w:w="1909"/>
            </w:tblGrid>
            <w:tr w14:paraId="7A54CF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2" w:type="dxa"/>
                  <w:tcBorders>
                    <w:tl2br w:val="nil"/>
                    <w:tr2bl w:val="nil"/>
                  </w:tcBorders>
                  <w:vAlign w:val="center"/>
                </w:tcPr>
                <w:p w14:paraId="49244B14">
                  <w:pPr>
                    <w:wordWrap w:val="0"/>
                    <w:topLinePunct/>
                    <w:adjustRightInd w:val="0"/>
                    <w:snapToGrid w:val="0"/>
                    <w:jc w:val="center"/>
                    <w:rPr>
                      <w:b/>
                      <w:kern w:val="0"/>
                      <w:sz w:val="21"/>
                      <w:szCs w:val="21"/>
                    </w:rPr>
                  </w:pPr>
                  <w:r>
                    <w:rPr>
                      <w:b/>
                      <w:kern w:val="0"/>
                      <w:sz w:val="21"/>
                      <w:szCs w:val="21"/>
                    </w:rPr>
                    <w:t>排放口编号</w:t>
                  </w:r>
                </w:p>
              </w:tc>
              <w:tc>
                <w:tcPr>
                  <w:tcW w:w="1527" w:type="dxa"/>
                  <w:tcBorders>
                    <w:tl2br w:val="nil"/>
                    <w:tr2bl w:val="nil"/>
                  </w:tcBorders>
                  <w:vAlign w:val="center"/>
                </w:tcPr>
                <w:p w14:paraId="2294D927">
                  <w:pPr>
                    <w:wordWrap w:val="0"/>
                    <w:topLinePunct/>
                    <w:adjustRightInd w:val="0"/>
                    <w:snapToGrid w:val="0"/>
                    <w:jc w:val="center"/>
                    <w:rPr>
                      <w:b/>
                      <w:kern w:val="0"/>
                      <w:sz w:val="21"/>
                      <w:szCs w:val="21"/>
                    </w:rPr>
                  </w:pPr>
                  <w:r>
                    <w:rPr>
                      <w:b/>
                      <w:kern w:val="0"/>
                      <w:sz w:val="21"/>
                      <w:szCs w:val="21"/>
                    </w:rPr>
                    <w:t>污染物种类</w:t>
                  </w:r>
                </w:p>
              </w:tc>
              <w:tc>
                <w:tcPr>
                  <w:tcW w:w="2051" w:type="dxa"/>
                  <w:tcBorders>
                    <w:tl2br w:val="nil"/>
                    <w:tr2bl w:val="nil"/>
                  </w:tcBorders>
                  <w:vAlign w:val="center"/>
                </w:tcPr>
                <w:p w14:paraId="6ACE9093">
                  <w:pPr>
                    <w:wordWrap w:val="0"/>
                    <w:topLinePunct/>
                    <w:adjustRightInd w:val="0"/>
                    <w:snapToGrid w:val="0"/>
                    <w:jc w:val="center"/>
                    <w:rPr>
                      <w:b/>
                      <w:kern w:val="0"/>
                      <w:sz w:val="21"/>
                      <w:szCs w:val="21"/>
                    </w:rPr>
                  </w:pPr>
                  <w:r>
                    <w:rPr>
                      <w:rFonts w:hint="eastAsia"/>
                      <w:b/>
                      <w:kern w:val="0"/>
                      <w:sz w:val="21"/>
                      <w:szCs w:val="21"/>
                    </w:rPr>
                    <w:t>排放</w:t>
                  </w:r>
                  <w:r>
                    <w:rPr>
                      <w:b/>
                      <w:kern w:val="0"/>
                      <w:sz w:val="21"/>
                      <w:szCs w:val="21"/>
                    </w:rPr>
                    <w:t>浓度/（mg/L）</w:t>
                  </w:r>
                </w:p>
              </w:tc>
              <w:tc>
                <w:tcPr>
                  <w:tcW w:w="1901" w:type="dxa"/>
                  <w:tcBorders>
                    <w:tl2br w:val="nil"/>
                    <w:tr2bl w:val="nil"/>
                  </w:tcBorders>
                  <w:vAlign w:val="center"/>
                </w:tcPr>
                <w:p w14:paraId="58877E31">
                  <w:pPr>
                    <w:wordWrap w:val="0"/>
                    <w:topLinePunct/>
                    <w:adjustRightInd w:val="0"/>
                    <w:snapToGrid w:val="0"/>
                    <w:jc w:val="center"/>
                    <w:rPr>
                      <w:b/>
                      <w:kern w:val="0"/>
                      <w:sz w:val="21"/>
                      <w:szCs w:val="21"/>
                    </w:rPr>
                  </w:pPr>
                  <w:r>
                    <w:rPr>
                      <w:rFonts w:hint="eastAsia"/>
                      <w:b/>
                      <w:kern w:val="0"/>
                      <w:sz w:val="21"/>
                      <w:szCs w:val="21"/>
                    </w:rPr>
                    <w:t>日排放量/（t/d）</w:t>
                  </w:r>
                </w:p>
              </w:tc>
              <w:tc>
                <w:tcPr>
                  <w:tcW w:w="1909" w:type="dxa"/>
                  <w:tcBorders>
                    <w:tl2br w:val="nil"/>
                    <w:tr2bl w:val="nil"/>
                  </w:tcBorders>
                  <w:vAlign w:val="center"/>
                </w:tcPr>
                <w:p w14:paraId="449F9865">
                  <w:pPr>
                    <w:wordWrap w:val="0"/>
                    <w:topLinePunct/>
                    <w:adjustRightInd w:val="0"/>
                    <w:snapToGrid w:val="0"/>
                    <w:jc w:val="center"/>
                    <w:rPr>
                      <w:b/>
                      <w:kern w:val="0"/>
                      <w:sz w:val="21"/>
                      <w:szCs w:val="21"/>
                    </w:rPr>
                  </w:pPr>
                  <w:r>
                    <w:rPr>
                      <w:rFonts w:hint="eastAsia"/>
                      <w:b/>
                      <w:kern w:val="0"/>
                      <w:sz w:val="21"/>
                      <w:szCs w:val="21"/>
                    </w:rPr>
                    <w:t>年排放量/（t/a）</w:t>
                  </w:r>
                </w:p>
              </w:tc>
            </w:tr>
            <w:tr w14:paraId="17477D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2" w:type="dxa"/>
                  <w:vMerge w:val="restart"/>
                  <w:tcBorders>
                    <w:tl2br w:val="nil"/>
                    <w:tr2bl w:val="nil"/>
                  </w:tcBorders>
                  <w:vAlign w:val="center"/>
                </w:tcPr>
                <w:p w14:paraId="0ECAED18">
                  <w:pPr>
                    <w:wordWrap w:val="0"/>
                    <w:topLinePunct/>
                    <w:adjustRightInd w:val="0"/>
                    <w:snapToGrid w:val="0"/>
                    <w:jc w:val="center"/>
                    <w:rPr>
                      <w:bCs/>
                      <w:kern w:val="0"/>
                      <w:sz w:val="21"/>
                      <w:szCs w:val="21"/>
                    </w:rPr>
                  </w:pPr>
                  <w:r>
                    <w:rPr>
                      <w:bCs/>
                      <w:kern w:val="0"/>
                      <w:sz w:val="21"/>
                      <w:szCs w:val="21"/>
                    </w:rPr>
                    <w:t>DW001</w:t>
                  </w:r>
                </w:p>
              </w:tc>
              <w:tc>
                <w:tcPr>
                  <w:tcW w:w="1527" w:type="dxa"/>
                  <w:tcBorders>
                    <w:tl2br w:val="nil"/>
                    <w:tr2bl w:val="nil"/>
                  </w:tcBorders>
                  <w:vAlign w:val="center"/>
                </w:tcPr>
                <w:p w14:paraId="741BE72F">
                  <w:pPr>
                    <w:wordWrap w:val="0"/>
                    <w:topLinePunct/>
                    <w:adjustRightInd w:val="0"/>
                    <w:snapToGrid w:val="0"/>
                    <w:jc w:val="center"/>
                    <w:rPr>
                      <w:bCs/>
                      <w:kern w:val="0"/>
                      <w:sz w:val="21"/>
                      <w:szCs w:val="21"/>
                    </w:rPr>
                  </w:pPr>
                  <w:r>
                    <w:rPr>
                      <w:bCs/>
                      <w:kern w:val="0"/>
                      <w:sz w:val="21"/>
                      <w:szCs w:val="21"/>
                    </w:rPr>
                    <w:t>COD</w:t>
                  </w:r>
                </w:p>
              </w:tc>
              <w:tc>
                <w:tcPr>
                  <w:tcW w:w="2051" w:type="dxa"/>
                  <w:tcBorders>
                    <w:tl2br w:val="nil"/>
                    <w:tr2bl w:val="nil"/>
                  </w:tcBorders>
                  <w:vAlign w:val="center"/>
                </w:tcPr>
                <w:p w14:paraId="12380048">
                  <w:pPr>
                    <w:widowControl/>
                    <w:jc w:val="center"/>
                    <w:textAlignment w:val="center"/>
                    <w:rPr>
                      <w:rFonts w:hint="default" w:eastAsia="宋体"/>
                      <w:bCs/>
                      <w:kern w:val="0"/>
                      <w:sz w:val="21"/>
                      <w:szCs w:val="21"/>
                      <w:lang w:val="en-US" w:eastAsia="zh-CN"/>
                    </w:rPr>
                  </w:pPr>
                  <w:r>
                    <w:rPr>
                      <w:rFonts w:hint="eastAsia"/>
                      <w:bCs/>
                      <w:kern w:val="0"/>
                      <w:sz w:val="21"/>
                      <w:szCs w:val="21"/>
                      <w:lang w:val="en-US" w:eastAsia="zh-CN"/>
                    </w:rPr>
                    <w:t>50</w:t>
                  </w:r>
                </w:p>
              </w:tc>
              <w:tc>
                <w:tcPr>
                  <w:tcW w:w="1901" w:type="dxa"/>
                  <w:tcBorders>
                    <w:tl2br w:val="nil"/>
                    <w:tr2bl w:val="nil"/>
                  </w:tcBorders>
                  <w:vAlign w:val="center"/>
                </w:tcPr>
                <w:p w14:paraId="70C3E8CA">
                  <w:pPr>
                    <w:wordWrap w:val="0"/>
                    <w:topLinePunct/>
                    <w:adjustRightInd w:val="0"/>
                    <w:snapToGrid w:val="0"/>
                    <w:jc w:val="center"/>
                    <w:rPr>
                      <w:rFonts w:hint="default" w:eastAsia="宋体"/>
                      <w:bCs/>
                      <w:kern w:val="0"/>
                      <w:sz w:val="21"/>
                      <w:szCs w:val="21"/>
                      <w:lang w:val="en-US" w:eastAsia="zh-CN"/>
                    </w:rPr>
                  </w:pPr>
                  <w:r>
                    <w:rPr>
                      <w:rFonts w:hint="eastAsia"/>
                      <w:bCs/>
                      <w:kern w:val="0"/>
                      <w:sz w:val="21"/>
                      <w:szCs w:val="21"/>
                      <w:lang w:val="en-US" w:eastAsia="zh-CN"/>
                    </w:rPr>
                    <w:t>0.00005</w:t>
                  </w:r>
                </w:p>
              </w:tc>
              <w:tc>
                <w:tcPr>
                  <w:tcW w:w="1909" w:type="dxa"/>
                  <w:tcBorders>
                    <w:tl2br w:val="nil"/>
                    <w:tr2bl w:val="nil"/>
                  </w:tcBorders>
                  <w:vAlign w:val="center"/>
                </w:tcPr>
                <w:p w14:paraId="050B5FFC">
                  <w:pPr>
                    <w:widowControl/>
                    <w:jc w:val="center"/>
                    <w:textAlignment w:val="center"/>
                    <w:rPr>
                      <w:rFonts w:hint="default" w:eastAsia="宋体"/>
                      <w:sz w:val="21"/>
                      <w:szCs w:val="21"/>
                      <w:lang w:val="en-US" w:eastAsia="zh-CN"/>
                    </w:rPr>
                  </w:pPr>
                  <w:r>
                    <w:rPr>
                      <w:rFonts w:hint="eastAsia"/>
                      <w:sz w:val="21"/>
                      <w:szCs w:val="21"/>
                      <w:lang w:val="en-US" w:eastAsia="zh-CN"/>
                    </w:rPr>
                    <w:t>0.018</w:t>
                  </w:r>
                </w:p>
              </w:tc>
            </w:tr>
            <w:tr w14:paraId="538EA4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2" w:type="dxa"/>
                  <w:vMerge w:val="continue"/>
                  <w:tcBorders>
                    <w:tl2br w:val="nil"/>
                    <w:tr2bl w:val="nil"/>
                  </w:tcBorders>
                  <w:vAlign w:val="center"/>
                </w:tcPr>
                <w:p w14:paraId="374AC0EF">
                  <w:pPr>
                    <w:wordWrap w:val="0"/>
                    <w:topLinePunct/>
                    <w:adjustRightInd w:val="0"/>
                    <w:snapToGrid w:val="0"/>
                    <w:jc w:val="center"/>
                    <w:rPr>
                      <w:bCs/>
                      <w:kern w:val="0"/>
                      <w:sz w:val="21"/>
                      <w:szCs w:val="21"/>
                    </w:rPr>
                  </w:pPr>
                </w:p>
              </w:tc>
              <w:tc>
                <w:tcPr>
                  <w:tcW w:w="1527" w:type="dxa"/>
                  <w:tcBorders>
                    <w:tl2br w:val="nil"/>
                    <w:tr2bl w:val="nil"/>
                  </w:tcBorders>
                  <w:vAlign w:val="center"/>
                </w:tcPr>
                <w:p w14:paraId="42184B11">
                  <w:pPr>
                    <w:wordWrap w:val="0"/>
                    <w:topLinePunct/>
                    <w:adjustRightInd w:val="0"/>
                    <w:snapToGrid w:val="0"/>
                    <w:jc w:val="center"/>
                    <w:rPr>
                      <w:bCs/>
                      <w:kern w:val="0"/>
                      <w:sz w:val="21"/>
                      <w:szCs w:val="21"/>
                    </w:rPr>
                  </w:pPr>
                  <w:r>
                    <w:rPr>
                      <w:bCs/>
                      <w:kern w:val="0"/>
                      <w:sz w:val="21"/>
                      <w:szCs w:val="21"/>
                    </w:rPr>
                    <w:t>NH</w:t>
                  </w:r>
                  <w:r>
                    <w:rPr>
                      <w:bCs/>
                      <w:kern w:val="0"/>
                      <w:sz w:val="21"/>
                      <w:szCs w:val="21"/>
                      <w:vertAlign w:val="subscript"/>
                    </w:rPr>
                    <w:t>3</w:t>
                  </w:r>
                  <w:r>
                    <w:rPr>
                      <w:bCs/>
                      <w:kern w:val="0"/>
                      <w:sz w:val="21"/>
                      <w:szCs w:val="21"/>
                    </w:rPr>
                    <w:t>-N</w:t>
                  </w:r>
                </w:p>
              </w:tc>
              <w:tc>
                <w:tcPr>
                  <w:tcW w:w="2051" w:type="dxa"/>
                  <w:tcBorders>
                    <w:tl2br w:val="nil"/>
                    <w:tr2bl w:val="nil"/>
                  </w:tcBorders>
                  <w:vAlign w:val="center"/>
                </w:tcPr>
                <w:p w14:paraId="2B8BC477">
                  <w:pPr>
                    <w:widowControl/>
                    <w:jc w:val="center"/>
                    <w:textAlignment w:val="center"/>
                    <w:rPr>
                      <w:rFonts w:hint="eastAsia" w:eastAsia="宋体"/>
                      <w:bCs/>
                      <w:kern w:val="0"/>
                      <w:sz w:val="21"/>
                      <w:szCs w:val="21"/>
                      <w:lang w:val="en-US" w:eastAsia="zh-CN"/>
                    </w:rPr>
                  </w:pPr>
                  <w:r>
                    <w:rPr>
                      <w:rFonts w:hint="eastAsia"/>
                      <w:bCs/>
                      <w:kern w:val="0"/>
                      <w:sz w:val="21"/>
                      <w:szCs w:val="21"/>
                      <w:lang w:val="en-US" w:eastAsia="zh-CN"/>
                    </w:rPr>
                    <w:t>5</w:t>
                  </w:r>
                </w:p>
              </w:tc>
              <w:tc>
                <w:tcPr>
                  <w:tcW w:w="1901" w:type="dxa"/>
                  <w:tcBorders>
                    <w:tl2br w:val="nil"/>
                    <w:tr2bl w:val="nil"/>
                  </w:tcBorders>
                  <w:vAlign w:val="center"/>
                </w:tcPr>
                <w:p w14:paraId="362A7452">
                  <w:pPr>
                    <w:wordWrap w:val="0"/>
                    <w:topLinePunct/>
                    <w:adjustRightInd w:val="0"/>
                    <w:snapToGrid w:val="0"/>
                    <w:jc w:val="center"/>
                    <w:rPr>
                      <w:rFonts w:hint="default" w:eastAsia="宋体"/>
                      <w:bCs/>
                      <w:kern w:val="0"/>
                      <w:sz w:val="21"/>
                      <w:szCs w:val="21"/>
                      <w:lang w:val="en-US" w:eastAsia="zh-CN"/>
                    </w:rPr>
                  </w:pPr>
                  <w:r>
                    <w:rPr>
                      <w:rFonts w:hint="eastAsia"/>
                      <w:bCs/>
                      <w:kern w:val="0"/>
                      <w:sz w:val="21"/>
                      <w:szCs w:val="21"/>
                      <w:lang w:val="en-US" w:eastAsia="zh-CN"/>
                    </w:rPr>
                    <w:t>0.000009</w:t>
                  </w:r>
                </w:p>
              </w:tc>
              <w:tc>
                <w:tcPr>
                  <w:tcW w:w="1909" w:type="dxa"/>
                  <w:tcBorders>
                    <w:tl2br w:val="nil"/>
                    <w:tr2bl w:val="nil"/>
                  </w:tcBorders>
                  <w:vAlign w:val="center"/>
                </w:tcPr>
                <w:p w14:paraId="2783953E">
                  <w:pPr>
                    <w:widowControl/>
                    <w:jc w:val="center"/>
                    <w:textAlignment w:val="center"/>
                    <w:rPr>
                      <w:rFonts w:hint="default" w:eastAsia="宋体"/>
                      <w:sz w:val="21"/>
                      <w:szCs w:val="21"/>
                      <w:lang w:val="en-US" w:eastAsia="zh-CN"/>
                    </w:rPr>
                  </w:pPr>
                  <w:r>
                    <w:rPr>
                      <w:rFonts w:hint="eastAsia"/>
                      <w:sz w:val="21"/>
                      <w:szCs w:val="21"/>
                      <w:lang w:val="en-US" w:eastAsia="zh-CN"/>
                    </w:rPr>
                    <w:t>0.003</w:t>
                  </w:r>
                </w:p>
              </w:tc>
            </w:tr>
            <w:tr w14:paraId="592DEE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2" w:type="dxa"/>
                  <w:tcBorders>
                    <w:tl2br w:val="nil"/>
                    <w:tr2bl w:val="nil"/>
                  </w:tcBorders>
                  <w:vAlign w:val="center"/>
                </w:tcPr>
                <w:p w14:paraId="4D0416C3">
                  <w:pPr>
                    <w:wordWrap w:val="0"/>
                    <w:topLinePunct/>
                    <w:adjustRightInd w:val="0"/>
                    <w:snapToGrid w:val="0"/>
                    <w:jc w:val="center"/>
                    <w:rPr>
                      <w:rFonts w:hint="default" w:eastAsia="宋体"/>
                      <w:bCs/>
                      <w:kern w:val="0"/>
                      <w:sz w:val="21"/>
                      <w:szCs w:val="21"/>
                      <w:lang w:val="en-US" w:eastAsia="zh-CN"/>
                    </w:rPr>
                  </w:pPr>
                  <w:r>
                    <w:rPr>
                      <w:rFonts w:hint="eastAsia"/>
                      <w:bCs/>
                      <w:kern w:val="0"/>
                      <w:sz w:val="21"/>
                      <w:szCs w:val="21"/>
                      <w:lang w:val="en-US" w:eastAsia="zh-CN"/>
                    </w:rPr>
                    <w:t>DW002</w:t>
                  </w:r>
                </w:p>
              </w:tc>
              <w:tc>
                <w:tcPr>
                  <w:tcW w:w="1527" w:type="dxa"/>
                  <w:tcBorders>
                    <w:tl2br w:val="nil"/>
                    <w:tr2bl w:val="nil"/>
                  </w:tcBorders>
                  <w:vAlign w:val="center"/>
                </w:tcPr>
                <w:p w14:paraId="1D5E98F8">
                  <w:pPr>
                    <w:wordWrap w:val="0"/>
                    <w:topLinePunct/>
                    <w:adjustRightInd w:val="0"/>
                    <w:snapToGrid w:val="0"/>
                    <w:jc w:val="center"/>
                    <w:rPr>
                      <w:bCs/>
                      <w:kern w:val="0"/>
                      <w:sz w:val="21"/>
                      <w:szCs w:val="21"/>
                    </w:rPr>
                  </w:pPr>
                  <w:r>
                    <w:rPr>
                      <w:bCs/>
                      <w:kern w:val="0"/>
                      <w:sz w:val="21"/>
                      <w:szCs w:val="21"/>
                    </w:rPr>
                    <w:t>COD</w:t>
                  </w:r>
                </w:p>
              </w:tc>
              <w:tc>
                <w:tcPr>
                  <w:tcW w:w="2051" w:type="dxa"/>
                  <w:tcBorders>
                    <w:tl2br w:val="nil"/>
                    <w:tr2bl w:val="nil"/>
                  </w:tcBorders>
                  <w:vAlign w:val="center"/>
                </w:tcPr>
                <w:p w14:paraId="4CC2BEC8">
                  <w:pPr>
                    <w:widowControl/>
                    <w:jc w:val="center"/>
                    <w:textAlignment w:val="center"/>
                    <w:rPr>
                      <w:rFonts w:hint="default" w:eastAsia="宋体"/>
                      <w:color w:val="000000"/>
                      <w:kern w:val="0"/>
                      <w:sz w:val="21"/>
                      <w:szCs w:val="21"/>
                      <w:lang w:val="en-US" w:eastAsia="zh-CN" w:bidi="ar"/>
                    </w:rPr>
                  </w:pPr>
                  <w:r>
                    <w:rPr>
                      <w:rFonts w:hint="eastAsia"/>
                      <w:color w:val="000000"/>
                      <w:kern w:val="0"/>
                      <w:sz w:val="21"/>
                      <w:szCs w:val="21"/>
                      <w:lang w:val="en-US" w:eastAsia="zh-CN" w:bidi="ar"/>
                    </w:rPr>
                    <w:t>50</w:t>
                  </w:r>
                </w:p>
              </w:tc>
              <w:tc>
                <w:tcPr>
                  <w:tcW w:w="1901" w:type="dxa"/>
                  <w:tcBorders>
                    <w:tl2br w:val="nil"/>
                    <w:tr2bl w:val="nil"/>
                  </w:tcBorders>
                  <w:vAlign w:val="center"/>
                </w:tcPr>
                <w:p w14:paraId="2585D431">
                  <w:pPr>
                    <w:wordWrap w:val="0"/>
                    <w:topLinePunct/>
                    <w:adjustRightInd w:val="0"/>
                    <w:snapToGrid w:val="0"/>
                    <w:jc w:val="center"/>
                    <w:rPr>
                      <w:rFonts w:hint="default" w:eastAsia="宋体"/>
                      <w:bCs/>
                      <w:kern w:val="0"/>
                      <w:sz w:val="21"/>
                      <w:szCs w:val="21"/>
                      <w:lang w:val="en-US" w:eastAsia="zh-CN"/>
                    </w:rPr>
                  </w:pPr>
                  <w:r>
                    <w:rPr>
                      <w:rFonts w:hint="eastAsia"/>
                      <w:bCs/>
                      <w:kern w:val="0"/>
                      <w:sz w:val="21"/>
                      <w:szCs w:val="21"/>
                      <w:lang w:val="en-US" w:eastAsia="zh-CN"/>
                    </w:rPr>
                    <w:t>0.000003</w:t>
                  </w:r>
                </w:p>
              </w:tc>
              <w:tc>
                <w:tcPr>
                  <w:tcW w:w="1909" w:type="dxa"/>
                  <w:tcBorders>
                    <w:tl2br w:val="nil"/>
                    <w:tr2bl w:val="nil"/>
                  </w:tcBorders>
                  <w:vAlign w:val="center"/>
                </w:tcPr>
                <w:p w14:paraId="2410C741">
                  <w:pPr>
                    <w:widowControl/>
                    <w:jc w:val="center"/>
                    <w:textAlignment w:val="center"/>
                    <w:rPr>
                      <w:rFonts w:hint="default" w:eastAsia="宋体"/>
                      <w:color w:val="000000"/>
                      <w:kern w:val="0"/>
                      <w:sz w:val="21"/>
                      <w:szCs w:val="21"/>
                      <w:lang w:val="en-US" w:eastAsia="zh-CN" w:bidi="ar"/>
                    </w:rPr>
                  </w:pPr>
                  <w:r>
                    <w:rPr>
                      <w:rFonts w:hint="eastAsia"/>
                      <w:color w:val="000000"/>
                      <w:kern w:val="0"/>
                      <w:sz w:val="21"/>
                      <w:szCs w:val="21"/>
                      <w:lang w:val="en-US" w:eastAsia="zh-CN" w:bidi="ar"/>
                    </w:rPr>
                    <w:t>0.001</w:t>
                  </w:r>
                </w:p>
              </w:tc>
            </w:tr>
            <w:tr w14:paraId="0B0561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2" w:type="dxa"/>
                  <w:vMerge w:val="restart"/>
                  <w:tcBorders>
                    <w:tl2br w:val="nil"/>
                    <w:tr2bl w:val="nil"/>
                  </w:tcBorders>
                  <w:vAlign w:val="center"/>
                </w:tcPr>
                <w:p w14:paraId="1E15E430">
                  <w:pPr>
                    <w:wordWrap w:val="0"/>
                    <w:topLinePunct/>
                    <w:adjustRightInd w:val="0"/>
                    <w:snapToGrid w:val="0"/>
                    <w:jc w:val="center"/>
                    <w:rPr>
                      <w:bCs/>
                      <w:kern w:val="0"/>
                      <w:sz w:val="21"/>
                      <w:szCs w:val="21"/>
                    </w:rPr>
                  </w:pPr>
                  <w:r>
                    <w:rPr>
                      <w:rFonts w:hint="eastAsia"/>
                      <w:bCs/>
                      <w:kern w:val="0"/>
                      <w:sz w:val="21"/>
                      <w:szCs w:val="21"/>
                    </w:rPr>
                    <w:t>全厂排放口合计</w:t>
                  </w:r>
                </w:p>
              </w:tc>
              <w:tc>
                <w:tcPr>
                  <w:tcW w:w="5479" w:type="dxa"/>
                  <w:gridSpan w:val="3"/>
                  <w:tcBorders>
                    <w:tl2br w:val="nil"/>
                    <w:tr2bl w:val="nil"/>
                  </w:tcBorders>
                  <w:vAlign w:val="center"/>
                </w:tcPr>
                <w:p w14:paraId="77C6878F">
                  <w:pPr>
                    <w:wordWrap w:val="0"/>
                    <w:topLinePunct/>
                    <w:adjustRightInd w:val="0"/>
                    <w:snapToGrid w:val="0"/>
                    <w:jc w:val="center"/>
                    <w:rPr>
                      <w:bCs/>
                      <w:kern w:val="0"/>
                      <w:sz w:val="21"/>
                      <w:szCs w:val="21"/>
                    </w:rPr>
                  </w:pPr>
                  <w:r>
                    <w:rPr>
                      <w:bCs/>
                      <w:kern w:val="0"/>
                      <w:sz w:val="21"/>
                      <w:szCs w:val="21"/>
                    </w:rPr>
                    <w:t>COD</w:t>
                  </w:r>
                </w:p>
              </w:tc>
              <w:tc>
                <w:tcPr>
                  <w:tcW w:w="1909" w:type="dxa"/>
                  <w:tcBorders>
                    <w:tl2br w:val="nil"/>
                    <w:tr2bl w:val="nil"/>
                  </w:tcBorders>
                  <w:vAlign w:val="center"/>
                </w:tcPr>
                <w:p w14:paraId="0378CBDE">
                  <w:pPr>
                    <w:widowControl/>
                    <w:jc w:val="center"/>
                    <w:textAlignment w:val="center"/>
                    <w:rPr>
                      <w:rFonts w:hint="default" w:eastAsia="宋体"/>
                      <w:sz w:val="21"/>
                      <w:szCs w:val="21"/>
                      <w:lang w:val="en-US" w:eastAsia="zh-CN"/>
                    </w:rPr>
                  </w:pPr>
                  <w:r>
                    <w:rPr>
                      <w:rFonts w:hint="eastAsia"/>
                      <w:sz w:val="21"/>
                      <w:szCs w:val="21"/>
                      <w:lang w:val="en-US" w:eastAsia="zh-CN"/>
                    </w:rPr>
                    <w:t>0.019</w:t>
                  </w:r>
                </w:p>
              </w:tc>
            </w:tr>
            <w:tr w14:paraId="7879E6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2" w:type="dxa"/>
                  <w:vMerge w:val="continue"/>
                  <w:tcBorders>
                    <w:tl2br w:val="nil"/>
                    <w:tr2bl w:val="nil"/>
                  </w:tcBorders>
                  <w:vAlign w:val="center"/>
                </w:tcPr>
                <w:p w14:paraId="6A08EDC2">
                  <w:pPr>
                    <w:wordWrap w:val="0"/>
                    <w:topLinePunct/>
                    <w:adjustRightInd w:val="0"/>
                    <w:snapToGrid w:val="0"/>
                    <w:jc w:val="center"/>
                    <w:rPr>
                      <w:bCs/>
                      <w:kern w:val="0"/>
                      <w:sz w:val="21"/>
                      <w:szCs w:val="21"/>
                    </w:rPr>
                  </w:pPr>
                </w:p>
              </w:tc>
              <w:tc>
                <w:tcPr>
                  <w:tcW w:w="5479" w:type="dxa"/>
                  <w:gridSpan w:val="3"/>
                  <w:tcBorders>
                    <w:tl2br w:val="nil"/>
                    <w:tr2bl w:val="nil"/>
                  </w:tcBorders>
                  <w:vAlign w:val="center"/>
                </w:tcPr>
                <w:p w14:paraId="6930B8FC">
                  <w:pPr>
                    <w:wordWrap w:val="0"/>
                    <w:topLinePunct/>
                    <w:adjustRightInd w:val="0"/>
                    <w:snapToGrid w:val="0"/>
                    <w:jc w:val="center"/>
                    <w:rPr>
                      <w:bCs/>
                      <w:kern w:val="0"/>
                      <w:sz w:val="21"/>
                      <w:szCs w:val="21"/>
                    </w:rPr>
                  </w:pPr>
                  <w:r>
                    <w:rPr>
                      <w:bCs/>
                      <w:kern w:val="0"/>
                      <w:sz w:val="21"/>
                      <w:szCs w:val="21"/>
                    </w:rPr>
                    <w:t>NH</w:t>
                  </w:r>
                  <w:r>
                    <w:rPr>
                      <w:bCs/>
                      <w:kern w:val="0"/>
                      <w:sz w:val="21"/>
                      <w:szCs w:val="21"/>
                      <w:vertAlign w:val="subscript"/>
                    </w:rPr>
                    <w:t>3</w:t>
                  </w:r>
                  <w:r>
                    <w:rPr>
                      <w:bCs/>
                      <w:kern w:val="0"/>
                      <w:sz w:val="21"/>
                      <w:szCs w:val="21"/>
                    </w:rPr>
                    <w:t>-N</w:t>
                  </w:r>
                </w:p>
              </w:tc>
              <w:tc>
                <w:tcPr>
                  <w:tcW w:w="1909" w:type="dxa"/>
                  <w:tcBorders>
                    <w:tl2br w:val="nil"/>
                    <w:tr2bl w:val="nil"/>
                  </w:tcBorders>
                  <w:vAlign w:val="center"/>
                </w:tcPr>
                <w:p w14:paraId="73771F53">
                  <w:pPr>
                    <w:widowControl/>
                    <w:jc w:val="center"/>
                    <w:textAlignment w:val="center"/>
                    <w:rPr>
                      <w:rFonts w:hint="default" w:eastAsia="宋体"/>
                      <w:sz w:val="21"/>
                      <w:szCs w:val="21"/>
                      <w:lang w:val="en-US" w:eastAsia="zh-CN"/>
                    </w:rPr>
                  </w:pPr>
                  <w:r>
                    <w:rPr>
                      <w:rFonts w:hint="eastAsia"/>
                      <w:sz w:val="21"/>
                      <w:szCs w:val="21"/>
                      <w:lang w:val="en-US" w:eastAsia="zh-CN"/>
                    </w:rPr>
                    <w:t>0.003</w:t>
                  </w:r>
                </w:p>
              </w:tc>
            </w:tr>
          </w:tbl>
          <w:p w14:paraId="4E6D9366">
            <w:pPr>
              <w:spacing w:line="360" w:lineRule="auto"/>
              <w:ind w:firstLine="482" w:firstLineChars="200"/>
              <w:rPr>
                <w:rFonts w:hint="default" w:ascii="Times New Roman" w:hAnsi="Times New Roman" w:cs="Times New Roman"/>
                <w:b/>
                <w:bCs/>
                <w:color w:val="000000" w:themeColor="text1"/>
                <w:szCs w:val="22"/>
                <w:u w:val="single"/>
                <w14:textFill>
                  <w14:solidFill>
                    <w14:schemeClr w14:val="tx1"/>
                  </w14:solidFill>
                </w14:textFill>
              </w:rPr>
            </w:pPr>
            <w:r>
              <w:rPr>
                <w:rFonts w:hint="eastAsia"/>
                <w:b/>
                <w:kern w:val="0"/>
                <w:lang w:eastAsia="zh-CN"/>
              </w:rPr>
              <w:t>（</w:t>
            </w:r>
            <w:r>
              <w:rPr>
                <w:rFonts w:hint="eastAsia"/>
                <w:b/>
                <w:kern w:val="0"/>
                <w:lang w:val="en-US" w:eastAsia="zh-CN"/>
              </w:rPr>
              <w:t>2</w:t>
            </w:r>
            <w:r>
              <w:rPr>
                <w:rFonts w:hint="eastAsia"/>
                <w:b/>
                <w:kern w:val="0"/>
                <w:lang w:eastAsia="zh-CN"/>
              </w:rPr>
              <w:t>）</w:t>
            </w:r>
            <w:r>
              <w:rPr>
                <w:rFonts w:hint="eastAsia" w:cs="Times New Roman"/>
                <w:b/>
                <w:bCs/>
                <w:color w:val="000000" w:themeColor="text1"/>
                <w:szCs w:val="22"/>
                <w:u w:val="single"/>
                <w:lang w:eastAsia="zh-CN"/>
                <w14:textFill>
                  <w14:solidFill>
                    <w14:schemeClr w14:val="tx1"/>
                  </w14:solidFill>
                </w14:textFill>
              </w:rPr>
              <w:t>废水</w:t>
            </w:r>
            <w:r>
              <w:rPr>
                <w:rFonts w:hint="default" w:ascii="Times New Roman" w:hAnsi="Times New Roman" w:cs="Times New Roman"/>
                <w:b/>
                <w:bCs/>
                <w:color w:val="000000" w:themeColor="text1"/>
                <w:szCs w:val="22"/>
                <w:u w:val="single"/>
                <w14:textFill>
                  <w14:solidFill>
                    <w14:schemeClr w14:val="tx1"/>
                  </w14:solidFill>
                </w14:textFill>
              </w:rPr>
              <w:t>治理措施可行性</w:t>
            </w:r>
          </w:p>
          <w:p w14:paraId="2627CAC3">
            <w:pPr>
              <w:spacing w:line="360" w:lineRule="auto"/>
              <w:ind w:firstLine="480" w:firstLineChars="200"/>
              <w:rPr>
                <w:rFonts w:hint="default" w:ascii="Times New Roman" w:hAnsi="Times New Roman" w:cs="Times New Roman"/>
                <w:color w:val="000000" w:themeColor="text1"/>
                <w:u w:val="single"/>
                <w14:textFill>
                  <w14:solidFill>
                    <w14:schemeClr w14:val="tx1"/>
                  </w14:solidFill>
                </w14:textFill>
              </w:rPr>
            </w:pPr>
            <w:r>
              <w:rPr>
                <w:rFonts w:hint="eastAsia" w:cs="Times New Roman"/>
                <w:color w:val="000000" w:themeColor="text1"/>
                <w:u w:val="single"/>
                <w:lang w:eastAsia="zh-CN"/>
                <w14:textFill>
                  <w14:solidFill>
                    <w14:schemeClr w14:val="tx1"/>
                  </w14:solidFill>
                </w14:textFill>
              </w:rPr>
              <w:t>该部分废水</w:t>
            </w:r>
            <w:r>
              <w:rPr>
                <w:rFonts w:hint="default" w:ascii="Times New Roman" w:hAnsi="Times New Roman" w:cs="Times New Roman"/>
                <w:color w:val="000000" w:themeColor="text1"/>
                <w:u w:val="single"/>
                <w:lang w:eastAsia="zh-CN"/>
                <w14:textFill>
                  <w14:solidFill>
                    <w14:schemeClr w14:val="tx1"/>
                  </w14:solidFill>
                </w14:textFill>
              </w:rPr>
              <w:t>主要含</w:t>
            </w:r>
            <w:r>
              <w:rPr>
                <w:rFonts w:hint="default" w:ascii="Times New Roman" w:hAnsi="Times New Roman" w:cs="Times New Roman"/>
                <w:color w:val="000000" w:themeColor="text1"/>
                <w:u w:val="single"/>
                <w:lang w:val="en-US" w:eastAsia="zh-CN"/>
                <w14:textFill>
                  <w14:solidFill>
                    <w14:schemeClr w14:val="tx1"/>
                  </w14:solidFill>
                </w14:textFill>
              </w:rPr>
              <w:t>COD和</w:t>
            </w:r>
            <w:r>
              <w:rPr>
                <w:rFonts w:hint="eastAsia" w:cs="Times New Roman"/>
                <w:color w:val="000000" w:themeColor="text1"/>
                <w:u w:val="single"/>
                <w:lang w:val="en-US" w:eastAsia="zh-CN"/>
                <w14:textFill>
                  <w14:solidFill>
                    <w14:schemeClr w14:val="tx1"/>
                  </w14:solidFill>
                </w14:textFill>
              </w:rPr>
              <w:t>SS</w:t>
            </w:r>
            <w:r>
              <w:rPr>
                <w:rFonts w:hint="default" w:ascii="Times New Roman" w:hAnsi="Times New Roman" w:cs="Times New Roman"/>
                <w:color w:val="000000" w:themeColor="text1"/>
                <w:u w:val="single"/>
                <w:lang w:val="en-US" w:eastAsia="zh-CN"/>
                <w14:textFill>
                  <w14:solidFill>
                    <w14:schemeClr w14:val="tx1"/>
                  </w14:solidFill>
                </w14:textFill>
              </w:rPr>
              <w:t>，水质与</w:t>
            </w:r>
            <w:r>
              <w:rPr>
                <w:rFonts w:hint="default" w:ascii="Times New Roman" w:hAnsi="Times New Roman" w:cs="Times New Roman"/>
                <w:color w:val="000000" w:themeColor="text1"/>
                <w:u w:val="single"/>
                <w14:textFill>
                  <w14:solidFill>
                    <w14:schemeClr w14:val="tx1"/>
                  </w14:solidFill>
                </w14:textFill>
              </w:rPr>
              <w:t>丰联公司</w:t>
            </w:r>
            <w:r>
              <w:rPr>
                <w:rFonts w:hint="default" w:ascii="Times New Roman" w:hAnsi="Times New Roman" w:cs="Times New Roman"/>
                <w:color w:val="000000" w:themeColor="text1"/>
                <w:u w:val="single"/>
                <w:lang w:eastAsia="zh-CN"/>
                <w14:textFill>
                  <w14:solidFill>
                    <w14:schemeClr w14:val="tx1"/>
                  </w14:solidFill>
                </w14:textFill>
              </w:rPr>
              <w:t>污水相似</w:t>
            </w:r>
            <w:r>
              <w:rPr>
                <w:rFonts w:hint="default" w:ascii="Times New Roman" w:hAnsi="Times New Roman" w:cs="Times New Roman"/>
                <w:color w:val="000000" w:themeColor="text1"/>
                <w:u w:val="single"/>
                <w:lang w:val="en-US" w:eastAsia="zh-CN"/>
                <w14:textFill>
                  <w14:solidFill>
                    <w14:schemeClr w14:val="tx1"/>
                  </w14:solidFill>
                </w14:textFill>
              </w:rPr>
              <w:t>，</w:t>
            </w:r>
            <w:r>
              <w:rPr>
                <w:rFonts w:hint="default" w:ascii="Times New Roman" w:hAnsi="Times New Roman" w:cs="Times New Roman"/>
                <w:color w:val="000000" w:themeColor="text1"/>
                <w:u w:val="single"/>
                <w:lang w:eastAsia="zh-CN"/>
                <w14:textFill>
                  <w14:solidFill>
                    <w14:schemeClr w14:val="tx1"/>
                  </w14:solidFill>
                </w14:textFill>
              </w:rPr>
              <w:t>因此，本项目</w:t>
            </w:r>
            <w:r>
              <w:rPr>
                <w:rFonts w:hint="eastAsia" w:cs="Times New Roman"/>
                <w:color w:val="000000" w:themeColor="text1"/>
                <w:u w:val="single"/>
                <w:lang w:eastAsia="zh-CN"/>
                <w14:textFill>
                  <w14:solidFill>
                    <w14:schemeClr w14:val="tx1"/>
                  </w14:solidFill>
                </w14:textFill>
              </w:rPr>
              <w:t>挤出冷却废水、</w:t>
            </w:r>
            <w:r>
              <w:rPr>
                <w:rFonts w:hint="eastAsia" w:cs="Times New Roman"/>
                <w:color w:val="000000" w:themeColor="text1"/>
                <w:szCs w:val="28"/>
                <w:u w:val="single"/>
                <w:lang w:eastAsia="zh-CN" w:bidi="ar"/>
                <w14:textFill>
                  <w14:solidFill>
                    <w14:schemeClr w14:val="tx1"/>
                  </w14:solidFill>
                </w14:textFill>
              </w:rPr>
              <w:t>化验废水</w:t>
            </w:r>
            <w:r>
              <w:rPr>
                <w:rFonts w:hint="default" w:ascii="Times New Roman" w:hAnsi="Times New Roman" w:cs="Times New Roman"/>
                <w:color w:val="000000" w:themeColor="text1"/>
                <w:u w:val="single"/>
                <w:lang w:eastAsia="zh-CN"/>
                <w14:textFill>
                  <w14:solidFill>
                    <w14:schemeClr w14:val="tx1"/>
                  </w14:solidFill>
                </w14:textFill>
              </w:rPr>
              <w:t>依托</w:t>
            </w:r>
            <w:r>
              <w:rPr>
                <w:rFonts w:hint="default" w:ascii="Times New Roman" w:hAnsi="Times New Roman" w:cs="Times New Roman"/>
                <w:color w:val="000000" w:themeColor="text1"/>
                <w:u w:val="single"/>
                <w14:textFill>
                  <w14:solidFill>
                    <w14:schemeClr w14:val="tx1"/>
                  </w14:solidFill>
                </w14:textFill>
              </w:rPr>
              <w:t>丰联公司处理站进行处理，项目生活污水经化粪池预处理后进入园区污水管网。预处理后的污水排入</w:t>
            </w:r>
            <w:bookmarkStart w:id="8" w:name="_Hlk521914878"/>
            <w:r>
              <w:rPr>
                <w:rFonts w:hint="default" w:ascii="Times New Roman" w:hAnsi="Times New Roman" w:cs="Times New Roman"/>
                <w:color w:val="000000" w:themeColor="text1"/>
                <w:u w:val="single"/>
                <w14:textFill>
                  <w14:solidFill>
                    <w14:schemeClr w14:val="tx1"/>
                  </w14:solidFill>
                </w14:textFill>
              </w:rPr>
              <w:t>松木污水处理厂进行深度处理。</w:t>
            </w:r>
            <w:bookmarkEnd w:id="8"/>
          </w:p>
          <w:p w14:paraId="58AEF791">
            <w:pPr>
              <w:spacing w:line="360" w:lineRule="auto"/>
              <w:ind w:firstLine="480" w:firstLineChars="200"/>
              <w:rPr>
                <w:rFonts w:hint="default" w:ascii="Times New Roman" w:hAnsi="Times New Roman" w:cs="Times New Roman"/>
                <w:color w:val="000000" w:themeColor="text1"/>
                <w:u w:val="single"/>
                <w14:textFill>
                  <w14:solidFill>
                    <w14:schemeClr w14:val="tx1"/>
                  </w14:solidFill>
                </w14:textFill>
              </w:rPr>
            </w:pPr>
            <w:r>
              <w:rPr>
                <w:rFonts w:hint="default" w:ascii="Times New Roman" w:hAnsi="Times New Roman" w:cs="Times New Roman"/>
                <w:color w:val="000000" w:themeColor="text1"/>
                <w:u w:val="single"/>
                <w14:textFill>
                  <w14:solidFill>
                    <w14:schemeClr w14:val="tx1"/>
                  </w14:solidFill>
                </w14:textFill>
              </w:rPr>
              <w:t>丰联公司污水处理站具体处理流程见下图。</w:t>
            </w:r>
          </w:p>
          <w:p w14:paraId="7C66744A">
            <w:pPr>
              <w:spacing w:line="360" w:lineRule="auto"/>
              <w:ind w:firstLine="482"/>
              <w:jc w:val="center"/>
              <w:rPr>
                <w:rFonts w:hint="default" w:ascii="Times New Roman" w:hAnsi="Times New Roman" w:cs="Times New Roman"/>
                <w:color w:val="000000" w:themeColor="text1"/>
                <w:u w:val="single"/>
                <w14:textFill>
                  <w14:solidFill>
                    <w14:schemeClr w14:val="tx1"/>
                  </w14:solidFill>
                </w14:textFill>
              </w:rPr>
            </w:pPr>
            <w:r>
              <w:rPr>
                <w:rFonts w:hint="default" w:ascii="Times New Roman" w:hAnsi="Times New Roman" w:cs="Times New Roman"/>
                <w:color w:val="000000" w:themeColor="text1"/>
                <w:kern w:val="2"/>
                <w:sz w:val="21"/>
                <w:szCs w:val="22"/>
                <w:u w:val="single"/>
                <w:lang w:bidi="ar"/>
                <w14:textFill>
                  <w14:solidFill>
                    <w14:schemeClr w14:val="tx1"/>
                  </w14:solidFill>
                </w14:textFill>
              </w:rPr>
              <w:object>
                <v:shape id="_x0000_i1026" o:spt="75" type="#_x0000_t75" style="height:152.3pt;width:395.45pt;" o:ole="t" filled="f" o:preferrelative="t" stroked="f" coordsize="21600,21600">
                  <v:path/>
                  <v:fill on="f" focussize="0,0"/>
                  <v:stroke on="f" joinstyle="miter"/>
                  <v:imagedata r:id="rId18" cropright="5495f" o:title=""/>
                  <o:lock v:ext="edit" aspectratio="t"/>
                  <w10:wrap type="none"/>
                  <w10:anchorlock/>
                </v:shape>
                <o:OLEObject Type="Embed" ProgID="Visio.Drawing.11" ShapeID="_x0000_i1026" DrawAspect="Content" ObjectID="_1468075726" r:id="rId17">
                  <o:LockedField>false</o:LockedField>
                </o:OLEObject>
              </w:object>
            </w:r>
          </w:p>
          <w:p w14:paraId="3165F579">
            <w:pPr>
              <w:spacing w:line="360" w:lineRule="auto"/>
              <w:ind w:firstLine="482" w:firstLineChars="200"/>
              <w:rPr>
                <w:rFonts w:hint="default" w:ascii="Times New Roman" w:hAnsi="Times New Roman" w:cs="Times New Roman"/>
                <w:color w:val="000000" w:themeColor="text1"/>
                <w:u w:val="single"/>
                <w14:textFill>
                  <w14:solidFill>
                    <w14:schemeClr w14:val="tx1"/>
                  </w14:solidFill>
                </w14:textFill>
              </w:rPr>
            </w:pPr>
            <w:r>
              <w:rPr>
                <w:rFonts w:hint="default" w:ascii="Times New Roman" w:hAnsi="Times New Roman" w:cs="Times New Roman"/>
                <w:b/>
                <w:color w:val="000000" w:themeColor="text1"/>
                <w:u w:val="single"/>
                <w14:textFill>
                  <w14:solidFill>
                    <w14:schemeClr w14:val="tx1"/>
                  </w14:solidFill>
                </w14:textFill>
              </w:rPr>
              <w:t>图</w:t>
            </w:r>
            <w:r>
              <w:rPr>
                <w:rFonts w:hint="eastAsia" w:cs="Times New Roman"/>
                <w:b/>
                <w:color w:val="000000" w:themeColor="text1"/>
                <w:u w:val="single"/>
                <w:lang w:val="en-US" w:eastAsia="zh-CN"/>
                <w14:textFill>
                  <w14:solidFill>
                    <w14:schemeClr w14:val="tx1"/>
                  </w14:solidFill>
                </w14:textFill>
              </w:rPr>
              <w:t>4</w:t>
            </w:r>
            <w:r>
              <w:rPr>
                <w:rFonts w:hint="default" w:ascii="Times New Roman" w:hAnsi="Times New Roman" w:cs="Times New Roman"/>
                <w:b/>
                <w:color w:val="000000" w:themeColor="text1"/>
                <w:u w:val="single"/>
                <w14:textFill>
                  <w14:solidFill>
                    <w14:schemeClr w14:val="tx1"/>
                  </w14:solidFill>
                </w14:textFill>
              </w:rPr>
              <w:t>-1    丰联公司污水处理站工艺流程</w:t>
            </w:r>
            <w:r>
              <w:rPr>
                <w:rFonts w:hint="default" w:ascii="Times New Roman" w:hAnsi="Times New Roman" w:cs="Times New Roman"/>
                <w:color w:val="000000" w:themeColor="text1"/>
                <w:u w:val="single"/>
                <w14:textFill>
                  <w14:solidFill>
                    <w14:schemeClr w14:val="tx1"/>
                  </w14:solidFill>
                </w14:textFill>
              </w:rPr>
              <w:t>丰联公司废水处理工艺简介：</w:t>
            </w:r>
          </w:p>
          <w:p w14:paraId="06249A33">
            <w:pPr>
              <w:spacing w:line="360" w:lineRule="auto"/>
              <w:ind w:firstLine="480" w:firstLineChars="200"/>
              <w:jc w:val="both"/>
              <w:rPr>
                <w:rFonts w:hint="default" w:ascii="Times New Roman" w:hAnsi="Times New Roman" w:cs="Times New Roman"/>
                <w:color w:val="000000" w:themeColor="text1"/>
                <w:u w:val="single"/>
                <w14:textFill>
                  <w14:solidFill>
                    <w14:schemeClr w14:val="tx1"/>
                  </w14:solidFill>
                </w14:textFill>
              </w:rPr>
            </w:pPr>
            <w:r>
              <w:rPr>
                <w:rFonts w:hint="default" w:ascii="Times New Roman" w:hAnsi="Times New Roman" w:cs="Times New Roman"/>
                <w:snapToGrid w:val="0"/>
                <w:color w:val="000000" w:themeColor="text1"/>
                <w:kern w:val="28"/>
                <w:szCs w:val="24"/>
                <w:u w:val="single"/>
                <w:lang w:bidi="ar"/>
                <w14:textFill>
                  <w14:solidFill>
                    <w14:schemeClr w14:val="tx1"/>
                  </w14:solidFill>
                </w14:textFill>
              </w:rPr>
              <w:t>废水</w:t>
            </w:r>
            <w:r>
              <w:rPr>
                <w:rFonts w:hint="default" w:ascii="Times New Roman" w:hAnsi="Times New Roman" w:cs="Times New Roman"/>
                <w:color w:val="000000" w:themeColor="text1"/>
                <w:kern w:val="2"/>
                <w:szCs w:val="24"/>
                <w:u w:val="single"/>
                <w:lang w:bidi="ar"/>
                <w14:textFill>
                  <w14:solidFill>
                    <w14:schemeClr w14:val="tx1"/>
                  </w14:solidFill>
                </w14:textFill>
              </w:rPr>
              <w:t>经收集后送硫酸亚铁反应池，并向反应池中投加硫酸亚铁，去除废水中的硫酸根离子。出水经1#沉淀池絮凝沉淀后送芬顿反应池，除去部分有机物和臭味。芬顿反应池出水送2#沉淀池，上清液送1</w:t>
            </w:r>
            <w:r>
              <w:rPr>
                <w:rFonts w:hint="default" w:ascii="Times New Roman" w:hAnsi="Times New Roman" w:cs="Times New Roman"/>
                <w:color w:val="000000" w:themeColor="text1"/>
                <w:kern w:val="2"/>
                <w:szCs w:val="24"/>
                <w:u w:val="single"/>
                <w:vertAlign w:val="superscript"/>
                <w:lang w:bidi="ar"/>
                <w14:textFill>
                  <w14:solidFill>
                    <w14:schemeClr w14:val="tx1"/>
                  </w14:solidFill>
                </w14:textFill>
              </w:rPr>
              <w:t>#</w:t>
            </w:r>
            <w:r>
              <w:rPr>
                <w:rFonts w:hint="default" w:ascii="Times New Roman" w:hAnsi="Times New Roman" w:cs="Times New Roman"/>
                <w:color w:val="000000" w:themeColor="text1"/>
                <w:kern w:val="2"/>
                <w:szCs w:val="24"/>
                <w:u w:val="single"/>
                <w:lang w:bidi="ar"/>
                <w14:textFill>
                  <w14:solidFill>
                    <w14:schemeClr w14:val="tx1"/>
                  </w14:solidFill>
                </w14:textFill>
              </w:rPr>
              <w:t>pH调节池，用硫酸将pH调节8~9。2</w:t>
            </w:r>
            <w:r>
              <w:rPr>
                <w:rFonts w:hint="default" w:ascii="Times New Roman" w:hAnsi="Times New Roman" w:cs="Times New Roman"/>
                <w:color w:val="000000" w:themeColor="text1"/>
                <w:kern w:val="2"/>
                <w:szCs w:val="24"/>
                <w:u w:val="single"/>
                <w:vertAlign w:val="superscript"/>
                <w:lang w:bidi="ar"/>
                <w14:textFill>
                  <w14:solidFill>
                    <w14:schemeClr w14:val="tx1"/>
                  </w14:solidFill>
                </w14:textFill>
              </w:rPr>
              <w:t>#</w:t>
            </w:r>
            <w:r>
              <w:rPr>
                <w:rFonts w:hint="default" w:ascii="Times New Roman" w:hAnsi="Times New Roman" w:cs="Times New Roman"/>
                <w:color w:val="000000" w:themeColor="text1"/>
                <w:kern w:val="2"/>
                <w:szCs w:val="24"/>
                <w:u w:val="single"/>
                <w:lang w:bidi="ar"/>
                <w14:textFill>
                  <w14:solidFill>
                    <w14:schemeClr w14:val="tx1"/>
                  </w14:solidFill>
                </w14:textFill>
              </w:rPr>
              <w:t>pH调节池出水经泵提升至MVR蒸发系统，MVR蒸发冷凝水经中间池送生化处理系统，残渣则为硫酸钠，经脱水、离心干燥后作为副产品外售。生化处理（A/O）后的MVR蒸发冷凝水部分回用，其余外排至松木污水处理厂，出水达标排放</w:t>
            </w:r>
            <w:r>
              <w:rPr>
                <w:rFonts w:hint="default" w:ascii="Times New Roman" w:hAnsi="Times New Roman" w:cs="Times New Roman"/>
                <w:color w:val="000000" w:themeColor="text1"/>
                <w:u w:val="single"/>
                <w14:textFill>
                  <w14:solidFill>
                    <w14:schemeClr w14:val="tx1"/>
                  </w14:solidFill>
                </w14:textFill>
              </w:rPr>
              <w:t>。</w:t>
            </w:r>
          </w:p>
          <w:p w14:paraId="5683944D">
            <w:pPr>
              <w:spacing w:line="360" w:lineRule="auto"/>
              <w:ind w:firstLine="480" w:firstLineChars="200"/>
              <w:jc w:val="both"/>
              <w:rPr>
                <w:rFonts w:hint="eastAsia" w:cs="Times New Roman"/>
                <w:snapToGrid w:val="0"/>
                <w:color w:val="000000" w:themeColor="text1"/>
                <w:kern w:val="28"/>
                <w:szCs w:val="24"/>
                <w:u w:val="single"/>
                <w:lang w:val="en-US" w:eastAsia="zh-CN" w:bidi="ar"/>
                <w14:textFill>
                  <w14:solidFill>
                    <w14:schemeClr w14:val="tx1"/>
                  </w14:solidFill>
                </w14:textFill>
              </w:rPr>
            </w:pPr>
            <w:r>
              <w:rPr>
                <w:rFonts w:hint="eastAsia" w:cs="Times New Roman"/>
                <w:color w:val="000000" w:themeColor="text1"/>
                <w:u w:val="single"/>
                <w:lang w:val="en-US" w:eastAsia="zh-CN"/>
                <w14:textFill>
                  <w14:solidFill>
                    <w14:schemeClr w14:val="tx1"/>
                  </w14:solidFill>
                </w14:textFill>
              </w:rPr>
              <w:t>水量可行性分析：</w:t>
            </w:r>
            <w:r>
              <w:rPr>
                <w:rFonts w:hint="default" w:ascii="Times New Roman" w:hAnsi="Times New Roman" w:cs="Times New Roman"/>
                <w:color w:val="000000" w:themeColor="text1"/>
                <w:u w:val="single"/>
                <w14:textFill>
                  <w14:solidFill>
                    <w14:schemeClr w14:val="tx1"/>
                  </w14:solidFill>
                </w14:textFill>
              </w:rPr>
              <w:t>衡阳丰联精细化工有限公司现有的一套污水处理设施包含一座容量486m</w:t>
            </w:r>
            <w:r>
              <w:rPr>
                <w:rFonts w:hint="default" w:ascii="Times New Roman" w:hAnsi="Times New Roman" w:cs="Times New Roman"/>
                <w:color w:val="000000" w:themeColor="text1"/>
                <w:u w:val="single"/>
                <w:vertAlign w:val="superscript"/>
                <w14:textFill>
                  <w14:solidFill>
                    <w14:schemeClr w14:val="tx1"/>
                  </w14:solidFill>
                </w14:textFill>
              </w:rPr>
              <w:t>3</w:t>
            </w:r>
            <w:r>
              <w:rPr>
                <w:rFonts w:hint="default" w:ascii="Times New Roman" w:hAnsi="Times New Roman" w:cs="Times New Roman"/>
                <w:color w:val="000000" w:themeColor="text1"/>
                <w:u w:val="single"/>
                <w14:textFill>
                  <w14:solidFill>
                    <w14:schemeClr w14:val="tx1"/>
                  </w14:solidFill>
                </w14:textFill>
              </w:rPr>
              <w:t>的污水处理站（含废水预处理和生化处理）、900m</w:t>
            </w:r>
            <w:r>
              <w:rPr>
                <w:rFonts w:hint="default" w:ascii="Times New Roman" w:hAnsi="Times New Roman" w:cs="Times New Roman"/>
                <w:color w:val="000000" w:themeColor="text1"/>
                <w:u w:val="single"/>
                <w:vertAlign w:val="superscript"/>
                <w14:textFill>
                  <w14:solidFill>
                    <w14:schemeClr w14:val="tx1"/>
                  </w14:solidFill>
                </w14:textFill>
              </w:rPr>
              <w:t>3</w:t>
            </w:r>
            <w:r>
              <w:rPr>
                <w:rFonts w:hint="default" w:ascii="Times New Roman" w:hAnsi="Times New Roman" w:cs="Times New Roman"/>
                <w:color w:val="000000" w:themeColor="text1"/>
                <w:u w:val="single"/>
                <w14:textFill>
                  <w14:solidFill>
                    <w14:schemeClr w14:val="tx1"/>
                  </w14:solidFill>
                </w14:textFill>
              </w:rPr>
              <w:t>应急池和900m</w:t>
            </w:r>
            <w:r>
              <w:rPr>
                <w:rFonts w:hint="default" w:ascii="Times New Roman" w:hAnsi="Times New Roman" w:cs="Times New Roman"/>
                <w:color w:val="000000" w:themeColor="text1"/>
                <w:u w:val="single"/>
                <w:vertAlign w:val="superscript"/>
                <w14:textFill>
                  <w14:solidFill>
                    <w14:schemeClr w14:val="tx1"/>
                  </w14:solidFill>
                </w14:textFill>
              </w:rPr>
              <w:t>3</w:t>
            </w:r>
            <w:r>
              <w:rPr>
                <w:rFonts w:hint="default" w:ascii="Times New Roman" w:hAnsi="Times New Roman" w:cs="Times New Roman"/>
                <w:color w:val="000000" w:themeColor="text1"/>
                <w:u w:val="single"/>
                <w14:textFill>
                  <w14:solidFill>
                    <w14:schemeClr w14:val="tx1"/>
                  </w14:solidFill>
                </w14:textFill>
              </w:rPr>
              <w:t>雨水收集池各一座、一套蒸发量4.5t/h的MVR蒸发浓缩脱盐装置，主要处理半胱胺盐酸盐生产过程中产生的有机废水</w:t>
            </w:r>
            <w:r>
              <w:rPr>
                <w:rFonts w:hint="eastAsia" w:cs="Times New Roman"/>
                <w:color w:val="000000" w:themeColor="text1"/>
                <w:u w:val="single"/>
                <w:lang w:val="en-US" w:eastAsia="zh-CN"/>
                <w14:textFill>
                  <w14:solidFill>
                    <w14:schemeClr w14:val="tx1"/>
                  </w14:solidFill>
                </w14:textFill>
              </w:rPr>
              <w:t>及</w:t>
            </w:r>
            <w:r>
              <w:rPr>
                <w:rFonts w:hint="eastAsia" w:cs="Times New Roman"/>
                <w:color w:val="auto"/>
                <w:u w:val="single"/>
                <w:lang w:val="en-US" w:eastAsia="zh-CN"/>
              </w:rPr>
              <w:t>湖南恒光化工有限公司2-乙基蒽醌生产线生产废水</w:t>
            </w:r>
            <w:r>
              <w:rPr>
                <w:rFonts w:hint="default" w:ascii="Times New Roman" w:hAnsi="Times New Roman" w:cs="Times New Roman"/>
                <w:color w:val="000000" w:themeColor="text1"/>
                <w:u w:val="single"/>
                <w14:textFill>
                  <w14:solidFill>
                    <w14:schemeClr w14:val="tx1"/>
                  </w14:solidFill>
                </w14:textFill>
              </w:rPr>
              <w:t>，设计处理水量为180m</w:t>
            </w:r>
            <w:r>
              <w:rPr>
                <w:rFonts w:hint="default" w:ascii="Times New Roman" w:hAnsi="Times New Roman" w:cs="Times New Roman"/>
                <w:color w:val="000000" w:themeColor="text1"/>
                <w:u w:val="single"/>
                <w:vertAlign w:val="superscript"/>
                <w14:textFill>
                  <w14:solidFill>
                    <w14:schemeClr w14:val="tx1"/>
                  </w14:solidFill>
                </w14:textFill>
              </w:rPr>
              <w:t>3</w:t>
            </w:r>
            <w:r>
              <w:rPr>
                <w:rFonts w:hint="default" w:ascii="Times New Roman" w:hAnsi="Times New Roman" w:cs="Times New Roman"/>
                <w:color w:val="000000" w:themeColor="text1"/>
                <w:u w:val="single"/>
                <w14:textFill>
                  <w14:solidFill>
                    <w14:schemeClr w14:val="tx1"/>
                  </w14:solidFill>
                </w14:textFill>
              </w:rPr>
              <w:t>/d。</w:t>
            </w:r>
            <w:r>
              <w:rPr>
                <w:rFonts w:hint="default" w:ascii="Times New Roman" w:hAnsi="Times New Roman" w:cs="Times New Roman"/>
                <w:color w:val="auto"/>
                <w:u w:val="single"/>
              </w:rPr>
              <w:t>目前丰联化工</w:t>
            </w:r>
            <w:r>
              <w:rPr>
                <w:rFonts w:hint="eastAsia" w:cs="Times New Roman"/>
                <w:color w:val="auto"/>
                <w:u w:val="single"/>
                <w:lang w:val="en-US" w:eastAsia="zh-CN"/>
              </w:rPr>
              <w:t>半胱胺盐酸盐产品生产线已停产，废水处理站主要处理湖南恒光化工有限公司2-乙基蒽醌生产线生产废水，其</w:t>
            </w:r>
            <w:r>
              <w:rPr>
                <w:rFonts w:hint="default" w:ascii="Times New Roman" w:hAnsi="Times New Roman" w:cs="Times New Roman"/>
                <w:color w:val="auto"/>
                <w:u w:val="single"/>
              </w:rPr>
              <w:t>满负荷运行产生的水量只有</w:t>
            </w:r>
            <w:r>
              <w:rPr>
                <w:rFonts w:hint="eastAsia" w:cs="Times New Roman"/>
                <w:color w:val="auto"/>
                <w:u w:val="single"/>
                <w:lang w:val="en-US" w:eastAsia="zh-CN"/>
              </w:rPr>
              <w:t>40.72</w:t>
            </w:r>
            <w:r>
              <w:rPr>
                <w:rFonts w:hint="default" w:ascii="Times New Roman" w:hAnsi="Times New Roman" w:cs="Times New Roman"/>
                <w:color w:val="auto"/>
                <w:u w:val="single"/>
              </w:rPr>
              <w:t>m</w:t>
            </w:r>
            <w:r>
              <w:rPr>
                <w:rFonts w:hint="default" w:ascii="Times New Roman" w:hAnsi="Times New Roman" w:cs="Times New Roman"/>
                <w:color w:val="auto"/>
                <w:u w:val="single"/>
                <w:vertAlign w:val="superscript"/>
              </w:rPr>
              <w:t>3</w:t>
            </w:r>
            <w:r>
              <w:rPr>
                <w:rFonts w:hint="default" w:ascii="Times New Roman" w:hAnsi="Times New Roman" w:cs="Times New Roman"/>
                <w:color w:val="auto"/>
                <w:u w:val="single"/>
              </w:rPr>
              <w:t>/d，尚有余量</w:t>
            </w:r>
            <w:r>
              <w:rPr>
                <w:rFonts w:hint="eastAsia" w:cs="Times New Roman"/>
                <w:color w:val="auto"/>
                <w:u w:val="single"/>
                <w:lang w:val="en-US" w:eastAsia="zh-CN"/>
              </w:rPr>
              <w:t>139.28</w:t>
            </w:r>
            <w:r>
              <w:rPr>
                <w:rFonts w:hint="default" w:ascii="Times New Roman" w:hAnsi="Times New Roman" w:cs="Times New Roman"/>
                <w:color w:val="auto"/>
                <w:u w:val="single"/>
              </w:rPr>
              <w:t>m</w:t>
            </w:r>
            <w:r>
              <w:rPr>
                <w:rFonts w:hint="default" w:ascii="Times New Roman" w:hAnsi="Times New Roman" w:cs="Times New Roman"/>
                <w:color w:val="auto"/>
                <w:u w:val="single"/>
                <w:vertAlign w:val="superscript"/>
              </w:rPr>
              <w:t>3</w:t>
            </w:r>
            <w:r>
              <w:rPr>
                <w:rFonts w:hint="default" w:ascii="Times New Roman" w:hAnsi="Times New Roman" w:cs="Times New Roman"/>
                <w:color w:val="auto"/>
                <w:u w:val="single"/>
              </w:rPr>
              <w:t>/d，</w:t>
            </w:r>
            <w:r>
              <w:rPr>
                <w:rFonts w:hint="default" w:ascii="Times New Roman" w:hAnsi="Times New Roman" w:cs="Times New Roman"/>
                <w:color w:val="000000" w:themeColor="text1"/>
                <w:u w:val="single"/>
                <w14:textFill>
                  <w14:solidFill>
                    <w14:schemeClr w14:val="tx1"/>
                  </w14:solidFill>
                </w14:textFill>
              </w:rPr>
              <w:t>而本项目产生的</w:t>
            </w:r>
            <w:r>
              <w:rPr>
                <w:rFonts w:hint="eastAsia" w:cs="Times New Roman"/>
                <w:color w:val="000000" w:themeColor="text1"/>
                <w:u w:val="single"/>
                <w:lang w:eastAsia="zh-CN"/>
                <w14:textFill>
                  <w14:solidFill>
                    <w14:schemeClr w14:val="tx1"/>
                  </w14:solidFill>
                </w14:textFill>
              </w:rPr>
              <w:t>化验</w:t>
            </w:r>
            <w:r>
              <w:rPr>
                <w:rFonts w:hint="default" w:ascii="Times New Roman" w:hAnsi="Times New Roman" w:cs="Times New Roman"/>
                <w:color w:val="000000" w:themeColor="text1"/>
                <w:u w:val="single"/>
                <w14:textFill>
                  <w14:solidFill>
                    <w14:schemeClr w14:val="tx1"/>
                  </w14:solidFill>
                </w14:textFill>
              </w:rPr>
              <w:t>废水</w:t>
            </w:r>
            <w:r>
              <w:rPr>
                <w:rFonts w:hint="eastAsia" w:cs="Times New Roman"/>
                <w:color w:val="000000" w:themeColor="text1"/>
                <w:u w:val="single"/>
                <w:lang w:eastAsia="zh-CN"/>
                <w14:textFill>
                  <w14:solidFill>
                    <w14:schemeClr w14:val="tx1"/>
                  </w14:solidFill>
                </w14:textFill>
              </w:rPr>
              <w:t>、冷却废水</w:t>
            </w:r>
            <w:r>
              <w:rPr>
                <w:rFonts w:hint="default" w:ascii="Times New Roman" w:hAnsi="Times New Roman" w:cs="Times New Roman"/>
                <w:color w:val="000000" w:themeColor="text1"/>
                <w:u w:val="single"/>
                <w14:textFill>
                  <w14:solidFill>
                    <w14:schemeClr w14:val="tx1"/>
                  </w14:solidFill>
                </w14:textFill>
              </w:rPr>
              <w:t>为</w:t>
            </w:r>
            <w:r>
              <w:rPr>
                <w:rFonts w:hint="eastAsia" w:cs="Times New Roman"/>
                <w:color w:val="000000" w:themeColor="text1"/>
                <w:u w:val="single"/>
                <w:lang w:val="en-US" w:eastAsia="zh-CN"/>
                <w14:textFill>
                  <w14:solidFill>
                    <w14:schemeClr w14:val="tx1"/>
                  </w14:solidFill>
                </w14:textFill>
              </w:rPr>
              <w:t>0.06</w:t>
            </w:r>
            <w:r>
              <w:rPr>
                <w:rFonts w:hint="default" w:ascii="Times New Roman" w:hAnsi="Times New Roman" w:cs="Times New Roman"/>
                <w:color w:val="000000" w:themeColor="text1"/>
                <w:u w:val="single"/>
                <w14:textFill>
                  <w14:solidFill>
                    <w14:schemeClr w14:val="tx1"/>
                  </w14:solidFill>
                </w14:textFill>
              </w:rPr>
              <w:t>m</w:t>
            </w:r>
            <w:r>
              <w:rPr>
                <w:rFonts w:hint="default" w:ascii="Times New Roman" w:hAnsi="Times New Roman" w:cs="Times New Roman"/>
                <w:color w:val="000000" w:themeColor="text1"/>
                <w:u w:val="single"/>
                <w:vertAlign w:val="superscript"/>
                <w14:textFill>
                  <w14:solidFill>
                    <w14:schemeClr w14:val="tx1"/>
                  </w14:solidFill>
                </w14:textFill>
              </w:rPr>
              <w:t>3</w:t>
            </w:r>
            <w:r>
              <w:rPr>
                <w:rFonts w:hint="default" w:ascii="Times New Roman" w:hAnsi="Times New Roman" w:cs="Times New Roman"/>
                <w:color w:val="000000" w:themeColor="text1"/>
                <w:u w:val="single"/>
                <w14:textFill>
                  <w14:solidFill>
                    <w14:schemeClr w14:val="tx1"/>
                  </w14:solidFill>
                </w14:textFill>
              </w:rPr>
              <w:t>/d</w:t>
            </w:r>
            <w:r>
              <w:rPr>
                <w:rFonts w:hint="default" w:ascii="Times New Roman" w:hAnsi="Times New Roman" w:cs="Times New Roman"/>
                <w:snapToGrid w:val="0"/>
                <w:color w:val="000000" w:themeColor="text1"/>
                <w:kern w:val="28"/>
                <w:szCs w:val="24"/>
                <w:u w:val="single"/>
                <w:lang w:bidi="ar"/>
                <w14:textFill>
                  <w14:solidFill>
                    <w14:schemeClr w14:val="tx1"/>
                  </w14:solidFill>
                </w14:textFill>
              </w:rPr>
              <w:t>，</w:t>
            </w:r>
            <w:r>
              <w:rPr>
                <w:rFonts w:hint="eastAsia" w:cs="Times New Roman"/>
                <w:snapToGrid w:val="0"/>
                <w:color w:val="000000" w:themeColor="text1"/>
                <w:kern w:val="28"/>
                <w:szCs w:val="24"/>
                <w:u w:val="single"/>
                <w:lang w:val="en-US" w:eastAsia="zh-CN" w:bidi="ar"/>
                <w14:textFill>
                  <w14:solidFill>
                    <w14:schemeClr w14:val="tx1"/>
                  </w14:solidFill>
                </w14:textFill>
              </w:rPr>
              <w:t>从水量分析，丰联废水处理站可接纳本项目废水。</w:t>
            </w:r>
          </w:p>
          <w:p w14:paraId="55BE546A">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both"/>
              <w:textAlignment w:val="auto"/>
              <w:rPr>
                <w:rFonts w:hint="eastAsia" w:cs="Times New Roman"/>
                <w:snapToGrid w:val="0"/>
                <w:color w:val="000000" w:themeColor="text1"/>
                <w:kern w:val="28"/>
                <w:szCs w:val="24"/>
                <w:u w:val="single"/>
                <w:lang w:val="en-US" w:eastAsia="zh-CN" w:bidi="ar"/>
                <w14:textFill>
                  <w14:solidFill>
                    <w14:schemeClr w14:val="tx1"/>
                  </w14:solidFill>
                </w14:textFill>
              </w:rPr>
            </w:pPr>
            <w:r>
              <w:rPr>
                <w:rFonts w:hint="eastAsia" w:cs="Times New Roman"/>
                <w:snapToGrid w:val="0"/>
                <w:color w:val="000000" w:themeColor="text1"/>
                <w:kern w:val="28"/>
                <w:szCs w:val="24"/>
                <w:u w:val="single"/>
                <w:lang w:val="en-US" w:eastAsia="zh-CN" w:bidi="ar"/>
                <w14:textFill>
                  <w14:solidFill>
                    <w14:schemeClr w14:val="tx1"/>
                  </w14:solidFill>
                </w14:textFill>
              </w:rPr>
              <w:t>水质可行性分析：本项目废水污染物为COD不超过1000mg/L，SS不超过400mg/L，满足丰联公司废水处理站进水浓度要求（COD：10000mg/L，SS：500mg/L）丰联公司废水处理站进出水处理浓度见表4-13，</w:t>
            </w:r>
          </w:p>
          <w:p w14:paraId="28CC9D78">
            <w:pPr>
              <w:spacing w:line="360" w:lineRule="auto"/>
              <w:jc w:val="center"/>
              <w:rPr>
                <w:rFonts w:hint="default" w:ascii="Times New Roman" w:hAnsi="Times New Roman" w:cs="Times New Roman"/>
                <w:b/>
                <w:color w:val="auto"/>
                <w:u w:val="single"/>
              </w:rPr>
            </w:pPr>
            <w:r>
              <w:rPr>
                <w:rFonts w:hint="default" w:ascii="Times New Roman" w:hAnsi="Times New Roman" w:cs="Times New Roman"/>
                <w:b/>
                <w:color w:val="auto"/>
                <w:u w:val="single"/>
              </w:rPr>
              <w:t>表</w:t>
            </w:r>
            <w:r>
              <w:rPr>
                <w:rFonts w:hint="eastAsia" w:ascii="Times New Roman" w:hAnsi="Times New Roman" w:cs="Times New Roman"/>
                <w:b/>
                <w:color w:val="auto"/>
                <w:u w:val="single"/>
                <w:lang w:val="en-US" w:eastAsia="zh-CN"/>
              </w:rPr>
              <w:t>4-13</w:t>
            </w:r>
            <w:r>
              <w:rPr>
                <w:rFonts w:hint="default" w:ascii="Times New Roman" w:hAnsi="Times New Roman" w:cs="Times New Roman"/>
                <w:b/>
                <w:color w:val="auto"/>
                <w:u w:val="single"/>
              </w:rPr>
              <w:t xml:space="preserve">  丰联废水站处理效果分析</w:t>
            </w:r>
          </w:p>
          <w:tbl>
            <w:tblPr>
              <w:tblStyle w:val="36"/>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14"/>
              <w:gridCol w:w="2152"/>
              <w:gridCol w:w="2016"/>
              <w:gridCol w:w="2296"/>
            </w:tblGrid>
            <w:tr w14:paraId="4D0D1A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400" w:type="pct"/>
                  <w:tcBorders>
                    <w:top w:val="single" w:color="auto" w:sz="12" w:space="0"/>
                    <w:left w:val="single" w:color="auto" w:sz="12" w:space="0"/>
                    <w:bottom w:val="single" w:color="auto" w:sz="4" w:space="0"/>
                    <w:right w:val="single" w:color="auto" w:sz="4" w:space="0"/>
                  </w:tcBorders>
                  <w:vAlign w:val="center"/>
                </w:tcPr>
                <w:p w14:paraId="50338216">
                  <w:pPr>
                    <w:widowControl w:val="0"/>
                    <w:adjustRightInd w:val="0"/>
                    <w:snapToGrid w:val="0"/>
                    <w:spacing w:line="360" w:lineRule="auto"/>
                    <w:jc w:val="center"/>
                    <w:rPr>
                      <w:rFonts w:hint="default" w:ascii="Times New Roman" w:hAnsi="Times New Roman" w:cs="Times New Roman"/>
                      <w:color w:val="auto"/>
                      <w:sz w:val="21"/>
                      <w:szCs w:val="21"/>
                      <w:u w:val="single"/>
                    </w:rPr>
                  </w:pPr>
                  <w:bookmarkStart w:id="9" w:name="_Toc22385"/>
                  <w:bookmarkStart w:id="10" w:name="_Toc384596730"/>
                  <w:bookmarkStart w:id="11" w:name="_Toc451927394"/>
                  <w:bookmarkStart w:id="12" w:name="_Toc387750269"/>
                  <w:bookmarkStart w:id="13" w:name="_Toc401170599"/>
                  <w:bookmarkStart w:id="14" w:name="_Toc392454165"/>
                  <w:bookmarkStart w:id="15" w:name="_Toc14217"/>
                  <w:bookmarkStart w:id="16" w:name="_Toc370112502"/>
                  <w:bookmarkStart w:id="17" w:name="_Toc451927587"/>
                  <w:bookmarkStart w:id="18" w:name="_Toc364337143"/>
                  <w:bookmarkStart w:id="19" w:name="_Toc445330589"/>
                  <w:r>
                    <w:rPr>
                      <w:rFonts w:hint="default" w:ascii="Times New Roman" w:hAnsi="Times New Roman" w:cs="Times New Roman"/>
                      <w:color w:val="auto"/>
                      <w:kern w:val="2"/>
                      <w:sz w:val="21"/>
                      <w:szCs w:val="21"/>
                      <w:u w:val="single"/>
                      <w:lang w:bidi="ar"/>
                    </w:rPr>
                    <w:t>工艺段</w:t>
                  </w:r>
                  <w:bookmarkEnd w:id="9"/>
                  <w:bookmarkEnd w:id="10"/>
                  <w:bookmarkEnd w:id="11"/>
                  <w:bookmarkEnd w:id="12"/>
                  <w:bookmarkEnd w:id="13"/>
                  <w:bookmarkEnd w:id="14"/>
                  <w:bookmarkEnd w:id="15"/>
                  <w:bookmarkEnd w:id="16"/>
                  <w:bookmarkEnd w:id="17"/>
                  <w:bookmarkEnd w:id="18"/>
                  <w:bookmarkEnd w:id="19"/>
                </w:p>
              </w:tc>
              <w:tc>
                <w:tcPr>
                  <w:tcW w:w="1198" w:type="pct"/>
                  <w:tcBorders>
                    <w:top w:val="single" w:color="auto" w:sz="12" w:space="0"/>
                    <w:left w:val="single" w:color="auto" w:sz="4" w:space="0"/>
                    <w:bottom w:val="single" w:color="auto" w:sz="4" w:space="0"/>
                    <w:right w:val="single" w:color="auto" w:sz="4" w:space="0"/>
                  </w:tcBorders>
                  <w:vAlign w:val="center"/>
                </w:tcPr>
                <w:p w14:paraId="534402C4">
                  <w:pPr>
                    <w:widowControl w:val="0"/>
                    <w:adjustRightInd w:val="0"/>
                    <w:snapToGrid w:val="0"/>
                    <w:spacing w:line="360" w:lineRule="auto"/>
                    <w:jc w:val="center"/>
                    <w:rPr>
                      <w:rFonts w:hint="default" w:ascii="Times New Roman" w:hAnsi="Times New Roman" w:cs="Times New Roman"/>
                      <w:color w:val="auto"/>
                      <w:sz w:val="21"/>
                      <w:szCs w:val="21"/>
                      <w:u w:val="single"/>
                    </w:rPr>
                  </w:pPr>
                  <w:bookmarkStart w:id="20" w:name="_Toc451927588"/>
                  <w:bookmarkStart w:id="21" w:name="_Toc445330590"/>
                  <w:bookmarkStart w:id="22" w:name="_Toc387750270"/>
                  <w:bookmarkStart w:id="23" w:name="_Toc401170600"/>
                  <w:bookmarkStart w:id="24" w:name="_Toc392454166"/>
                  <w:bookmarkStart w:id="25" w:name="_Toc364337144"/>
                  <w:bookmarkStart w:id="26" w:name="_Toc10598"/>
                  <w:bookmarkStart w:id="27" w:name="_Toc451927395"/>
                  <w:bookmarkStart w:id="28" w:name="_Toc384596731"/>
                  <w:bookmarkStart w:id="29" w:name="_Toc370112503"/>
                  <w:bookmarkStart w:id="30" w:name="_Toc26428"/>
                  <w:r>
                    <w:rPr>
                      <w:rFonts w:hint="default" w:ascii="Times New Roman" w:hAnsi="Times New Roman" w:cs="Times New Roman"/>
                      <w:color w:val="auto"/>
                      <w:kern w:val="2"/>
                      <w:sz w:val="21"/>
                      <w:szCs w:val="21"/>
                      <w:u w:val="single"/>
                      <w:lang w:bidi="ar"/>
                    </w:rPr>
                    <w:t>进出水</w:t>
                  </w:r>
                  <w:bookmarkEnd w:id="20"/>
                  <w:bookmarkEnd w:id="21"/>
                  <w:bookmarkEnd w:id="22"/>
                  <w:bookmarkEnd w:id="23"/>
                  <w:bookmarkEnd w:id="24"/>
                  <w:bookmarkEnd w:id="25"/>
                  <w:bookmarkEnd w:id="26"/>
                  <w:bookmarkEnd w:id="27"/>
                  <w:bookmarkEnd w:id="28"/>
                  <w:bookmarkEnd w:id="29"/>
                  <w:bookmarkEnd w:id="30"/>
                </w:p>
              </w:tc>
              <w:tc>
                <w:tcPr>
                  <w:tcW w:w="1122" w:type="pct"/>
                  <w:tcBorders>
                    <w:top w:val="single" w:color="auto" w:sz="12" w:space="0"/>
                    <w:left w:val="single" w:color="auto" w:sz="4" w:space="0"/>
                    <w:bottom w:val="single" w:color="auto" w:sz="4" w:space="0"/>
                    <w:right w:val="single" w:color="auto" w:sz="4" w:space="0"/>
                  </w:tcBorders>
                  <w:vAlign w:val="center"/>
                </w:tcPr>
                <w:p w14:paraId="3DAE7252">
                  <w:pPr>
                    <w:widowControl w:val="0"/>
                    <w:adjustRightInd w:val="0"/>
                    <w:snapToGrid w:val="0"/>
                    <w:spacing w:line="360" w:lineRule="auto"/>
                    <w:jc w:val="center"/>
                    <w:rPr>
                      <w:rFonts w:hint="default" w:ascii="Times New Roman" w:hAnsi="Times New Roman" w:cs="Times New Roman"/>
                      <w:snapToGrid w:val="0"/>
                      <w:color w:val="auto"/>
                      <w:kern w:val="28"/>
                      <w:sz w:val="21"/>
                      <w:szCs w:val="21"/>
                      <w:u w:val="single"/>
                    </w:rPr>
                  </w:pPr>
                  <w:bookmarkStart w:id="31" w:name="_Toc364337145"/>
                  <w:bookmarkStart w:id="32" w:name="_Toc451927589"/>
                  <w:bookmarkStart w:id="33" w:name="_Toc401170601"/>
                  <w:bookmarkStart w:id="34" w:name="_Toc387750271"/>
                  <w:bookmarkStart w:id="35" w:name="_Toc392454167"/>
                  <w:bookmarkStart w:id="36" w:name="_Toc451927396"/>
                  <w:bookmarkStart w:id="37" w:name="_Toc370112504"/>
                  <w:bookmarkStart w:id="38" w:name="_Toc11360"/>
                  <w:bookmarkStart w:id="39" w:name="_Toc22828"/>
                  <w:bookmarkStart w:id="40" w:name="_Toc445330591"/>
                  <w:bookmarkStart w:id="41" w:name="_Toc384596732"/>
                  <w:r>
                    <w:rPr>
                      <w:rFonts w:hint="default" w:ascii="Times New Roman" w:hAnsi="Times New Roman" w:cs="Times New Roman"/>
                      <w:color w:val="auto"/>
                      <w:kern w:val="2"/>
                      <w:sz w:val="21"/>
                      <w:szCs w:val="21"/>
                      <w:u w:val="single"/>
                      <w:lang w:bidi="ar"/>
                    </w:rPr>
                    <w:t>COD</w:t>
                  </w:r>
                  <w:bookmarkEnd w:id="31"/>
                  <w:bookmarkEnd w:id="32"/>
                  <w:bookmarkEnd w:id="33"/>
                  <w:bookmarkEnd w:id="34"/>
                  <w:bookmarkEnd w:id="35"/>
                  <w:bookmarkEnd w:id="36"/>
                  <w:bookmarkEnd w:id="37"/>
                  <w:bookmarkEnd w:id="38"/>
                  <w:bookmarkEnd w:id="39"/>
                  <w:bookmarkEnd w:id="40"/>
                  <w:bookmarkEnd w:id="41"/>
                </w:p>
              </w:tc>
              <w:tc>
                <w:tcPr>
                  <w:tcW w:w="1278" w:type="pct"/>
                  <w:tcBorders>
                    <w:top w:val="single" w:color="auto" w:sz="12" w:space="0"/>
                    <w:left w:val="single" w:color="auto" w:sz="4" w:space="0"/>
                    <w:bottom w:val="single" w:color="auto" w:sz="4" w:space="0"/>
                    <w:right w:val="single" w:color="auto" w:sz="4" w:space="0"/>
                  </w:tcBorders>
                  <w:vAlign w:val="center"/>
                </w:tcPr>
                <w:p w14:paraId="5917FDE3">
                  <w:pPr>
                    <w:widowControl w:val="0"/>
                    <w:adjustRightInd w:val="0"/>
                    <w:snapToGrid w:val="0"/>
                    <w:spacing w:line="360" w:lineRule="auto"/>
                    <w:jc w:val="center"/>
                    <w:rPr>
                      <w:rFonts w:hint="default" w:ascii="Times New Roman" w:hAnsi="Times New Roman" w:eastAsia="宋体" w:cs="Times New Roman"/>
                      <w:color w:val="auto"/>
                      <w:kern w:val="2"/>
                      <w:sz w:val="21"/>
                      <w:szCs w:val="21"/>
                      <w:u w:val="single"/>
                      <w:lang w:val="en-US" w:eastAsia="zh-CN" w:bidi="ar"/>
                    </w:rPr>
                  </w:pPr>
                  <w:r>
                    <w:rPr>
                      <w:rFonts w:hint="eastAsia" w:ascii="Times New Roman" w:hAnsi="Times New Roman" w:cs="Times New Roman"/>
                      <w:color w:val="auto"/>
                      <w:kern w:val="2"/>
                      <w:sz w:val="21"/>
                      <w:szCs w:val="21"/>
                      <w:u w:val="single"/>
                      <w:lang w:val="en-US" w:eastAsia="zh-CN" w:bidi="ar"/>
                    </w:rPr>
                    <w:t>SS</w:t>
                  </w:r>
                </w:p>
              </w:tc>
            </w:tr>
            <w:tr w14:paraId="77F35C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0" w:type="pct"/>
                  <w:vMerge w:val="restart"/>
                  <w:tcBorders>
                    <w:top w:val="single" w:color="auto" w:sz="4" w:space="0"/>
                    <w:left w:val="single" w:color="auto" w:sz="12" w:space="0"/>
                    <w:bottom w:val="single" w:color="auto" w:sz="4" w:space="0"/>
                    <w:right w:val="single" w:color="auto" w:sz="4" w:space="0"/>
                  </w:tcBorders>
                  <w:vAlign w:val="center"/>
                </w:tcPr>
                <w:p w14:paraId="04AFC5E7">
                  <w:pPr>
                    <w:widowControl w:val="0"/>
                    <w:adjustRightInd w:val="0"/>
                    <w:snapToGrid w:val="0"/>
                    <w:spacing w:line="360" w:lineRule="auto"/>
                    <w:jc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2"/>
                      <w:sz w:val="21"/>
                      <w:szCs w:val="21"/>
                      <w:u w:val="single"/>
                      <w:lang w:bidi="ar"/>
                    </w:rPr>
                    <w:t>FeSO</w:t>
                  </w:r>
                  <w:r>
                    <w:rPr>
                      <w:rFonts w:hint="default" w:ascii="Times New Roman" w:hAnsi="Times New Roman" w:cs="Times New Roman"/>
                      <w:color w:val="auto"/>
                      <w:kern w:val="2"/>
                      <w:sz w:val="21"/>
                      <w:szCs w:val="21"/>
                      <w:u w:val="single"/>
                      <w:vertAlign w:val="subscript"/>
                      <w:lang w:bidi="ar"/>
                    </w:rPr>
                    <w:t>4</w:t>
                  </w:r>
                  <w:r>
                    <w:rPr>
                      <w:rFonts w:hint="default" w:ascii="Times New Roman" w:hAnsi="Times New Roman" w:cs="Times New Roman"/>
                      <w:color w:val="auto"/>
                      <w:kern w:val="2"/>
                      <w:sz w:val="21"/>
                      <w:szCs w:val="21"/>
                      <w:u w:val="single"/>
                      <w:lang w:bidi="ar"/>
                    </w:rPr>
                    <w:t>反应池+沉淀池</w:t>
                  </w:r>
                </w:p>
              </w:tc>
              <w:tc>
                <w:tcPr>
                  <w:tcW w:w="1198" w:type="pct"/>
                  <w:tcBorders>
                    <w:top w:val="single" w:color="auto" w:sz="4" w:space="0"/>
                    <w:left w:val="single" w:color="auto" w:sz="4" w:space="0"/>
                    <w:bottom w:val="single" w:color="auto" w:sz="4" w:space="0"/>
                    <w:right w:val="single" w:color="auto" w:sz="4" w:space="0"/>
                  </w:tcBorders>
                  <w:vAlign w:val="center"/>
                </w:tcPr>
                <w:p w14:paraId="067F73FB">
                  <w:pPr>
                    <w:widowControl w:val="0"/>
                    <w:adjustRightInd w:val="0"/>
                    <w:snapToGrid w:val="0"/>
                    <w:spacing w:line="360" w:lineRule="auto"/>
                    <w:jc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2"/>
                      <w:sz w:val="21"/>
                      <w:szCs w:val="21"/>
                      <w:u w:val="single"/>
                      <w:lang w:bidi="ar"/>
                    </w:rPr>
                    <w:t>进水</w:t>
                  </w:r>
                </w:p>
              </w:tc>
              <w:tc>
                <w:tcPr>
                  <w:tcW w:w="1122" w:type="pct"/>
                  <w:tcBorders>
                    <w:top w:val="single" w:color="auto" w:sz="4" w:space="0"/>
                    <w:left w:val="single" w:color="auto" w:sz="4" w:space="0"/>
                    <w:bottom w:val="single" w:color="auto" w:sz="4" w:space="0"/>
                    <w:right w:val="single" w:color="auto" w:sz="4" w:space="0"/>
                  </w:tcBorders>
                  <w:vAlign w:val="center"/>
                </w:tcPr>
                <w:p w14:paraId="556DDF6D">
                  <w:pPr>
                    <w:widowControl w:val="0"/>
                    <w:adjustRightInd w:val="0"/>
                    <w:snapToGrid w:val="0"/>
                    <w:spacing w:line="360" w:lineRule="auto"/>
                    <w:jc w:val="center"/>
                    <w:textAlignment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kern w:val="2"/>
                      <w:sz w:val="21"/>
                      <w:szCs w:val="21"/>
                      <w:u w:val="single"/>
                      <w:lang w:val="en-US" w:eastAsia="zh-CN" w:bidi="ar"/>
                    </w:rPr>
                    <w:t>1000</w:t>
                  </w:r>
                </w:p>
              </w:tc>
              <w:tc>
                <w:tcPr>
                  <w:tcW w:w="1278" w:type="pct"/>
                  <w:tcBorders>
                    <w:top w:val="single" w:color="auto" w:sz="4" w:space="0"/>
                    <w:left w:val="single" w:color="auto" w:sz="4" w:space="0"/>
                    <w:bottom w:val="single" w:color="auto" w:sz="4" w:space="0"/>
                    <w:right w:val="single" w:color="auto" w:sz="4" w:space="0"/>
                  </w:tcBorders>
                  <w:vAlign w:val="center"/>
                </w:tcPr>
                <w:p w14:paraId="2A42C9A4">
                  <w:pPr>
                    <w:widowControl w:val="0"/>
                    <w:adjustRightInd w:val="0"/>
                    <w:snapToGrid w:val="0"/>
                    <w:spacing w:line="360" w:lineRule="auto"/>
                    <w:jc w:val="center"/>
                    <w:textAlignment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400</w:t>
                  </w:r>
                </w:p>
              </w:tc>
            </w:tr>
            <w:tr w14:paraId="1172BD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0" w:type="pct"/>
                  <w:vMerge w:val="continue"/>
                  <w:tcBorders>
                    <w:top w:val="single" w:color="auto" w:sz="4" w:space="0"/>
                    <w:left w:val="single" w:color="auto" w:sz="12" w:space="0"/>
                    <w:bottom w:val="single" w:color="auto" w:sz="4" w:space="0"/>
                    <w:right w:val="single" w:color="auto" w:sz="4" w:space="0"/>
                  </w:tcBorders>
                  <w:vAlign w:val="center"/>
                </w:tcPr>
                <w:p w14:paraId="67AC603D">
                  <w:pPr>
                    <w:widowControl w:val="0"/>
                    <w:spacing w:line="360" w:lineRule="auto"/>
                    <w:jc w:val="center"/>
                    <w:rPr>
                      <w:rFonts w:hint="default" w:ascii="Times New Roman" w:hAnsi="Times New Roman" w:cs="Times New Roman"/>
                      <w:color w:val="auto"/>
                      <w:sz w:val="21"/>
                      <w:szCs w:val="21"/>
                      <w:u w:val="single"/>
                    </w:rPr>
                  </w:pPr>
                </w:p>
              </w:tc>
              <w:tc>
                <w:tcPr>
                  <w:tcW w:w="1198" w:type="pct"/>
                  <w:tcBorders>
                    <w:top w:val="single" w:color="auto" w:sz="4" w:space="0"/>
                    <w:left w:val="single" w:color="auto" w:sz="4" w:space="0"/>
                    <w:bottom w:val="single" w:color="auto" w:sz="4" w:space="0"/>
                    <w:right w:val="single" w:color="auto" w:sz="4" w:space="0"/>
                  </w:tcBorders>
                  <w:vAlign w:val="center"/>
                </w:tcPr>
                <w:p w14:paraId="3E80C2F8">
                  <w:pPr>
                    <w:widowControl w:val="0"/>
                    <w:adjustRightInd w:val="0"/>
                    <w:snapToGrid w:val="0"/>
                    <w:spacing w:line="360" w:lineRule="auto"/>
                    <w:jc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2"/>
                      <w:sz w:val="21"/>
                      <w:szCs w:val="21"/>
                      <w:u w:val="single"/>
                      <w:lang w:bidi="ar"/>
                    </w:rPr>
                    <w:t>出水</w:t>
                  </w:r>
                </w:p>
              </w:tc>
              <w:tc>
                <w:tcPr>
                  <w:tcW w:w="1122" w:type="pct"/>
                  <w:tcBorders>
                    <w:top w:val="single" w:color="auto" w:sz="4" w:space="0"/>
                    <w:left w:val="single" w:color="auto" w:sz="4" w:space="0"/>
                    <w:bottom w:val="single" w:color="auto" w:sz="4" w:space="0"/>
                    <w:right w:val="single" w:color="auto" w:sz="4" w:space="0"/>
                  </w:tcBorders>
                  <w:vAlign w:val="center"/>
                </w:tcPr>
                <w:p w14:paraId="03B25A00">
                  <w:pPr>
                    <w:widowControl w:val="0"/>
                    <w:adjustRightInd w:val="0"/>
                    <w:snapToGrid w:val="0"/>
                    <w:spacing w:line="360" w:lineRule="auto"/>
                    <w:jc w:val="center"/>
                    <w:textAlignment w:val="center"/>
                    <w:rPr>
                      <w:rFonts w:hint="default" w:ascii="Times New Roman" w:hAnsi="Times New Roman" w:eastAsia="宋体" w:cs="Times New Roman"/>
                      <w:color w:val="auto"/>
                      <w:sz w:val="21"/>
                      <w:szCs w:val="21"/>
                      <w:u w:val="single"/>
                      <w:lang w:val="en-US" w:eastAsia="zh-CN" w:bidi="ar"/>
                    </w:rPr>
                  </w:pPr>
                  <w:r>
                    <w:rPr>
                      <w:rFonts w:hint="eastAsia" w:ascii="Times New Roman" w:hAnsi="Times New Roman" w:eastAsia="宋体" w:cs="Times New Roman"/>
                      <w:color w:val="auto"/>
                      <w:sz w:val="21"/>
                      <w:szCs w:val="21"/>
                      <w:u w:val="single"/>
                      <w:lang w:val="en-US" w:eastAsia="zh-CN" w:bidi="ar"/>
                    </w:rPr>
                    <w:t>850</w:t>
                  </w:r>
                </w:p>
              </w:tc>
              <w:tc>
                <w:tcPr>
                  <w:tcW w:w="1278" w:type="pct"/>
                  <w:tcBorders>
                    <w:top w:val="single" w:color="auto" w:sz="4" w:space="0"/>
                    <w:left w:val="single" w:color="auto" w:sz="4" w:space="0"/>
                    <w:bottom w:val="single" w:color="auto" w:sz="4" w:space="0"/>
                    <w:right w:val="single" w:color="auto" w:sz="4" w:space="0"/>
                  </w:tcBorders>
                  <w:vAlign w:val="center"/>
                </w:tcPr>
                <w:p w14:paraId="78D9F1E6">
                  <w:pPr>
                    <w:widowControl w:val="0"/>
                    <w:adjustRightInd w:val="0"/>
                    <w:snapToGrid w:val="0"/>
                    <w:spacing w:line="360" w:lineRule="auto"/>
                    <w:jc w:val="center"/>
                    <w:textAlignment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80</w:t>
                  </w:r>
                </w:p>
              </w:tc>
            </w:tr>
            <w:tr w14:paraId="5F1315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0" w:type="pct"/>
                  <w:vMerge w:val="continue"/>
                  <w:tcBorders>
                    <w:top w:val="single" w:color="auto" w:sz="4" w:space="0"/>
                    <w:left w:val="single" w:color="auto" w:sz="12" w:space="0"/>
                    <w:bottom w:val="single" w:color="auto" w:sz="4" w:space="0"/>
                    <w:right w:val="single" w:color="auto" w:sz="4" w:space="0"/>
                  </w:tcBorders>
                  <w:vAlign w:val="center"/>
                </w:tcPr>
                <w:p w14:paraId="3C33E730">
                  <w:pPr>
                    <w:widowControl w:val="0"/>
                    <w:spacing w:line="360" w:lineRule="auto"/>
                    <w:jc w:val="center"/>
                    <w:rPr>
                      <w:rFonts w:hint="default" w:ascii="Times New Roman" w:hAnsi="Times New Roman" w:cs="Times New Roman"/>
                      <w:color w:val="auto"/>
                      <w:sz w:val="21"/>
                      <w:szCs w:val="21"/>
                      <w:u w:val="single"/>
                    </w:rPr>
                  </w:pPr>
                </w:p>
              </w:tc>
              <w:tc>
                <w:tcPr>
                  <w:tcW w:w="1198" w:type="pct"/>
                  <w:tcBorders>
                    <w:top w:val="single" w:color="auto" w:sz="4" w:space="0"/>
                    <w:left w:val="single" w:color="auto" w:sz="4" w:space="0"/>
                    <w:bottom w:val="single" w:color="auto" w:sz="4" w:space="0"/>
                    <w:right w:val="single" w:color="auto" w:sz="4" w:space="0"/>
                  </w:tcBorders>
                  <w:vAlign w:val="center"/>
                </w:tcPr>
                <w:p w14:paraId="11233559">
                  <w:pPr>
                    <w:widowControl w:val="0"/>
                    <w:adjustRightInd w:val="0"/>
                    <w:snapToGrid w:val="0"/>
                    <w:spacing w:line="360" w:lineRule="auto"/>
                    <w:jc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2"/>
                      <w:sz w:val="21"/>
                      <w:szCs w:val="21"/>
                      <w:u w:val="single"/>
                      <w:lang w:bidi="ar"/>
                    </w:rPr>
                    <w:t>去除率</w:t>
                  </w:r>
                </w:p>
              </w:tc>
              <w:tc>
                <w:tcPr>
                  <w:tcW w:w="1122" w:type="pct"/>
                  <w:tcBorders>
                    <w:top w:val="single" w:color="auto" w:sz="4" w:space="0"/>
                    <w:left w:val="single" w:color="auto" w:sz="4" w:space="0"/>
                    <w:bottom w:val="single" w:color="auto" w:sz="4" w:space="0"/>
                    <w:right w:val="single" w:color="auto" w:sz="4" w:space="0"/>
                  </w:tcBorders>
                  <w:vAlign w:val="center"/>
                </w:tcPr>
                <w:p w14:paraId="3101204B">
                  <w:pPr>
                    <w:widowControl w:val="0"/>
                    <w:adjustRightInd w:val="0"/>
                    <w:snapToGrid w:val="0"/>
                    <w:spacing w:line="360" w:lineRule="auto"/>
                    <w:jc w:val="center"/>
                    <w:textAlignment w:val="center"/>
                    <w:rPr>
                      <w:rFonts w:hint="default" w:ascii="Times New Roman" w:hAnsi="Times New Roman" w:cs="Times New Roman"/>
                      <w:color w:val="auto"/>
                      <w:sz w:val="21"/>
                      <w:szCs w:val="21"/>
                      <w:u w:val="single"/>
                      <w:lang w:bidi="ar"/>
                    </w:rPr>
                  </w:pPr>
                  <w:r>
                    <w:rPr>
                      <w:rFonts w:hint="default" w:ascii="Times New Roman" w:hAnsi="Times New Roman" w:cs="Times New Roman"/>
                      <w:color w:val="auto"/>
                      <w:kern w:val="2"/>
                      <w:sz w:val="21"/>
                      <w:szCs w:val="21"/>
                      <w:u w:val="single"/>
                      <w:lang w:bidi="ar"/>
                    </w:rPr>
                    <w:t>15%</w:t>
                  </w:r>
                </w:p>
              </w:tc>
              <w:tc>
                <w:tcPr>
                  <w:tcW w:w="1278" w:type="pct"/>
                  <w:tcBorders>
                    <w:top w:val="single" w:color="auto" w:sz="4" w:space="0"/>
                    <w:left w:val="single" w:color="auto" w:sz="4" w:space="0"/>
                    <w:bottom w:val="single" w:color="auto" w:sz="4" w:space="0"/>
                    <w:right w:val="single" w:color="auto" w:sz="4" w:space="0"/>
                  </w:tcBorders>
                  <w:vAlign w:val="center"/>
                </w:tcPr>
                <w:p w14:paraId="77C69AD4">
                  <w:pPr>
                    <w:widowControl w:val="0"/>
                    <w:adjustRightInd w:val="0"/>
                    <w:snapToGrid w:val="0"/>
                    <w:spacing w:line="360" w:lineRule="auto"/>
                    <w:jc w:val="center"/>
                    <w:textAlignment w:val="center"/>
                    <w:rPr>
                      <w:rFonts w:hint="default" w:ascii="Times New Roman" w:hAnsi="Times New Roman" w:eastAsia="宋体" w:cs="Times New Roman"/>
                      <w:color w:val="auto"/>
                      <w:sz w:val="21"/>
                      <w:szCs w:val="21"/>
                      <w:u w:val="single"/>
                      <w:lang w:val="en-US" w:eastAsia="zh-CN" w:bidi="ar"/>
                    </w:rPr>
                  </w:pPr>
                  <w:r>
                    <w:rPr>
                      <w:rFonts w:hint="eastAsia" w:ascii="Times New Roman" w:hAnsi="Times New Roman" w:cs="Times New Roman"/>
                      <w:color w:val="auto"/>
                      <w:sz w:val="21"/>
                      <w:szCs w:val="21"/>
                      <w:u w:val="single"/>
                      <w:lang w:val="en-US" w:eastAsia="zh-CN" w:bidi="ar"/>
                    </w:rPr>
                    <w:t>80%</w:t>
                  </w:r>
                </w:p>
              </w:tc>
            </w:tr>
            <w:tr w14:paraId="7D0121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0" w:type="pct"/>
                  <w:vMerge w:val="restart"/>
                  <w:tcBorders>
                    <w:top w:val="single" w:color="auto" w:sz="4" w:space="0"/>
                    <w:left w:val="single" w:color="auto" w:sz="12" w:space="0"/>
                    <w:bottom w:val="single" w:color="auto" w:sz="4" w:space="0"/>
                    <w:right w:val="single" w:color="auto" w:sz="4" w:space="0"/>
                  </w:tcBorders>
                  <w:vAlign w:val="center"/>
                </w:tcPr>
                <w:p w14:paraId="4CD8A5B4">
                  <w:pPr>
                    <w:widowControl w:val="0"/>
                    <w:adjustRightInd w:val="0"/>
                    <w:snapToGrid w:val="0"/>
                    <w:spacing w:line="360" w:lineRule="auto"/>
                    <w:jc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2"/>
                      <w:sz w:val="21"/>
                      <w:szCs w:val="21"/>
                      <w:u w:val="single"/>
                      <w:lang w:bidi="ar"/>
                    </w:rPr>
                    <w:t>芬顿反应池+沉淀池</w:t>
                  </w:r>
                </w:p>
              </w:tc>
              <w:tc>
                <w:tcPr>
                  <w:tcW w:w="1198" w:type="pct"/>
                  <w:tcBorders>
                    <w:top w:val="single" w:color="auto" w:sz="4" w:space="0"/>
                    <w:left w:val="single" w:color="auto" w:sz="4" w:space="0"/>
                    <w:bottom w:val="single" w:color="auto" w:sz="4" w:space="0"/>
                    <w:right w:val="single" w:color="auto" w:sz="4" w:space="0"/>
                  </w:tcBorders>
                  <w:vAlign w:val="center"/>
                </w:tcPr>
                <w:p w14:paraId="3E3B4456">
                  <w:pPr>
                    <w:widowControl w:val="0"/>
                    <w:adjustRightInd w:val="0"/>
                    <w:snapToGrid w:val="0"/>
                    <w:spacing w:line="360" w:lineRule="auto"/>
                    <w:jc w:val="center"/>
                    <w:rPr>
                      <w:rFonts w:hint="default" w:ascii="Times New Roman" w:hAnsi="Times New Roman" w:cs="Times New Roman"/>
                      <w:color w:val="auto"/>
                      <w:sz w:val="21"/>
                      <w:szCs w:val="21"/>
                      <w:u w:val="single"/>
                    </w:rPr>
                  </w:pPr>
                  <w:bookmarkStart w:id="42" w:name="_Toc445330669"/>
                  <w:bookmarkStart w:id="43" w:name="_Toc401170689"/>
                  <w:bookmarkStart w:id="44" w:name="_Toc451927679"/>
                  <w:bookmarkStart w:id="45" w:name="_Toc13068"/>
                  <w:bookmarkStart w:id="46" w:name="_Toc451927486"/>
                  <w:r>
                    <w:rPr>
                      <w:rFonts w:hint="default" w:ascii="Times New Roman" w:hAnsi="Times New Roman" w:cs="Times New Roman"/>
                      <w:color w:val="auto"/>
                      <w:kern w:val="2"/>
                      <w:sz w:val="21"/>
                      <w:szCs w:val="21"/>
                      <w:u w:val="single"/>
                      <w:lang w:bidi="ar"/>
                    </w:rPr>
                    <w:t>进水</w:t>
                  </w:r>
                  <w:bookmarkEnd w:id="42"/>
                  <w:bookmarkEnd w:id="43"/>
                  <w:bookmarkEnd w:id="44"/>
                  <w:bookmarkEnd w:id="45"/>
                  <w:bookmarkEnd w:id="46"/>
                </w:p>
              </w:tc>
              <w:tc>
                <w:tcPr>
                  <w:tcW w:w="1122" w:type="pct"/>
                  <w:tcBorders>
                    <w:top w:val="single" w:color="auto" w:sz="4" w:space="0"/>
                    <w:left w:val="single" w:color="auto" w:sz="4" w:space="0"/>
                    <w:bottom w:val="single" w:color="auto" w:sz="4" w:space="0"/>
                    <w:right w:val="single" w:color="auto" w:sz="4" w:space="0"/>
                  </w:tcBorders>
                  <w:vAlign w:val="center"/>
                </w:tcPr>
                <w:p w14:paraId="73436EC0">
                  <w:pPr>
                    <w:widowControl w:val="0"/>
                    <w:adjustRightInd w:val="0"/>
                    <w:snapToGrid w:val="0"/>
                    <w:spacing w:line="360" w:lineRule="auto"/>
                    <w:jc w:val="center"/>
                    <w:textAlignment w:val="center"/>
                    <w:rPr>
                      <w:rFonts w:hint="default" w:ascii="Times New Roman" w:hAnsi="Times New Roman" w:eastAsia="宋体" w:cs="Times New Roman"/>
                      <w:color w:val="auto"/>
                      <w:sz w:val="21"/>
                      <w:szCs w:val="21"/>
                      <w:u w:val="single"/>
                      <w:lang w:val="en-US" w:eastAsia="zh-CN" w:bidi="ar"/>
                    </w:rPr>
                  </w:pPr>
                  <w:r>
                    <w:rPr>
                      <w:rFonts w:hint="eastAsia" w:ascii="Times New Roman" w:hAnsi="Times New Roman" w:eastAsia="宋体" w:cs="Times New Roman"/>
                      <w:color w:val="auto"/>
                      <w:sz w:val="21"/>
                      <w:szCs w:val="21"/>
                      <w:u w:val="single"/>
                      <w:lang w:val="en-US" w:eastAsia="zh-CN" w:bidi="ar"/>
                    </w:rPr>
                    <w:t>850</w:t>
                  </w:r>
                </w:p>
              </w:tc>
              <w:tc>
                <w:tcPr>
                  <w:tcW w:w="1278" w:type="pct"/>
                  <w:tcBorders>
                    <w:top w:val="single" w:color="auto" w:sz="4" w:space="0"/>
                    <w:left w:val="single" w:color="auto" w:sz="4" w:space="0"/>
                    <w:bottom w:val="single" w:color="auto" w:sz="4" w:space="0"/>
                    <w:right w:val="single" w:color="auto" w:sz="4" w:space="0"/>
                  </w:tcBorders>
                  <w:vAlign w:val="center"/>
                </w:tcPr>
                <w:p w14:paraId="416884A2">
                  <w:pPr>
                    <w:widowControl w:val="0"/>
                    <w:adjustRightInd w:val="0"/>
                    <w:snapToGrid w:val="0"/>
                    <w:spacing w:line="360" w:lineRule="auto"/>
                    <w:jc w:val="center"/>
                    <w:textAlignment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80</w:t>
                  </w:r>
                </w:p>
              </w:tc>
            </w:tr>
            <w:tr w14:paraId="374553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400" w:type="pct"/>
                  <w:vMerge w:val="continue"/>
                  <w:tcBorders>
                    <w:top w:val="single" w:color="auto" w:sz="4" w:space="0"/>
                    <w:left w:val="single" w:color="auto" w:sz="12" w:space="0"/>
                    <w:bottom w:val="single" w:color="auto" w:sz="4" w:space="0"/>
                    <w:right w:val="single" w:color="auto" w:sz="4" w:space="0"/>
                  </w:tcBorders>
                  <w:vAlign w:val="center"/>
                </w:tcPr>
                <w:p w14:paraId="4667700C">
                  <w:pPr>
                    <w:widowControl w:val="0"/>
                    <w:spacing w:line="360" w:lineRule="auto"/>
                    <w:jc w:val="center"/>
                    <w:rPr>
                      <w:rFonts w:hint="default" w:ascii="Times New Roman" w:hAnsi="Times New Roman" w:cs="Times New Roman"/>
                      <w:color w:val="auto"/>
                      <w:sz w:val="21"/>
                      <w:szCs w:val="21"/>
                      <w:u w:val="single"/>
                    </w:rPr>
                  </w:pPr>
                </w:p>
              </w:tc>
              <w:tc>
                <w:tcPr>
                  <w:tcW w:w="1198" w:type="pct"/>
                  <w:tcBorders>
                    <w:top w:val="single" w:color="auto" w:sz="4" w:space="0"/>
                    <w:left w:val="single" w:color="auto" w:sz="4" w:space="0"/>
                    <w:bottom w:val="single" w:color="auto" w:sz="4" w:space="0"/>
                    <w:right w:val="single" w:color="auto" w:sz="4" w:space="0"/>
                  </w:tcBorders>
                  <w:vAlign w:val="center"/>
                </w:tcPr>
                <w:p w14:paraId="3225550E">
                  <w:pPr>
                    <w:widowControl w:val="0"/>
                    <w:adjustRightInd w:val="0"/>
                    <w:snapToGrid w:val="0"/>
                    <w:spacing w:line="360" w:lineRule="auto"/>
                    <w:jc w:val="center"/>
                    <w:rPr>
                      <w:rFonts w:hint="default" w:ascii="Times New Roman" w:hAnsi="Times New Roman" w:cs="Times New Roman"/>
                      <w:color w:val="auto"/>
                      <w:sz w:val="21"/>
                      <w:szCs w:val="21"/>
                      <w:u w:val="single"/>
                    </w:rPr>
                  </w:pPr>
                  <w:bookmarkStart w:id="47" w:name="_Toc451927685"/>
                  <w:bookmarkStart w:id="48" w:name="_Toc445330674"/>
                  <w:bookmarkStart w:id="49" w:name="_Toc401170694"/>
                  <w:bookmarkStart w:id="50" w:name="_Toc451927492"/>
                  <w:bookmarkStart w:id="51" w:name="_Toc14855"/>
                  <w:r>
                    <w:rPr>
                      <w:rFonts w:hint="default" w:ascii="Times New Roman" w:hAnsi="Times New Roman" w:cs="Times New Roman"/>
                      <w:color w:val="auto"/>
                      <w:kern w:val="2"/>
                      <w:sz w:val="21"/>
                      <w:szCs w:val="21"/>
                      <w:u w:val="single"/>
                      <w:lang w:bidi="ar"/>
                    </w:rPr>
                    <w:t>出水</w:t>
                  </w:r>
                  <w:bookmarkEnd w:id="47"/>
                  <w:bookmarkEnd w:id="48"/>
                  <w:bookmarkEnd w:id="49"/>
                  <w:bookmarkEnd w:id="50"/>
                  <w:bookmarkEnd w:id="51"/>
                </w:p>
              </w:tc>
              <w:tc>
                <w:tcPr>
                  <w:tcW w:w="1122" w:type="pct"/>
                  <w:tcBorders>
                    <w:top w:val="single" w:color="auto" w:sz="4" w:space="0"/>
                    <w:left w:val="single" w:color="auto" w:sz="4" w:space="0"/>
                    <w:bottom w:val="single" w:color="auto" w:sz="4" w:space="0"/>
                    <w:right w:val="single" w:color="auto" w:sz="4" w:space="0"/>
                  </w:tcBorders>
                  <w:vAlign w:val="center"/>
                </w:tcPr>
                <w:p w14:paraId="4346904B">
                  <w:pPr>
                    <w:widowControl w:val="0"/>
                    <w:adjustRightInd w:val="0"/>
                    <w:snapToGrid w:val="0"/>
                    <w:spacing w:line="360" w:lineRule="auto"/>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272</w:t>
                  </w:r>
                </w:p>
              </w:tc>
              <w:tc>
                <w:tcPr>
                  <w:tcW w:w="1278" w:type="pct"/>
                  <w:tcBorders>
                    <w:top w:val="single" w:color="auto" w:sz="4" w:space="0"/>
                    <w:left w:val="single" w:color="auto" w:sz="4" w:space="0"/>
                    <w:bottom w:val="single" w:color="auto" w:sz="4" w:space="0"/>
                    <w:right w:val="single" w:color="auto" w:sz="4" w:space="0"/>
                  </w:tcBorders>
                  <w:vAlign w:val="center"/>
                </w:tcPr>
                <w:p w14:paraId="50792FE1">
                  <w:pPr>
                    <w:widowControl w:val="0"/>
                    <w:adjustRightInd w:val="0"/>
                    <w:snapToGrid w:val="0"/>
                    <w:spacing w:line="360" w:lineRule="auto"/>
                    <w:jc w:val="center"/>
                    <w:textAlignment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16</w:t>
                  </w:r>
                </w:p>
              </w:tc>
            </w:tr>
            <w:tr w14:paraId="41565F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0" w:type="pct"/>
                  <w:vMerge w:val="continue"/>
                  <w:tcBorders>
                    <w:top w:val="single" w:color="auto" w:sz="4" w:space="0"/>
                    <w:left w:val="single" w:color="auto" w:sz="12" w:space="0"/>
                    <w:bottom w:val="single" w:color="auto" w:sz="4" w:space="0"/>
                    <w:right w:val="single" w:color="auto" w:sz="4" w:space="0"/>
                  </w:tcBorders>
                  <w:vAlign w:val="center"/>
                </w:tcPr>
                <w:p w14:paraId="426B4338">
                  <w:pPr>
                    <w:widowControl w:val="0"/>
                    <w:spacing w:line="360" w:lineRule="auto"/>
                    <w:jc w:val="center"/>
                    <w:rPr>
                      <w:rFonts w:hint="default" w:ascii="Times New Roman" w:hAnsi="Times New Roman" w:cs="Times New Roman"/>
                      <w:color w:val="auto"/>
                      <w:sz w:val="21"/>
                      <w:szCs w:val="21"/>
                      <w:u w:val="single"/>
                    </w:rPr>
                  </w:pPr>
                </w:p>
              </w:tc>
              <w:tc>
                <w:tcPr>
                  <w:tcW w:w="1198" w:type="pct"/>
                  <w:tcBorders>
                    <w:top w:val="single" w:color="auto" w:sz="4" w:space="0"/>
                    <w:left w:val="single" w:color="auto" w:sz="4" w:space="0"/>
                    <w:bottom w:val="single" w:color="auto" w:sz="4" w:space="0"/>
                    <w:right w:val="single" w:color="auto" w:sz="4" w:space="0"/>
                  </w:tcBorders>
                  <w:vAlign w:val="center"/>
                </w:tcPr>
                <w:p w14:paraId="3B87F2EA">
                  <w:pPr>
                    <w:widowControl w:val="0"/>
                    <w:adjustRightInd w:val="0"/>
                    <w:snapToGrid w:val="0"/>
                    <w:spacing w:line="360" w:lineRule="auto"/>
                    <w:jc w:val="center"/>
                    <w:rPr>
                      <w:rFonts w:hint="default" w:ascii="Times New Roman" w:hAnsi="Times New Roman" w:cs="Times New Roman"/>
                      <w:color w:val="auto"/>
                      <w:sz w:val="21"/>
                      <w:szCs w:val="21"/>
                      <w:u w:val="single"/>
                    </w:rPr>
                  </w:pPr>
                  <w:bookmarkStart w:id="52" w:name="_Toc445330679"/>
                  <w:bookmarkStart w:id="53" w:name="_Toc28997"/>
                  <w:bookmarkStart w:id="54" w:name="_Toc401170699"/>
                  <w:bookmarkStart w:id="55" w:name="_Toc451927498"/>
                  <w:bookmarkStart w:id="56" w:name="_Toc451927691"/>
                  <w:bookmarkStart w:id="57" w:name="_Toc384596832"/>
                  <w:bookmarkStart w:id="58" w:name="_Toc20580"/>
                  <w:bookmarkStart w:id="59" w:name="_Toc387750368"/>
                  <w:bookmarkStart w:id="60" w:name="_Toc392454296"/>
                  <w:r>
                    <w:rPr>
                      <w:rFonts w:hint="default" w:ascii="Times New Roman" w:hAnsi="Times New Roman" w:cs="Times New Roman"/>
                      <w:color w:val="auto"/>
                      <w:sz w:val="21"/>
                      <w:szCs w:val="21"/>
                      <w:u w:val="single"/>
                    </w:rPr>
                    <w:t>去除率</w:t>
                  </w:r>
                  <w:bookmarkEnd w:id="52"/>
                  <w:bookmarkEnd w:id="53"/>
                  <w:bookmarkEnd w:id="54"/>
                  <w:bookmarkEnd w:id="55"/>
                  <w:bookmarkEnd w:id="56"/>
                </w:p>
              </w:tc>
              <w:tc>
                <w:tcPr>
                  <w:tcW w:w="1122" w:type="pct"/>
                  <w:tcBorders>
                    <w:top w:val="single" w:color="auto" w:sz="4" w:space="0"/>
                    <w:left w:val="single" w:color="auto" w:sz="4" w:space="0"/>
                    <w:bottom w:val="single" w:color="auto" w:sz="4" w:space="0"/>
                    <w:right w:val="single" w:color="auto" w:sz="4" w:space="0"/>
                  </w:tcBorders>
                  <w:vAlign w:val="center"/>
                </w:tcPr>
                <w:p w14:paraId="2F0E1495">
                  <w:pPr>
                    <w:widowControl w:val="0"/>
                    <w:adjustRightInd w:val="0"/>
                    <w:snapToGrid w:val="0"/>
                    <w:spacing w:line="360" w:lineRule="auto"/>
                    <w:jc w:val="center"/>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68%</w:t>
                  </w:r>
                </w:p>
              </w:tc>
              <w:tc>
                <w:tcPr>
                  <w:tcW w:w="1278" w:type="pct"/>
                  <w:tcBorders>
                    <w:top w:val="single" w:color="auto" w:sz="4" w:space="0"/>
                    <w:left w:val="single" w:color="auto" w:sz="4" w:space="0"/>
                    <w:bottom w:val="single" w:color="auto" w:sz="4" w:space="0"/>
                    <w:right w:val="single" w:color="auto" w:sz="4" w:space="0"/>
                  </w:tcBorders>
                  <w:vAlign w:val="center"/>
                </w:tcPr>
                <w:p w14:paraId="6220D1CF">
                  <w:pPr>
                    <w:widowControl w:val="0"/>
                    <w:adjustRightInd w:val="0"/>
                    <w:snapToGrid w:val="0"/>
                    <w:spacing w:line="360" w:lineRule="auto"/>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80%</w:t>
                  </w:r>
                </w:p>
                <w:bookmarkEnd w:id="57"/>
                <w:bookmarkEnd w:id="58"/>
                <w:bookmarkEnd w:id="59"/>
              </w:tc>
            </w:tr>
            <w:bookmarkEnd w:id="60"/>
            <w:tr w14:paraId="2D1DC2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0" w:type="pct"/>
                  <w:vMerge w:val="restart"/>
                  <w:tcBorders>
                    <w:top w:val="single" w:color="auto" w:sz="4" w:space="0"/>
                    <w:left w:val="single" w:color="auto" w:sz="12" w:space="0"/>
                    <w:bottom w:val="single" w:color="auto" w:sz="4" w:space="0"/>
                    <w:right w:val="single" w:color="auto" w:sz="4" w:space="0"/>
                  </w:tcBorders>
                  <w:vAlign w:val="center"/>
                </w:tcPr>
                <w:p w14:paraId="4A6F4C37">
                  <w:pPr>
                    <w:widowControl w:val="0"/>
                    <w:adjustRightInd w:val="0"/>
                    <w:snapToGrid w:val="0"/>
                    <w:spacing w:line="360" w:lineRule="auto"/>
                    <w:jc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2"/>
                      <w:sz w:val="21"/>
                      <w:szCs w:val="21"/>
                      <w:u w:val="single"/>
                      <w:lang w:bidi="ar"/>
                    </w:rPr>
                    <w:t>MVR</w:t>
                  </w:r>
                </w:p>
              </w:tc>
              <w:tc>
                <w:tcPr>
                  <w:tcW w:w="1198" w:type="pct"/>
                  <w:tcBorders>
                    <w:top w:val="single" w:color="auto" w:sz="4" w:space="0"/>
                    <w:left w:val="single" w:color="auto" w:sz="4" w:space="0"/>
                    <w:bottom w:val="single" w:color="auto" w:sz="4" w:space="0"/>
                    <w:right w:val="single" w:color="auto" w:sz="4" w:space="0"/>
                  </w:tcBorders>
                  <w:vAlign w:val="center"/>
                </w:tcPr>
                <w:p w14:paraId="0F520072">
                  <w:pPr>
                    <w:widowControl w:val="0"/>
                    <w:adjustRightInd w:val="0"/>
                    <w:snapToGrid w:val="0"/>
                    <w:spacing w:line="360" w:lineRule="auto"/>
                    <w:jc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2"/>
                      <w:sz w:val="21"/>
                      <w:szCs w:val="21"/>
                      <w:u w:val="single"/>
                      <w:lang w:bidi="ar"/>
                    </w:rPr>
                    <w:t>进水</w:t>
                  </w:r>
                </w:p>
              </w:tc>
              <w:tc>
                <w:tcPr>
                  <w:tcW w:w="1122" w:type="pct"/>
                  <w:tcBorders>
                    <w:top w:val="single" w:color="auto" w:sz="4" w:space="0"/>
                    <w:left w:val="single" w:color="auto" w:sz="4" w:space="0"/>
                    <w:bottom w:val="single" w:color="auto" w:sz="4" w:space="0"/>
                    <w:right w:val="single" w:color="auto" w:sz="4" w:space="0"/>
                  </w:tcBorders>
                  <w:vAlign w:val="center"/>
                </w:tcPr>
                <w:p w14:paraId="64CA3722">
                  <w:pPr>
                    <w:widowControl w:val="0"/>
                    <w:adjustRightInd w:val="0"/>
                    <w:snapToGrid w:val="0"/>
                    <w:spacing w:line="360" w:lineRule="auto"/>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272</w:t>
                  </w:r>
                </w:p>
              </w:tc>
              <w:tc>
                <w:tcPr>
                  <w:tcW w:w="1278" w:type="pct"/>
                  <w:tcBorders>
                    <w:top w:val="single" w:color="auto" w:sz="4" w:space="0"/>
                    <w:left w:val="single" w:color="auto" w:sz="4" w:space="0"/>
                    <w:bottom w:val="single" w:color="auto" w:sz="4" w:space="0"/>
                    <w:right w:val="single" w:color="auto" w:sz="4" w:space="0"/>
                  </w:tcBorders>
                  <w:vAlign w:val="center"/>
                </w:tcPr>
                <w:p w14:paraId="6A104CFB">
                  <w:pPr>
                    <w:widowControl w:val="0"/>
                    <w:adjustRightInd w:val="0"/>
                    <w:snapToGrid w:val="0"/>
                    <w:spacing w:line="360" w:lineRule="auto"/>
                    <w:jc w:val="center"/>
                    <w:textAlignment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16</w:t>
                  </w:r>
                </w:p>
              </w:tc>
            </w:tr>
            <w:tr w14:paraId="13205F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0" w:type="pct"/>
                  <w:vMerge w:val="continue"/>
                  <w:tcBorders>
                    <w:top w:val="single" w:color="auto" w:sz="4" w:space="0"/>
                    <w:left w:val="single" w:color="auto" w:sz="12" w:space="0"/>
                    <w:bottom w:val="single" w:color="auto" w:sz="4" w:space="0"/>
                    <w:right w:val="single" w:color="auto" w:sz="4" w:space="0"/>
                  </w:tcBorders>
                  <w:vAlign w:val="center"/>
                </w:tcPr>
                <w:p w14:paraId="086B9B10">
                  <w:pPr>
                    <w:widowControl w:val="0"/>
                    <w:spacing w:line="360" w:lineRule="auto"/>
                    <w:jc w:val="center"/>
                    <w:rPr>
                      <w:rFonts w:hint="default" w:ascii="Times New Roman" w:hAnsi="Times New Roman" w:cs="Times New Roman"/>
                      <w:color w:val="auto"/>
                      <w:sz w:val="21"/>
                      <w:szCs w:val="21"/>
                      <w:u w:val="single"/>
                    </w:rPr>
                  </w:pPr>
                </w:p>
              </w:tc>
              <w:tc>
                <w:tcPr>
                  <w:tcW w:w="1198" w:type="pct"/>
                  <w:tcBorders>
                    <w:top w:val="single" w:color="auto" w:sz="4" w:space="0"/>
                    <w:left w:val="single" w:color="auto" w:sz="4" w:space="0"/>
                    <w:bottom w:val="single" w:color="auto" w:sz="4" w:space="0"/>
                    <w:right w:val="single" w:color="auto" w:sz="4" w:space="0"/>
                  </w:tcBorders>
                  <w:vAlign w:val="center"/>
                </w:tcPr>
                <w:p w14:paraId="18FB01F5">
                  <w:pPr>
                    <w:widowControl w:val="0"/>
                    <w:adjustRightInd w:val="0"/>
                    <w:snapToGrid w:val="0"/>
                    <w:spacing w:line="360" w:lineRule="auto"/>
                    <w:jc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2"/>
                      <w:sz w:val="21"/>
                      <w:szCs w:val="21"/>
                      <w:u w:val="single"/>
                      <w:lang w:bidi="ar"/>
                    </w:rPr>
                    <w:t>出水</w:t>
                  </w:r>
                </w:p>
              </w:tc>
              <w:tc>
                <w:tcPr>
                  <w:tcW w:w="1122" w:type="pct"/>
                  <w:tcBorders>
                    <w:top w:val="single" w:color="auto" w:sz="4" w:space="0"/>
                    <w:left w:val="single" w:color="auto" w:sz="4" w:space="0"/>
                    <w:bottom w:val="single" w:color="auto" w:sz="4" w:space="0"/>
                    <w:right w:val="single" w:color="auto" w:sz="4" w:space="0"/>
                  </w:tcBorders>
                  <w:vAlign w:val="center"/>
                </w:tcPr>
                <w:p w14:paraId="2E7B0AC9">
                  <w:pPr>
                    <w:widowControl w:val="0"/>
                    <w:adjustRightInd w:val="0"/>
                    <w:snapToGrid w:val="0"/>
                    <w:spacing w:line="360" w:lineRule="auto"/>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27.2</w:t>
                  </w:r>
                </w:p>
              </w:tc>
              <w:tc>
                <w:tcPr>
                  <w:tcW w:w="1278" w:type="pct"/>
                  <w:tcBorders>
                    <w:top w:val="single" w:color="auto" w:sz="4" w:space="0"/>
                    <w:left w:val="single" w:color="auto" w:sz="4" w:space="0"/>
                    <w:bottom w:val="single" w:color="auto" w:sz="4" w:space="0"/>
                    <w:right w:val="single" w:color="auto" w:sz="4" w:space="0"/>
                  </w:tcBorders>
                  <w:vAlign w:val="center"/>
                </w:tcPr>
                <w:p w14:paraId="0AD3A9BB">
                  <w:pPr>
                    <w:widowControl w:val="0"/>
                    <w:adjustRightInd w:val="0"/>
                    <w:snapToGrid w:val="0"/>
                    <w:spacing w:line="360" w:lineRule="auto"/>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16</w:t>
                  </w:r>
                </w:p>
              </w:tc>
            </w:tr>
            <w:tr w14:paraId="0D2B71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0" w:type="pct"/>
                  <w:vMerge w:val="continue"/>
                  <w:tcBorders>
                    <w:top w:val="single" w:color="auto" w:sz="4" w:space="0"/>
                    <w:left w:val="single" w:color="auto" w:sz="12" w:space="0"/>
                    <w:bottom w:val="single" w:color="auto" w:sz="4" w:space="0"/>
                    <w:right w:val="single" w:color="auto" w:sz="4" w:space="0"/>
                  </w:tcBorders>
                  <w:vAlign w:val="center"/>
                </w:tcPr>
                <w:p w14:paraId="69657557">
                  <w:pPr>
                    <w:widowControl w:val="0"/>
                    <w:spacing w:line="360" w:lineRule="auto"/>
                    <w:jc w:val="center"/>
                    <w:rPr>
                      <w:rFonts w:hint="default" w:ascii="Times New Roman" w:hAnsi="Times New Roman" w:cs="Times New Roman"/>
                      <w:color w:val="auto"/>
                      <w:sz w:val="21"/>
                      <w:szCs w:val="21"/>
                      <w:u w:val="single"/>
                    </w:rPr>
                  </w:pPr>
                </w:p>
              </w:tc>
              <w:tc>
                <w:tcPr>
                  <w:tcW w:w="1198" w:type="pct"/>
                  <w:tcBorders>
                    <w:top w:val="single" w:color="auto" w:sz="4" w:space="0"/>
                    <w:left w:val="single" w:color="auto" w:sz="4" w:space="0"/>
                    <w:bottom w:val="single" w:color="auto" w:sz="4" w:space="0"/>
                    <w:right w:val="single" w:color="auto" w:sz="4" w:space="0"/>
                  </w:tcBorders>
                  <w:vAlign w:val="center"/>
                </w:tcPr>
                <w:p w14:paraId="3B923A2E">
                  <w:pPr>
                    <w:widowControl w:val="0"/>
                    <w:adjustRightInd w:val="0"/>
                    <w:snapToGrid w:val="0"/>
                    <w:spacing w:line="360" w:lineRule="auto"/>
                    <w:jc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2"/>
                      <w:sz w:val="21"/>
                      <w:szCs w:val="21"/>
                      <w:u w:val="single"/>
                      <w:lang w:bidi="ar"/>
                    </w:rPr>
                    <w:t>去除率</w:t>
                  </w:r>
                </w:p>
              </w:tc>
              <w:tc>
                <w:tcPr>
                  <w:tcW w:w="1122" w:type="pct"/>
                  <w:tcBorders>
                    <w:top w:val="single" w:color="auto" w:sz="4" w:space="0"/>
                    <w:left w:val="single" w:color="auto" w:sz="4" w:space="0"/>
                    <w:bottom w:val="single" w:color="auto" w:sz="4" w:space="0"/>
                    <w:right w:val="single" w:color="auto" w:sz="4" w:space="0"/>
                  </w:tcBorders>
                  <w:vAlign w:val="center"/>
                </w:tcPr>
                <w:p w14:paraId="656511E5">
                  <w:pPr>
                    <w:widowControl w:val="0"/>
                    <w:adjustRightInd w:val="0"/>
                    <w:snapToGrid w:val="0"/>
                    <w:spacing w:line="360" w:lineRule="auto"/>
                    <w:jc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2"/>
                      <w:sz w:val="21"/>
                      <w:szCs w:val="21"/>
                      <w:u w:val="single"/>
                      <w:lang w:bidi="ar"/>
                    </w:rPr>
                    <w:t>&gt;9</w:t>
                  </w:r>
                  <w:r>
                    <w:rPr>
                      <w:rFonts w:hint="default" w:ascii="Times New Roman" w:hAnsi="Times New Roman" w:cs="Times New Roman"/>
                      <w:color w:val="auto"/>
                      <w:kern w:val="2"/>
                      <w:sz w:val="21"/>
                      <w:szCs w:val="21"/>
                      <w:u w:val="single"/>
                      <w:lang w:val="en-US" w:eastAsia="zh-CN" w:bidi="ar"/>
                    </w:rPr>
                    <w:t>0</w:t>
                  </w:r>
                  <w:r>
                    <w:rPr>
                      <w:rFonts w:hint="default" w:ascii="Times New Roman" w:hAnsi="Times New Roman" w:cs="Times New Roman"/>
                      <w:color w:val="auto"/>
                      <w:kern w:val="2"/>
                      <w:sz w:val="21"/>
                      <w:szCs w:val="21"/>
                      <w:u w:val="single"/>
                      <w:lang w:bidi="ar"/>
                    </w:rPr>
                    <w:t>%</w:t>
                  </w:r>
                </w:p>
              </w:tc>
              <w:tc>
                <w:tcPr>
                  <w:tcW w:w="1278" w:type="pct"/>
                  <w:tcBorders>
                    <w:top w:val="single" w:color="auto" w:sz="4" w:space="0"/>
                    <w:left w:val="single" w:color="auto" w:sz="4" w:space="0"/>
                    <w:bottom w:val="single" w:color="auto" w:sz="4" w:space="0"/>
                    <w:right w:val="single" w:color="auto" w:sz="4" w:space="0"/>
                  </w:tcBorders>
                  <w:vAlign w:val="center"/>
                </w:tcPr>
                <w:p w14:paraId="7D86FB20">
                  <w:pPr>
                    <w:widowControl w:val="0"/>
                    <w:adjustRightInd w:val="0"/>
                    <w:snapToGrid w:val="0"/>
                    <w:spacing w:line="360" w:lineRule="auto"/>
                    <w:jc w:val="center"/>
                    <w:rPr>
                      <w:rFonts w:hint="eastAsia" w:ascii="Times New Roman" w:hAnsi="Times New Roman" w:eastAsia="宋体" w:cs="Times New Roman"/>
                      <w:color w:val="auto"/>
                      <w:sz w:val="21"/>
                      <w:szCs w:val="21"/>
                      <w:u w:val="single"/>
                      <w:lang w:eastAsia="zh-CN"/>
                    </w:rPr>
                  </w:pPr>
                  <w:r>
                    <w:rPr>
                      <w:rFonts w:hint="eastAsia" w:ascii="Times New Roman" w:hAnsi="Times New Roman" w:cs="Times New Roman"/>
                      <w:color w:val="auto"/>
                      <w:kern w:val="2"/>
                      <w:sz w:val="21"/>
                      <w:szCs w:val="21"/>
                      <w:u w:val="single"/>
                      <w:lang w:val="en-US" w:eastAsia="zh-CN" w:bidi="ar"/>
                    </w:rPr>
                    <w:t>0</w:t>
                  </w:r>
                </w:p>
              </w:tc>
            </w:tr>
            <w:tr w14:paraId="0A22F7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0" w:type="pct"/>
                  <w:vMerge w:val="restart"/>
                  <w:tcBorders>
                    <w:top w:val="single" w:color="auto" w:sz="4" w:space="0"/>
                    <w:left w:val="single" w:color="auto" w:sz="12" w:space="0"/>
                    <w:bottom w:val="single" w:color="auto" w:sz="4" w:space="0"/>
                    <w:right w:val="single" w:color="auto" w:sz="4" w:space="0"/>
                  </w:tcBorders>
                  <w:vAlign w:val="center"/>
                </w:tcPr>
                <w:p w14:paraId="194032BD">
                  <w:pPr>
                    <w:widowControl w:val="0"/>
                    <w:adjustRightInd w:val="0"/>
                    <w:snapToGrid w:val="0"/>
                    <w:spacing w:line="360" w:lineRule="auto"/>
                    <w:jc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2"/>
                      <w:sz w:val="21"/>
                      <w:szCs w:val="21"/>
                      <w:u w:val="single"/>
                      <w:lang w:bidi="ar"/>
                    </w:rPr>
                    <w:t>生化处理（A/O）</w:t>
                  </w:r>
                </w:p>
              </w:tc>
              <w:tc>
                <w:tcPr>
                  <w:tcW w:w="1198" w:type="pct"/>
                  <w:tcBorders>
                    <w:top w:val="single" w:color="auto" w:sz="4" w:space="0"/>
                    <w:left w:val="single" w:color="auto" w:sz="4" w:space="0"/>
                    <w:bottom w:val="single" w:color="auto" w:sz="4" w:space="0"/>
                    <w:right w:val="single" w:color="auto" w:sz="4" w:space="0"/>
                  </w:tcBorders>
                  <w:vAlign w:val="center"/>
                </w:tcPr>
                <w:p w14:paraId="4CF047B0">
                  <w:pPr>
                    <w:widowControl w:val="0"/>
                    <w:adjustRightInd w:val="0"/>
                    <w:snapToGrid w:val="0"/>
                    <w:spacing w:line="360" w:lineRule="auto"/>
                    <w:jc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2"/>
                      <w:sz w:val="21"/>
                      <w:szCs w:val="21"/>
                      <w:u w:val="single"/>
                      <w:lang w:bidi="ar"/>
                    </w:rPr>
                    <w:t>进水</w:t>
                  </w:r>
                </w:p>
              </w:tc>
              <w:tc>
                <w:tcPr>
                  <w:tcW w:w="2016" w:type="dxa"/>
                  <w:tcBorders>
                    <w:top w:val="single" w:color="auto" w:sz="4" w:space="0"/>
                    <w:left w:val="single" w:color="auto" w:sz="4" w:space="0"/>
                    <w:bottom w:val="single" w:color="auto" w:sz="4" w:space="0"/>
                    <w:right w:val="single" w:color="auto" w:sz="4" w:space="0"/>
                  </w:tcBorders>
                  <w:vAlign w:val="center"/>
                </w:tcPr>
                <w:p w14:paraId="36E20A2C">
                  <w:pPr>
                    <w:widowControl w:val="0"/>
                    <w:adjustRightInd w:val="0"/>
                    <w:snapToGrid w:val="0"/>
                    <w:spacing w:line="360" w:lineRule="auto"/>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27.2</w:t>
                  </w:r>
                </w:p>
              </w:tc>
              <w:tc>
                <w:tcPr>
                  <w:tcW w:w="2296" w:type="dxa"/>
                  <w:tcBorders>
                    <w:top w:val="single" w:color="auto" w:sz="4" w:space="0"/>
                    <w:left w:val="single" w:color="auto" w:sz="4" w:space="0"/>
                    <w:bottom w:val="single" w:color="auto" w:sz="4" w:space="0"/>
                    <w:right w:val="single" w:color="auto" w:sz="4" w:space="0"/>
                  </w:tcBorders>
                  <w:vAlign w:val="center"/>
                </w:tcPr>
                <w:p w14:paraId="4C70E192">
                  <w:pPr>
                    <w:widowControl w:val="0"/>
                    <w:adjustRightInd w:val="0"/>
                    <w:snapToGrid w:val="0"/>
                    <w:spacing w:line="360" w:lineRule="auto"/>
                    <w:jc w:val="center"/>
                    <w:rPr>
                      <w:rFonts w:hint="default" w:ascii="Times New Roman" w:hAnsi="Times New Roman" w:cs="Times New Roman"/>
                      <w:color w:val="auto"/>
                      <w:sz w:val="21"/>
                      <w:szCs w:val="21"/>
                      <w:u w:val="single"/>
                    </w:rPr>
                  </w:pPr>
                  <w:r>
                    <w:rPr>
                      <w:rFonts w:hint="eastAsia" w:ascii="Times New Roman" w:hAnsi="Times New Roman" w:cs="Times New Roman"/>
                      <w:color w:val="auto"/>
                      <w:sz w:val="21"/>
                      <w:szCs w:val="21"/>
                      <w:u w:val="single"/>
                      <w:lang w:val="en-US" w:eastAsia="zh-CN"/>
                    </w:rPr>
                    <w:t>16</w:t>
                  </w:r>
                </w:p>
              </w:tc>
            </w:tr>
            <w:tr w14:paraId="2028CC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0" w:type="pct"/>
                  <w:vMerge w:val="continue"/>
                  <w:tcBorders>
                    <w:top w:val="single" w:color="auto" w:sz="4" w:space="0"/>
                    <w:left w:val="single" w:color="auto" w:sz="12" w:space="0"/>
                    <w:bottom w:val="single" w:color="auto" w:sz="4" w:space="0"/>
                    <w:right w:val="single" w:color="auto" w:sz="4" w:space="0"/>
                  </w:tcBorders>
                  <w:vAlign w:val="center"/>
                </w:tcPr>
                <w:p w14:paraId="52C808C7">
                  <w:pPr>
                    <w:widowControl w:val="0"/>
                    <w:spacing w:line="360" w:lineRule="auto"/>
                    <w:jc w:val="center"/>
                    <w:rPr>
                      <w:rFonts w:hint="default" w:ascii="Times New Roman" w:hAnsi="Times New Roman" w:cs="Times New Roman"/>
                      <w:color w:val="auto"/>
                      <w:sz w:val="21"/>
                      <w:szCs w:val="21"/>
                      <w:u w:val="single"/>
                    </w:rPr>
                  </w:pPr>
                </w:p>
              </w:tc>
              <w:tc>
                <w:tcPr>
                  <w:tcW w:w="1198" w:type="pct"/>
                  <w:tcBorders>
                    <w:top w:val="single" w:color="auto" w:sz="4" w:space="0"/>
                    <w:left w:val="single" w:color="auto" w:sz="4" w:space="0"/>
                    <w:bottom w:val="single" w:color="auto" w:sz="4" w:space="0"/>
                    <w:right w:val="single" w:color="auto" w:sz="4" w:space="0"/>
                  </w:tcBorders>
                  <w:vAlign w:val="center"/>
                </w:tcPr>
                <w:p w14:paraId="0002022E">
                  <w:pPr>
                    <w:widowControl w:val="0"/>
                    <w:adjustRightInd w:val="0"/>
                    <w:snapToGrid w:val="0"/>
                    <w:spacing w:line="360" w:lineRule="auto"/>
                    <w:jc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2"/>
                      <w:sz w:val="21"/>
                      <w:szCs w:val="21"/>
                      <w:u w:val="single"/>
                      <w:lang w:bidi="ar"/>
                    </w:rPr>
                    <w:t>出水</w:t>
                  </w:r>
                </w:p>
              </w:tc>
              <w:tc>
                <w:tcPr>
                  <w:tcW w:w="1122" w:type="pct"/>
                  <w:tcBorders>
                    <w:top w:val="single" w:color="auto" w:sz="4" w:space="0"/>
                    <w:left w:val="single" w:color="auto" w:sz="4" w:space="0"/>
                    <w:bottom w:val="single" w:color="auto" w:sz="4" w:space="0"/>
                    <w:right w:val="single" w:color="auto" w:sz="4" w:space="0"/>
                  </w:tcBorders>
                  <w:vAlign w:val="center"/>
                </w:tcPr>
                <w:p w14:paraId="49AEF775">
                  <w:pPr>
                    <w:widowControl w:val="0"/>
                    <w:adjustRightInd w:val="0"/>
                    <w:snapToGrid w:val="0"/>
                    <w:spacing w:line="360" w:lineRule="auto"/>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kern w:val="2"/>
                      <w:sz w:val="21"/>
                      <w:szCs w:val="21"/>
                      <w:u w:val="single"/>
                      <w:lang w:val="en-US" w:eastAsia="zh-CN" w:bidi="ar"/>
                    </w:rPr>
                    <w:t>13.6</w:t>
                  </w:r>
                </w:p>
              </w:tc>
              <w:tc>
                <w:tcPr>
                  <w:tcW w:w="1278" w:type="pct"/>
                  <w:tcBorders>
                    <w:top w:val="single" w:color="auto" w:sz="4" w:space="0"/>
                    <w:left w:val="single" w:color="auto" w:sz="4" w:space="0"/>
                    <w:bottom w:val="single" w:color="auto" w:sz="4" w:space="0"/>
                    <w:right w:val="single" w:color="auto" w:sz="4" w:space="0"/>
                  </w:tcBorders>
                  <w:vAlign w:val="center"/>
                </w:tcPr>
                <w:p w14:paraId="1B15E9A4">
                  <w:pPr>
                    <w:widowControl w:val="0"/>
                    <w:adjustRightInd w:val="0"/>
                    <w:snapToGrid w:val="0"/>
                    <w:spacing w:line="360" w:lineRule="auto"/>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kern w:val="2"/>
                      <w:sz w:val="21"/>
                      <w:szCs w:val="21"/>
                      <w:u w:val="single"/>
                      <w:lang w:val="en-US" w:eastAsia="zh-CN" w:bidi="ar"/>
                    </w:rPr>
                    <w:t>16</w:t>
                  </w:r>
                </w:p>
              </w:tc>
            </w:tr>
            <w:tr w14:paraId="219115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0" w:type="pct"/>
                  <w:vMerge w:val="continue"/>
                  <w:tcBorders>
                    <w:top w:val="single" w:color="auto" w:sz="4" w:space="0"/>
                    <w:left w:val="single" w:color="auto" w:sz="12" w:space="0"/>
                    <w:bottom w:val="single" w:color="auto" w:sz="4" w:space="0"/>
                    <w:right w:val="single" w:color="auto" w:sz="4" w:space="0"/>
                  </w:tcBorders>
                  <w:vAlign w:val="center"/>
                </w:tcPr>
                <w:p w14:paraId="09CEF9D5">
                  <w:pPr>
                    <w:widowControl w:val="0"/>
                    <w:spacing w:line="360" w:lineRule="auto"/>
                    <w:jc w:val="center"/>
                    <w:rPr>
                      <w:rFonts w:hint="default" w:ascii="Times New Roman" w:hAnsi="Times New Roman" w:cs="Times New Roman"/>
                      <w:color w:val="auto"/>
                      <w:sz w:val="21"/>
                      <w:szCs w:val="21"/>
                      <w:u w:val="single"/>
                    </w:rPr>
                  </w:pPr>
                </w:p>
              </w:tc>
              <w:tc>
                <w:tcPr>
                  <w:tcW w:w="1198" w:type="pct"/>
                  <w:tcBorders>
                    <w:top w:val="single" w:color="auto" w:sz="4" w:space="0"/>
                    <w:left w:val="single" w:color="auto" w:sz="4" w:space="0"/>
                    <w:bottom w:val="single" w:color="auto" w:sz="4" w:space="0"/>
                    <w:right w:val="single" w:color="auto" w:sz="4" w:space="0"/>
                  </w:tcBorders>
                  <w:vAlign w:val="center"/>
                </w:tcPr>
                <w:p w14:paraId="42C37BEA">
                  <w:pPr>
                    <w:widowControl w:val="0"/>
                    <w:adjustRightInd w:val="0"/>
                    <w:snapToGrid w:val="0"/>
                    <w:spacing w:line="360" w:lineRule="auto"/>
                    <w:jc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2"/>
                      <w:sz w:val="21"/>
                      <w:szCs w:val="21"/>
                      <w:u w:val="single"/>
                      <w:lang w:bidi="ar"/>
                    </w:rPr>
                    <w:t>去除率</w:t>
                  </w:r>
                </w:p>
              </w:tc>
              <w:tc>
                <w:tcPr>
                  <w:tcW w:w="1122" w:type="pct"/>
                  <w:tcBorders>
                    <w:top w:val="single" w:color="auto" w:sz="4" w:space="0"/>
                    <w:left w:val="single" w:color="auto" w:sz="4" w:space="0"/>
                    <w:bottom w:val="single" w:color="auto" w:sz="4" w:space="0"/>
                    <w:right w:val="single" w:color="auto" w:sz="4" w:space="0"/>
                  </w:tcBorders>
                  <w:vAlign w:val="center"/>
                </w:tcPr>
                <w:p w14:paraId="16850A02">
                  <w:pPr>
                    <w:widowControl w:val="0"/>
                    <w:adjustRightInd w:val="0"/>
                    <w:snapToGrid w:val="0"/>
                    <w:spacing w:line="360" w:lineRule="auto"/>
                    <w:jc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2"/>
                      <w:sz w:val="21"/>
                      <w:szCs w:val="21"/>
                      <w:u w:val="single"/>
                      <w:lang w:bidi="ar"/>
                    </w:rPr>
                    <w:t>50%</w:t>
                  </w:r>
                </w:p>
              </w:tc>
              <w:tc>
                <w:tcPr>
                  <w:tcW w:w="1278" w:type="pct"/>
                  <w:tcBorders>
                    <w:top w:val="single" w:color="auto" w:sz="4" w:space="0"/>
                    <w:left w:val="single" w:color="auto" w:sz="4" w:space="0"/>
                    <w:bottom w:val="single" w:color="auto" w:sz="4" w:space="0"/>
                    <w:right w:val="single" w:color="auto" w:sz="4" w:space="0"/>
                  </w:tcBorders>
                  <w:vAlign w:val="center"/>
                </w:tcPr>
                <w:p w14:paraId="2B96DCEA">
                  <w:pPr>
                    <w:widowControl w:val="0"/>
                    <w:adjustRightInd w:val="0"/>
                    <w:snapToGrid w:val="0"/>
                    <w:spacing w:line="360" w:lineRule="auto"/>
                    <w:jc w:val="center"/>
                    <w:rPr>
                      <w:rFonts w:hint="eastAsia" w:ascii="Times New Roman" w:hAnsi="Times New Roman" w:eastAsia="宋体" w:cs="Times New Roman"/>
                      <w:color w:val="auto"/>
                      <w:sz w:val="21"/>
                      <w:szCs w:val="21"/>
                      <w:u w:val="single"/>
                      <w:lang w:eastAsia="zh-CN"/>
                    </w:rPr>
                  </w:pPr>
                  <w:r>
                    <w:rPr>
                      <w:rFonts w:hint="eastAsia" w:ascii="Times New Roman" w:hAnsi="Times New Roman" w:cs="Times New Roman"/>
                      <w:color w:val="auto"/>
                      <w:kern w:val="2"/>
                      <w:sz w:val="21"/>
                      <w:szCs w:val="21"/>
                      <w:u w:val="single"/>
                      <w:lang w:val="en-US" w:eastAsia="zh-CN" w:bidi="ar"/>
                    </w:rPr>
                    <w:t>0</w:t>
                  </w:r>
                </w:p>
              </w:tc>
            </w:tr>
            <w:tr w14:paraId="217355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0" w:type="pct"/>
                  <w:tcBorders>
                    <w:top w:val="single" w:color="auto" w:sz="4" w:space="0"/>
                    <w:left w:val="single" w:color="auto" w:sz="12" w:space="0"/>
                    <w:bottom w:val="single" w:color="auto" w:sz="12" w:space="0"/>
                    <w:right w:val="single" w:color="auto" w:sz="4" w:space="0"/>
                  </w:tcBorders>
                  <w:vAlign w:val="center"/>
                </w:tcPr>
                <w:p w14:paraId="24C5C699">
                  <w:pPr>
                    <w:widowControl w:val="0"/>
                    <w:adjustRightInd w:val="0"/>
                    <w:snapToGrid w:val="0"/>
                    <w:spacing w:line="360" w:lineRule="auto"/>
                    <w:jc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2"/>
                      <w:sz w:val="21"/>
                      <w:szCs w:val="21"/>
                      <w:u w:val="single"/>
                      <w:lang w:bidi="ar"/>
                    </w:rPr>
                    <w:t>标准</w:t>
                  </w:r>
                </w:p>
              </w:tc>
              <w:tc>
                <w:tcPr>
                  <w:tcW w:w="1198" w:type="pct"/>
                  <w:tcBorders>
                    <w:top w:val="single" w:color="auto" w:sz="4" w:space="0"/>
                    <w:left w:val="single" w:color="auto" w:sz="4" w:space="0"/>
                    <w:bottom w:val="single" w:color="auto" w:sz="12" w:space="0"/>
                    <w:right w:val="single" w:color="auto" w:sz="4" w:space="0"/>
                  </w:tcBorders>
                  <w:vAlign w:val="center"/>
                </w:tcPr>
                <w:p w14:paraId="552C3258">
                  <w:pPr>
                    <w:widowControl w:val="0"/>
                    <w:adjustRightInd w:val="0"/>
                    <w:snapToGrid w:val="0"/>
                    <w:spacing w:line="360" w:lineRule="auto"/>
                    <w:jc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2"/>
                      <w:sz w:val="21"/>
                      <w:szCs w:val="21"/>
                      <w:u w:val="single"/>
                      <w:lang w:bidi="ar"/>
                    </w:rPr>
                    <w:t>/</w:t>
                  </w:r>
                </w:p>
              </w:tc>
              <w:tc>
                <w:tcPr>
                  <w:tcW w:w="1122" w:type="pct"/>
                  <w:tcBorders>
                    <w:top w:val="single" w:color="auto" w:sz="4" w:space="0"/>
                    <w:left w:val="single" w:color="auto" w:sz="4" w:space="0"/>
                    <w:bottom w:val="single" w:color="auto" w:sz="12" w:space="0"/>
                    <w:right w:val="single" w:color="auto" w:sz="4" w:space="0"/>
                  </w:tcBorders>
                  <w:vAlign w:val="center"/>
                </w:tcPr>
                <w:p w14:paraId="70EB19D4">
                  <w:pPr>
                    <w:widowControl w:val="0"/>
                    <w:adjustRightInd w:val="0"/>
                    <w:snapToGrid w:val="0"/>
                    <w:spacing w:line="360" w:lineRule="auto"/>
                    <w:jc w:val="center"/>
                    <w:rPr>
                      <w:rFonts w:hint="default" w:ascii="Times New Roman" w:hAnsi="Times New Roman" w:cs="Times New Roman"/>
                      <w:color w:val="auto"/>
                      <w:sz w:val="21"/>
                      <w:szCs w:val="21"/>
                      <w:u w:val="single"/>
                    </w:rPr>
                  </w:pPr>
                  <w:r>
                    <w:rPr>
                      <w:rFonts w:hint="default" w:ascii="Times New Roman" w:hAnsi="Times New Roman" w:cs="Times New Roman"/>
                      <w:color w:val="auto"/>
                      <w:kern w:val="2"/>
                      <w:sz w:val="21"/>
                      <w:szCs w:val="21"/>
                      <w:u w:val="single"/>
                      <w:lang w:bidi="ar"/>
                    </w:rPr>
                    <w:t>500</w:t>
                  </w:r>
                </w:p>
              </w:tc>
              <w:tc>
                <w:tcPr>
                  <w:tcW w:w="1278" w:type="pct"/>
                  <w:tcBorders>
                    <w:top w:val="single" w:color="auto" w:sz="4" w:space="0"/>
                    <w:left w:val="single" w:color="auto" w:sz="4" w:space="0"/>
                    <w:bottom w:val="single" w:color="auto" w:sz="12" w:space="0"/>
                    <w:right w:val="single" w:color="auto" w:sz="4" w:space="0"/>
                  </w:tcBorders>
                  <w:vAlign w:val="center"/>
                </w:tcPr>
                <w:p w14:paraId="41B0DD0D">
                  <w:pPr>
                    <w:widowControl w:val="0"/>
                    <w:adjustRightInd w:val="0"/>
                    <w:snapToGrid w:val="0"/>
                    <w:spacing w:line="360" w:lineRule="auto"/>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kern w:val="2"/>
                      <w:sz w:val="21"/>
                      <w:szCs w:val="21"/>
                      <w:u w:val="single"/>
                      <w:lang w:val="en-US" w:eastAsia="zh-CN" w:bidi="ar"/>
                    </w:rPr>
                    <w:t>400</w:t>
                  </w:r>
                </w:p>
              </w:tc>
            </w:tr>
          </w:tbl>
          <w:p w14:paraId="2ED70947">
            <w:pPr>
              <w:spacing w:line="360" w:lineRule="auto"/>
              <w:ind w:firstLine="480" w:firstLineChars="200"/>
              <w:jc w:val="both"/>
              <w:rPr>
                <w:rFonts w:hint="default" w:ascii="Times New Roman" w:hAnsi="Times New Roman" w:cs="Times New Roman"/>
                <w:color w:val="000000" w:themeColor="text1"/>
                <w:u w:val="single"/>
                <w14:textFill>
                  <w14:solidFill>
                    <w14:schemeClr w14:val="tx1"/>
                  </w14:solidFill>
                </w14:textFill>
              </w:rPr>
            </w:pPr>
            <w:r>
              <w:rPr>
                <w:rFonts w:hint="eastAsia" w:cs="Times New Roman"/>
                <w:color w:val="000000" w:themeColor="text1"/>
                <w:szCs w:val="28"/>
                <w:u w:val="single"/>
                <w:lang w:val="en-US" w:eastAsia="zh-CN" w:bidi="ar"/>
                <w14:textFill>
                  <w14:solidFill>
                    <w14:schemeClr w14:val="tx1"/>
                  </w14:solidFill>
                </w14:textFill>
              </w:rPr>
              <w:t>根据表4-13，本项目废水浓度满足丰联废水处理站进水浓度要求，经丰联废水处理站处理后，其出水浓度满足松木污水处理厂进水水质要求。从水质上来说，</w:t>
            </w:r>
            <w:r>
              <w:rPr>
                <w:rFonts w:hint="default" w:ascii="Times New Roman" w:hAnsi="Times New Roman" w:cs="Times New Roman"/>
                <w:snapToGrid w:val="0"/>
                <w:color w:val="000000" w:themeColor="text1"/>
                <w:kern w:val="28"/>
                <w:szCs w:val="24"/>
                <w:u w:val="single"/>
                <w:lang w:bidi="ar"/>
                <w14:textFill>
                  <w14:solidFill>
                    <w14:schemeClr w14:val="tx1"/>
                  </w14:solidFill>
                </w14:textFill>
              </w:rPr>
              <w:t>本项目</w:t>
            </w:r>
            <w:r>
              <w:rPr>
                <w:rFonts w:hint="eastAsia" w:cs="Times New Roman"/>
                <w:snapToGrid w:val="0"/>
                <w:color w:val="000000" w:themeColor="text1"/>
                <w:kern w:val="28"/>
                <w:szCs w:val="24"/>
                <w:u w:val="single"/>
                <w:lang w:eastAsia="zh-CN" w:bidi="ar"/>
                <w14:textFill>
                  <w14:solidFill>
                    <w14:schemeClr w14:val="tx1"/>
                  </w14:solidFill>
                </w14:textFill>
              </w:rPr>
              <w:t>化验</w:t>
            </w:r>
            <w:r>
              <w:rPr>
                <w:rFonts w:hint="default" w:ascii="Times New Roman" w:hAnsi="Times New Roman" w:cs="Times New Roman"/>
                <w:snapToGrid w:val="0"/>
                <w:color w:val="000000" w:themeColor="text1"/>
                <w:kern w:val="28"/>
                <w:szCs w:val="24"/>
                <w:u w:val="single"/>
                <w:lang w:bidi="ar"/>
                <w14:textFill>
                  <w14:solidFill>
                    <w14:schemeClr w14:val="tx1"/>
                  </w14:solidFill>
                </w14:textFill>
              </w:rPr>
              <w:t>废水排入丰联公司污水处理站是可行的。</w:t>
            </w:r>
          </w:p>
          <w:p w14:paraId="3EDE621A">
            <w:pPr>
              <w:wordWrap w:val="0"/>
              <w:topLinePunct/>
              <w:adjustRightInd w:val="0"/>
              <w:snapToGrid w:val="0"/>
              <w:spacing w:line="360" w:lineRule="auto"/>
              <w:ind w:firstLine="482" w:firstLineChars="200"/>
              <w:rPr>
                <w:b/>
                <w:kern w:val="0"/>
              </w:rPr>
            </w:pPr>
            <w:r>
              <w:rPr>
                <w:rFonts w:hint="eastAsia"/>
                <w:b/>
                <w:kern w:val="0"/>
              </w:rPr>
              <w:t>（</w:t>
            </w:r>
            <w:r>
              <w:rPr>
                <w:rFonts w:hint="eastAsia"/>
                <w:b/>
                <w:kern w:val="0"/>
                <w:lang w:val="en-US" w:eastAsia="zh-CN"/>
              </w:rPr>
              <w:t>3</w:t>
            </w:r>
            <w:r>
              <w:rPr>
                <w:rFonts w:hint="eastAsia"/>
                <w:b/>
                <w:kern w:val="0"/>
              </w:rPr>
              <w:t>）</w:t>
            </w:r>
            <w:r>
              <w:rPr>
                <w:b/>
                <w:kern w:val="0"/>
              </w:rPr>
              <w:t>依托</w:t>
            </w:r>
            <w:r>
              <w:rPr>
                <w:rFonts w:hint="eastAsia"/>
                <w:b/>
                <w:kern w:val="0"/>
              </w:rPr>
              <w:t>松木</w:t>
            </w:r>
            <w:r>
              <w:rPr>
                <w:b/>
                <w:kern w:val="0"/>
              </w:rPr>
              <w:t>污水处理厂处理的可行性分析</w:t>
            </w:r>
          </w:p>
          <w:p w14:paraId="5E9A37EE">
            <w:pPr>
              <w:wordWrap w:val="0"/>
              <w:topLinePunct/>
              <w:adjustRightInd w:val="0"/>
              <w:snapToGrid w:val="0"/>
              <w:spacing w:line="360" w:lineRule="auto"/>
              <w:ind w:firstLine="480" w:firstLineChars="200"/>
              <w:rPr>
                <w:bCs/>
                <w:kern w:val="0"/>
              </w:rPr>
            </w:pPr>
            <w:r>
              <w:rPr>
                <w:color w:val="000000" w:themeColor="text1"/>
                <w:kern w:val="0"/>
                <w14:textFill>
                  <w14:solidFill>
                    <w14:schemeClr w14:val="tx1"/>
                  </w14:solidFill>
                </w14:textFill>
              </w:rPr>
              <w:t>松木污水处理厂位于衡阳市石鼓区金源街道新竹社区（经开区以北），紧临湘江，工程占地约54.38亩，设计建设总规模6万t/d</w:t>
            </w:r>
            <w:r>
              <w:rPr>
                <w:bCs/>
                <w:kern w:val="0"/>
              </w:rPr>
              <w:t>，</w:t>
            </w:r>
            <w:r>
              <w:rPr>
                <w:color w:val="000000" w:themeColor="text1"/>
                <w14:textFill>
                  <w14:solidFill>
                    <w14:schemeClr w14:val="tx1"/>
                  </w14:solidFill>
                </w14:textFill>
              </w:rPr>
              <w:t>采用A/O强化工艺，污水收集范围为衡阳市松木经济开发区内各企业的生产废水、生活污水。污水进水水质执行《污水综合排放标准》（GB8978-1996）三级标准，出水水质执行《城镇污水处理厂污染物排放标准》（GB18918-2002）一级A标准后排入湘江</w:t>
            </w:r>
            <w:r>
              <w:rPr>
                <w:bCs/>
                <w:kern w:val="0"/>
              </w:rPr>
              <w:t>。</w:t>
            </w:r>
          </w:p>
          <w:p w14:paraId="0C87F45C">
            <w:pPr>
              <w:wordWrap w:val="0"/>
              <w:topLinePunct/>
              <w:adjustRightInd w:val="0"/>
              <w:snapToGrid w:val="0"/>
              <w:spacing w:line="360" w:lineRule="auto"/>
              <w:ind w:firstLine="480" w:firstLineChars="200"/>
              <w:rPr>
                <w:bCs/>
                <w:kern w:val="0"/>
              </w:rPr>
            </w:pPr>
            <w:r>
              <w:rPr>
                <w:bCs/>
                <w:kern w:val="0"/>
              </w:rPr>
              <w:t>本项目生活污水</w:t>
            </w:r>
            <w:r>
              <w:rPr>
                <w:rFonts w:hint="eastAsia"/>
                <w:bCs/>
                <w:kern w:val="0"/>
                <w:lang w:val="en-US" w:eastAsia="zh-CN"/>
              </w:rPr>
              <w:t>1.1</w:t>
            </w:r>
            <w:r>
              <w:rPr>
                <w:bCs/>
                <w:kern w:val="0"/>
              </w:rPr>
              <w:t>m</w:t>
            </w:r>
            <w:r>
              <w:rPr>
                <w:bCs/>
                <w:kern w:val="0"/>
                <w:vertAlign w:val="superscript"/>
              </w:rPr>
              <w:t>3</w:t>
            </w:r>
            <w:r>
              <w:rPr>
                <w:bCs/>
                <w:kern w:val="0"/>
              </w:rPr>
              <w:t>/d，经化粪池预处理后，其水质能满足污水厂进水标准</w:t>
            </w:r>
            <w:r>
              <w:rPr>
                <w:rFonts w:hint="eastAsia"/>
                <w:bCs/>
                <w:kern w:val="0"/>
                <w:lang w:eastAsia="zh-CN"/>
              </w:rPr>
              <w:t>，挤出冷却废水</w:t>
            </w:r>
            <w:r>
              <w:rPr>
                <w:rFonts w:hint="eastAsia"/>
                <w:bCs/>
                <w:kern w:val="0"/>
                <w:lang w:val="en-US" w:eastAsia="zh-CN"/>
              </w:rPr>
              <w:t>0.009</w:t>
            </w:r>
            <w:r>
              <w:rPr>
                <w:bCs/>
                <w:kern w:val="0"/>
              </w:rPr>
              <w:t>m</w:t>
            </w:r>
            <w:r>
              <w:rPr>
                <w:bCs/>
                <w:kern w:val="0"/>
                <w:vertAlign w:val="superscript"/>
              </w:rPr>
              <w:t>3</w:t>
            </w:r>
            <w:r>
              <w:rPr>
                <w:bCs/>
                <w:kern w:val="0"/>
              </w:rPr>
              <w:t>/d，</w:t>
            </w:r>
            <w:r>
              <w:rPr>
                <w:rFonts w:hint="eastAsia"/>
                <w:bCs/>
                <w:kern w:val="0"/>
                <w:lang w:eastAsia="zh-CN"/>
              </w:rPr>
              <w:t>化验废水</w:t>
            </w:r>
            <w:r>
              <w:rPr>
                <w:rFonts w:hint="eastAsia"/>
                <w:bCs/>
                <w:kern w:val="0"/>
                <w:lang w:val="en-US" w:eastAsia="zh-CN"/>
              </w:rPr>
              <w:t>0.05</w:t>
            </w:r>
            <w:r>
              <w:rPr>
                <w:bCs/>
                <w:kern w:val="0"/>
              </w:rPr>
              <w:t>m</w:t>
            </w:r>
            <w:r>
              <w:rPr>
                <w:bCs/>
                <w:kern w:val="0"/>
                <w:vertAlign w:val="superscript"/>
              </w:rPr>
              <w:t>3</w:t>
            </w:r>
            <w:r>
              <w:rPr>
                <w:bCs/>
                <w:kern w:val="0"/>
              </w:rPr>
              <w:t>/d，经</w:t>
            </w:r>
            <w:r>
              <w:rPr>
                <w:rFonts w:hint="eastAsia"/>
                <w:bCs/>
                <w:kern w:val="0"/>
                <w:lang w:eastAsia="zh-CN"/>
              </w:rPr>
              <w:t>丰联公司污水处理站</w:t>
            </w:r>
            <w:r>
              <w:rPr>
                <w:bCs/>
                <w:kern w:val="0"/>
              </w:rPr>
              <w:t>预处理后，其水质能满足污水厂进水标准。</w:t>
            </w:r>
            <w:r>
              <w:rPr>
                <w:color w:val="000000" w:themeColor="text1"/>
                <w14:textFill>
                  <w14:solidFill>
                    <w14:schemeClr w14:val="tx1"/>
                  </w14:solidFill>
                </w14:textFill>
              </w:rPr>
              <w:t>松木污水处理厂目前已建成1万m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color w:val="000000" w:themeColor="text1"/>
                <w:kern w:val="0"/>
                <w14:textFill>
                  <w14:solidFill>
                    <w14:schemeClr w14:val="tx1"/>
                  </w14:solidFill>
                </w14:textFill>
              </w:rPr>
              <w:t>，实际处理量</w:t>
            </w:r>
            <w:r>
              <w:rPr>
                <w:rFonts w:hint="eastAsia"/>
                <w:color w:val="000000" w:themeColor="text1"/>
                <w:kern w:val="0"/>
                <w:lang w:val="en-US" w:eastAsia="zh-CN"/>
                <w14:textFill>
                  <w14:solidFill>
                    <w14:schemeClr w14:val="tx1"/>
                  </w14:solidFill>
                </w14:textFill>
              </w:rPr>
              <w:t>7</w:t>
            </w:r>
            <w:r>
              <w:rPr>
                <w:color w:val="000000" w:themeColor="text1"/>
                <w:kern w:val="0"/>
                <w14:textFill>
                  <w14:solidFill>
                    <w14:schemeClr w14:val="tx1"/>
                  </w14:solidFill>
                </w14:textFill>
              </w:rPr>
              <w:t>000t/d</w:t>
            </w:r>
            <w:r>
              <w:rPr>
                <w:bCs/>
                <w:kern w:val="0"/>
              </w:rPr>
              <w:t>，富余</w:t>
            </w:r>
            <w:r>
              <w:rPr>
                <w:rFonts w:hint="eastAsia"/>
                <w:bCs/>
                <w:kern w:val="0"/>
                <w:lang w:val="en-US" w:eastAsia="zh-CN"/>
              </w:rPr>
              <w:t>3</w:t>
            </w:r>
            <w:r>
              <w:rPr>
                <w:rFonts w:hint="eastAsia"/>
                <w:bCs/>
                <w:kern w:val="0"/>
              </w:rPr>
              <w:t>000</w:t>
            </w:r>
            <w:r>
              <w:rPr>
                <w:bCs/>
                <w:kern w:val="0"/>
              </w:rPr>
              <w:t>m</w:t>
            </w:r>
            <w:r>
              <w:rPr>
                <w:bCs/>
                <w:kern w:val="0"/>
                <w:vertAlign w:val="superscript"/>
              </w:rPr>
              <w:t>3</w:t>
            </w:r>
            <w:r>
              <w:rPr>
                <w:bCs/>
                <w:kern w:val="0"/>
              </w:rPr>
              <w:t>/d，本项目污水占富余总量的0.0</w:t>
            </w:r>
            <w:r>
              <w:rPr>
                <w:rFonts w:hint="eastAsia"/>
                <w:bCs/>
                <w:kern w:val="0"/>
                <w:lang w:val="en-US" w:eastAsia="zh-CN"/>
              </w:rPr>
              <w:t>5</w:t>
            </w:r>
            <w:r>
              <w:rPr>
                <w:bCs/>
                <w:kern w:val="0"/>
              </w:rPr>
              <w:t>%，不会对污水厂稳定运营造成冲击。</w:t>
            </w:r>
          </w:p>
          <w:p w14:paraId="13F5E62F">
            <w:pPr>
              <w:wordWrap w:val="0"/>
              <w:topLinePunct/>
              <w:adjustRightInd w:val="0"/>
              <w:snapToGrid w:val="0"/>
              <w:spacing w:line="360" w:lineRule="auto"/>
              <w:ind w:firstLine="480" w:firstLineChars="200"/>
              <w:rPr>
                <w:bCs/>
                <w:kern w:val="0"/>
                <w:szCs w:val="21"/>
              </w:rPr>
            </w:pPr>
            <w:r>
              <w:rPr>
                <w:bCs/>
                <w:kern w:val="0"/>
              </w:rPr>
              <w:t>综上所述，本项目污水水质符合</w:t>
            </w:r>
            <w:r>
              <w:rPr>
                <w:rFonts w:hint="eastAsia"/>
                <w:bCs/>
                <w:kern w:val="0"/>
              </w:rPr>
              <w:t>松木</w:t>
            </w:r>
            <w:r>
              <w:rPr>
                <w:bCs/>
                <w:kern w:val="0"/>
              </w:rPr>
              <w:t>污水处理厂纳管要求，污水厂仍有容量处理本项目污水，且区域已建成污水管网，项目污水依托</w:t>
            </w:r>
            <w:r>
              <w:rPr>
                <w:rFonts w:hint="eastAsia"/>
                <w:bCs/>
                <w:kern w:val="0"/>
              </w:rPr>
              <w:t>松木</w:t>
            </w:r>
            <w:r>
              <w:rPr>
                <w:bCs/>
                <w:kern w:val="0"/>
              </w:rPr>
              <w:t>污水处理厂处理是可行的。</w:t>
            </w:r>
          </w:p>
          <w:p w14:paraId="585EBA08">
            <w:pPr>
              <w:wordWrap w:val="0"/>
              <w:topLinePunct/>
              <w:adjustRightInd w:val="0"/>
              <w:snapToGrid w:val="0"/>
              <w:spacing w:line="360" w:lineRule="auto"/>
              <w:ind w:left="480" w:leftChars="200"/>
              <w:rPr>
                <w:b/>
                <w:bCs/>
                <w:spacing w:val="-10"/>
                <w:szCs w:val="21"/>
                <w:u w:val="single"/>
              </w:rPr>
            </w:pPr>
            <w:r>
              <w:rPr>
                <w:rFonts w:hint="eastAsia"/>
                <w:b/>
                <w:bCs/>
                <w:spacing w:val="-10"/>
                <w:szCs w:val="21"/>
                <w:u w:val="single"/>
              </w:rPr>
              <w:t>（3）</w:t>
            </w:r>
            <w:r>
              <w:rPr>
                <w:b/>
                <w:bCs/>
                <w:spacing w:val="-10"/>
                <w:szCs w:val="21"/>
                <w:u w:val="single"/>
              </w:rPr>
              <w:t>自行监测要求</w:t>
            </w:r>
          </w:p>
          <w:p w14:paraId="20A7C4D2">
            <w:pPr>
              <w:adjustRightInd w:val="0"/>
              <w:snapToGrid w:val="0"/>
              <w:spacing w:line="360" w:lineRule="auto"/>
              <w:ind w:firstLine="480" w:firstLineChars="200"/>
              <w:rPr>
                <w:color w:val="auto"/>
                <w:u w:val="single"/>
              </w:rPr>
            </w:pPr>
            <w:r>
              <w:rPr>
                <w:rFonts w:hint="eastAsia"/>
                <w:color w:val="auto"/>
                <w:u w:val="single"/>
                <w:lang w:eastAsia="zh-CN"/>
              </w:rPr>
              <w:t>本项目挤出冷却废水、化验废水拉运至丰联公司废水处理站处理后依托松木污水处理厂深度处理，生活污水经化粪池预处理后依托松木污水处理厂深度处理，</w:t>
            </w:r>
            <w:r>
              <w:rPr>
                <w:color w:val="auto"/>
                <w:u w:val="single"/>
              </w:rPr>
              <w:t>根据《排污许可证申请与核发技术规范</w:t>
            </w:r>
            <w:r>
              <w:rPr>
                <w:rFonts w:hint="eastAsia"/>
                <w:color w:val="auto"/>
                <w:u w:val="single"/>
                <w:lang w:val="en-US" w:eastAsia="zh-CN"/>
              </w:rPr>
              <w:t xml:space="preserve"> </w:t>
            </w:r>
            <w:r>
              <w:rPr>
                <w:rFonts w:hint="eastAsia"/>
                <w:color w:val="auto"/>
                <w:u w:val="single"/>
                <w:lang w:eastAsia="zh-CN"/>
              </w:rPr>
              <w:t>专用化学产品制造工业</w:t>
            </w:r>
            <w:r>
              <w:rPr>
                <w:color w:val="auto"/>
                <w:u w:val="single"/>
              </w:rPr>
              <w:t>》</w:t>
            </w:r>
            <w:r>
              <w:rPr>
                <w:rFonts w:hint="eastAsia"/>
                <w:color w:val="auto"/>
                <w:u w:val="single"/>
                <w:lang w:eastAsia="zh-CN"/>
              </w:rPr>
              <w:t>（</w:t>
            </w:r>
            <w:r>
              <w:rPr>
                <w:color w:val="auto"/>
                <w:u w:val="single"/>
              </w:rPr>
              <w:t>HJ1</w:t>
            </w:r>
            <w:r>
              <w:rPr>
                <w:rFonts w:hint="eastAsia"/>
                <w:color w:val="auto"/>
                <w:u w:val="single"/>
                <w:lang w:val="en-US" w:eastAsia="zh-CN"/>
              </w:rPr>
              <w:t>103</w:t>
            </w:r>
            <w:r>
              <w:rPr>
                <w:color w:val="auto"/>
                <w:u w:val="single"/>
              </w:rPr>
              <w:t>-20</w:t>
            </w:r>
            <w:r>
              <w:rPr>
                <w:rFonts w:hint="eastAsia"/>
                <w:color w:val="auto"/>
                <w:u w:val="single"/>
                <w:lang w:val="en-US" w:eastAsia="zh-CN"/>
              </w:rPr>
              <w:t>20</w:t>
            </w:r>
            <w:r>
              <w:rPr>
                <w:rFonts w:hint="eastAsia"/>
                <w:color w:val="auto"/>
                <w:u w:val="single"/>
                <w:lang w:eastAsia="zh-CN"/>
              </w:rPr>
              <w:t>）</w:t>
            </w:r>
            <w:r>
              <w:rPr>
                <w:color w:val="auto"/>
                <w:u w:val="single"/>
              </w:rPr>
              <w:t>，</w:t>
            </w:r>
            <w:r>
              <w:rPr>
                <w:rFonts w:hint="eastAsia"/>
                <w:color w:val="auto"/>
                <w:u w:val="single"/>
                <w:lang w:eastAsia="zh-CN"/>
              </w:rPr>
              <w:t>生活污水间接排放无需进行自行监测，挤出冷却废水、化验废水自行监测方案见下表</w:t>
            </w:r>
            <w:r>
              <w:rPr>
                <w:color w:val="auto"/>
                <w:u w:val="single"/>
              </w:rPr>
              <w:t>。</w:t>
            </w:r>
          </w:p>
          <w:p w14:paraId="24EB11A9">
            <w:pPr>
              <w:spacing w:line="360" w:lineRule="auto"/>
              <w:jc w:val="center"/>
              <w:rPr>
                <w:b/>
                <w:u w:val="single"/>
                <w:lang w:val="en-GB"/>
              </w:rPr>
            </w:pPr>
            <w:r>
              <w:rPr>
                <w:b/>
                <w:u w:val="single"/>
                <w:lang w:val="en-GB"/>
              </w:rPr>
              <w:t>表4-</w:t>
            </w:r>
            <w:r>
              <w:rPr>
                <w:rFonts w:hint="eastAsia"/>
                <w:b/>
                <w:u w:val="single"/>
                <w:lang w:val="en-US" w:eastAsia="zh-CN"/>
              </w:rPr>
              <w:t>14</w:t>
            </w:r>
            <w:r>
              <w:rPr>
                <w:b/>
                <w:u w:val="single"/>
                <w:lang w:val="en-GB"/>
              </w:rPr>
              <w:t xml:space="preserve">  项目废</w:t>
            </w:r>
            <w:r>
              <w:rPr>
                <w:rFonts w:hint="eastAsia"/>
                <w:b/>
                <w:u w:val="single"/>
                <w:lang w:val="en-GB" w:eastAsia="zh-CN"/>
              </w:rPr>
              <w:t>水</w:t>
            </w:r>
            <w:r>
              <w:rPr>
                <w:b/>
                <w:u w:val="single"/>
                <w:lang w:val="en-GB"/>
              </w:rPr>
              <w:t>监测计划一览表</w:t>
            </w:r>
          </w:p>
          <w:tbl>
            <w:tblPr>
              <w:tblStyle w:val="36"/>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42"/>
              <w:gridCol w:w="1847"/>
              <w:gridCol w:w="3120"/>
              <w:gridCol w:w="1764"/>
            </w:tblGrid>
            <w:tr w14:paraId="52A250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249" w:type="pct"/>
                  <w:tcBorders>
                    <w:tl2br w:val="nil"/>
                    <w:tr2bl w:val="nil"/>
                  </w:tcBorders>
                  <w:vAlign w:val="center"/>
                </w:tcPr>
                <w:p w14:paraId="19B272EB">
                  <w:pPr>
                    <w:pStyle w:val="30"/>
                    <w:ind w:left="0" w:leftChars="0"/>
                    <w:jc w:val="center"/>
                    <w:rPr>
                      <w:b/>
                      <w:bCs/>
                      <w:sz w:val="21"/>
                      <w:szCs w:val="21"/>
                      <w:u w:val="single"/>
                    </w:rPr>
                  </w:pPr>
                  <w:r>
                    <w:rPr>
                      <w:b/>
                      <w:bCs/>
                      <w:sz w:val="21"/>
                      <w:szCs w:val="21"/>
                      <w:u w:val="single"/>
                    </w:rPr>
                    <w:t>类别</w:t>
                  </w:r>
                </w:p>
              </w:tc>
              <w:tc>
                <w:tcPr>
                  <w:tcW w:w="1029" w:type="pct"/>
                  <w:tcBorders>
                    <w:tl2br w:val="nil"/>
                    <w:tr2bl w:val="nil"/>
                  </w:tcBorders>
                  <w:vAlign w:val="center"/>
                </w:tcPr>
                <w:p w14:paraId="7F188091">
                  <w:pPr>
                    <w:pStyle w:val="30"/>
                    <w:ind w:left="0" w:leftChars="0"/>
                    <w:jc w:val="center"/>
                    <w:rPr>
                      <w:b/>
                      <w:bCs/>
                      <w:sz w:val="21"/>
                      <w:szCs w:val="21"/>
                      <w:u w:val="single"/>
                    </w:rPr>
                  </w:pPr>
                  <w:r>
                    <w:rPr>
                      <w:b/>
                      <w:bCs/>
                      <w:sz w:val="21"/>
                      <w:szCs w:val="21"/>
                      <w:u w:val="single"/>
                    </w:rPr>
                    <w:t>监测点位</w:t>
                  </w:r>
                </w:p>
              </w:tc>
              <w:tc>
                <w:tcPr>
                  <w:tcW w:w="1738" w:type="pct"/>
                  <w:tcBorders>
                    <w:tl2br w:val="nil"/>
                    <w:tr2bl w:val="nil"/>
                  </w:tcBorders>
                  <w:vAlign w:val="center"/>
                </w:tcPr>
                <w:p w14:paraId="507F6FA7">
                  <w:pPr>
                    <w:pStyle w:val="30"/>
                    <w:ind w:left="0" w:leftChars="0"/>
                    <w:jc w:val="center"/>
                    <w:rPr>
                      <w:b/>
                      <w:bCs/>
                      <w:sz w:val="21"/>
                      <w:szCs w:val="21"/>
                      <w:u w:val="single"/>
                    </w:rPr>
                  </w:pPr>
                  <w:r>
                    <w:rPr>
                      <w:b/>
                      <w:bCs/>
                      <w:sz w:val="21"/>
                      <w:szCs w:val="21"/>
                      <w:u w:val="single"/>
                    </w:rPr>
                    <w:t>监测项目</w:t>
                  </w:r>
                </w:p>
              </w:tc>
              <w:tc>
                <w:tcPr>
                  <w:tcW w:w="982" w:type="pct"/>
                  <w:tcBorders>
                    <w:tl2br w:val="nil"/>
                    <w:tr2bl w:val="nil"/>
                  </w:tcBorders>
                  <w:vAlign w:val="center"/>
                </w:tcPr>
                <w:p w14:paraId="7B75B1DA">
                  <w:pPr>
                    <w:pStyle w:val="30"/>
                    <w:ind w:left="0" w:leftChars="0"/>
                    <w:jc w:val="center"/>
                    <w:rPr>
                      <w:b/>
                      <w:bCs/>
                      <w:sz w:val="21"/>
                      <w:szCs w:val="21"/>
                      <w:u w:val="single"/>
                    </w:rPr>
                  </w:pPr>
                  <w:r>
                    <w:rPr>
                      <w:b/>
                      <w:bCs/>
                      <w:sz w:val="21"/>
                      <w:szCs w:val="21"/>
                      <w:u w:val="single"/>
                    </w:rPr>
                    <w:t>监测频率</w:t>
                  </w:r>
                </w:p>
              </w:tc>
            </w:tr>
            <w:tr w14:paraId="228FA8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249" w:type="pct"/>
                  <w:vMerge w:val="restart"/>
                  <w:tcBorders>
                    <w:tl2br w:val="nil"/>
                    <w:tr2bl w:val="nil"/>
                  </w:tcBorders>
                  <w:vAlign w:val="center"/>
                </w:tcPr>
                <w:p w14:paraId="382D59ED">
                  <w:pPr>
                    <w:jc w:val="center"/>
                    <w:rPr>
                      <w:rFonts w:hint="default" w:eastAsia="宋体"/>
                      <w:sz w:val="21"/>
                      <w:szCs w:val="21"/>
                      <w:u w:val="single"/>
                      <w:lang w:val="en-US" w:eastAsia="zh-CN"/>
                    </w:rPr>
                  </w:pPr>
                  <w:r>
                    <w:rPr>
                      <w:rFonts w:hint="eastAsia"/>
                      <w:sz w:val="21"/>
                      <w:szCs w:val="21"/>
                      <w:u w:val="single"/>
                      <w:lang w:eastAsia="zh-CN"/>
                    </w:rPr>
                    <w:t>挤出冷却废水、化验废水</w:t>
                  </w:r>
                </w:p>
              </w:tc>
              <w:tc>
                <w:tcPr>
                  <w:tcW w:w="1029" w:type="pct"/>
                  <w:vMerge w:val="restart"/>
                  <w:tcBorders>
                    <w:tl2br w:val="nil"/>
                    <w:tr2bl w:val="nil"/>
                  </w:tcBorders>
                  <w:vAlign w:val="center"/>
                </w:tcPr>
                <w:p w14:paraId="2DD650EC">
                  <w:pPr>
                    <w:pStyle w:val="30"/>
                    <w:ind w:left="0" w:leftChars="0"/>
                    <w:jc w:val="center"/>
                    <w:rPr>
                      <w:rFonts w:hint="default" w:eastAsia="宋体"/>
                      <w:sz w:val="21"/>
                      <w:szCs w:val="21"/>
                      <w:u w:val="single"/>
                      <w:lang w:val="en-US" w:eastAsia="zh-CN"/>
                    </w:rPr>
                  </w:pPr>
                  <w:r>
                    <w:rPr>
                      <w:rFonts w:hint="eastAsia"/>
                      <w:sz w:val="21"/>
                      <w:szCs w:val="21"/>
                      <w:u w:val="single"/>
                      <w:lang w:val="en-US" w:eastAsia="zh-CN"/>
                    </w:rPr>
                    <w:t>DW002</w:t>
                  </w:r>
                </w:p>
              </w:tc>
              <w:tc>
                <w:tcPr>
                  <w:tcW w:w="1738" w:type="pct"/>
                  <w:tcBorders>
                    <w:tl2br w:val="nil"/>
                    <w:tr2bl w:val="nil"/>
                  </w:tcBorders>
                  <w:vAlign w:val="center"/>
                </w:tcPr>
                <w:p w14:paraId="00D7CCE6">
                  <w:pPr>
                    <w:jc w:val="center"/>
                    <w:rPr>
                      <w:rFonts w:hint="default" w:eastAsia="宋体"/>
                      <w:sz w:val="21"/>
                      <w:szCs w:val="21"/>
                      <w:u w:val="single"/>
                      <w:lang w:val="en-US" w:eastAsia="zh-CN"/>
                    </w:rPr>
                  </w:pPr>
                  <w:r>
                    <w:rPr>
                      <w:rFonts w:hint="eastAsia"/>
                      <w:sz w:val="21"/>
                      <w:szCs w:val="21"/>
                      <w:u w:val="single"/>
                      <w:lang w:val="en-US" w:eastAsia="zh-CN"/>
                    </w:rPr>
                    <w:t>pH、COD</w:t>
                  </w:r>
                </w:p>
              </w:tc>
              <w:tc>
                <w:tcPr>
                  <w:tcW w:w="982" w:type="pct"/>
                  <w:tcBorders>
                    <w:tl2br w:val="nil"/>
                    <w:tr2bl w:val="nil"/>
                  </w:tcBorders>
                  <w:vAlign w:val="center"/>
                </w:tcPr>
                <w:p w14:paraId="3907CF8C">
                  <w:pPr>
                    <w:jc w:val="center"/>
                    <w:rPr>
                      <w:rFonts w:hint="eastAsia" w:eastAsia="宋体"/>
                      <w:sz w:val="21"/>
                      <w:szCs w:val="21"/>
                      <w:u w:val="single"/>
                      <w:lang w:eastAsia="zh-CN"/>
                    </w:rPr>
                  </w:pPr>
                  <w:r>
                    <w:rPr>
                      <w:sz w:val="21"/>
                      <w:szCs w:val="21"/>
                      <w:u w:val="single"/>
                    </w:rPr>
                    <w:t>1次/</w:t>
                  </w:r>
                  <w:r>
                    <w:rPr>
                      <w:rFonts w:hint="eastAsia"/>
                      <w:sz w:val="21"/>
                      <w:szCs w:val="21"/>
                      <w:u w:val="single"/>
                      <w:lang w:eastAsia="zh-CN"/>
                    </w:rPr>
                    <w:t>半年</w:t>
                  </w:r>
                </w:p>
              </w:tc>
            </w:tr>
            <w:tr w14:paraId="526A4D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249" w:type="pct"/>
                  <w:vMerge w:val="continue"/>
                  <w:tcBorders>
                    <w:tl2br w:val="nil"/>
                    <w:tr2bl w:val="nil"/>
                  </w:tcBorders>
                  <w:vAlign w:val="center"/>
                </w:tcPr>
                <w:p w14:paraId="5849CB35">
                  <w:pPr>
                    <w:jc w:val="center"/>
                    <w:rPr>
                      <w:rFonts w:hint="eastAsia"/>
                      <w:sz w:val="21"/>
                      <w:szCs w:val="21"/>
                      <w:u w:val="single"/>
                      <w:lang w:eastAsia="zh-CN"/>
                    </w:rPr>
                  </w:pPr>
                </w:p>
              </w:tc>
              <w:tc>
                <w:tcPr>
                  <w:tcW w:w="1029" w:type="pct"/>
                  <w:vMerge w:val="continue"/>
                  <w:tcBorders>
                    <w:tl2br w:val="nil"/>
                    <w:tr2bl w:val="nil"/>
                  </w:tcBorders>
                  <w:vAlign w:val="center"/>
                </w:tcPr>
                <w:p w14:paraId="3359387B">
                  <w:pPr>
                    <w:pStyle w:val="30"/>
                    <w:ind w:left="0" w:leftChars="0"/>
                    <w:jc w:val="center"/>
                    <w:rPr>
                      <w:rFonts w:hint="eastAsia"/>
                      <w:sz w:val="21"/>
                      <w:szCs w:val="21"/>
                      <w:u w:val="single"/>
                      <w:lang w:val="en-US" w:eastAsia="zh-CN"/>
                    </w:rPr>
                  </w:pPr>
                </w:p>
              </w:tc>
              <w:tc>
                <w:tcPr>
                  <w:tcW w:w="1738" w:type="pct"/>
                  <w:tcBorders>
                    <w:tl2br w:val="nil"/>
                    <w:tr2bl w:val="nil"/>
                  </w:tcBorders>
                  <w:vAlign w:val="center"/>
                </w:tcPr>
                <w:p w14:paraId="5DC72100">
                  <w:pPr>
                    <w:jc w:val="center"/>
                    <w:rPr>
                      <w:rFonts w:hint="eastAsia"/>
                      <w:sz w:val="21"/>
                      <w:szCs w:val="21"/>
                      <w:u w:val="single"/>
                      <w:lang w:val="en-US" w:eastAsia="zh-CN"/>
                    </w:rPr>
                  </w:pPr>
                  <w:r>
                    <w:rPr>
                      <w:rFonts w:hint="eastAsia"/>
                      <w:sz w:val="21"/>
                      <w:szCs w:val="21"/>
                      <w:u w:val="single"/>
                      <w:lang w:val="en-US" w:eastAsia="zh-CN"/>
                    </w:rPr>
                    <w:t>SS</w:t>
                  </w:r>
                </w:p>
              </w:tc>
              <w:tc>
                <w:tcPr>
                  <w:tcW w:w="982" w:type="pct"/>
                  <w:tcBorders>
                    <w:tl2br w:val="nil"/>
                    <w:tr2bl w:val="nil"/>
                  </w:tcBorders>
                  <w:vAlign w:val="center"/>
                </w:tcPr>
                <w:p w14:paraId="5240EAE2">
                  <w:pPr>
                    <w:jc w:val="center"/>
                    <w:rPr>
                      <w:sz w:val="21"/>
                      <w:szCs w:val="21"/>
                      <w:u w:val="single"/>
                    </w:rPr>
                  </w:pPr>
                  <w:r>
                    <w:rPr>
                      <w:sz w:val="21"/>
                      <w:szCs w:val="21"/>
                      <w:u w:val="single"/>
                    </w:rPr>
                    <w:t>1次/</w:t>
                  </w:r>
                  <w:r>
                    <w:rPr>
                      <w:rFonts w:hint="eastAsia"/>
                      <w:sz w:val="21"/>
                      <w:szCs w:val="21"/>
                      <w:u w:val="single"/>
                      <w:lang w:eastAsia="zh-CN"/>
                    </w:rPr>
                    <w:t>年</w:t>
                  </w:r>
                </w:p>
              </w:tc>
            </w:tr>
          </w:tbl>
          <w:p w14:paraId="597C2C24">
            <w:pPr>
              <w:wordWrap w:val="0"/>
              <w:topLinePunct/>
              <w:spacing w:before="120" w:beforeLines="50" w:line="360" w:lineRule="auto"/>
              <w:ind w:firstLine="442" w:firstLineChars="200"/>
              <w:rPr>
                <w:b/>
                <w:bCs/>
                <w:spacing w:val="-10"/>
                <w:szCs w:val="21"/>
              </w:rPr>
            </w:pPr>
            <w:r>
              <w:rPr>
                <w:rFonts w:hint="eastAsia"/>
                <w:b/>
                <w:bCs/>
                <w:spacing w:val="-10"/>
                <w:szCs w:val="21"/>
              </w:rPr>
              <w:t>（4）小结</w:t>
            </w:r>
          </w:p>
          <w:p w14:paraId="50792F97">
            <w:pPr>
              <w:wordWrap w:val="0"/>
              <w:topLinePunct/>
              <w:spacing w:before="120" w:beforeLines="50" w:line="360" w:lineRule="auto"/>
              <w:ind w:firstLine="440" w:firstLineChars="200"/>
              <w:rPr>
                <w:b/>
                <w:bCs/>
                <w:spacing w:val="-10"/>
                <w:szCs w:val="21"/>
              </w:rPr>
            </w:pPr>
            <w:r>
              <w:rPr>
                <w:rFonts w:hint="eastAsia"/>
                <w:spacing w:val="-10"/>
                <w:szCs w:val="21"/>
              </w:rPr>
              <w:t>综上，本项目</w:t>
            </w:r>
            <w:r>
              <w:rPr>
                <w:rFonts w:hint="eastAsia"/>
                <w:spacing w:val="-10"/>
                <w:szCs w:val="21"/>
                <w:lang w:eastAsia="zh-CN"/>
              </w:rPr>
              <w:t>挤出冷却废水、化验废水经丰联公司污水处理站预处理后</w:t>
            </w:r>
            <w:r>
              <w:rPr>
                <w:rFonts w:hint="eastAsia"/>
                <w:spacing w:val="-10"/>
                <w:szCs w:val="21"/>
              </w:rPr>
              <w:t>依托松木污水处理厂深度处理达到</w:t>
            </w:r>
            <w:r>
              <w:rPr>
                <w:color w:val="000000" w:themeColor="text1"/>
                <w14:textFill>
                  <w14:solidFill>
                    <w14:schemeClr w14:val="tx1"/>
                  </w14:solidFill>
                </w14:textFill>
              </w:rPr>
              <w:t>《城镇污水处理厂污染物排放标准》（GB18918-2002）一级A标准后排入湘江</w:t>
            </w:r>
            <w:r>
              <w:rPr>
                <w:rFonts w:hint="eastAsia"/>
                <w:spacing w:val="-10"/>
                <w:szCs w:val="21"/>
              </w:rPr>
              <w:t>，生活污水经化粪池预处理后依托松木污水处理厂深度处理达到</w:t>
            </w:r>
            <w:r>
              <w:rPr>
                <w:color w:val="000000" w:themeColor="text1"/>
                <w14:textFill>
                  <w14:solidFill>
                    <w14:schemeClr w14:val="tx1"/>
                  </w14:solidFill>
                </w14:textFill>
              </w:rPr>
              <w:t>《城镇污水处理厂污染物排放标准》（GB18918-2002）一级A标准后排入湘江</w:t>
            </w:r>
            <w:r>
              <w:rPr>
                <w:rFonts w:hint="eastAsia"/>
                <w:color w:val="000000" w:themeColor="text1"/>
                <w14:textFill>
                  <w14:solidFill>
                    <w14:schemeClr w14:val="tx1"/>
                  </w14:solidFill>
                </w14:textFill>
              </w:rPr>
              <w:t>，其水质水量均具有依托可行性。经采取上述措施后，项目废水对地表水环境影响可接受。</w:t>
            </w:r>
          </w:p>
          <w:p w14:paraId="70AAC968">
            <w:pPr>
              <w:wordWrap w:val="0"/>
              <w:topLinePunct/>
              <w:spacing w:before="120" w:beforeLines="50" w:line="360" w:lineRule="auto"/>
              <w:ind w:firstLine="442" w:firstLineChars="200"/>
              <w:rPr>
                <w:b/>
                <w:bCs/>
                <w:color w:val="2F5496"/>
                <w:spacing w:val="-10"/>
                <w:szCs w:val="21"/>
              </w:rPr>
            </w:pPr>
            <w:r>
              <w:rPr>
                <w:b/>
                <w:bCs/>
                <w:spacing w:val="-10"/>
                <w:szCs w:val="21"/>
              </w:rPr>
              <w:t>3、声</w:t>
            </w:r>
            <w:r>
              <w:rPr>
                <w:b/>
                <w:kern w:val="0"/>
                <w:szCs w:val="21"/>
              </w:rPr>
              <w:t>环境</w:t>
            </w:r>
          </w:p>
          <w:p w14:paraId="567F433E">
            <w:pPr>
              <w:wordWrap w:val="0"/>
              <w:topLinePunct/>
              <w:adjustRightInd w:val="0"/>
              <w:snapToGrid w:val="0"/>
              <w:spacing w:line="360" w:lineRule="auto"/>
              <w:ind w:left="382"/>
              <w:rPr>
                <w:spacing w:val="-10"/>
                <w:szCs w:val="21"/>
              </w:rPr>
            </w:pPr>
            <w:r>
              <w:rPr>
                <w:spacing w:val="-10"/>
                <w:szCs w:val="21"/>
              </w:rPr>
              <w:t>（1）噪声源强及预测结果</w:t>
            </w:r>
          </w:p>
          <w:p w14:paraId="791E1D23">
            <w:pPr>
              <w:adjustRightInd w:val="0"/>
              <w:snapToGrid w:val="0"/>
              <w:spacing w:line="360" w:lineRule="auto"/>
              <w:ind w:firstLine="420"/>
            </w:pPr>
            <w:r>
              <w:t>本项目噪声主要来自</w:t>
            </w:r>
            <w:r>
              <w:rPr>
                <w:rFonts w:hint="eastAsia"/>
                <w:lang w:eastAsia="zh-CN"/>
              </w:rPr>
              <w:t>粉碎系统、泵</w:t>
            </w:r>
            <w:r>
              <w:t>等机械设备所产生的噪声，噪声值在80～85dB(A)之间。设备噪声源强见表4-1</w:t>
            </w:r>
            <w:r>
              <w:rPr>
                <w:rFonts w:hint="eastAsia"/>
                <w:lang w:val="en-US" w:eastAsia="zh-CN"/>
              </w:rPr>
              <w:t>3</w:t>
            </w:r>
            <w:r>
              <w:t>。</w:t>
            </w:r>
          </w:p>
          <w:p w14:paraId="3113411A">
            <w:pPr>
              <w:wordWrap w:val="0"/>
              <w:topLinePunct/>
              <w:adjustRightInd w:val="0"/>
              <w:snapToGrid w:val="0"/>
              <w:spacing w:line="360" w:lineRule="auto"/>
              <w:rPr>
                <w:bCs/>
                <w:color w:val="2F5496"/>
                <w:spacing w:val="-10"/>
                <w:szCs w:val="21"/>
              </w:rPr>
            </w:pPr>
          </w:p>
          <w:p w14:paraId="509BE687">
            <w:pPr>
              <w:wordWrap w:val="0"/>
              <w:topLinePunct/>
              <w:adjustRightInd w:val="0"/>
              <w:snapToGrid w:val="0"/>
              <w:spacing w:line="360" w:lineRule="auto"/>
              <w:rPr>
                <w:bCs/>
                <w:color w:val="2F5496"/>
                <w:spacing w:val="-10"/>
                <w:szCs w:val="21"/>
              </w:rPr>
            </w:pPr>
          </w:p>
          <w:p w14:paraId="692C4EB3">
            <w:pPr>
              <w:wordWrap w:val="0"/>
              <w:topLinePunct/>
              <w:adjustRightInd w:val="0"/>
              <w:snapToGrid w:val="0"/>
              <w:spacing w:line="360" w:lineRule="auto"/>
              <w:rPr>
                <w:bCs/>
                <w:color w:val="2F5496"/>
                <w:spacing w:val="-10"/>
                <w:szCs w:val="21"/>
              </w:rPr>
            </w:pPr>
          </w:p>
          <w:p w14:paraId="08505E36">
            <w:pPr>
              <w:wordWrap w:val="0"/>
              <w:topLinePunct/>
              <w:adjustRightInd w:val="0"/>
              <w:snapToGrid w:val="0"/>
              <w:spacing w:line="360" w:lineRule="auto"/>
              <w:rPr>
                <w:bCs/>
                <w:color w:val="2F5496"/>
                <w:spacing w:val="-10"/>
                <w:szCs w:val="21"/>
              </w:rPr>
            </w:pPr>
          </w:p>
          <w:p w14:paraId="037F6971">
            <w:pPr>
              <w:pStyle w:val="14"/>
            </w:pPr>
          </w:p>
          <w:p w14:paraId="6E308B07">
            <w:pPr>
              <w:wordWrap w:val="0"/>
              <w:topLinePunct/>
              <w:adjustRightInd w:val="0"/>
              <w:snapToGrid w:val="0"/>
              <w:spacing w:line="360" w:lineRule="auto"/>
              <w:rPr>
                <w:bCs/>
                <w:color w:val="2F5496"/>
                <w:spacing w:val="-10"/>
                <w:szCs w:val="21"/>
              </w:rPr>
            </w:pPr>
          </w:p>
        </w:tc>
      </w:tr>
    </w:tbl>
    <w:p w14:paraId="04212C16">
      <w:pPr>
        <w:wordWrap w:val="0"/>
        <w:topLinePunct/>
        <w:adjustRightInd w:val="0"/>
        <w:snapToGrid w:val="0"/>
        <w:spacing w:line="360" w:lineRule="auto"/>
        <w:ind w:firstLine="562"/>
        <w:rPr>
          <w:b/>
          <w:color w:val="2F5496"/>
          <w:kern w:val="0"/>
          <w:szCs w:val="21"/>
        </w:rPr>
        <w:sectPr>
          <w:pgSz w:w="11907" w:h="16840"/>
          <w:pgMar w:top="1417" w:right="1134" w:bottom="1417" w:left="1417" w:header="851" w:footer="1134" w:gutter="0"/>
          <w:pgBorders>
            <w:top w:val="none" w:sz="0" w:space="0"/>
            <w:left w:val="none" w:sz="0" w:space="0"/>
            <w:bottom w:val="none" w:sz="0" w:space="0"/>
            <w:right w:val="none" w:sz="0" w:space="0"/>
          </w:pgBorders>
          <w:cols w:space="720" w:num="1"/>
          <w:docGrid w:linePitch="312" w:charSpace="0"/>
        </w:sectPr>
      </w:pP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
        <w:gridCol w:w="14517"/>
      </w:tblGrid>
      <w:tr w14:paraId="2208E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dxa"/>
          </w:tcPr>
          <w:p w14:paraId="188FA0A8">
            <w:pPr>
              <w:pStyle w:val="35"/>
              <w:rPr>
                <w:vertAlign w:val="baseline"/>
              </w:rPr>
            </w:pPr>
          </w:p>
        </w:tc>
        <w:tc>
          <w:tcPr>
            <w:tcW w:w="14517" w:type="dxa"/>
          </w:tcPr>
          <w:p w14:paraId="5CCF0B57">
            <w:pPr>
              <w:pStyle w:val="35"/>
              <w:ind w:left="0" w:leftChars="0" w:right="0" w:rightChars="0" w:firstLine="0" w:firstLineChars="0"/>
              <w:jc w:val="center"/>
              <w:rPr>
                <w:rFonts w:hint="eastAsia" w:eastAsia="宋体"/>
                <w:u w:val="single"/>
                <w:vertAlign w:val="baseline"/>
                <w:lang w:eastAsia="zh-CN"/>
              </w:rPr>
            </w:pPr>
            <w:r>
              <w:rPr>
                <w:b/>
                <w:u w:val="single"/>
                <w:lang w:val="en-GB"/>
              </w:rPr>
              <w:t>表4-</w:t>
            </w:r>
            <w:r>
              <w:rPr>
                <w:rFonts w:hint="eastAsia"/>
                <w:b/>
                <w:u w:val="single"/>
                <w:lang w:val="en-US" w:eastAsia="zh-CN"/>
              </w:rPr>
              <w:t>13</w:t>
            </w:r>
            <w:r>
              <w:rPr>
                <w:b/>
                <w:u w:val="single"/>
                <w:lang w:val="en-GB"/>
              </w:rPr>
              <w:t xml:space="preserve">  本项目主要噪声源源强   单位：dB（A</w:t>
            </w:r>
            <w:r>
              <w:rPr>
                <w:rFonts w:hint="eastAsia"/>
                <w:b/>
                <w:u w:val="single"/>
                <w:lang w:val="en-GB" w:eastAsia="zh-CN"/>
              </w:rPr>
              <w:t>）</w:t>
            </w:r>
          </w:p>
          <w:tbl>
            <w:tblPr>
              <w:tblStyle w:val="36"/>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832"/>
              <w:gridCol w:w="1020"/>
              <w:gridCol w:w="923"/>
              <w:gridCol w:w="1415"/>
              <w:gridCol w:w="990"/>
              <w:gridCol w:w="702"/>
              <w:gridCol w:w="659"/>
              <w:gridCol w:w="530"/>
              <w:gridCol w:w="568"/>
              <w:gridCol w:w="856"/>
              <w:gridCol w:w="990"/>
              <w:gridCol w:w="856"/>
              <w:gridCol w:w="1107"/>
              <w:gridCol w:w="896"/>
              <w:gridCol w:w="1224"/>
            </w:tblGrid>
            <w:tr w14:paraId="4E3D45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3" w:type="pct"/>
                  <w:vMerge w:val="restart"/>
                  <w:tcBorders>
                    <w:tl2br w:val="nil"/>
                    <w:tr2bl w:val="nil"/>
                  </w:tcBorders>
                  <w:vAlign w:val="center"/>
                </w:tcPr>
                <w:p w14:paraId="37D901F9">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序号</w:t>
                  </w:r>
                </w:p>
              </w:tc>
              <w:tc>
                <w:tcPr>
                  <w:tcW w:w="292" w:type="pct"/>
                  <w:vMerge w:val="restart"/>
                  <w:tcBorders>
                    <w:tl2br w:val="nil"/>
                    <w:tr2bl w:val="nil"/>
                  </w:tcBorders>
                  <w:vAlign w:val="center"/>
                </w:tcPr>
                <w:p w14:paraId="2BCEFD0D">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建筑物名称</w:t>
                  </w:r>
                </w:p>
              </w:tc>
              <w:tc>
                <w:tcPr>
                  <w:tcW w:w="358" w:type="pct"/>
                  <w:vMerge w:val="restart"/>
                  <w:tcBorders>
                    <w:tl2br w:val="nil"/>
                    <w:tr2bl w:val="nil"/>
                  </w:tcBorders>
                  <w:vAlign w:val="center"/>
                </w:tcPr>
                <w:p w14:paraId="20389BE2">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声源名称</w:t>
                  </w:r>
                </w:p>
              </w:tc>
              <w:tc>
                <w:tcPr>
                  <w:tcW w:w="324" w:type="pct"/>
                  <w:vMerge w:val="restart"/>
                  <w:tcBorders>
                    <w:tl2br w:val="nil"/>
                    <w:tr2bl w:val="nil"/>
                  </w:tcBorders>
                  <w:vAlign w:val="center"/>
                </w:tcPr>
                <w:p w14:paraId="3667158C">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型号</w:t>
                  </w:r>
                </w:p>
              </w:tc>
              <w:tc>
                <w:tcPr>
                  <w:tcW w:w="496" w:type="pct"/>
                  <w:vMerge w:val="restart"/>
                  <w:tcBorders>
                    <w:tl2br w:val="nil"/>
                    <w:tr2bl w:val="nil"/>
                  </w:tcBorders>
                  <w:vAlign w:val="center"/>
                </w:tcPr>
                <w:p w14:paraId="7F45D553">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声压级/距声源距离（dB(A)/m）</w:t>
                  </w:r>
                </w:p>
              </w:tc>
              <w:tc>
                <w:tcPr>
                  <w:tcW w:w="347" w:type="pct"/>
                  <w:vMerge w:val="restart"/>
                  <w:tcBorders>
                    <w:tl2br w:val="nil"/>
                    <w:tr2bl w:val="nil"/>
                  </w:tcBorders>
                  <w:vAlign w:val="center"/>
                </w:tcPr>
                <w:p w14:paraId="68E4041F">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声源控制措施</w:t>
                  </w:r>
                </w:p>
              </w:tc>
              <w:tc>
                <w:tcPr>
                  <w:tcW w:w="663" w:type="pct"/>
                  <w:gridSpan w:val="3"/>
                  <w:tcBorders>
                    <w:tl2br w:val="nil"/>
                    <w:tr2bl w:val="nil"/>
                  </w:tcBorders>
                  <w:vAlign w:val="center"/>
                </w:tcPr>
                <w:p w14:paraId="12A29C31">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空间相对位置/m</w:t>
                  </w:r>
                </w:p>
              </w:tc>
              <w:tc>
                <w:tcPr>
                  <w:tcW w:w="499" w:type="pct"/>
                  <w:gridSpan w:val="2"/>
                  <w:vMerge w:val="restart"/>
                  <w:tcBorders>
                    <w:tl2br w:val="nil"/>
                    <w:tr2bl w:val="nil"/>
                  </w:tcBorders>
                  <w:vAlign w:val="center"/>
                </w:tcPr>
                <w:p w14:paraId="6D425DDD">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距室内边界距离/m</w:t>
                  </w:r>
                </w:p>
              </w:tc>
              <w:tc>
                <w:tcPr>
                  <w:tcW w:w="347" w:type="pct"/>
                  <w:vMerge w:val="restart"/>
                  <w:tcBorders>
                    <w:tl2br w:val="nil"/>
                    <w:tr2bl w:val="nil"/>
                  </w:tcBorders>
                  <w:vAlign w:val="center"/>
                </w:tcPr>
                <w:p w14:paraId="01B742EB">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室内边界声级/dB(A)</w:t>
                  </w:r>
                </w:p>
              </w:tc>
              <w:tc>
                <w:tcPr>
                  <w:tcW w:w="300" w:type="pct"/>
                  <w:vMerge w:val="restart"/>
                  <w:tcBorders>
                    <w:tl2br w:val="nil"/>
                    <w:tr2bl w:val="nil"/>
                  </w:tcBorders>
                  <w:vAlign w:val="center"/>
                </w:tcPr>
                <w:p w14:paraId="084B1FDC">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运行时段</w:t>
                  </w:r>
                </w:p>
              </w:tc>
              <w:tc>
                <w:tcPr>
                  <w:tcW w:w="388" w:type="pct"/>
                  <w:vMerge w:val="restart"/>
                  <w:tcBorders>
                    <w:tl2br w:val="nil"/>
                    <w:tr2bl w:val="nil"/>
                  </w:tcBorders>
                  <w:vAlign w:val="center"/>
                </w:tcPr>
                <w:p w14:paraId="74484833">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建筑物插入损失/dB(A)</w:t>
                  </w:r>
                </w:p>
              </w:tc>
              <w:tc>
                <w:tcPr>
                  <w:tcW w:w="739" w:type="pct"/>
                  <w:gridSpan w:val="2"/>
                  <w:tcBorders>
                    <w:tl2br w:val="nil"/>
                    <w:tr2bl w:val="nil"/>
                  </w:tcBorders>
                  <w:vAlign w:val="center"/>
                </w:tcPr>
                <w:p w14:paraId="3305E62C">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建筑物外噪声</w:t>
                  </w:r>
                </w:p>
              </w:tc>
            </w:tr>
            <w:tr w14:paraId="5A44E8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3" w:type="pct"/>
                  <w:vMerge w:val="continue"/>
                  <w:tcBorders>
                    <w:tl2br w:val="nil"/>
                    <w:tr2bl w:val="nil"/>
                  </w:tcBorders>
                  <w:vAlign w:val="center"/>
                </w:tcPr>
                <w:p w14:paraId="7A939314">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92" w:type="pct"/>
                  <w:vMerge w:val="continue"/>
                  <w:tcBorders>
                    <w:tl2br w:val="nil"/>
                    <w:tr2bl w:val="nil"/>
                  </w:tcBorders>
                  <w:vAlign w:val="center"/>
                </w:tcPr>
                <w:p w14:paraId="2215B2BF">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58" w:type="pct"/>
                  <w:vMerge w:val="continue"/>
                  <w:tcBorders>
                    <w:tl2br w:val="nil"/>
                    <w:tr2bl w:val="nil"/>
                  </w:tcBorders>
                  <w:vAlign w:val="center"/>
                </w:tcPr>
                <w:p w14:paraId="06299C18">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24" w:type="pct"/>
                  <w:vMerge w:val="continue"/>
                  <w:tcBorders>
                    <w:tl2br w:val="nil"/>
                    <w:tr2bl w:val="nil"/>
                  </w:tcBorders>
                  <w:vAlign w:val="center"/>
                </w:tcPr>
                <w:p w14:paraId="0C9A395D">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496" w:type="pct"/>
                  <w:vMerge w:val="continue"/>
                  <w:tcBorders>
                    <w:tl2br w:val="nil"/>
                    <w:tr2bl w:val="nil"/>
                  </w:tcBorders>
                  <w:vAlign w:val="center"/>
                </w:tcPr>
                <w:p w14:paraId="1DD8846C">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47" w:type="pct"/>
                  <w:vMerge w:val="continue"/>
                  <w:tcBorders>
                    <w:tl2br w:val="nil"/>
                    <w:tr2bl w:val="nil"/>
                  </w:tcBorders>
                  <w:vAlign w:val="center"/>
                </w:tcPr>
                <w:p w14:paraId="57C51997">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46" w:type="pct"/>
                  <w:tcBorders>
                    <w:tl2br w:val="nil"/>
                    <w:tr2bl w:val="nil"/>
                  </w:tcBorders>
                  <w:vAlign w:val="center"/>
                </w:tcPr>
                <w:p w14:paraId="01387CB3">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X</w:t>
                  </w:r>
                </w:p>
              </w:tc>
              <w:tc>
                <w:tcPr>
                  <w:tcW w:w="231" w:type="pct"/>
                  <w:tcBorders>
                    <w:tl2br w:val="nil"/>
                    <w:tr2bl w:val="nil"/>
                  </w:tcBorders>
                  <w:vAlign w:val="center"/>
                </w:tcPr>
                <w:p w14:paraId="0998993E">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Y</w:t>
                  </w:r>
                </w:p>
              </w:tc>
              <w:tc>
                <w:tcPr>
                  <w:tcW w:w="185" w:type="pct"/>
                  <w:tcBorders>
                    <w:tl2br w:val="nil"/>
                    <w:tr2bl w:val="nil"/>
                  </w:tcBorders>
                  <w:vAlign w:val="center"/>
                </w:tcPr>
                <w:p w14:paraId="7E127A3C">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Z</w:t>
                  </w:r>
                </w:p>
              </w:tc>
              <w:tc>
                <w:tcPr>
                  <w:tcW w:w="499" w:type="pct"/>
                  <w:gridSpan w:val="2"/>
                  <w:vMerge w:val="continue"/>
                  <w:tcBorders>
                    <w:tl2br w:val="nil"/>
                    <w:tr2bl w:val="nil"/>
                  </w:tcBorders>
                  <w:vAlign w:val="center"/>
                </w:tcPr>
                <w:p w14:paraId="073A55A6">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47" w:type="pct"/>
                  <w:vMerge w:val="continue"/>
                  <w:tcBorders>
                    <w:tl2br w:val="nil"/>
                    <w:tr2bl w:val="nil"/>
                  </w:tcBorders>
                  <w:vAlign w:val="center"/>
                </w:tcPr>
                <w:p w14:paraId="10C7E939">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00" w:type="pct"/>
                  <w:vMerge w:val="continue"/>
                  <w:tcBorders>
                    <w:tl2br w:val="nil"/>
                    <w:tr2bl w:val="nil"/>
                  </w:tcBorders>
                  <w:vAlign w:val="center"/>
                </w:tcPr>
                <w:p w14:paraId="095D0710">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88" w:type="pct"/>
                  <w:vMerge w:val="continue"/>
                  <w:tcBorders>
                    <w:tl2br w:val="nil"/>
                    <w:tr2bl w:val="nil"/>
                  </w:tcBorders>
                  <w:vAlign w:val="center"/>
                </w:tcPr>
                <w:p w14:paraId="57034558">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14" w:type="pct"/>
                  <w:tcBorders>
                    <w:tl2br w:val="nil"/>
                    <w:tr2bl w:val="nil"/>
                  </w:tcBorders>
                  <w:vAlign w:val="center"/>
                </w:tcPr>
                <w:p w14:paraId="5C7F5692">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声压级/dB(A)</w:t>
                  </w:r>
                </w:p>
              </w:tc>
              <w:tc>
                <w:tcPr>
                  <w:tcW w:w="424" w:type="pct"/>
                  <w:tcBorders>
                    <w:tl2br w:val="nil"/>
                    <w:tr2bl w:val="nil"/>
                  </w:tcBorders>
                  <w:vAlign w:val="center"/>
                </w:tcPr>
                <w:p w14:paraId="179D3E7F">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建筑物外距离</w:t>
                  </w:r>
                </w:p>
              </w:tc>
            </w:tr>
            <w:tr w14:paraId="7324C2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243" w:type="pct"/>
                  <w:vMerge w:val="restart"/>
                  <w:tcBorders>
                    <w:tl2br w:val="nil"/>
                    <w:tr2bl w:val="nil"/>
                  </w:tcBorders>
                  <w:vAlign w:val="center"/>
                </w:tcPr>
                <w:p w14:paraId="2CC39054">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1</w:t>
                  </w:r>
                </w:p>
              </w:tc>
              <w:tc>
                <w:tcPr>
                  <w:tcW w:w="292" w:type="pct"/>
                  <w:vMerge w:val="restart"/>
                  <w:tcBorders>
                    <w:tl2br w:val="nil"/>
                    <w:tr2bl w:val="nil"/>
                  </w:tcBorders>
                  <w:vAlign w:val="center"/>
                </w:tcPr>
                <w:p w14:paraId="5893188C">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厂房</w:t>
                  </w:r>
                </w:p>
              </w:tc>
              <w:tc>
                <w:tcPr>
                  <w:tcW w:w="358" w:type="pct"/>
                  <w:vMerge w:val="restart"/>
                  <w:tcBorders>
                    <w:tl2br w:val="nil"/>
                    <w:tr2bl w:val="nil"/>
                  </w:tcBorders>
                  <w:vAlign w:val="center"/>
                </w:tcPr>
                <w:p w14:paraId="3CC8C103">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eastAsia" w:cs="Times New Roman"/>
                      <w:color w:val="000000" w:themeColor="text1"/>
                      <w:sz w:val="21"/>
                      <w:szCs w:val="21"/>
                      <w:u w:val="single"/>
                      <w:lang w:eastAsia="zh-CN"/>
                      <w14:textFill>
                        <w14:solidFill>
                          <w14:schemeClr w14:val="tx1"/>
                        </w14:solidFill>
                      </w14:textFill>
                    </w:rPr>
                    <w:t>耙式干燥机</w:t>
                  </w:r>
                  <w:r>
                    <w:rPr>
                      <w:rFonts w:hint="default" w:ascii="Times New Roman" w:hAnsi="Times New Roman" w:cs="Times New Roman"/>
                      <w:color w:val="000000" w:themeColor="text1"/>
                      <w:sz w:val="21"/>
                      <w:szCs w:val="21"/>
                      <w:u w:val="single"/>
                      <w14:textFill>
                        <w14:solidFill>
                          <w14:schemeClr w14:val="tx1"/>
                        </w14:solidFill>
                      </w14:textFill>
                    </w:rPr>
                    <w:t>（</w:t>
                  </w:r>
                  <w:r>
                    <w:rPr>
                      <w:rFonts w:hint="eastAsia" w:cs="Times New Roman"/>
                      <w:color w:val="000000" w:themeColor="text1"/>
                      <w:sz w:val="21"/>
                      <w:szCs w:val="21"/>
                      <w:u w:val="single"/>
                      <w:lang w:val="en-US" w:eastAsia="zh-CN"/>
                      <w14:textFill>
                        <w14:solidFill>
                          <w14:schemeClr w14:val="tx1"/>
                        </w14:solidFill>
                      </w14:textFill>
                    </w:rPr>
                    <w:t>5</w:t>
                  </w:r>
                  <w:r>
                    <w:rPr>
                      <w:rFonts w:hint="default" w:ascii="Times New Roman" w:hAnsi="Times New Roman" w:cs="Times New Roman"/>
                      <w:color w:val="000000" w:themeColor="text1"/>
                      <w:sz w:val="21"/>
                      <w:szCs w:val="21"/>
                      <w:u w:val="single"/>
                      <w14:textFill>
                        <w14:solidFill>
                          <w14:schemeClr w14:val="tx1"/>
                        </w14:solidFill>
                      </w14:textFill>
                    </w:rPr>
                    <w:t>台）</w:t>
                  </w:r>
                </w:p>
              </w:tc>
              <w:tc>
                <w:tcPr>
                  <w:tcW w:w="324" w:type="pct"/>
                  <w:vMerge w:val="restart"/>
                  <w:tcBorders>
                    <w:tl2br w:val="nil"/>
                    <w:tr2bl w:val="nil"/>
                  </w:tcBorders>
                  <w:vAlign w:val="center"/>
                </w:tcPr>
                <w:p w14:paraId="351BD92B">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w:t>
                  </w:r>
                </w:p>
              </w:tc>
              <w:tc>
                <w:tcPr>
                  <w:tcW w:w="496" w:type="pct"/>
                  <w:vMerge w:val="restart"/>
                  <w:tcBorders>
                    <w:tl2br w:val="nil"/>
                    <w:tr2bl w:val="nil"/>
                  </w:tcBorders>
                  <w:vAlign w:val="center"/>
                </w:tcPr>
                <w:p w14:paraId="19784748">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eastAsia" w:cs="Times New Roman"/>
                      <w:color w:val="000000" w:themeColor="text1"/>
                      <w:sz w:val="21"/>
                      <w:szCs w:val="21"/>
                      <w:u w:val="single"/>
                      <w:lang w:val="en-US" w:eastAsia="zh-CN"/>
                      <w14:textFill>
                        <w14:solidFill>
                          <w14:schemeClr w14:val="tx1"/>
                        </w14:solidFill>
                      </w14:textFill>
                    </w:rPr>
                    <w:t>92</w:t>
                  </w:r>
                  <w:r>
                    <w:rPr>
                      <w:rFonts w:hint="default" w:ascii="Times New Roman" w:hAnsi="Times New Roman" w:cs="Times New Roman"/>
                      <w:color w:val="000000" w:themeColor="text1"/>
                      <w:sz w:val="21"/>
                      <w:szCs w:val="21"/>
                      <w:u w:val="single"/>
                      <w14:textFill>
                        <w14:solidFill>
                          <w14:schemeClr w14:val="tx1"/>
                        </w14:solidFill>
                      </w14:textFill>
                    </w:rPr>
                    <w:t>/1</w:t>
                  </w:r>
                </w:p>
              </w:tc>
              <w:tc>
                <w:tcPr>
                  <w:tcW w:w="347" w:type="pct"/>
                  <w:vMerge w:val="restart"/>
                  <w:tcBorders>
                    <w:tl2br w:val="nil"/>
                    <w:tr2bl w:val="nil"/>
                  </w:tcBorders>
                  <w:vAlign w:val="center"/>
                </w:tcPr>
                <w:p w14:paraId="1AB41A39">
                  <w:pPr>
                    <w:widowControl w:val="0"/>
                    <w:adjustRightInd w:val="0"/>
                    <w:snapToGrid w:val="0"/>
                    <w:jc w:val="center"/>
                    <w:rPr>
                      <w:rFonts w:hint="default" w:ascii="Times New Roman" w:hAnsi="Times New Roman" w:cs="Times New Roman"/>
                      <w:color w:val="000000" w:themeColor="text1"/>
                      <w:kern w:val="2"/>
                      <w:sz w:val="21"/>
                      <w:szCs w:val="21"/>
                      <w:u w:val="single"/>
                      <w14:textFill>
                        <w14:solidFill>
                          <w14:schemeClr w14:val="tx1"/>
                        </w14:solidFill>
                      </w14:textFill>
                    </w:rPr>
                  </w:pPr>
                  <w:r>
                    <w:rPr>
                      <w:rFonts w:hint="default" w:ascii="Times New Roman" w:hAnsi="Times New Roman" w:cs="Times New Roman"/>
                      <w:color w:val="000000" w:themeColor="text1"/>
                      <w:kern w:val="2"/>
                      <w:sz w:val="21"/>
                      <w:szCs w:val="21"/>
                      <w:u w:val="single"/>
                      <w14:textFill>
                        <w14:solidFill>
                          <w14:schemeClr w14:val="tx1"/>
                        </w14:solidFill>
                      </w14:textFill>
                    </w:rPr>
                    <w:t>选用低噪声设备，室内隔音，基础减震</w:t>
                  </w:r>
                </w:p>
              </w:tc>
              <w:tc>
                <w:tcPr>
                  <w:tcW w:w="246" w:type="pct"/>
                  <w:vMerge w:val="restart"/>
                  <w:tcBorders>
                    <w:tl2br w:val="nil"/>
                    <w:tr2bl w:val="nil"/>
                  </w:tcBorders>
                  <w:vAlign w:val="center"/>
                </w:tcPr>
                <w:p w14:paraId="4AF96928">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72</w:t>
                  </w:r>
                </w:p>
              </w:tc>
              <w:tc>
                <w:tcPr>
                  <w:tcW w:w="231" w:type="pct"/>
                  <w:vMerge w:val="restart"/>
                  <w:tcBorders>
                    <w:tl2br w:val="nil"/>
                    <w:tr2bl w:val="nil"/>
                  </w:tcBorders>
                  <w:vAlign w:val="center"/>
                </w:tcPr>
                <w:p w14:paraId="6AAFAEE8">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13</w:t>
                  </w:r>
                </w:p>
              </w:tc>
              <w:tc>
                <w:tcPr>
                  <w:tcW w:w="185" w:type="pct"/>
                  <w:vMerge w:val="restart"/>
                  <w:tcBorders>
                    <w:tl2br w:val="nil"/>
                    <w:tr2bl w:val="nil"/>
                  </w:tcBorders>
                  <w:vAlign w:val="center"/>
                </w:tcPr>
                <w:p w14:paraId="54729DEA">
                  <w:pPr>
                    <w:jc w:val="center"/>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1</w:t>
                  </w:r>
                </w:p>
              </w:tc>
              <w:tc>
                <w:tcPr>
                  <w:tcW w:w="199" w:type="pct"/>
                  <w:tcBorders>
                    <w:tl2br w:val="nil"/>
                    <w:tr2bl w:val="nil"/>
                  </w:tcBorders>
                  <w:vAlign w:val="center"/>
                </w:tcPr>
                <w:p w14:paraId="6695D14E">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东</w:t>
                  </w:r>
                </w:p>
              </w:tc>
              <w:tc>
                <w:tcPr>
                  <w:tcW w:w="300" w:type="pct"/>
                  <w:tcBorders>
                    <w:tl2br w:val="nil"/>
                    <w:tr2bl w:val="nil"/>
                  </w:tcBorders>
                  <w:vAlign w:val="center"/>
                </w:tcPr>
                <w:p w14:paraId="34185869">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28</w:t>
                  </w:r>
                </w:p>
              </w:tc>
              <w:tc>
                <w:tcPr>
                  <w:tcW w:w="347" w:type="pct"/>
                  <w:tcBorders>
                    <w:tl2br w:val="nil"/>
                    <w:tr2bl w:val="nil"/>
                  </w:tcBorders>
                  <w:vAlign w:val="center"/>
                </w:tcPr>
                <w:p w14:paraId="07CBCC51">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63.1</w:t>
                  </w:r>
                </w:p>
              </w:tc>
              <w:tc>
                <w:tcPr>
                  <w:tcW w:w="300" w:type="pct"/>
                  <w:vMerge w:val="restart"/>
                  <w:tcBorders>
                    <w:tl2br w:val="nil"/>
                    <w:tr2bl w:val="nil"/>
                  </w:tcBorders>
                  <w:vAlign w:val="center"/>
                </w:tcPr>
                <w:p w14:paraId="10F8BEDA">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24h</w:t>
                  </w:r>
                </w:p>
              </w:tc>
              <w:tc>
                <w:tcPr>
                  <w:tcW w:w="388" w:type="pct"/>
                  <w:vMerge w:val="restart"/>
                  <w:tcBorders>
                    <w:tl2br w:val="nil"/>
                    <w:tr2bl w:val="nil"/>
                  </w:tcBorders>
                  <w:vAlign w:val="center"/>
                </w:tcPr>
                <w:p w14:paraId="7B92992C">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25</w:t>
                  </w:r>
                </w:p>
              </w:tc>
              <w:tc>
                <w:tcPr>
                  <w:tcW w:w="896" w:type="dxa"/>
                  <w:tcBorders>
                    <w:tl2br w:val="nil"/>
                    <w:tr2bl w:val="nil"/>
                  </w:tcBorders>
                  <w:vAlign w:val="center"/>
                </w:tcPr>
                <w:p w14:paraId="5F39AA4C">
                  <w:pPr>
                    <w:keepNext w:val="0"/>
                    <w:keepLines w:val="0"/>
                    <w:widowControl/>
                    <w:suppressLineNumbers w:val="0"/>
                    <w:jc w:val="center"/>
                    <w:textAlignment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38.1</w:t>
                  </w:r>
                </w:p>
              </w:tc>
              <w:tc>
                <w:tcPr>
                  <w:tcW w:w="424" w:type="pct"/>
                  <w:tcBorders>
                    <w:tl2br w:val="nil"/>
                    <w:tr2bl w:val="nil"/>
                  </w:tcBorders>
                  <w:vAlign w:val="center"/>
                </w:tcPr>
                <w:p w14:paraId="60AD0027">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1</w:t>
                  </w:r>
                </w:p>
              </w:tc>
            </w:tr>
            <w:tr w14:paraId="488DBB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243" w:type="pct"/>
                  <w:vMerge w:val="continue"/>
                  <w:tcBorders>
                    <w:tl2br w:val="nil"/>
                    <w:tr2bl w:val="nil"/>
                  </w:tcBorders>
                  <w:vAlign w:val="center"/>
                </w:tcPr>
                <w:p w14:paraId="07B7C240">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92" w:type="pct"/>
                  <w:vMerge w:val="continue"/>
                  <w:tcBorders>
                    <w:tl2br w:val="nil"/>
                    <w:tr2bl w:val="nil"/>
                  </w:tcBorders>
                  <w:vAlign w:val="center"/>
                </w:tcPr>
                <w:p w14:paraId="3ADD192F">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58" w:type="pct"/>
                  <w:vMerge w:val="continue"/>
                  <w:tcBorders>
                    <w:tl2br w:val="nil"/>
                    <w:tr2bl w:val="nil"/>
                  </w:tcBorders>
                  <w:vAlign w:val="center"/>
                </w:tcPr>
                <w:p w14:paraId="4928A0A4">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24" w:type="pct"/>
                  <w:vMerge w:val="continue"/>
                  <w:tcBorders>
                    <w:tl2br w:val="nil"/>
                    <w:tr2bl w:val="nil"/>
                  </w:tcBorders>
                  <w:vAlign w:val="center"/>
                </w:tcPr>
                <w:p w14:paraId="0689A04F">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496" w:type="pct"/>
                  <w:vMerge w:val="continue"/>
                  <w:tcBorders>
                    <w:tl2br w:val="nil"/>
                    <w:tr2bl w:val="nil"/>
                  </w:tcBorders>
                  <w:vAlign w:val="center"/>
                </w:tcPr>
                <w:p w14:paraId="6A98FF85">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47" w:type="pct"/>
                  <w:vMerge w:val="continue"/>
                  <w:tcBorders>
                    <w:tl2br w:val="nil"/>
                    <w:tr2bl w:val="nil"/>
                  </w:tcBorders>
                  <w:vAlign w:val="center"/>
                </w:tcPr>
                <w:p w14:paraId="028B6AF7">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46" w:type="pct"/>
                  <w:vMerge w:val="continue"/>
                  <w:tcBorders>
                    <w:tl2br w:val="nil"/>
                    <w:tr2bl w:val="nil"/>
                  </w:tcBorders>
                  <w:vAlign w:val="center"/>
                </w:tcPr>
                <w:p w14:paraId="484A04EF">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31" w:type="pct"/>
                  <w:vMerge w:val="continue"/>
                  <w:tcBorders>
                    <w:tl2br w:val="nil"/>
                    <w:tr2bl w:val="nil"/>
                  </w:tcBorders>
                  <w:vAlign w:val="center"/>
                </w:tcPr>
                <w:p w14:paraId="5F6AA107">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185" w:type="pct"/>
                  <w:vMerge w:val="continue"/>
                  <w:tcBorders>
                    <w:tl2br w:val="nil"/>
                    <w:tr2bl w:val="nil"/>
                  </w:tcBorders>
                  <w:vAlign w:val="center"/>
                </w:tcPr>
                <w:p w14:paraId="101DFABA">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199" w:type="pct"/>
                  <w:tcBorders>
                    <w:tl2br w:val="nil"/>
                    <w:tr2bl w:val="nil"/>
                  </w:tcBorders>
                  <w:vAlign w:val="center"/>
                </w:tcPr>
                <w:p w14:paraId="500D8620">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南</w:t>
                  </w:r>
                </w:p>
              </w:tc>
              <w:tc>
                <w:tcPr>
                  <w:tcW w:w="300" w:type="pct"/>
                  <w:tcBorders>
                    <w:tl2br w:val="nil"/>
                    <w:tr2bl w:val="nil"/>
                  </w:tcBorders>
                  <w:vAlign w:val="center"/>
                </w:tcPr>
                <w:p w14:paraId="019B3E1D">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13</w:t>
                  </w:r>
                </w:p>
              </w:tc>
              <w:tc>
                <w:tcPr>
                  <w:tcW w:w="347" w:type="pct"/>
                  <w:tcBorders>
                    <w:tl2br w:val="nil"/>
                    <w:tr2bl w:val="nil"/>
                  </w:tcBorders>
                  <w:vAlign w:val="center"/>
                </w:tcPr>
                <w:p w14:paraId="6FAAC68A">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69.7</w:t>
                  </w:r>
                </w:p>
              </w:tc>
              <w:tc>
                <w:tcPr>
                  <w:tcW w:w="300" w:type="pct"/>
                  <w:vMerge w:val="continue"/>
                  <w:tcBorders>
                    <w:tl2br w:val="nil"/>
                    <w:tr2bl w:val="nil"/>
                  </w:tcBorders>
                  <w:vAlign w:val="center"/>
                </w:tcPr>
                <w:p w14:paraId="27067A76">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88" w:type="pct"/>
                  <w:vMerge w:val="continue"/>
                  <w:tcBorders>
                    <w:tl2br w:val="nil"/>
                    <w:tr2bl w:val="nil"/>
                  </w:tcBorders>
                  <w:vAlign w:val="center"/>
                </w:tcPr>
                <w:p w14:paraId="2009DE10">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896" w:type="dxa"/>
                  <w:tcBorders>
                    <w:tl2br w:val="nil"/>
                    <w:tr2bl w:val="nil"/>
                  </w:tcBorders>
                  <w:vAlign w:val="center"/>
                </w:tcPr>
                <w:p w14:paraId="0E3A50CB">
                  <w:pPr>
                    <w:keepNext w:val="0"/>
                    <w:keepLines w:val="0"/>
                    <w:widowControl/>
                    <w:suppressLineNumbers w:val="0"/>
                    <w:jc w:val="center"/>
                    <w:textAlignment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44.7</w:t>
                  </w:r>
                </w:p>
              </w:tc>
              <w:tc>
                <w:tcPr>
                  <w:tcW w:w="424" w:type="pct"/>
                  <w:tcBorders>
                    <w:tl2br w:val="nil"/>
                    <w:tr2bl w:val="nil"/>
                  </w:tcBorders>
                  <w:vAlign w:val="center"/>
                </w:tcPr>
                <w:p w14:paraId="65D7224C">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1</w:t>
                  </w:r>
                </w:p>
              </w:tc>
            </w:tr>
            <w:tr w14:paraId="4FCEF9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243" w:type="pct"/>
                  <w:vMerge w:val="continue"/>
                  <w:tcBorders>
                    <w:tl2br w:val="nil"/>
                    <w:tr2bl w:val="nil"/>
                  </w:tcBorders>
                  <w:vAlign w:val="center"/>
                </w:tcPr>
                <w:p w14:paraId="06F0310F">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92" w:type="pct"/>
                  <w:vMerge w:val="continue"/>
                  <w:tcBorders>
                    <w:tl2br w:val="nil"/>
                    <w:tr2bl w:val="nil"/>
                  </w:tcBorders>
                  <w:vAlign w:val="center"/>
                </w:tcPr>
                <w:p w14:paraId="0C4CF0F4">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58" w:type="pct"/>
                  <w:vMerge w:val="continue"/>
                  <w:tcBorders>
                    <w:tl2br w:val="nil"/>
                    <w:tr2bl w:val="nil"/>
                  </w:tcBorders>
                  <w:vAlign w:val="center"/>
                </w:tcPr>
                <w:p w14:paraId="784BE291">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24" w:type="pct"/>
                  <w:vMerge w:val="continue"/>
                  <w:tcBorders>
                    <w:tl2br w:val="nil"/>
                    <w:tr2bl w:val="nil"/>
                  </w:tcBorders>
                  <w:vAlign w:val="center"/>
                </w:tcPr>
                <w:p w14:paraId="5439DA88">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496" w:type="pct"/>
                  <w:vMerge w:val="continue"/>
                  <w:tcBorders>
                    <w:tl2br w:val="nil"/>
                    <w:tr2bl w:val="nil"/>
                  </w:tcBorders>
                  <w:vAlign w:val="center"/>
                </w:tcPr>
                <w:p w14:paraId="41806FEC">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47" w:type="pct"/>
                  <w:vMerge w:val="continue"/>
                  <w:tcBorders>
                    <w:tl2br w:val="nil"/>
                    <w:tr2bl w:val="nil"/>
                  </w:tcBorders>
                  <w:vAlign w:val="center"/>
                </w:tcPr>
                <w:p w14:paraId="49B032EB">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46" w:type="pct"/>
                  <w:vMerge w:val="continue"/>
                  <w:tcBorders>
                    <w:tl2br w:val="nil"/>
                    <w:tr2bl w:val="nil"/>
                  </w:tcBorders>
                  <w:vAlign w:val="center"/>
                </w:tcPr>
                <w:p w14:paraId="6020FDCA">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31" w:type="pct"/>
                  <w:vMerge w:val="continue"/>
                  <w:tcBorders>
                    <w:tl2br w:val="nil"/>
                    <w:tr2bl w:val="nil"/>
                  </w:tcBorders>
                  <w:vAlign w:val="center"/>
                </w:tcPr>
                <w:p w14:paraId="37B47E93">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185" w:type="pct"/>
                  <w:vMerge w:val="continue"/>
                  <w:tcBorders>
                    <w:tl2br w:val="nil"/>
                    <w:tr2bl w:val="nil"/>
                  </w:tcBorders>
                  <w:vAlign w:val="center"/>
                </w:tcPr>
                <w:p w14:paraId="48F89CFD">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199" w:type="pct"/>
                  <w:tcBorders>
                    <w:tl2br w:val="nil"/>
                    <w:tr2bl w:val="nil"/>
                  </w:tcBorders>
                  <w:vAlign w:val="center"/>
                </w:tcPr>
                <w:p w14:paraId="722AEA8A">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西</w:t>
                  </w:r>
                </w:p>
              </w:tc>
              <w:tc>
                <w:tcPr>
                  <w:tcW w:w="300" w:type="pct"/>
                  <w:tcBorders>
                    <w:tl2br w:val="nil"/>
                    <w:tr2bl w:val="nil"/>
                  </w:tcBorders>
                  <w:vAlign w:val="center"/>
                </w:tcPr>
                <w:p w14:paraId="599DDBA5">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72</w:t>
                  </w:r>
                </w:p>
              </w:tc>
              <w:tc>
                <w:tcPr>
                  <w:tcW w:w="347" w:type="pct"/>
                  <w:tcBorders>
                    <w:tl2br w:val="nil"/>
                    <w:tr2bl w:val="nil"/>
                  </w:tcBorders>
                  <w:vAlign w:val="center"/>
                </w:tcPr>
                <w:p w14:paraId="07EA3278">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54.9</w:t>
                  </w:r>
                </w:p>
              </w:tc>
              <w:tc>
                <w:tcPr>
                  <w:tcW w:w="300" w:type="pct"/>
                  <w:vMerge w:val="continue"/>
                  <w:tcBorders>
                    <w:tl2br w:val="nil"/>
                    <w:tr2bl w:val="nil"/>
                  </w:tcBorders>
                  <w:vAlign w:val="center"/>
                </w:tcPr>
                <w:p w14:paraId="02176C77">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88" w:type="pct"/>
                  <w:vMerge w:val="continue"/>
                  <w:tcBorders>
                    <w:tl2br w:val="nil"/>
                    <w:tr2bl w:val="nil"/>
                  </w:tcBorders>
                  <w:vAlign w:val="center"/>
                </w:tcPr>
                <w:p w14:paraId="0B118299">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896" w:type="dxa"/>
                  <w:tcBorders>
                    <w:tl2br w:val="nil"/>
                    <w:tr2bl w:val="nil"/>
                  </w:tcBorders>
                  <w:vAlign w:val="center"/>
                </w:tcPr>
                <w:p w14:paraId="37D0150C">
                  <w:pPr>
                    <w:keepNext w:val="0"/>
                    <w:keepLines w:val="0"/>
                    <w:widowControl/>
                    <w:suppressLineNumbers w:val="0"/>
                    <w:jc w:val="center"/>
                    <w:textAlignment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29.9</w:t>
                  </w:r>
                </w:p>
              </w:tc>
              <w:tc>
                <w:tcPr>
                  <w:tcW w:w="424" w:type="pct"/>
                  <w:tcBorders>
                    <w:tl2br w:val="nil"/>
                    <w:tr2bl w:val="nil"/>
                  </w:tcBorders>
                  <w:vAlign w:val="center"/>
                </w:tcPr>
                <w:p w14:paraId="3DD76520">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1</w:t>
                  </w:r>
                </w:p>
              </w:tc>
            </w:tr>
            <w:tr w14:paraId="7E3575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243" w:type="pct"/>
                  <w:vMerge w:val="continue"/>
                  <w:tcBorders>
                    <w:tl2br w:val="nil"/>
                    <w:tr2bl w:val="nil"/>
                  </w:tcBorders>
                  <w:vAlign w:val="center"/>
                </w:tcPr>
                <w:p w14:paraId="24AF8EC0">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92" w:type="pct"/>
                  <w:vMerge w:val="continue"/>
                  <w:tcBorders>
                    <w:tl2br w:val="nil"/>
                    <w:tr2bl w:val="nil"/>
                  </w:tcBorders>
                  <w:vAlign w:val="center"/>
                </w:tcPr>
                <w:p w14:paraId="39BA0EB3">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58" w:type="pct"/>
                  <w:vMerge w:val="continue"/>
                  <w:tcBorders>
                    <w:tl2br w:val="nil"/>
                    <w:tr2bl w:val="nil"/>
                  </w:tcBorders>
                  <w:vAlign w:val="center"/>
                </w:tcPr>
                <w:p w14:paraId="7001C654">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24" w:type="pct"/>
                  <w:vMerge w:val="continue"/>
                  <w:tcBorders>
                    <w:tl2br w:val="nil"/>
                    <w:tr2bl w:val="nil"/>
                  </w:tcBorders>
                  <w:vAlign w:val="center"/>
                </w:tcPr>
                <w:p w14:paraId="282D40B7">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496" w:type="pct"/>
                  <w:vMerge w:val="continue"/>
                  <w:tcBorders>
                    <w:tl2br w:val="nil"/>
                    <w:tr2bl w:val="nil"/>
                  </w:tcBorders>
                  <w:vAlign w:val="center"/>
                </w:tcPr>
                <w:p w14:paraId="60E1DF90">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47" w:type="pct"/>
                  <w:vMerge w:val="continue"/>
                  <w:tcBorders>
                    <w:tl2br w:val="nil"/>
                    <w:tr2bl w:val="nil"/>
                  </w:tcBorders>
                  <w:vAlign w:val="center"/>
                </w:tcPr>
                <w:p w14:paraId="10DB1773">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46" w:type="pct"/>
                  <w:vMerge w:val="continue"/>
                  <w:tcBorders>
                    <w:tl2br w:val="nil"/>
                    <w:tr2bl w:val="nil"/>
                  </w:tcBorders>
                  <w:vAlign w:val="center"/>
                </w:tcPr>
                <w:p w14:paraId="5CF499FA">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31" w:type="pct"/>
                  <w:vMerge w:val="continue"/>
                  <w:tcBorders>
                    <w:tl2br w:val="nil"/>
                    <w:tr2bl w:val="nil"/>
                  </w:tcBorders>
                  <w:vAlign w:val="center"/>
                </w:tcPr>
                <w:p w14:paraId="475A9F6C">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185" w:type="pct"/>
                  <w:vMerge w:val="continue"/>
                  <w:tcBorders>
                    <w:tl2br w:val="nil"/>
                    <w:tr2bl w:val="nil"/>
                  </w:tcBorders>
                  <w:vAlign w:val="center"/>
                </w:tcPr>
                <w:p w14:paraId="5217B02F">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199" w:type="pct"/>
                  <w:tcBorders>
                    <w:tl2br w:val="nil"/>
                    <w:tr2bl w:val="nil"/>
                  </w:tcBorders>
                  <w:vAlign w:val="center"/>
                </w:tcPr>
                <w:p w14:paraId="1D881AE6">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北</w:t>
                  </w:r>
                </w:p>
              </w:tc>
              <w:tc>
                <w:tcPr>
                  <w:tcW w:w="300" w:type="pct"/>
                  <w:tcBorders>
                    <w:tl2br w:val="nil"/>
                    <w:tr2bl w:val="nil"/>
                  </w:tcBorders>
                  <w:vAlign w:val="center"/>
                </w:tcPr>
                <w:p w14:paraId="27CFF62F">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23</w:t>
                  </w:r>
                </w:p>
              </w:tc>
              <w:tc>
                <w:tcPr>
                  <w:tcW w:w="347" w:type="pct"/>
                  <w:tcBorders>
                    <w:tl2br w:val="nil"/>
                    <w:tr2bl w:val="nil"/>
                  </w:tcBorders>
                  <w:vAlign w:val="center"/>
                </w:tcPr>
                <w:p w14:paraId="12CDE559">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64.8</w:t>
                  </w:r>
                </w:p>
              </w:tc>
              <w:tc>
                <w:tcPr>
                  <w:tcW w:w="300" w:type="pct"/>
                  <w:vMerge w:val="continue"/>
                  <w:tcBorders>
                    <w:tl2br w:val="nil"/>
                    <w:tr2bl w:val="nil"/>
                  </w:tcBorders>
                  <w:vAlign w:val="center"/>
                </w:tcPr>
                <w:p w14:paraId="2B06D89D">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88" w:type="pct"/>
                  <w:vMerge w:val="continue"/>
                  <w:tcBorders>
                    <w:tl2br w:val="nil"/>
                    <w:tr2bl w:val="nil"/>
                  </w:tcBorders>
                  <w:vAlign w:val="center"/>
                </w:tcPr>
                <w:p w14:paraId="4936FCD2">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896" w:type="dxa"/>
                  <w:tcBorders>
                    <w:tl2br w:val="nil"/>
                    <w:tr2bl w:val="nil"/>
                  </w:tcBorders>
                  <w:vAlign w:val="center"/>
                </w:tcPr>
                <w:p w14:paraId="4874D6F0">
                  <w:pPr>
                    <w:keepNext w:val="0"/>
                    <w:keepLines w:val="0"/>
                    <w:widowControl/>
                    <w:suppressLineNumbers w:val="0"/>
                    <w:jc w:val="center"/>
                    <w:textAlignment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39.8</w:t>
                  </w:r>
                </w:p>
              </w:tc>
              <w:tc>
                <w:tcPr>
                  <w:tcW w:w="424" w:type="pct"/>
                  <w:tcBorders>
                    <w:tl2br w:val="nil"/>
                    <w:tr2bl w:val="nil"/>
                  </w:tcBorders>
                  <w:vAlign w:val="center"/>
                </w:tcPr>
                <w:p w14:paraId="30016E17">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1</w:t>
                  </w:r>
                </w:p>
              </w:tc>
            </w:tr>
            <w:tr w14:paraId="5A1B76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243" w:type="pct"/>
                  <w:vMerge w:val="restart"/>
                  <w:tcBorders>
                    <w:tl2br w:val="nil"/>
                    <w:tr2bl w:val="nil"/>
                  </w:tcBorders>
                  <w:vAlign w:val="center"/>
                </w:tcPr>
                <w:p w14:paraId="20F6FF41">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2</w:t>
                  </w:r>
                </w:p>
              </w:tc>
              <w:tc>
                <w:tcPr>
                  <w:tcW w:w="292" w:type="pct"/>
                  <w:vMerge w:val="continue"/>
                  <w:tcBorders>
                    <w:tl2br w:val="nil"/>
                    <w:tr2bl w:val="nil"/>
                  </w:tcBorders>
                  <w:vAlign w:val="center"/>
                </w:tcPr>
                <w:p w14:paraId="3FA117D3">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58" w:type="pct"/>
                  <w:vMerge w:val="restart"/>
                  <w:tcBorders>
                    <w:tl2br w:val="nil"/>
                    <w:tr2bl w:val="nil"/>
                  </w:tcBorders>
                  <w:vAlign w:val="center"/>
                </w:tcPr>
                <w:p w14:paraId="67EA54FA">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eastAsia" w:cs="Times New Roman"/>
                      <w:color w:val="000000" w:themeColor="text1"/>
                      <w:sz w:val="21"/>
                      <w:szCs w:val="21"/>
                      <w:u w:val="single"/>
                      <w:lang w:eastAsia="zh-CN"/>
                      <w14:textFill>
                        <w14:solidFill>
                          <w14:schemeClr w14:val="tx1"/>
                        </w14:solidFill>
                      </w14:textFill>
                    </w:rPr>
                    <w:t>粉碎系统</w:t>
                  </w:r>
                  <w:r>
                    <w:rPr>
                      <w:rFonts w:hint="default" w:ascii="Times New Roman" w:hAnsi="Times New Roman" w:cs="Times New Roman"/>
                      <w:color w:val="000000" w:themeColor="text1"/>
                      <w:sz w:val="21"/>
                      <w:szCs w:val="21"/>
                      <w:u w:val="single"/>
                      <w14:textFill>
                        <w14:solidFill>
                          <w14:schemeClr w14:val="tx1"/>
                        </w14:solidFill>
                      </w14:textFill>
                    </w:rPr>
                    <w:t>（</w:t>
                  </w:r>
                  <w:r>
                    <w:rPr>
                      <w:rFonts w:hint="eastAsia" w:cs="Times New Roman"/>
                      <w:color w:val="000000" w:themeColor="text1"/>
                      <w:sz w:val="21"/>
                      <w:szCs w:val="21"/>
                      <w:u w:val="single"/>
                      <w:lang w:val="en-US" w:eastAsia="zh-CN"/>
                      <w14:textFill>
                        <w14:solidFill>
                          <w14:schemeClr w14:val="tx1"/>
                        </w14:solidFill>
                      </w14:textFill>
                    </w:rPr>
                    <w:t>2</w:t>
                  </w:r>
                  <w:r>
                    <w:rPr>
                      <w:rFonts w:hint="default" w:ascii="Times New Roman" w:hAnsi="Times New Roman" w:cs="Times New Roman"/>
                      <w:color w:val="000000" w:themeColor="text1"/>
                      <w:sz w:val="21"/>
                      <w:szCs w:val="21"/>
                      <w:u w:val="single"/>
                      <w14:textFill>
                        <w14:solidFill>
                          <w14:schemeClr w14:val="tx1"/>
                        </w14:solidFill>
                      </w14:textFill>
                    </w:rPr>
                    <w:t>台）</w:t>
                  </w:r>
                </w:p>
              </w:tc>
              <w:tc>
                <w:tcPr>
                  <w:tcW w:w="324" w:type="pct"/>
                  <w:vMerge w:val="restart"/>
                  <w:tcBorders>
                    <w:tl2br w:val="nil"/>
                    <w:tr2bl w:val="nil"/>
                  </w:tcBorders>
                  <w:vAlign w:val="center"/>
                </w:tcPr>
                <w:p w14:paraId="5DF4B8BE">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w:t>
                  </w:r>
                </w:p>
              </w:tc>
              <w:tc>
                <w:tcPr>
                  <w:tcW w:w="496" w:type="pct"/>
                  <w:vMerge w:val="restart"/>
                  <w:tcBorders>
                    <w:tl2br w:val="nil"/>
                    <w:tr2bl w:val="nil"/>
                  </w:tcBorders>
                  <w:vAlign w:val="center"/>
                </w:tcPr>
                <w:p w14:paraId="4FBB5C06">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eastAsia" w:cs="Times New Roman"/>
                      <w:color w:val="000000" w:themeColor="text1"/>
                      <w:sz w:val="21"/>
                      <w:szCs w:val="21"/>
                      <w:u w:val="single"/>
                      <w:lang w:val="en-US" w:eastAsia="zh-CN"/>
                      <w14:textFill>
                        <w14:solidFill>
                          <w14:schemeClr w14:val="tx1"/>
                        </w14:solidFill>
                      </w14:textFill>
                    </w:rPr>
                    <w:t>9</w:t>
                  </w:r>
                  <w:r>
                    <w:rPr>
                      <w:rFonts w:hint="default" w:ascii="Times New Roman" w:hAnsi="Times New Roman" w:cs="Times New Roman"/>
                      <w:color w:val="000000" w:themeColor="text1"/>
                      <w:sz w:val="21"/>
                      <w:szCs w:val="21"/>
                      <w:u w:val="single"/>
                      <w14:textFill>
                        <w14:solidFill>
                          <w14:schemeClr w14:val="tx1"/>
                        </w14:solidFill>
                      </w14:textFill>
                    </w:rPr>
                    <w:t>0/1</w:t>
                  </w:r>
                </w:p>
              </w:tc>
              <w:tc>
                <w:tcPr>
                  <w:tcW w:w="347" w:type="pct"/>
                  <w:vMerge w:val="continue"/>
                  <w:tcBorders>
                    <w:tl2br w:val="nil"/>
                    <w:tr2bl w:val="nil"/>
                  </w:tcBorders>
                  <w:vAlign w:val="center"/>
                </w:tcPr>
                <w:p w14:paraId="3D2359E3">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46" w:type="pct"/>
                  <w:vMerge w:val="restart"/>
                  <w:tcBorders>
                    <w:tl2br w:val="nil"/>
                    <w:tr2bl w:val="nil"/>
                  </w:tcBorders>
                  <w:vAlign w:val="center"/>
                </w:tcPr>
                <w:p w14:paraId="2076512B">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42</w:t>
                  </w:r>
                </w:p>
              </w:tc>
              <w:tc>
                <w:tcPr>
                  <w:tcW w:w="231" w:type="pct"/>
                  <w:vMerge w:val="restart"/>
                  <w:tcBorders>
                    <w:tl2br w:val="nil"/>
                    <w:tr2bl w:val="nil"/>
                  </w:tcBorders>
                  <w:vAlign w:val="center"/>
                </w:tcPr>
                <w:p w14:paraId="3FA57E0A">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11</w:t>
                  </w:r>
                </w:p>
              </w:tc>
              <w:tc>
                <w:tcPr>
                  <w:tcW w:w="185" w:type="pct"/>
                  <w:vMerge w:val="restart"/>
                  <w:tcBorders>
                    <w:tl2br w:val="nil"/>
                    <w:tr2bl w:val="nil"/>
                  </w:tcBorders>
                  <w:vAlign w:val="center"/>
                </w:tcPr>
                <w:p w14:paraId="4772B864">
                  <w:pPr>
                    <w:jc w:val="center"/>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1</w:t>
                  </w:r>
                </w:p>
              </w:tc>
              <w:tc>
                <w:tcPr>
                  <w:tcW w:w="199" w:type="pct"/>
                  <w:tcBorders>
                    <w:tl2br w:val="nil"/>
                    <w:tr2bl w:val="nil"/>
                  </w:tcBorders>
                  <w:vAlign w:val="center"/>
                </w:tcPr>
                <w:p w14:paraId="6882E9D7">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东</w:t>
                  </w:r>
                </w:p>
              </w:tc>
              <w:tc>
                <w:tcPr>
                  <w:tcW w:w="300" w:type="pct"/>
                  <w:tcBorders>
                    <w:tl2br w:val="nil"/>
                    <w:tr2bl w:val="nil"/>
                  </w:tcBorders>
                  <w:vAlign w:val="center"/>
                </w:tcPr>
                <w:p w14:paraId="2CB8129D">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58</w:t>
                  </w:r>
                </w:p>
              </w:tc>
              <w:tc>
                <w:tcPr>
                  <w:tcW w:w="347" w:type="pct"/>
                  <w:tcBorders>
                    <w:tl2br w:val="nil"/>
                    <w:tr2bl w:val="nil"/>
                  </w:tcBorders>
                  <w:vAlign w:val="center"/>
                </w:tcPr>
                <w:p w14:paraId="7BA43A6D">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54.7</w:t>
                  </w:r>
                </w:p>
              </w:tc>
              <w:tc>
                <w:tcPr>
                  <w:tcW w:w="300" w:type="pct"/>
                  <w:vMerge w:val="restart"/>
                  <w:tcBorders>
                    <w:tl2br w:val="nil"/>
                    <w:tr2bl w:val="nil"/>
                  </w:tcBorders>
                  <w:vAlign w:val="center"/>
                </w:tcPr>
                <w:p w14:paraId="153861EB">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24h</w:t>
                  </w:r>
                </w:p>
              </w:tc>
              <w:tc>
                <w:tcPr>
                  <w:tcW w:w="388" w:type="pct"/>
                  <w:vMerge w:val="restart"/>
                  <w:tcBorders>
                    <w:tl2br w:val="nil"/>
                    <w:tr2bl w:val="nil"/>
                  </w:tcBorders>
                  <w:vAlign w:val="center"/>
                </w:tcPr>
                <w:p w14:paraId="2DB12478">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25</w:t>
                  </w:r>
                </w:p>
              </w:tc>
              <w:tc>
                <w:tcPr>
                  <w:tcW w:w="896" w:type="dxa"/>
                  <w:tcBorders>
                    <w:tl2br w:val="nil"/>
                    <w:tr2bl w:val="nil"/>
                  </w:tcBorders>
                  <w:vAlign w:val="center"/>
                </w:tcPr>
                <w:p w14:paraId="5961874F">
                  <w:pPr>
                    <w:keepNext w:val="0"/>
                    <w:keepLines w:val="0"/>
                    <w:widowControl/>
                    <w:suppressLineNumbers w:val="0"/>
                    <w:jc w:val="center"/>
                    <w:textAlignment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29.7</w:t>
                  </w:r>
                </w:p>
              </w:tc>
              <w:tc>
                <w:tcPr>
                  <w:tcW w:w="424" w:type="pct"/>
                  <w:tcBorders>
                    <w:tl2br w:val="nil"/>
                    <w:tr2bl w:val="nil"/>
                  </w:tcBorders>
                  <w:vAlign w:val="center"/>
                </w:tcPr>
                <w:p w14:paraId="2ACFE6B3">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1</w:t>
                  </w:r>
                </w:p>
              </w:tc>
            </w:tr>
            <w:tr w14:paraId="2AA74B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243" w:type="pct"/>
                  <w:vMerge w:val="continue"/>
                  <w:tcBorders>
                    <w:tl2br w:val="nil"/>
                    <w:tr2bl w:val="nil"/>
                  </w:tcBorders>
                  <w:vAlign w:val="center"/>
                </w:tcPr>
                <w:p w14:paraId="2620C4E3">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92" w:type="pct"/>
                  <w:vMerge w:val="continue"/>
                  <w:tcBorders>
                    <w:tl2br w:val="nil"/>
                    <w:tr2bl w:val="nil"/>
                  </w:tcBorders>
                  <w:vAlign w:val="center"/>
                </w:tcPr>
                <w:p w14:paraId="56BF4025">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58" w:type="pct"/>
                  <w:vMerge w:val="continue"/>
                  <w:tcBorders>
                    <w:tl2br w:val="nil"/>
                    <w:tr2bl w:val="nil"/>
                  </w:tcBorders>
                  <w:vAlign w:val="center"/>
                </w:tcPr>
                <w:p w14:paraId="3F75C900">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24" w:type="pct"/>
                  <w:vMerge w:val="continue"/>
                  <w:tcBorders>
                    <w:tl2br w:val="nil"/>
                    <w:tr2bl w:val="nil"/>
                  </w:tcBorders>
                  <w:vAlign w:val="center"/>
                </w:tcPr>
                <w:p w14:paraId="7AC7F3F7">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496" w:type="pct"/>
                  <w:vMerge w:val="continue"/>
                  <w:tcBorders>
                    <w:tl2br w:val="nil"/>
                    <w:tr2bl w:val="nil"/>
                  </w:tcBorders>
                  <w:vAlign w:val="center"/>
                </w:tcPr>
                <w:p w14:paraId="7086BB11">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47" w:type="pct"/>
                  <w:vMerge w:val="continue"/>
                  <w:tcBorders>
                    <w:tl2br w:val="nil"/>
                    <w:tr2bl w:val="nil"/>
                  </w:tcBorders>
                  <w:vAlign w:val="center"/>
                </w:tcPr>
                <w:p w14:paraId="6612F250">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46" w:type="pct"/>
                  <w:vMerge w:val="continue"/>
                  <w:tcBorders>
                    <w:tl2br w:val="nil"/>
                    <w:tr2bl w:val="nil"/>
                  </w:tcBorders>
                  <w:vAlign w:val="center"/>
                </w:tcPr>
                <w:p w14:paraId="61DE1DDA">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31" w:type="pct"/>
                  <w:vMerge w:val="continue"/>
                  <w:tcBorders>
                    <w:tl2br w:val="nil"/>
                    <w:tr2bl w:val="nil"/>
                  </w:tcBorders>
                  <w:vAlign w:val="center"/>
                </w:tcPr>
                <w:p w14:paraId="25E99B38">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185" w:type="pct"/>
                  <w:vMerge w:val="continue"/>
                  <w:tcBorders>
                    <w:tl2br w:val="nil"/>
                    <w:tr2bl w:val="nil"/>
                  </w:tcBorders>
                  <w:vAlign w:val="center"/>
                </w:tcPr>
                <w:p w14:paraId="4866BD68">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199" w:type="pct"/>
                  <w:tcBorders>
                    <w:tl2br w:val="nil"/>
                    <w:tr2bl w:val="nil"/>
                  </w:tcBorders>
                  <w:vAlign w:val="center"/>
                </w:tcPr>
                <w:p w14:paraId="3D8DF791">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南</w:t>
                  </w:r>
                </w:p>
              </w:tc>
              <w:tc>
                <w:tcPr>
                  <w:tcW w:w="300" w:type="pct"/>
                  <w:tcBorders>
                    <w:tl2br w:val="nil"/>
                    <w:tr2bl w:val="nil"/>
                  </w:tcBorders>
                  <w:vAlign w:val="center"/>
                </w:tcPr>
                <w:p w14:paraId="7EF149DF">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11</w:t>
                  </w:r>
                </w:p>
              </w:tc>
              <w:tc>
                <w:tcPr>
                  <w:tcW w:w="347" w:type="pct"/>
                  <w:tcBorders>
                    <w:tl2br w:val="nil"/>
                    <w:tr2bl w:val="nil"/>
                  </w:tcBorders>
                  <w:vAlign w:val="center"/>
                </w:tcPr>
                <w:p w14:paraId="5B5FFF62">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69.2</w:t>
                  </w:r>
                </w:p>
              </w:tc>
              <w:tc>
                <w:tcPr>
                  <w:tcW w:w="300" w:type="pct"/>
                  <w:vMerge w:val="continue"/>
                  <w:tcBorders>
                    <w:tl2br w:val="nil"/>
                    <w:tr2bl w:val="nil"/>
                  </w:tcBorders>
                  <w:vAlign w:val="center"/>
                </w:tcPr>
                <w:p w14:paraId="5DF2E6FA">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88" w:type="pct"/>
                  <w:vMerge w:val="continue"/>
                  <w:tcBorders>
                    <w:tl2br w:val="nil"/>
                    <w:tr2bl w:val="nil"/>
                  </w:tcBorders>
                  <w:vAlign w:val="center"/>
                </w:tcPr>
                <w:p w14:paraId="3D5C636A">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896" w:type="dxa"/>
                  <w:tcBorders>
                    <w:tl2br w:val="nil"/>
                    <w:tr2bl w:val="nil"/>
                  </w:tcBorders>
                  <w:vAlign w:val="center"/>
                </w:tcPr>
                <w:p w14:paraId="71092EEC">
                  <w:pPr>
                    <w:keepNext w:val="0"/>
                    <w:keepLines w:val="0"/>
                    <w:widowControl/>
                    <w:suppressLineNumbers w:val="0"/>
                    <w:jc w:val="center"/>
                    <w:textAlignment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44.2</w:t>
                  </w:r>
                </w:p>
              </w:tc>
              <w:tc>
                <w:tcPr>
                  <w:tcW w:w="424" w:type="pct"/>
                  <w:tcBorders>
                    <w:tl2br w:val="nil"/>
                    <w:tr2bl w:val="nil"/>
                  </w:tcBorders>
                  <w:vAlign w:val="center"/>
                </w:tcPr>
                <w:p w14:paraId="486CD30C">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1</w:t>
                  </w:r>
                </w:p>
              </w:tc>
            </w:tr>
            <w:tr w14:paraId="2A1317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243" w:type="pct"/>
                  <w:vMerge w:val="continue"/>
                  <w:tcBorders>
                    <w:tl2br w:val="nil"/>
                    <w:tr2bl w:val="nil"/>
                  </w:tcBorders>
                  <w:vAlign w:val="center"/>
                </w:tcPr>
                <w:p w14:paraId="08B13F5F">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92" w:type="pct"/>
                  <w:vMerge w:val="continue"/>
                  <w:tcBorders>
                    <w:tl2br w:val="nil"/>
                    <w:tr2bl w:val="nil"/>
                  </w:tcBorders>
                  <w:vAlign w:val="center"/>
                </w:tcPr>
                <w:p w14:paraId="75B9A32A">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58" w:type="pct"/>
                  <w:vMerge w:val="continue"/>
                  <w:tcBorders>
                    <w:tl2br w:val="nil"/>
                    <w:tr2bl w:val="nil"/>
                  </w:tcBorders>
                  <w:vAlign w:val="center"/>
                </w:tcPr>
                <w:p w14:paraId="2AA755FF">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24" w:type="pct"/>
                  <w:vMerge w:val="continue"/>
                  <w:tcBorders>
                    <w:tl2br w:val="nil"/>
                    <w:tr2bl w:val="nil"/>
                  </w:tcBorders>
                  <w:vAlign w:val="center"/>
                </w:tcPr>
                <w:p w14:paraId="48D4F266">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496" w:type="pct"/>
                  <w:vMerge w:val="continue"/>
                  <w:tcBorders>
                    <w:tl2br w:val="nil"/>
                    <w:tr2bl w:val="nil"/>
                  </w:tcBorders>
                  <w:vAlign w:val="center"/>
                </w:tcPr>
                <w:p w14:paraId="65B58764">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47" w:type="pct"/>
                  <w:vMerge w:val="continue"/>
                  <w:tcBorders>
                    <w:tl2br w:val="nil"/>
                    <w:tr2bl w:val="nil"/>
                  </w:tcBorders>
                  <w:vAlign w:val="center"/>
                </w:tcPr>
                <w:p w14:paraId="3AEC1B24">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46" w:type="pct"/>
                  <w:vMerge w:val="continue"/>
                  <w:tcBorders>
                    <w:tl2br w:val="nil"/>
                    <w:tr2bl w:val="nil"/>
                  </w:tcBorders>
                  <w:vAlign w:val="center"/>
                </w:tcPr>
                <w:p w14:paraId="42E73309">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31" w:type="pct"/>
                  <w:vMerge w:val="continue"/>
                  <w:tcBorders>
                    <w:tl2br w:val="nil"/>
                    <w:tr2bl w:val="nil"/>
                  </w:tcBorders>
                  <w:vAlign w:val="center"/>
                </w:tcPr>
                <w:p w14:paraId="1509B055">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185" w:type="pct"/>
                  <w:vMerge w:val="continue"/>
                  <w:tcBorders>
                    <w:tl2br w:val="nil"/>
                    <w:tr2bl w:val="nil"/>
                  </w:tcBorders>
                  <w:vAlign w:val="center"/>
                </w:tcPr>
                <w:p w14:paraId="1FD44707">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199" w:type="pct"/>
                  <w:tcBorders>
                    <w:tl2br w:val="nil"/>
                    <w:tr2bl w:val="nil"/>
                  </w:tcBorders>
                  <w:vAlign w:val="center"/>
                </w:tcPr>
                <w:p w14:paraId="20B7D187">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西</w:t>
                  </w:r>
                </w:p>
              </w:tc>
              <w:tc>
                <w:tcPr>
                  <w:tcW w:w="300" w:type="pct"/>
                  <w:tcBorders>
                    <w:tl2br w:val="nil"/>
                    <w:tr2bl w:val="nil"/>
                  </w:tcBorders>
                  <w:vAlign w:val="center"/>
                </w:tcPr>
                <w:p w14:paraId="2C811CF7">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42</w:t>
                  </w:r>
                </w:p>
              </w:tc>
              <w:tc>
                <w:tcPr>
                  <w:tcW w:w="347" w:type="pct"/>
                  <w:tcBorders>
                    <w:tl2br w:val="nil"/>
                    <w:tr2bl w:val="nil"/>
                  </w:tcBorders>
                  <w:vAlign w:val="center"/>
                </w:tcPr>
                <w:p w14:paraId="4D2793D5">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57.5</w:t>
                  </w:r>
                </w:p>
              </w:tc>
              <w:tc>
                <w:tcPr>
                  <w:tcW w:w="300" w:type="pct"/>
                  <w:vMerge w:val="continue"/>
                  <w:tcBorders>
                    <w:tl2br w:val="nil"/>
                    <w:tr2bl w:val="nil"/>
                  </w:tcBorders>
                  <w:vAlign w:val="center"/>
                </w:tcPr>
                <w:p w14:paraId="003BD63E">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88" w:type="pct"/>
                  <w:vMerge w:val="continue"/>
                  <w:tcBorders>
                    <w:tl2br w:val="nil"/>
                    <w:tr2bl w:val="nil"/>
                  </w:tcBorders>
                  <w:vAlign w:val="center"/>
                </w:tcPr>
                <w:p w14:paraId="305933B9">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896" w:type="dxa"/>
                  <w:tcBorders>
                    <w:tl2br w:val="nil"/>
                    <w:tr2bl w:val="nil"/>
                  </w:tcBorders>
                  <w:vAlign w:val="center"/>
                </w:tcPr>
                <w:p w14:paraId="3F5B111C">
                  <w:pPr>
                    <w:keepNext w:val="0"/>
                    <w:keepLines w:val="0"/>
                    <w:widowControl/>
                    <w:suppressLineNumbers w:val="0"/>
                    <w:jc w:val="center"/>
                    <w:textAlignment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32.5</w:t>
                  </w:r>
                </w:p>
              </w:tc>
              <w:tc>
                <w:tcPr>
                  <w:tcW w:w="424" w:type="pct"/>
                  <w:tcBorders>
                    <w:tl2br w:val="nil"/>
                    <w:tr2bl w:val="nil"/>
                  </w:tcBorders>
                  <w:vAlign w:val="center"/>
                </w:tcPr>
                <w:p w14:paraId="23DA4902">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1</w:t>
                  </w:r>
                </w:p>
              </w:tc>
            </w:tr>
            <w:tr w14:paraId="5733CF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243" w:type="pct"/>
                  <w:vMerge w:val="continue"/>
                  <w:tcBorders>
                    <w:tl2br w:val="nil"/>
                    <w:tr2bl w:val="nil"/>
                  </w:tcBorders>
                  <w:vAlign w:val="center"/>
                </w:tcPr>
                <w:p w14:paraId="4356F2B8">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92" w:type="pct"/>
                  <w:vMerge w:val="continue"/>
                  <w:tcBorders>
                    <w:tl2br w:val="nil"/>
                    <w:tr2bl w:val="nil"/>
                  </w:tcBorders>
                  <w:vAlign w:val="center"/>
                </w:tcPr>
                <w:p w14:paraId="74ED28FE">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58" w:type="pct"/>
                  <w:vMerge w:val="continue"/>
                  <w:tcBorders>
                    <w:tl2br w:val="nil"/>
                    <w:tr2bl w:val="nil"/>
                  </w:tcBorders>
                  <w:vAlign w:val="center"/>
                </w:tcPr>
                <w:p w14:paraId="764615A3">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24" w:type="pct"/>
                  <w:vMerge w:val="continue"/>
                  <w:tcBorders>
                    <w:tl2br w:val="nil"/>
                    <w:tr2bl w:val="nil"/>
                  </w:tcBorders>
                  <w:vAlign w:val="center"/>
                </w:tcPr>
                <w:p w14:paraId="1BEBAA5E">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496" w:type="pct"/>
                  <w:vMerge w:val="continue"/>
                  <w:tcBorders>
                    <w:tl2br w:val="nil"/>
                    <w:tr2bl w:val="nil"/>
                  </w:tcBorders>
                  <w:vAlign w:val="center"/>
                </w:tcPr>
                <w:p w14:paraId="0300D17A">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47" w:type="pct"/>
                  <w:vMerge w:val="continue"/>
                  <w:tcBorders>
                    <w:tl2br w:val="nil"/>
                    <w:tr2bl w:val="nil"/>
                  </w:tcBorders>
                  <w:vAlign w:val="center"/>
                </w:tcPr>
                <w:p w14:paraId="107173F2">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46" w:type="pct"/>
                  <w:vMerge w:val="continue"/>
                  <w:tcBorders>
                    <w:tl2br w:val="nil"/>
                    <w:tr2bl w:val="nil"/>
                  </w:tcBorders>
                  <w:vAlign w:val="center"/>
                </w:tcPr>
                <w:p w14:paraId="5B166980">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31" w:type="pct"/>
                  <w:vMerge w:val="continue"/>
                  <w:tcBorders>
                    <w:tl2br w:val="nil"/>
                    <w:tr2bl w:val="nil"/>
                  </w:tcBorders>
                  <w:vAlign w:val="center"/>
                </w:tcPr>
                <w:p w14:paraId="300585A9">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185" w:type="pct"/>
                  <w:vMerge w:val="continue"/>
                  <w:tcBorders>
                    <w:tl2br w:val="nil"/>
                    <w:tr2bl w:val="nil"/>
                  </w:tcBorders>
                  <w:vAlign w:val="center"/>
                </w:tcPr>
                <w:p w14:paraId="557DE42F">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199" w:type="pct"/>
                  <w:tcBorders>
                    <w:tl2br w:val="nil"/>
                    <w:tr2bl w:val="nil"/>
                  </w:tcBorders>
                  <w:vAlign w:val="center"/>
                </w:tcPr>
                <w:p w14:paraId="457D30DD">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北</w:t>
                  </w:r>
                </w:p>
              </w:tc>
              <w:tc>
                <w:tcPr>
                  <w:tcW w:w="300" w:type="pct"/>
                  <w:tcBorders>
                    <w:tl2br w:val="nil"/>
                    <w:tr2bl w:val="nil"/>
                  </w:tcBorders>
                  <w:vAlign w:val="center"/>
                </w:tcPr>
                <w:p w14:paraId="3A07F147">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25</w:t>
                  </w:r>
                </w:p>
              </w:tc>
              <w:tc>
                <w:tcPr>
                  <w:tcW w:w="347" w:type="pct"/>
                  <w:tcBorders>
                    <w:tl2br w:val="nil"/>
                    <w:tr2bl w:val="nil"/>
                  </w:tcBorders>
                  <w:vAlign w:val="center"/>
                </w:tcPr>
                <w:p w14:paraId="4FAEA6A9">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62.0</w:t>
                  </w:r>
                </w:p>
              </w:tc>
              <w:tc>
                <w:tcPr>
                  <w:tcW w:w="300" w:type="pct"/>
                  <w:vMerge w:val="continue"/>
                  <w:tcBorders>
                    <w:tl2br w:val="nil"/>
                    <w:tr2bl w:val="nil"/>
                  </w:tcBorders>
                  <w:vAlign w:val="center"/>
                </w:tcPr>
                <w:p w14:paraId="22E6F837">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88" w:type="pct"/>
                  <w:vMerge w:val="continue"/>
                  <w:tcBorders>
                    <w:tl2br w:val="nil"/>
                    <w:tr2bl w:val="nil"/>
                  </w:tcBorders>
                  <w:vAlign w:val="center"/>
                </w:tcPr>
                <w:p w14:paraId="22AB0C7D">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896" w:type="dxa"/>
                  <w:tcBorders>
                    <w:tl2br w:val="nil"/>
                    <w:tr2bl w:val="nil"/>
                  </w:tcBorders>
                  <w:vAlign w:val="center"/>
                </w:tcPr>
                <w:p w14:paraId="62A5DF7C">
                  <w:pPr>
                    <w:keepNext w:val="0"/>
                    <w:keepLines w:val="0"/>
                    <w:widowControl/>
                    <w:suppressLineNumbers w:val="0"/>
                    <w:jc w:val="center"/>
                    <w:textAlignment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37</w:t>
                  </w:r>
                </w:p>
              </w:tc>
              <w:tc>
                <w:tcPr>
                  <w:tcW w:w="424" w:type="pct"/>
                  <w:tcBorders>
                    <w:tl2br w:val="nil"/>
                    <w:tr2bl w:val="nil"/>
                  </w:tcBorders>
                  <w:vAlign w:val="center"/>
                </w:tcPr>
                <w:p w14:paraId="36B53AC6">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1</w:t>
                  </w:r>
                </w:p>
              </w:tc>
            </w:tr>
            <w:tr w14:paraId="3E8F7B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243" w:type="pct"/>
                  <w:vMerge w:val="restart"/>
                  <w:tcBorders>
                    <w:tl2br w:val="nil"/>
                    <w:tr2bl w:val="nil"/>
                  </w:tcBorders>
                  <w:vAlign w:val="center"/>
                </w:tcPr>
                <w:p w14:paraId="1B9EBA2A">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3</w:t>
                  </w:r>
                </w:p>
              </w:tc>
              <w:tc>
                <w:tcPr>
                  <w:tcW w:w="292" w:type="pct"/>
                  <w:vMerge w:val="continue"/>
                  <w:tcBorders>
                    <w:tl2br w:val="nil"/>
                    <w:tr2bl w:val="nil"/>
                  </w:tcBorders>
                  <w:vAlign w:val="center"/>
                </w:tcPr>
                <w:p w14:paraId="764C5DB0">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58" w:type="pct"/>
                  <w:vMerge w:val="restart"/>
                  <w:tcBorders>
                    <w:tl2br w:val="nil"/>
                    <w:tr2bl w:val="nil"/>
                  </w:tcBorders>
                  <w:vAlign w:val="center"/>
                </w:tcPr>
                <w:p w14:paraId="1911DEE9">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eastAsia" w:cs="Times New Roman"/>
                      <w:color w:val="000000" w:themeColor="text1"/>
                      <w:sz w:val="21"/>
                      <w:szCs w:val="21"/>
                      <w:u w:val="single"/>
                      <w:lang w:eastAsia="zh-CN"/>
                      <w14:textFill>
                        <w14:solidFill>
                          <w14:schemeClr w14:val="tx1"/>
                        </w14:solidFill>
                      </w14:textFill>
                    </w:rPr>
                    <w:t>螺杆空压机</w:t>
                  </w:r>
                  <w:r>
                    <w:rPr>
                      <w:rFonts w:hint="default" w:ascii="Times New Roman" w:hAnsi="Times New Roman" w:cs="Times New Roman"/>
                      <w:color w:val="000000" w:themeColor="text1"/>
                      <w:sz w:val="21"/>
                      <w:szCs w:val="21"/>
                      <w:u w:val="single"/>
                      <w14:textFill>
                        <w14:solidFill>
                          <w14:schemeClr w14:val="tx1"/>
                        </w14:solidFill>
                      </w14:textFill>
                    </w:rPr>
                    <w:t>（1台）</w:t>
                  </w:r>
                </w:p>
              </w:tc>
              <w:tc>
                <w:tcPr>
                  <w:tcW w:w="324" w:type="pct"/>
                  <w:vMerge w:val="restart"/>
                  <w:tcBorders>
                    <w:tl2br w:val="nil"/>
                    <w:tr2bl w:val="nil"/>
                  </w:tcBorders>
                  <w:vAlign w:val="center"/>
                </w:tcPr>
                <w:p w14:paraId="5F9523C4">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w:t>
                  </w:r>
                </w:p>
              </w:tc>
              <w:tc>
                <w:tcPr>
                  <w:tcW w:w="496" w:type="pct"/>
                  <w:vMerge w:val="restart"/>
                  <w:tcBorders>
                    <w:tl2br w:val="nil"/>
                    <w:tr2bl w:val="nil"/>
                  </w:tcBorders>
                  <w:vAlign w:val="center"/>
                </w:tcPr>
                <w:p w14:paraId="1DADA57B">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9</w:t>
                  </w:r>
                  <w:r>
                    <w:rPr>
                      <w:rFonts w:hint="eastAsia" w:cs="Times New Roman"/>
                      <w:color w:val="000000" w:themeColor="text1"/>
                      <w:sz w:val="21"/>
                      <w:szCs w:val="21"/>
                      <w:u w:val="single"/>
                      <w:lang w:val="en-US" w:eastAsia="zh-CN"/>
                      <w14:textFill>
                        <w14:solidFill>
                          <w14:schemeClr w14:val="tx1"/>
                        </w14:solidFill>
                      </w14:textFill>
                    </w:rPr>
                    <w:t>5</w:t>
                  </w:r>
                  <w:r>
                    <w:rPr>
                      <w:rFonts w:hint="default" w:ascii="Times New Roman" w:hAnsi="Times New Roman" w:cs="Times New Roman"/>
                      <w:color w:val="000000" w:themeColor="text1"/>
                      <w:sz w:val="21"/>
                      <w:szCs w:val="21"/>
                      <w:u w:val="single"/>
                      <w14:textFill>
                        <w14:solidFill>
                          <w14:schemeClr w14:val="tx1"/>
                        </w14:solidFill>
                      </w14:textFill>
                    </w:rPr>
                    <w:t>/1</w:t>
                  </w:r>
                </w:p>
              </w:tc>
              <w:tc>
                <w:tcPr>
                  <w:tcW w:w="347" w:type="pct"/>
                  <w:vMerge w:val="continue"/>
                  <w:tcBorders>
                    <w:tl2br w:val="nil"/>
                    <w:tr2bl w:val="nil"/>
                  </w:tcBorders>
                  <w:vAlign w:val="center"/>
                </w:tcPr>
                <w:p w14:paraId="082513C2">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46" w:type="pct"/>
                  <w:vMerge w:val="restart"/>
                  <w:tcBorders>
                    <w:tl2br w:val="nil"/>
                    <w:tr2bl w:val="nil"/>
                  </w:tcBorders>
                  <w:vAlign w:val="center"/>
                </w:tcPr>
                <w:p w14:paraId="3D507A16">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85</w:t>
                  </w:r>
                </w:p>
              </w:tc>
              <w:tc>
                <w:tcPr>
                  <w:tcW w:w="231" w:type="pct"/>
                  <w:vMerge w:val="restart"/>
                  <w:tcBorders>
                    <w:tl2br w:val="nil"/>
                    <w:tr2bl w:val="nil"/>
                  </w:tcBorders>
                  <w:vAlign w:val="center"/>
                </w:tcPr>
                <w:p w14:paraId="3629C450">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26</w:t>
                  </w:r>
                </w:p>
              </w:tc>
              <w:tc>
                <w:tcPr>
                  <w:tcW w:w="185" w:type="pct"/>
                  <w:vMerge w:val="restart"/>
                  <w:tcBorders>
                    <w:tl2br w:val="nil"/>
                    <w:tr2bl w:val="nil"/>
                  </w:tcBorders>
                  <w:vAlign w:val="center"/>
                </w:tcPr>
                <w:p w14:paraId="242F8572">
                  <w:pPr>
                    <w:jc w:val="center"/>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1</w:t>
                  </w:r>
                </w:p>
              </w:tc>
              <w:tc>
                <w:tcPr>
                  <w:tcW w:w="199" w:type="pct"/>
                  <w:tcBorders>
                    <w:tl2br w:val="nil"/>
                    <w:tr2bl w:val="nil"/>
                  </w:tcBorders>
                  <w:vAlign w:val="center"/>
                </w:tcPr>
                <w:p w14:paraId="03ADC566">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东</w:t>
                  </w:r>
                </w:p>
              </w:tc>
              <w:tc>
                <w:tcPr>
                  <w:tcW w:w="300" w:type="pct"/>
                  <w:tcBorders>
                    <w:tl2br w:val="nil"/>
                    <w:tr2bl w:val="nil"/>
                  </w:tcBorders>
                  <w:vAlign w:val="center"/>
                </w:tcPr>
                <w:p w14:paraId="7A48C6C2">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15</w:t>
                  </w:r>
                </w:p>
              </w:tc>
              <w:tc>
                <w:tcPr>
                  <w:tcW w:w="347" w:type="pct"/>
                  <w:tcBorders>
                    <w:tl2br w:val="nil"/>
                    <w:tr2bl w:val="nil"/>
                  </w:tcBorders>
                  <w:vAlign w:val="center"/>
                </w:tcPr>
                <w:p w14:paraId="5577918D">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71.5</w:t>
                  </w:r>
                </w:p>
              </w:tc>
              <w:tc>
                <w:tcPr>
                  <w:tcW w:w="300" w:type="pct"/>
                  <w:vMerge w:val="restart"/>
                  <w:tcBorders>
                    <w:tl2br w:val="nil"/>
                    <w:tr2bl w:val="nil"/>
                  </w:tcBorders>
                  <w:vAlign w:val="center"/>
                </w:tcPr>
                <w:p w14:paraId="4D85955D">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24h</w:t>
                  </w:r>
                </w:p>
              </w:tc>
              <w:tc>
                <w:tcPr>
                  <w:tcW w:w="388" w:type="pct"/>
                  <w:vMerge w:val="restart"/>
                  <w:tcBorders>
                    <w:tl2br w:val="nil"/>
                    <w:tr2bl w:val="nil"/>
                  </w:tcBorders>
                  <w:vAlign w:val="center"/>
                </w:tcPr>
                <w:p w14:paraId="3ED7BBD8">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25</w:t>
                  </w:r>
                </w:p>
              </w:tc>
              <w:tc>
                <w:tcPr>
                  <w:tcW w:w="896" w:type="dxa"/>
                  <w:tcBorders>
                    <w:tl2br w:val="nil"/>
                    <w:tr2bl w:val="nil"/>
                  </w:tcBorders>
                  <w:vAlign w:val="center"/>
                </w:tcPr>
                <w:p w14:paraId="60F0343E">
                  <w:pPr>
                    <w:keepNext w:val="0"/>
                    <w:keepLines w:val="0"/>
                    <w:widowControl/>
                    <w:suppressLineNumbers w:val="0"/>
                    <w:jc w:val="center"/>
                    <w:textAlignment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46.5</w:t>
                  </w:r>
                </w:p>
              </w:tc>
              <w:tc>
                <w:tcPr>
                  <w:tcW w:w="424" w:type="pct"/>
                  <w:tcBorders>
                    <w:tl2br w:val="nil"/>
                    <w:tr2bl w:val="nil"/>
                  </w:tcBorders>
                  <w:vAlign w:val="center"/>
                </w:tcPr>
                <w:p w14:paraId="0B85F358">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1</w:t>
                  </w:r>
                </w:p>
              </w:tc>
            </w:tr>
            <w:tr w14:paraId="2F4D49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243" w:type="pct"/>
                  <w:vMerge w:val="continue"/>
                  <w:tcBorders>
                    <w:tl2br w:val="nil"/>
                    <w:tr2bl w:val="nil"/>
                  </w:tcBorders>
                  <w:vAlign w:val="center"/>
                </w:tcPr>
                <w:p w14:paraId="247E5A49">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92" w:type="pct"/>
                  <w:vMerge w:val="continue"/>
                  <w:tcBorders>
                    <w:tl2br w:val="nil"/>
                    <w:tr2bl w:val="nil"/>
                  </w:tcBorders>
                  <w:vAlign w:val="center"/>
                </w:tcPr>
                <w:p w14:paraId="7C09B283">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58" w:type="pct"/>
                  <w:vMerge w:val="continue"/>
                  <w:tcBorders>
                    <w:tl2br w:val="nil"/>
                    <w:tr2bl w:val="nil"/>
                  </w:tcBorders>
                  <w:vAlign w:val="center"/>
                </w:tcPr>
                <w:p w14:paraId="4350D43D">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24" w:type="pct"/>
                  <w:vMerge w:val="continue"/>
                  <w:tcBorders>
                    <w:tl2br w:val="nil"/>
                    <w:tr2bl w:val="nil"/>
                  </w:tcBorders>
                  <w:vAlign w:val="center"/>
                </w:tcPr>
                <w:p w14:paraId="4353DF5B">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496" w:type="pct"/>
                  <w:vMerge w:val="continue"/>
                  <w:tcBorders>
                    <w:tl2br w:val="nil"/>
                    <w:tr2bl w:val="nil"/>
                  </w:tcBorders>
                  <w:vAlign w:val="center"/>
                </w:tcPr>
                <w:p w14:paraId="5271FABB">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47" w:type="pct"/>
                  <w:vMerge w:val="continue"/>
                  <w:tcBorders>
                    <w:tl2br w:val="nil"/>
                    <w:tr2bl w:val="nil"/>
                  </w:tcBorders>
                  <w:vAlign w:val="center"/>
                </w:tcPr>
                <w:p w14:paraId="17BF2D65">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46" w:type="pct"/>
                  <w:vMerge w:val="continue"/>
                  <w:tcBorders>
                    <w:tl2br w:val="nil"/>
                    <w:tr2bl w:val="nil"/>
                  </w:tcBorders>
                  <w:vAlign w:val="center"/>
                </w:tcPr>
                <w:p w14:paraId="3E16DE47">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31" w:type="pct"/>
                  <w:vMerge w:val="continue"/>
                  <w:tcBorders>
                    <w:tl2br w:val="nil"/>
                    <w:tr2bl w:val="nil"/>
                  </w:tcBorders>
                  <w:vAlign w:val="center"/>
                </w:tcPr>
                <w:p w14:paraId="142C02C1">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185" w:type="pct"/>
                  <w:vMerge w:val="continue"/>
                  <w:tcBorders>
                    <w:tl2br w:val="nil"/>
                    <w:tr2bl w:val="nil"/>
                  </w:tcBorders>
                  <w:vAlign w:val="center"/>
                </w:tcPr>
                <w:p w14:paraId="179A36EA">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199" w:type="pct"/>
                  <w:tcBorders>
                    <w:tl2br w:val="nil"/>
                    <w:tr2bl w:val="nil"/>
                  </w:tcBorders>
                  <w:vAlign w:val="center"/>
                </w:tcPr>
                <w:p w14:paraId="77C7517B">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南</w:t>
                  </w:r>
                </w:p>
              </w:tc>
              <w:tc>
                <w:tcPr>
                  <w:tcW w:w="300" w:type="pct"/>
                  <w:tcBorders>
                    <w:tl2br w:val="nil"/>
                    <w:tr2bl w:val="nil"/>
                  </w:tcBorders>
                  <w:vAlign w:val="center"/>
                </w:tcPr>
                <w:p w14:paraId="4780EC8C">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26</w:t>
                  </w:r>
                </w:p>
              </w:tc>
              <w:tc>
                <w:tcPr>
                  <w:tcW w:w="347" w:type="pct"/>
                  <w:tcBorders>
                    <w:tl2br w:val="nil"/>
                    <w:tr2bl w:val="nil"/>
                  </w:tcBorders>
                  <w:vAlign w:val="center"/>
                </w:tcPr>
                <w:p w14:paraId="7C4D4BA4">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66.7</w:t>
                  </w:r>
                </w:p>
              </w:tc>
              <w:tc>
                <w:tcPr>
                  <w:tcW w:w="300" w:type="pct"/>
                  <w:vMerge w:val="continue"/>
                  <w:tcBorders>
                    <w:tl2br w:val="nil"/>
                    <w:tr2bl w:val="nil"/>
                  </w:tcBorders>
                  <w:vAlign w:val="center"/>
                </w:tcPr>
                <w:p w14:paraId="59F8E48F">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88" w:type="pct"/>
                  <w:vMerge w:val="continue"/>
                  <w:tcBorders>
                    <w:tl2br w:val="nil"/>
                    <w:tr2bl w:val="nil"/>
                  </w:tcBorders>
                  <w:vAlign w:val="center"/>
                </w:tcPr>
                <w:p w14:paraId="4245B9DD">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896" w:type="dxa"/>
                  <w:tcBorders>
                    <w:tl2br w:val="nil"/>
                    <w:tr2bl w:val="nil"/>
                  </w:tcBorders>
                  <w:vAlign w:val="center"/>
                </w:tcPr>
                <w:p w14:paraId="0E82595A">
                  <w:pPr>
                    <w:keepNext w:val="0"/>
                    <w:keepLines w:val="0"/>
                    <w:widowControl/>
                    <w:suppressLineNumbers w:val="0"/>
                    <w:jc w:val="center"/>
                    <w:textAlignment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41.7</w:t>
                  </w:r>
                </w:p>
              </w:tc>
              <w:tc>
                <w:tcPr>
                  <w:tcW w:w="424" w:type="pct"/>
                  <w:tcBorders>
                    <w:tl2br w:val="nil"/>
                    <w:tr2bl w:val="nil"/>
                  </w:tcBorders>
                  <w:vAlign w:val="center"/>
                </w:tcPr>
                <w:p w14:paraId="7C702605">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1</w:t>
                  </w:r>
                </w:p>
              </w:tc>
            </w:tr>
            <w:tr w14:paraId="587126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243" w:type="pct"/>
                  <w:vMerge w:val="continue"/>
                  <w:tcBorders>
                    <w:tl2br w:val="nil"/>
                    <w:tr2bl w:val="nil"/>
                  </w:tcBorders>
                  <w:vAlign w:val="center"/>
                </w:tcPr>
                <w:p w14:paraId="080336F6">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92" w:type="pct"/>
                  <w:vMerge w:val="continue"/>
                  <w:tcBorders>
                    <w:tl2br w:val="nil"/>
                    <w:tr2bl w:val="nil"/>
                  </w:tcBorders>
                  <w:vAlign w:val="center"/>
                </w:tcPr>
                <w:p w14:paraId="1EE7E620">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58" w:type="pct"/>
                  <w:vMerge w:val="continue"/>
                  <w:tcBorders>
                    <w:tl2br w:val="nil"/>
                    <w:tr2bl w:val="nil"/>
                  </w:tcBorders>
                  <w:vAlign w:val="center"/>
                </w:tcPr>
                <w:p w14:paraId="1BE3094E">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24" w:type="pct"/>
                  <w:vMerge w:val="continue"/>
                  <w:tcBorders>
                    <w:tl2br w:val="nil"/>
                    <w:tr2bl w:val="nil"/>
                  </w:tcBorders>
                  <w:vAlign w:val="center"/>
                </w:tcPr>
                <w:p w14:paraId="542EC196">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496" w:type="pct"/>
                  <w:vMerge w:val="continue"/>
                  <w:tcBorders>
                    <w:tl2br w:val="nil"/>
                    <w:tr2bl w:val="nil"/>
                  </w:tcBorders>
                  <w:vAlign w:val="center"/>
                </w:tcPr>
                <w:p w14:paraId="6D08434D">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47" w:type="pct"/>
                  <w:vMerge w:val="continue"/>
                  <w:tcBorders>
                    <w:tl2br w:val="nil"/>
                    <w:tr2bl w:val="nil"/>
                  </w:tcBorders>
                  <w:vAlign w:val="center"/>
                </w:tcPr>
                <w:p w14:paraId="63F84E0E">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46" w:type="pct"/>
                  <w:vMerge w:val="continue"/>
                  <w:tcBorders>
                    <w:tl2br w:val="nil"/>
                    <w:tr2bl w:val="nil"/>
                  </w:tcBorders>
                  <w:vAlign w:val="center"/>
                </w:tcPr>
                <w:p w14:paraId="01AE320B">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31" w:type="pct"/>
                  <w:vMerge w:val="continue"/>
                  <w:tcBorders>
                    <w:tl2br w:val="nil"/>
                    <w:tr2bl w:val="nil"/>
                  </w:tcBorders>
                  <w:vAlign w:val="center"/>
                </w:tcPr>
                <w:p w14:paraId="1510D204">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185" w:type="pct"/>
                  <w:vMerge w:val="continue"/>
                  <w:tcBorders>
                    <w:tl2br w:val="nil"/>
                    <w:tr2bl w:val="nil"/>
                  </w:tcBorders>
                  <w:vAlign w:val="center"/>
                </w:tcPr>
                <w:p w14:paraId="5DE326A7">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199" w:type="pct"/>
                  <w:tcBorders>
                    <w:tl2br w:val="nil"/>
                    <w:tr2bl w:val="nil"/>
                  </w:tcBorders>
                  <w:vAlign w:val="center"/>
                </w:tcPr>
                <w:p w14:paraId="3C2E882D">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西</w:t>
                  </w:r>
                </w:p>
              </w:tc>
              <w:tc>
                <w:tcPr>
                  <w:tcW w:w="300" w:type="pct"/>
                  <w:tcBorders>
                    <w:tl2br w:val="nil"/>
                    <w:tr2bl w:val="nil"/>
                  </w:tcBorders>
                  <w:vAlign w:val="center"/>
                </w:tcPr>
                <w:p w14:paraId="0B341268">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85</w:t>
                  </w:r>
                </w:p>
              </w:tc>
              <w:tc>
                <w:tcPr>
                  <w:tcW w:w="347" w:type="pct"/>
                  <w:tcBorders>
                    <w:tl2br w:val="nil"/>
                    <w:tr2bl w:val="nil"/>
                  </w:tcBorders>
                  <w:vAlign w:val="center"/>
                </w:tcPr>
                <w:p w14:paraId="21AE5FC1">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56.4</w:t>
                  </w:r>
                </w:p>
              </w:tc>
              <w:tc>
                <w:tcPr>
                  <w:tcW w:w="300" w:type="pct"/>
                  <w:vMerge w:val="continue"/>
                  <w:tcBorders>
                    <w:tl2br w:val="nil"/>
                    <w:tr2bl w:val="nil"/>
                  </w:tcBorders>
                  <w:vAlign w:val="center"/>
                </w:tcPr>
                <w:p w14:paraId="3DF22BE2">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88" w:type="pct"/>
                  <w:vMerge w:val="continue"/>
                  <w:tcBorders>
                    <w:tl2br w:val="nil"/>
                    <w:tr2bl w:val="nil"/>
                  </w:tcBorders>
                  <w:vAlign w:val="center"/>
                </w:tcPr>
                <w:p w14:paraId="6BFCA9AE">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896" w:type="dxa"/>
                  <w:tcBorders>
                    <w:tl2br w:val="nil"/>
                    <w:tr2bl w:val="nil"/>
                  </w:tcBorders>
                  <w:vAlign w:val="center"/>
                </w:tcPr>
                <w:p w14:paraId="36B8E6CE">
                  <w:pPr>
                    <w:keepNext w:val="0"/>
                    <w:keepLines w:val="0"/>
                    <w:widowControl/>
                    <w:suppressLineNumbers w:val="0"/>
                    <w:jc w:val="center"/>
                    <w:textAlignment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31.4</w:t>
                  </w:r>
                </w:p>
              </w:tc>
              <w:tc>
                <w:tcPr>
                  <w:tcW w:w="424" w:type="pct"/>
                  <w:tcBorders>
                    <w:tl2br w:val="nil"/>
                    <w:tr2bl w:val="nil"/>
                  </w:tcBorders>
                  <w:vAlign w:val="center"/>
                </w:tcPr>
                <w:p w14:paraId="5239E469">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1</w:t>
                  </w:r>
                </w:p>
              </w:tc>
            </w:tr>
            <w:tr w14:paraId="5AB776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243" w:type="pct"/>
                  <w:vMerge w:val="continue"/>
                  <w:tcBorders>
                    <w:tl2br w:val="nil"/>
                    <w:tr2bl w:val="nil"/>
                  </w:tcBorders>
                  <w:vAlign w:val="center"/>
                </w:tcPr>
                <w:p w14:paraId="692F5433">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92" w:type="pct"/>
                  <w:vMerge w:val="continue"/>
                  <w:tcBorders>
                    <w:tl2br w:val="nil"/>
                    <w:tr2bl w:val="nil"/>
                  </w:tcBorders>
                  <w:vAlign w:val="center"/>
                </w:tcPr>
                <w:p w14:paraId="156361B1">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58" w:type="pct"/>
                  <w:vMerge w:val="continue"/>
                  <w:tcBorders>
                    <w:tl2br w:val="nil"/>
                    <w:tr2bl w:val="nil"/>
                  </w:tcBorders>
                  <w:vAlign w:val="center"/>
                </w:tcPr>
                <w:p w14:paraId="0AA154CA">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24" w:type="pct"/>
                  <w:vMerge w:val="continue"/>
                  <w:tcBorders>
                    <w:tl2br w:val="nil"/>
                    <w:tr2bl w:val="nil"/>
                  </w:tcBorders>
                  <w:vAlign w:val="center"/>
                </w:tcPr>
                <w:p w14:paraId="7E9F0A0A">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496" w:type="pct"/>
                  <w:vMerge w:val="continue"/>
                  <w:tcBorders>
                    <w:tl2br w:val="nil"/>
                    <w:tr2bl w:val="nil"/>
                  </w:tcBorders>
                  <w:vAlign w:val="center"/>
                </w:tcPr>
                <w:p w14:paraId="2C186A13">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47" w:type="pct"/>
                  <w:vMerge w:val="continue"/>
                  <w:tcBorders>
                    <w:tl2br w:val="nil"/>
                    <w:tr2bl w:val="nil"/>
                  </w:tcBorders>
                  <w:vAlign w:val="center"/>
                </w:tcPr>
                <w:p w14:paraId="2AF11F90">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46" w:type="pct"/>
                  <w:vMerge w:val="continue"/>
                  <w:tcBorders>
                    <w:tl2br w:val="nil"/>
                    <w:tr2bl w:val="nil"/>
                  </w:tcBorders>
                  <w:vAlign w:val="center"/>
                </w:tcPr>
                <w:p w14:paraId="65AE0991">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31" w:type="pct"/>
                  <w:vMerge w:val="continue"/>
                  <w:tcBorders>
                    <w:tl2br w:val="nil"/>
                    <w:tr2bl w:val="nil"/>
                  </w:tcBorders>
                  <w:vAlign w:val="center"/>
                </w:tcPr>
                <w:p w14:paraId="5B6B66A9">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185" w:type="pct"/>
                  <w:vMerge w:val="continue"/>
                  <w:tcBorders>
                    <w:tl2br w:val="nil"/>
                    <w:tr2bl w:val="nil"/>
                  </w:tcBorders>
                  <w:vAlign w:val="center"/>
                </w:tcPr>
                <w:p w14:paraId="37A5F836">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199" w:type="pct"/>
                  <w:tcBorders>
                    <w:tl2br w:val="nil"/>
                    <w:tr2bl w:val="nil"/>
                  </w:tcBorders>
                  <w:vAlign w:val="center"/>
                </w:tcPr>
                <w:p w14:paraId="551234D1">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北</w:t>
                  </w:r>
                </w:p>
              </w:tc>
              <w:tc>
                <w:tcPr>
                  <w:tcW w:w="300" w:type="pct"/>
                  <w:tcBorders>
                    <w:tl2br w:val="nil"/>
                    <w:tr2bl w:val="nil"/>
                  </w:tcBorders>
                  <w:vAlign w:val="center"/>
                </w:tcPr>
                <w:p w14:paraId="7BC2921E">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10</w:t>
                  </w:r>
                </w:p>
              </w:tc>
              <w:tc>
                <w:tcPr>
                  <w:tcW w:w="347" w:type="pct"/>
                  <w:tcBorders>
                    <w:tl2br w:val="nil"/>
                    <w:tr2bl w:val="nil"/>
                  </w:tcBorders>
                  <w:vAlign w:val="center"/>
                </w:tcPr>
                <w:p w14:paraId="6522D276">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75.0</w:t>
                  </w:r>
                </w:p>
              </w:tc>
              <w:tc>
                <w:tcPr>
                  <w:tcW w:w="300" w:type="pct"/>
                  <w:vMerge w:val="continue"/>
                  <w:tcBorders>
                    <w:tl2br w:val="nil"/>
                    <w:tr2bl w:val="nil"/>
                  </w:tcBorders>
                  <w:vAlign w:val="center"/>
                </w:tcPr>
                <w:p w14:paraId="1755A62F">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88" w:type="pct"/>
                  <w:vMerge w:val="continue"/>
                  <w:tcBorders>
                    <w:tl2br w:val="nil"/>
                    <w:tr2bl w:val="nil"/>
                  </w:tcBorders>
                  <w:vAlign w:val="center"/>
                </w:tcPr>
                <w:p w14:paraId="7CE7497C">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896" w:type="dxa"/>
                  <w:tcBorders>
                    <w:tl2br w:val="nil"/>
                    <w:tr2bl w:val="nil"/>
                  </w:tcBorders>
                  <w:vAlign w:val="center"/>
                </w:tcPr>
                <w:p w14:paraId="3EF709EC">
                  <w:pPr>
                    <w:keepNext w:val="0"/>
                    <w:keepLines w:val="0"/>
                    <w:widowControl/>
                    <w:suppressLineNumbers w:val="0"/>
                    <w:jc w:val="center"/>
                    <w:textAlignment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50</w:t>
                  </w:r>
                </w:p>
              </w:tc>
              <w:tc>
                <w:tcPr>
                  <w:tcW w:w="424" w:type="pct"/>
                  <w:tcBorders>
                    <w:tl2br w:val="nil"/>
                    <w:tr2bl w:val="nil"/>
                  </w:tcBorders>
                  <w:vAlign w:val="center"/>
                </w:tcPr>
                <w:p w14:paraId="1D558230">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1</w:t>
                  </w:r>
                </w:p>
              </w:tc>
            </w:tr>
            <w:tr w14:paraId="2C3212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243" w:type="pct"/>
                  <w:vMerge w:val="restart"/>
                  <w:tcBorders>
                    <w:tl2br w:val="nil"/>
                    <w:tr2bl w:val="nil"/>
                  </w:tcBorders>
                  <w:vAlign w:val="center"/>
                </w:tcPr>
                <w:p w14:paraId="56E9DF8A">
                  <w:pPr>
                    <w:jc w:val="center"/>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4</w:t>
                  </w:r>
                </w:p>
              </w:tc>
              <w:tc>
                <w:tcPr>
                  <w:tcW w:w="292" w:type="pct"/>
                  <w:vMerge w:val="continue"/>
                  <w:tcBorders>
                    <w:tl2br w:val="nil"/>
                    <w:tr2bl w:val="nil"/>
                  </w:tcBorders>
                  <w:vAlign w:val="center"/>
                </w:tcPr>
                <w:p w14:paraId="165AC716">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58" w:type="pct"/>
                  <w:vMerge w:val="restart"/>
                  <w:tcBorders>
                    <w:tl2br w:val="nil"/>
                    <w:tr2bl w:val="nil"/>
                  </w:tcBorders>
                  <w:vAlign w:val="center"/>
                </w:tcPr>
                <w:p w14:paraId="7EBE27F6">
                  <w:pPr>
                    <w:jc w:val="center"/>
                    <w:rPr>
                      <w:rFonts w:hint="eastAsia" w:ascii="Times New Roman" w:hAnsi="Times New Roman" w:eastAsia="宋体" w:cs="Times New Roman"/>
                      <w:color w:val="000000" w:themeColor="text1"/>
                      <w:sz w:val="21"/>
                      <w:szCs w:val="21"/>
                      <w:u w:val="single"/>
                      <w:lang w:eastAsia="zh-CN"/>
                      <w14:textFill>
                        <w14:solidFill>
                          <w14:schemeClr w14:val="tx1"/>
                        </w14:solidFill>
                      </w14:textFill>
                    </w:rPr>
                  </w:pPr>
                  <w:r>
                    <w:rPr>
                      <w:rFonts w:hint="eastAsia" w:ascii="Times New Roman" w:hAnsi="Times New Roman" w:cs="Times New Roman"/>
                      <w:color w:val="000000" w:themeColor="text1"/>
                      <w:sz w:val="21"/>
                      <w:szCs w:val="21"/>
                      <w:u w:val="single"/>
                      <w:lang w:eastAsia="zh-CN"/>
                      <w14:textFill>
                        <w14:solidFill>
                          <w14:schemeClr w14:val="tx1"/>
                        </w14:solidFill>
                      </w14:textFill>
                    </w:rPr>
                    <w:t>制氮机（</w:t>
                  </w:r>
                  <w:r>
                    <w:rPr>
                      <w:rFonts w:hint="eastAsia" w:ascii="Times New Roman" w:hAnsi="Times New Roman" w:cs="Times New Roman"/>
                      <w:color w:val="000000" w:themeColor="text1"/>
                      <w:sz w:val="21"/>
                      <w:szCs w:val="21"/>
                      <w:u w:val="single"/>
                      <w:lang w:val="en-US" w:eastAsia="zh-CN"/>
                      <w14:textFill>
                        <w14:solidFill>
                          <w14:schemeClr w14:val="tx1"/>
                        </w14:solidFill>
                      </w14:textFill>
                    </w:rPr>
                    <w:t>1台</w:t>
                  </w:r>
                  <w:r>
                    <w:rPr>
                      <w:rFonts w:hint="eastAsia" w:ascii="Times New Roman" w:hAnsi="Times New Roman" w:cs="Times New Roman"/>
                      <w:color w:val="000000" w:themeColor="text1"/>
                      <w:sz w:val="21"/>
                      <w:szCs w:val="21"/>
                      <w:u w:val="single"/>
                      <w:lang w:eastAsia="zh-CN"/>
                      <w14:textFill>
                        <w14:solidFill>
                          <w14:schemeClr w14:val="tx1"/>
                        </w14:solidFill>
                      </w14:textFill>
                    </w:rPr>
                    <w:t>）</w:t>
                  </w:r>
                </w:p>
              </w:tc>
              <w:tc>
                <w:tcPr>
                  <w:tcW w:w="324" w:type="pct"/>
                  <w:vMerge w:val="restart"/>
                  <w:tcBorders>
                    <w:tl2br w:val="nil"/>
                    <w:tr2bl w:val="nil"/>
                  </w:tcBorders>
                  <w:vAlign w:val="center"/>
                </w:tcPr>
                <w:p w14:paraId="262F73A1">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496" w:type="pct"/>
                  <w:vMerge w:val="restart"/>
                  <w:tcBorders>
                    <w:tl2br w:val="nil"/>
                    <w:tr2bl w:val="nil"/>
                  </w:tcBorders>
                  <w:vAlign w:val="center"/>
                </w:tcPr>
                <w:p w14:paraId="5746BC7E">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90</w:t>
                  </w:r>
                  <w:r>
                    <w:rPr>
                      <w:rFonts w:hint="default" w:ascii="Times New Roman" w:hAnsi="Times New Roman" w:cs="Times New Roman"/>
                      <w:color w:val="000000" w:themeColor="text1"/>
                      <w:sz w:val="21"/>
                      <w:szCs w:val="21"/>
                      <w:u w:val="single"/>
                      <w14:textFill>
                        <w14:solidFill>
                          <w14:schemeClr w14:val="tx1"/>
                        </w14:solidFill>
                      </w14:textFill>
                    </w:rPr>
                    <w:t>/1</w:t>
                  </w:r>
                </w:p>
              </w:tc>
              <w:tc>
                <w:tcPr>
                  <w:tcW w:w="347" w:type="pct"/>
                  <w:vMerge w:val="continue"/>
                  <w:tcBorders>
                    <w:tl2br w:val="nil"/>
                    <w:tr2bl w:val="nil"/>
                  </w:tcBorders>
                  <w:vAlign w:val="center"/>
                </w:tcPr>
                <w:p w14:paraId="177DCAC8">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46" w:type="pct"/>
                  <w:vMerge w:val="restart"/>
                  <w:tcBorders>
                    <w:tl2br w:val="nil"/>
                    <w:tr2bl w:val="nil"/>
                  </w:tcBorders>
                  <w:vAlign w:val="center"/>
                </w:tcPr>
                <w:p w14:paraId="430B6E6A">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83</w:t>
                  </w:r>
                </w:p>
              </w:tc>
              <w:tc>
                <w:tcPr>
                  <w:tcW w:w="231" w:type="pct"/>
                  <w:vMerge w:val="restart"/>
                  <w:tcBorders>
                    <w:tl2br w:val="nil"/>
                    <w:tr2bl w:val="nil"/>
                  </w:tcBorders>
                  <w:vAlign w:val="center"/>
                </w:tcPr>
                <w:p w14:paraId="5E7B66E4">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24</w:t>
                  </w:r>
                </w:p>
              </w:tc>
              <w:tc>
                <w:tcPr>
                  <w:tcW w:w="185" w:type="pct"/>
                  <w:vMerge w:val="restart"/>
                  <w:tcBorders>
                    <w:tl2br w:val="nil"/>
                    <w:tr2bl w:val="nil"/>
                  </w:tcBorders>
                  <w:vAlign w:val="center"/>
                </w:tcPr>
                <w:p w14:paraId="62752EE9">
                  <w:pPr>
                    <w:jc w:val="center"/>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1</w:t>
                  </w:r>
                </w:p>
              </w:tc>
              <w:tc>
                <w:tcPr>
                  <w:tcW w:w="568" w:type="dxa"/>
                  <w:tcBorders>
                    <w:tl2br w:val="nil"/>
                    <w:tr2bl w:val="nil"/>
                  </w:tcBorders>
                  <w:vAlign w:val="center"/>
                </w:tcPr>
                <w:p w14:paraId="44A46C25">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东</w:t>
                  </w:r>
                </w:p>
              </w:tc>
              <w:tc>
                <w:tcPr>
                  <w:tcW w:w="300" w:type="pct"/>
                  <w:tcBorders>
                    <w:tl2br w:val="nil"/>
                    <w:tr2bl w:val="nil"/>
                  </w:tcBorders>
                  <w:vAlign w:val="center"/>
                </w:tcPr>
                <w:p w14:paraId="077A55BB">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17</w:t>
                  </w:r>
                </w:p>
              </w:tc>
              <w:tc>
                <w:tcPr>
                  <w:tcW w:w="347" w:type="pct"/>
                  <w:tcBorders>
                    <w:tl2br w:val="nil"/>
                    <w:tr2bl w:val="nil"/>
                  </w:tcBorders>
                  <w:vAlign w:val="center"/>
                </w:tcPr>
                <w:p w14:paraId="22732709">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65.4</w:t>
                  </w:r>
                </w:p>
              </w:tc>
              <w:tc>
                <w:tcPr>
                  <w:tcW w:w="856" w:type="dxa"/>
                  <w:vMerge w:val="restart"/>
                  <w:tcBorders>
                    <w:tl2br w:val="nil"/>
                    <w:tr2bl w:val="nil"/>
                  </w:tcBorders>
                  <w:vAlign w:val="center"/>
                </w:tcPr>
                <w:p w14:paraId="63CC767E">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24h</w:t>
                  </w:r>
                </w:p>
              </w:tc>
              <w:tc>
                <w:tcPr>
                  <w:tcW w:w="1107" w:type="dxa"/>
                  <w:vMerge w:val="restart"/>
                  <w:tcBorders>
                    <w:tl2br w:val="nil"/>
                    <w:tr2bl w:val="nil"/>
                  </w:tcBorders>
                  <w:vAlign w:val="center"/>
                </w:tcPr>
                <w:p w14:paraId="7E0598DF">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25</w:t>
                  </w:r>
                </w:p>
              </w:tc>
              <w:tc>
                <w:tcPr>
                  <w:tcW w:w="896" w:type="dxa"/>
                  <w:tcBorders>
                    <w:tl2br w:val="nil"/>
                    <w:tr2bl w:val="nil"/>
                  </w:tcBorders>
                  <w:vAlign w:val="center"/>
                </w:tcPr>
                <w:p w14:paraId="2B9DF8B4">
                  <w:pPr>
                    <w:keepNext w:val="0"/>
                    <w:keepLines w:val="0"/>
                    <w:widowControl/>
                    <w:suppressLineNumbers w:val="0"/>
                    <w:jc w:val="center"/>
                    <w:textAlignment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40.4</w:t>
                  </w:r>
                </w:p>
              </w:tc>
              <w:tc>
                <w:tcPr>
                  <w:tcW w:w="424" w:type="pct"/>
                  <w:tcBorders>
                    <w:tl2br w:val="nil"/>
                    <w:tr2bl w:val="nil"/>
                  </w:tcBorders>
                  <w:vAlign w:val="center"/>
                </w:tcPr>
                <w:p w14:paraId="63F5C891">
                  <w:pPr>
                    <w:jc w:val="center"/>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1</w:t>
                  </w:r>
                </w:p>
              </w:tc>
            </w:tr>
            <w:tr w14:paraId="26B6D9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243" w:type="pct"/>
                  <w:vMerge w:val="continue"/>
                  <w:tcBorders>
                    <w:tl2br w:val="nil"/>
                    <w:tr2bl w:val="nil"/>
                  </w:tcBorders>
                  <w:vAlign w:val="center"/>
                </w:tcPr>
                <w:p w14:paraId="43352155">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92" w:type="pct"/>
                  <w:vMerge w:val="continue"/>
                  <w:tcBorders>
                    <w:tl2br w:val="nil"/>
                    <w:tr2bl w:val="nil"/>
                  </w:tcBorders>
                  <w:vAlign w:val="center"/>
                </w:tcPr>
                <w:p w14:paraId="4252F3FB">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58" w:type="pct"/>
                  <w:vMerge w:val="continue"/>
                  <w:tcBorders>
                    <w:tl2br w:val="nil"/>
                    <w:tr2bl w:val="nil"/>
                  </w:tcBorders>
                  <w:vAlign w:val="center"/>
                </w:tcPr>
                <w:p w14:paraId="4E557195">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24" w:type="pct"/>
                  <w:vMerge w:val="continue"/>
                  <w:tcBorders>
                    <w:tl2br w:val="nil"/>
                    <w:tr2bl w:val="nil"/>
                  </w:tcBorders>
                  <w:vAlign w:val="center"/>
                </w:tcPr>
                <w:p w14:paraId="6329A4F6">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496" w:type="pct"/>
                  <w:vMerge w:val="continue"/>
                  <w:tcBorders>
                    <w:tl2br w:val="nil"/>
                    <w:tr2bl w:val="nil"/>
                  </w:tcBorders>
                  <w:vAlign w:val="center"/>
                </w:tcPr>
                <w:p w14:paraId="3FE28B86">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47" w:type="pct"/>
                  <w:vMerge w:val="continue"/>
                  <w:tcBorders>
                    <w:tl2br w:val="nil"/>
                    <w:tr2bl w:val="nil"/>
                  </w:tcBorders>
                  <w:vAlign w:val="center"/>
                </w:tcPr>
                <w:p w14:paraId="4A23A2C7">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46" w:type="pct"/>
                  <w:vMerge w:val="continue"/>
                  <w:tcBorders>
                    <w:tl2br w:val="nil"/>
                    <w:tr2bl w:val="nil"/>
                  </w:tcBorders>
                  <w:vAlign w:val="center"/>
                </w:tcPr>
                <w:p w14:paraId="61DF9F72">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31" w:type="pct"/>
                  <w:vMerge w:val="continue"/>
                  <w:tcBorders>
                    <w:tl2br w:val="nil"/>
                    <w:tr2bl w:val="nil"/>
                  </w:tcBorders>
                  <w:vAlign w:val="center"/>
                </w:tcPr>
                <w:p w14:paraId="69F752A7">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185" w:type="pct"/>
                  <w:vMerge w:val="continue"/>
                  <w:tcBorders>
                    <w:tl2br w:val="nil"/>
                    <w:tr2bl w:val="nil"/>
                  </w:tcBorders>
                  <w:vAlign w:val="center"/>
                </w:tcPr>
                <w:p w14:paraId="6514BF36">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568" w:type="dxa"/>
                  <w:tcBorders>
                    <w:tl2br w:val="nil"/>
                    <w:tr2bl w:val="nil"/>
                  </w:tcBorders>
                  <w:vAlign w:val="center"/>
                </w:tcPr>
                <w:p w14:paraId="48DA49C5">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南</w:t>
                  </w:r>
                </w:p>
              </w:tc>
              <w:tc>
                <w:tcPr>
                  <w:tcW w:w="300" w:type="pct"/>
                  <w:tcBorders>
                    <w:tl2br w:val="nil"/>
                    <w:tr2bl w:val="nil"/>
                  </w:tcBorders>
                  <w:vAlign w:val="center"/>
                </w:tcPr>
                <w:p w14:paraId="0D1EA947">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24</w:t>
                  </w:r>
                </w:p>
              </w:tc>
              <w:tc>
                <w:tcPr>
                  <w:tcW w:w="347" w:type="pct"/>
                  <w:tcBorders>
                    <w:tl2br w:val="nil"/>
                    <w:tr2bl w:val="nil"/>
                  </w:tcBorders>
                  <w:vAlign w:val="center"/>
                </w:tcPr>
                <w:p w14:paraId="45FDC641">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62.4</w:t>
                  </w:r>
                </w:p>
              </w:tc>
              <w:tc>
                <w:tcPr>
                  <w:tcW w:w="300" w:type="pct"/>
                  <w:vMerge w:val="continue"/>
                  <w:tcBorders>
                    <w:tl2br w:val="nil"/>
                    <w:tr2bl w:val="nil"/>
                  </w:tcBorders>
                  <w:vAlign w:val="center"/>
                </w:tcPr>
                <w:p w14:paraId="45FB9514">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88" w:type="pct"/>
                  <w:vMerge w:val="continue"/>
                  <w:tcBorders>
                    <w:tl2br w:val="nil"/>
                    <w:tr2bl w:val="nil"/>
                  </w:tcBorders>
                  <w:vAlign w:val="center"/>
                </w:tcPr>
                <w:p w14:paraId="5E303B21">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896" w:type="dxa"/>
                  <w:tcBorders>
                    <w:tl2br w:val="nil"/>
                    <w:tr2bl w:val="nil"/>
                  </w:tcBorders>
                  <w:vAlign w:val="center"/>
                </w:tcPr>
                <w:p w14:paraId="2B5674B7">
                  <w:pPr>
                    <w:keepNext w:val="0"/>
                    <w:keepLines w:val="0"/>
                    <w:widowControl/>
                    <w:suppressLineNumbers w:val="0"/>
                    <w:jc w:val="center"/>
                    <w:textAlignment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37.4</w:t>
                  </w:r>
                </w:p>
              </w:tc>
              <w:tc>
                <w:tcPr>
                  <w:tcW w:w="424" w:type="pct"/>
                  <w:tcBorders>
                    <w:tl2br w:val="nil"/>
                    <w:tr2bl w:val="nil"/>
                  </w:tcBorders>
                  <w:vAlign w:val="center"/>
                </w:tcPr>
                <w:p w14:paraId="29C96D40">
                  <w:pPr>
                    <w:jc w:val="center"/>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1</w:t>
                  </w:r>
                </w:p>
              </w:tc>
            </w:tr>
            <w:tr w14:paraId="18AA39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243" w:type="pct"/>
                  <w:vMerge w:val="continue"/>
                  <w:tcBorders>
                    <w:tl2br w:val="nil"/>
                    <w:tr2bl w:val="nil"/>
                  </w:tcBorders>
                  <w:vAlign w:val="center"/>
                </w:tcPr>
                <w:p w14:paraId="5B287BDE">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92" w:type="pct"/>
                  <w:vMerge w:val="continue"/>
                  <w:tcBorders>
                    <w:tl2br w:val="nil"/>
                    <w:tr2bl w:val="nil"/>
                  </w:tcBorders>
                  <w:vAlign w:val="center"/>
                </w:tcPr>
                <w:p w14:paraId="3647CB62">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58" w:type="pct"/>
                  <w:vMerge w:val="continue"/>
                  <w:tcBorders>
                    <w:tl2br w:val="nil"/>
                    <w:tr2bl w:val="nil"/>
                  </w:tcBorders>
                  <w:vAlign w:val="center"/>
                </w:tcPr>
                <w:p w14:paraId="1657D31F">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24" w:type="pct"/>
                  <w:vMerge w:val="continue"/>
                  <w:tcBorders>
                    <w:tl2br w:val="nil"/>
                    <w:tr2bl w:val="nil"/>
                  </w:tcBorders>
                  <w:vAlign w:val="center"/>
                </w:tcPr>
                <w:p w14:paraId="5FCC62CF">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496" w:type="pct"/>
                  <w:vMerge w:val="continue"/>
                  <w:tcBorders>
                    <w:tl2br w:val="nil"/>
                    <w:tr2bl w:val="nil"/>
                  </w:tcBorders>
                  <w:vAlign w:val="center"/>
                </w:tcPr>
                <w:p w14:paraId="3BD1040A">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47" w:type="pct"/>
                  <w:vMerge w:val="continue"/>
                  <w:tcBorders>
                    <w:tl2br w:val="nil"/>
                    <w:tr2bl w:val="nil"/>
                  </w:tcBorders>
                  <w:vAlign w:val="center"/>
                </w:tcPr>
                <w:p w14:paraId="6ABD14E1">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46" w:type="pct"/>
                  <w:vMerge w:val="continue"/>
                  <w:tcBorders>
                    <w:tl2br w:val="nil"/>
                    <w:tr2bl w:val="nil"/>
                  </w:tcBorders>
                  <w:vAlign w:val="center"/>
                </w:tcPr>
                <w:p w14:paraId="76D223E8">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31" w:type="pct"/>
                  <w:vMerge w:val="continue"/>
                  <w:tcBorders>
                    <w:tl2br w:val="nil"/>
                    <w:tr2bl w:val="nil"/>
                  </w:tcBorders>
                  <w:vAlign w:val="center"/>
                </w:tcPr>
                <w:p w14:paraId="3D606A91">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185" w:type="pct"/>
                  <w:vMerge w:val="continue"/>
                  <w:tcBorders>
                    <w:tl2br w:val="nil"/>
                    <w:tr2bl w:val="nil"/>
                  </w:tcBorders>
                  <w:vAlign w:val="center"/>
                </w:tcPr>
                <w:p w14:paraId="6284F667">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568" w:type="dxa"/>
                  <w:tcBorders>
                    <w:tl2br w:val="nil"/>
                    <w:tr2bl w:val="nil"/>
                  </w:tcBorders>
                  <w:vAlign w:val="center"/>
                </w:tcPr>
                <w:p w14:paraId="16FC78E0">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西</w:t>
                  </w:r>
                </w:p>
              </w:tc>
              <w:tc>
                <w:tcPr>
                  <w:tcW w:w="300" w:type="pct"/>
                  <w:tcBorders>
                    <w:tl2br w:val="nil"/>
                    <w:tr2bl w:val="nil"/>
                  </w:tcBorders>
                  <w:vAlign w:val="center"/>
                </w:tcPr>
                <w:p w14:paraId="19E43D4B">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83</w:t>
                  </w:r>
                </w:p>
              </w:tc>
              <w:tc>
                <w:tcPr>
                  <w:tcW w:w="347" w:type="pct"/>
                  <w:tcBorders>
                    <w:tl2br w:val="nil"/>
                    <w:tr2bl w:val="nil"/>
                  </w:tcBorders>
                  <w:vAlign w:val="center"/>
                </w:tcPr>
                <w:p w14:paraId="2AC6C705">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51.6</w:t>
                  </w:r>
                </w:p>
              </w:tc>
              <w:tc>
                <w:tcPr>
                  <w:tcW w:w="300" w:type="pct"/>
                  <w:vMerge w:val="continue"/>
                  <w:tcBorders>
                    <w:tl2br w:val="nil"/>
                    <w:tr2bl w:val="nil"/>
                  </w:tcBorders>
                  <w:vAlign w:val="center"/>
                </w:tcPr>
                <w:p w14:paraId="107E6D0F">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88" w:type="pct"/>
                  <w:vMerge w:val="continue"/>
                  <w:tcBorders>
                    <w:tl2br w:val="nil"/>
                    <w:tr2bl w:val="nil"/>
                  </w:tcBorders>
                  <w:vAlign w:val="center"/>
                </w:tcPr>
                <w:p w14:paraId="737A87E9">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896" w:type="dxa"/>
                  <w:tcBorders>
                    <w:tl2br w:val="nil"/>
                    <w:tr2bl w:val="nil"/>
                  </w:tcBorders>
                  <w:vAlign w:val="center"/>
                </w:tcPr>
                <w:p w14:paraId="51A3C585">
                  <w:pPr>
                    <w:keepNext w:val="0"/>
                    <w:keepLines w:val="0"/>
                    <w:widowControl/>
                    <w:suppressLineNumbers w:val="0"/>
                    <w:jc w:val="center"/>
                    <w:textAlignment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26.6</w:t>
                  </w:r>
                </w:p>
              </w:tc>
              <w:tc>
                <w:tcPr>
                  <w:tcW w:w="424" w:type="pct"/>
                  <w:tcBorders>
                    <w:tl2br w:val="nil"/>
                    <w:tr2bl w:val="nil"/>
                  </w:tcBorders>
                  <w:vAlign w:val="center"/>
                </w:tcPr>
                <w:p w14:paraId="161F3E21">
                  <w:pPr>
                    <w:jc w:val="center"/>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1</w:t>
                  </w:r>
                </w:p>
              </w:tc>
            </w:tr>
            <w:tr w14:paraId="051A95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243" w:type="pct"/>
                  <w:vMerge w:val="continue"/>
                  <w:tcBorders>
                    <w:tl2br w:val="nil"/>
                    <w:tr2bl w:val="nil"/>
                  </w:tcBorders>
                  <w:vAlign w:val="center"/>
                </w:tcPr>
                <w:p w14:paraId="5FA240BF">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92" w:type="pct"/>
                  <w:vMerge w:val="continue"/>
                  <w:tcBorders>
                    <w:tl2br w:val="nil"/>
                    <w:tr2bl w:val="nil"/>
                  </w:tcBorders>
                  <w:vAlign w:val="center"/>
                </w:tcPr>
                <w:p w14:paraId="7CAE6877">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58" w:type="pct"/>
                  <w:vMerge w:val="continue"/>
                  <w:tcBorders>
                    <w:tl2br w:val="nil"/>
                    <w:tr2bl w:val="nil"/>
                  </w:tcBorders>
                  <w:vAlign w:val="center"/>
                </w:tcPr>
                <w:p w14:paraId="13315061">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24" w:type="pct"/>
                  <w:vMerge w:val="continue"/>
                  <w:tcBorders>
                    <w:tl2br w:val="nil"/>
                    <w:tr2bl w:val="nil"/>
                  </w:tcBorders>
                  <w:vAlign w:val="center"/>
                </w:tcPr>
                <w:p w14:paraId="73E21FA5">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496" w:type="pct"/>
                  <w:vMerge w:val="continue"/>
                  <w:tcBorders>
                    <w:tl2br w:val="nil"/>
                    <w:tr2bl w:val="nil"/>
                  </w:tcBorders>
                  <w:vAlign w:val="center"/>
                </w:tcPr>
                <w:p w14:paraId="0C746C02">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47" w:type="pct"/>
                  <w:vMerge w:val="continue"/>
                  <w:tcBorders>
                    <w:tl2br w:val="nil"/>
                    <w:tr2bl w:val="nil"/>
                  </w:tcBorders>
                  <w:vAlign w:val="center"/>
                </w:tcPr>
                <w:p w14:paraId="6213DE2E">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46" w:type="pct"/>
                  <w:vMerge w:val="continue"/>
                  <w:tcBorders>
                    <w:tl2br w:val="nil"/>
                    <w:tr2bl w:val="nil"/>
                  </w:tcBorders>
                  <w:vAlign w:val="center"/>
                </w:tcPr>
                <w:p w14:paraId="10927179">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31" w:type="pct"/>
                  <w:vMerge w:val="continue"/>
                  <w:tcBorders>
                    <w:tl2br w:val="nil"/>
                    <w:tr2bl w:val="nil"/>
                  </w:tcBorders>
                  <w:vAlign w:val="center"/>
                </w:tcPr>
                <w:p w14:paraId="0D4F4D4F">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185" w:type="pct"/>
                  <w:vMerge w:val="continue"/>
                  <w:tcBorders>
                    <w:tl2br w:val="nil"/>
                    <w:tr2bl w:val="nil"/>
                  </w:tcBorders>
                  <w:vAlign w:val="center"/>
                </w:tcPr>
                <w:p w14:paraId="1EEA92BF">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568" w:type="dxa"/>
                  <w:tcBorders>
                    <w:tl2br w:val="nil"/>
                    <w:tr2bl w:val="nil"/>
                  </w:tcBorders>
                  <w:vAlign w:val="center"/>
                </w:tcPr>
                <w:p w14:paraId="4833747B">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北</w:t>
                  </w:r>
                </w:p>
              </w:tc>
              <w:tc>
                <w:tcPr>
                  <w:tcW w:w="300" w:type="pct"/>
                  <w:tcBorders>
                    <w:tl2br w:val="nil"/>
                    <w:tr2bl w:val="nil"/>
                  </w:tcBorders>
                  <w:vAlign w:val="center"/>
                </w:tcPr>
                <w:p w14:paraId="738A5F64">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12</w:t>
                  </w:r>
                </w:p>
              </w:tc>
              <w:tc>
                <w:tcPr>
                  <w:tcW w:w="347" w:type="pct"/>
                  <w:tcBorders>
                    <w:tl2br w:val="nil"/>
                    <w:tr2bl w:val="nil"/>
                  </w:tcBorders>
                  <w:vAlign w:val="center"/>
                </w:tcPr>
                <w:p w14:paraId="15337832">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68.4</w:t>
                  </w:r>
                </w:p>
              </w:tc>
              <w:tc>
                <w:tcPr>
                  <w:tcW w:w="300" w:type="pct"/>
                  <w:vMerge w:val="continue"/>
                  <w:tcBorders>
                    <w:tl2br w:val="nil"/>
                    <w:tr2bl w:val="nil"/>
                  </w:tcBorders>
                  <w:vAlign w:val="center"/>
                </w:tcPr>
                <w:p w14:paraId="7C584514">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88" w:type="pct"/>
                  <w:vMerge w:val="continue"/>
                  <w:tcBorders>
                    <w:tl2br w:val="nil"/>
                    <w:tr2bl w:val="nil"/>
                  </w:tcBorders>
                  <w:vAlign w:val="center"/>
                </w:tcPr>
                <w:p w14:paraId="0E306256">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896" w:type="dxa"/>
                  <w:tcBorders>
                    <w:tl2br w:val="nil"/>
                    <w:tr2bl w:val="nil"/>
                  </w:tcBorders>
                  <w:vAlign w:val="center"/>
                </w:tcPr>
                <w:p w14:paraId="5179DF9D">
                  <w:pPr>
                    <w:keepNext w:val="0"/>
                    <w:keepLines w:val="0"/>
                    <w:widowControl/>
                    <w:suppressLineNumbers w:val="0"/>
                    <w:jc w:val="center"/>
                    <w:textAlignment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43.4</w:t>
                  </w:r>
                </w:p>
              </w:tc>
              <w:tc>
                <w:tcPr>
                  <w:tcW w:w="424" w:type="pct"/>
                  <w:tcBorders>
                    <w:tl2br w:val="nil"/>
                    <w:tr2bl w:val="nil"/>
                  </w:tcBorders>
                  <w:vAlign w:val="center"/>
                </w:tcPr>
                <w:p w14:paraId="0577D169">
                  <w:pPr>
                    <w:jc w:val="center"/>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1</w:t>
                  </w:r>
                </w:p>
              </w:tc>
            </w:tr>
            <w:tr w14:paraId="7DA4E8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243" w:type="pct"/>
                  <w:vMerge w:val="restart"/>
                  <w:tcBorders>
                    <w:tl2br w:val="nil"/>
                    <w:tr2bl w:val="nil"/>
                  </w:tcBorders>
                  <w:vAlign w:val="center"/>
                </w:tcPr>
                <w:p w14:paraId="4F97D19D">
                  <w:pPr>
                    <w:jc w:val="center"/>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5</w:t>
                  </w:r>
                </w:p>
              </w:tc>
              <w:tc>
                <w:tcPr>
                  <w:tcW w:w="292" w:type="pct"/>
                  <w:vMerge w:val="continue"/>
                  <w:tcBorders>
                    <w:tl2br w:val="nil"/>
                    <w:tr2bl w:val="nil"/>
                  </w:tcBorders>
                  <w:vAlign w:val="center"/>
                </w:tcPr>
                <w:p w14:paraId="7BDF155D">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58" w:type="pct"/>
                  <w:vMerge w:val="restart"/>
                  <w:tcBorders>
                    <w:tl2br w:val="nil"/>
                    <w:tr2bl w:val="nil"/>
                  </w:tcBorders>
                  <w:vAlign w:val="center"/>
                </w:tcPr>
                <w:p w14:paraId="02F42BB0">
                  <w:pPr>
                    <w:jc w:val="center"/>
                    <w:rPr>
                      <w:rFonts w:hint="eastAsia" w:ascii="Times New Roman" w:hAnsi="Times New Roman" w:eastAsia="宋体" w:cs="Times New Roman"/>
                      <w:color w:val="000000" w:themeColor="text1"/>
                      <w:sz w:val="21"/>
                      <w:szCs w:val="21"/>
                      <w:u w:val="single"/>
                      <w:lang w:eastAsia="zh-CN"/>
                      <w14:textFill>
                        <w14:solidFill>
                          <w14:schemeClr w14:val="tx1"/>
                        </w14:solidFill>
                      </w14:textFill>
                    </w:rPr>
                  </w:pPr>
                  <w:r>
                    <w:rPr>
                      <w:rFonts w:hint="eastAsia" w:ascii="Times New Roman" w:hAnsi="Times New Roman" w:cs="Times New Roman"/>
                      <w:color w:val="000000" w:themeColor="text1"/>
                      <w:sz w:val="21"/>
                      <w:szCs w:val="21"/>
                      <w:u w:val="single"/>
                      <w:lang w:eastAsia="zh-CN"/>
                      <w14:textFill>
                        <w14:solidFill>
                          <w14:schemeClr w14:val="tx1"/>
                        </w14:solidFill>
                      </w14:textFill>
                    </w:rPr>
                    <w:t>凉水塔（</w:t>
                  </w:r>
                  <w:r>
                    <w:rPr>
                      <w:rFonts w:hint="eastAsia" w:ascii="Times New Roman" w:hAnsi="Times New Roman" w:cs="Times New Roman"/>
                      <w:color w:val="000000" w:themeColor="text1"/>
                      <w:sz w:val="21"/>
                      <w:szCs w:val="21"/>
                      <w:u w:val="single"/>
                      <w:lang w:val="en-US" w:eastAsia="zh-CN"/>
                      <w14:textFill>
                        <w14:solidFill>
                          <w14:schemeClr w14:val="tx1"/>
                        </w14:solidFill>
                      </w14:textFill>
                    </w:rPr>
                    <w:t>1套</w:t>
                  </w:r>
                  <w:r>
                    <w:rPr>
                      <w:rFonts w:hint="eastAsia" w:ascii="Times New Roman" w:hAnsi="Times New Roman" w:cs="Times New Roman"/>
                      <w:color w:val="000000" w:themeColor="text1"/>
                      <w:sz w:val="21"/>
                      <w:szCs w:val="21"/>
                      <w:u w:val="single"/>
                      <w:lang w:eastAsia="zh-CN"/>
                      <w14:textFill>
                        <w14:solidFill>
                          <w14:schemeClr w14:val="tx1"/>
                        </w14:solidFill>
                      </w14:textFill>
                    </w:rPr>
                    <w:t>）</w:t>
                  </w:r>
                </w:p>
              </w:tc>
              <w:tc>
                <w:tcPr>
                  <w:tcW w:w="324" w:type="pct"/>
                  <w:vMerge w:val="restart"/>
                  <w:tcBorders>
                    <w:tl2br w:val="nil"/>
                    <w:tr2bl w:val="nil"/>
                  </w:tcBorders>
                  <w:vAlign w:val="center"/>
                </w:tcPr>
                <w:p w14:paraId="1AB11926">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496" w:type="pct"/>
                  <w:vMerge w:val="restart"/>
                  <w:tcBorders>
                    <w:tl2br w:val="nil"/>
                    <w:tr2bl w:val="nil"/>
                  </w:tcBorders>
                  <w:vAlign w:val="center"/>
                </w:tcPr>
                <w:p w14:paraId="38C6416B">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90</w:t>
                  </w:r>
                  <w:r>
                    <w:rPr>
                      <w:rFonts w:hint="default" w:ascii="Times New Roman" w:hAnsi="Times New Roman" w:cs="Times New Roman"/>
                      <w:color w:val="000000" w:themeColor="text1"/>
                      <w:sz w:val="21"/>
                      <w:szCs w:val="21"/>
                      <w:u w:val="single"/>
                      <w14:textFill>
                        <w14:solidFill>
                          <w14:schemeClr w14:val="tx1"/>
                        </w14:solidFill>
                      </w14:textFill>
                    </w:rPr>
                    <w:t>/1</w:t>
                  </w:r>
                </w:p>
              </w:tc>
              <w:tc>
                <w:tcPr>
                  <w:tcW w:w="347" w:type="pct"/>
                  <w:vMerge w:val="continue"/>
                  <w:tcBorders>
                    <w:tl2br w:val="nil"/>
                    <w:tr2bl w:val="nil"/>
                  </w:tcBorders>
                  <w:vAlign w:val="center"/>
                </w:tcPr>
                <w:p w14:paraId="2C94CFA4">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46" w:type="pct"/>
                  <w:vMerge w:val="restart"/>
                  <w:tcBorders>
                    <w:tl2br w:val="nil"/>
                    <w:tr2bl w:val="nil"/>
                  </w:tcBorders>
                  <w:vAlign w:val="center"/>
                </w:tcPr>
                <w:p w14:paraId="0C7BC01B">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83</w:t>
                  </w:r>
                </w:p>
              </w:tc>
              <w:tc>
                <w:tcPr>
                  <w:tcW w:w="231" w:type="pct"/>
                  <w:vMerge w:val="restart"/>
                  <w:tcBorders>
                    <w:tl2br w:val="nil"/>
                    <w:tr2bl w:val="nil"/>
                  </w:tcBorders>
                  <w:vAlign w:val="center"/>
                </w:tcPr>
                <w:p w14:paraId="14EC682E">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20</w:t>
                  </w:r>
                </w:p>
              </w:tc>
              <w:tc>
                <w:tcPr>
                  <w:tcW w:w="185" w:type="pct"/>
                  <w:vMerge w:val="restart"/>
                  <w:tcBorders>
                    <w:tl2br w:val="nil"/>
                    <w:tr2bl w:val="nil"/>
                  </w:tcBorders>
                  <w:vAlign w:val="center"/>
                </w:tcPr>
                <w:p w14:paraId="6FD14689">
                  <w:pPr>
                    <w:jc w:val="center"/>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1</w:t>
                  </w:r>
                </w:p>
              </w:tc>
              <w:tc>
                <w:tcPr>
                  <w:tcW w:w="568" w:type="dxa"/>
                  <w:tcBorders>
                    <w:tl2br w:val="nil"/>
                    <w:tr2bl w:val="nil"/>
                  </w:tcBorders>
                  <w:vAlign w:val="center"/>
                </w:tcPr>
                <w:p w14:paraId="06BD30E7">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东</w:t>
                  </w:r>
                </w:p>
              </w:tc>
              <w:tc>
                <w:tcPr>
                  <w:tcW w:w="300" w:type="pct"/>
                  <w:tcBorders>
                    <w:tl2br w:val="nil"/>
                    <w:tr2bl w:val="nil"/>
                  </w:tcBorders>
                  <w:vAlign w:val="center"/>
                </w:tcPr>
                <w:p w14:paraId="2ECC55B9">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17</w:t>
                  </w:r>
                </w:p>
              </w:tc>
              <w:tc>
                <w:tcPr>
                  <w:tcW w:w="347" w:type="pct"/>
                  <w:tcBorders>
                    <w:tl2br w:val="nil"/>
                    <w:tr2bl w:val="nil"/>
                  </w:tcBorders>
                  <w:vAlign w:val="center"/>
                </w:tcPr>
                <w:p w14:paraId="71231EBC">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65.4</w:t>
                  </w:r>
                </w:p>
              </w:tc>
              <w:tc>
                <w:tcPr>
                  <w:tcW w:w="856" w:type="dxa"/>
                  <w:vMerge w:val="restart"/>
                  <w:tcBorders>
                    <w:tl2br w:val="nil"/>
                    <w:tr2bl w:val="nil"/>
                  </w:tcBorders>
                  <w:vAlign w:val="center"/>
                </w:tcPr>
                <w:p w14:paraId="0B1A2E55">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24h</w:t>
                  </w:r>
                </w:p>
              </w:tc>
              <w:tc>
                <w:tcPr>
                  <w:tcW w:w="1107" w:type="dxa"/>
                  <w:vMerge w:val="restart"/>
                  <w:tcBorders>
                    <w:tl2br w:val="nil"/>
                    <w:tr2bl w:val="nil"/>
                  </w:tcBorders>
                  <w:vAlign w:val="center"/>
                </w:tcPr>
                <w:p w14:paraId="23FA01CA">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25</w:t>
                  </w:r>
                </w:p>
              </w:tc>
              <w:tc>
                <w:tcPr>
                  <w:tcW w:w="896" w:type="dxa"/>
                  <w:tcBorders>
                    <w:tl2br w:val="nil"/>
                    <w:tr2bl w:val="nil"/>
                  </w:tcBorders>
                  <w:vAlign w:val="center"/>
                </w:tcPr>
                <w:p w14:paraId="5513A833">
                  <w:pPr>
                    <w:keepNext w:val="0"/>
                    <w:keepLines w:val="0"/>
                    <w:widowControl/>
                    <w:suppressLineNumbers w:val="0"/>
                    <w:jc w:val="center"/>
                    <w:textAlignment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40.4</w:t>
                  </w:r>
                </w:p>
              </w:tc>
              <w:tc>
                <w:tcPr>
                  <w:tcW w:w="424" w:type="pct"/>
                  <w:tcBorders>
                    <w:tl2br w:val="nil"/>
                    <w:tr2bl w:val="nil"/>
                  </w:tcBorders>
                  <w:vAlign w:val="center"/>
                </w:tcPr>
                <w:p w14:paraId="0D5B3114">
                  <w:pPr>
                    <w:jc w:val="center"/>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1</w:t>
                  </w:r>
                </w:p>
              </w:tc>
            </w:tr>
            <w:tr w14:paraId="45EEC6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243" w:type="pct"/>
                  <w:vMerge w:val="continue"/>
                  <w:tcBorders>
                    <w:tl2br w:val="nil"/>
                    <w:tr2bl w:val="nil"/>
                  </w:tcBorders>
                  <w:vAlign w:val="center"/>
                </w:tcPr>
                <w:p w14:paraId="7B6B6F71">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92" w:type="pct"/>
                  <w:vMerge w:val="continue"/>
                  <w:tcBorders>
                    <w:tl2br w:val="nil"/>
                    <w:tr2bl w:val="nil"/>
                  </w:tcBorders>
                  <w:vAlign w:val="center"/>
                </w:tcPr>
                <w:p w14:paraId="4CD76C5F">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58" w:type="pct"/>
                  <w:vMerge w:val="continue"/>
                  <w:tcBorders>
                    <w:tl2br w:val="nil"/>
                    <w:tr2bl w:val="nil"/>
                  </w:tcBorders>
                  <w:vAlign w:val="center"/>
                </w:tcPr>
                <w:p w14:paraId="0A47ED09">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24" w:type="pct"/>
                  <w:vMerge w:val="continue"/>
                  <w:tcBorders>
                    <w:tl2br w:val="nil"/>
                    <w:tr2bl w:val="nil"/>
                  </w:tcBorders>
                  <w:vAlign w:val="center"/>
                </w:tcPr>
                <w:p w14:paraId="60B3AFF2">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496" w:type="pct"/>
                  <w:vMerge w:val="continue"/>
                  <w:tcBorders>
                    <w:tl2br w:val="nil"/>
                    <w:tr2bl w:val="nil"/>
                  </w:tcBorders>
                  <w:vAlign w:val="center"/>
                </w:tcPr>
                <w:p w14:paraId="24BC7EF8">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47" w:type="pct"/>
                  <w:vMerge w:val="continue"/>
                  <w:tcBorders>
                    <w:tl2br w:val="nil"/>
                    <w:tr2bl w:val="nil"/>
                  </w:tcBorders>
                  <w:vAlign w:val="center"/>
                </w:tcPr>
                <w:p w14:paraId="46F68290">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46" w:type="pct"/>
                  <w:vMerge w:val="continue"/>
                  <w:tcBorders>
                    <w:tl2br w:val="nil"/>
                    <w:tr2bl w:val="nil"/>
                  </w:tcBorders>
                  <w:vAlign w:val="center"/>
                </w:tcPr>
                <w:p w14:paraId="526FD845">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31" w:type="pct"/>
                  <w:vMerge w:val="continue"/>
                  <w:tcBorders>
                    <w:tl2br w:val="nil"/>
                    <w:tr2bl w:val="nil"/>
                  </w:tcBorders>
                  <w:vAlign w:val="center"/>
                </w:tcPr>
                <w:p w14:paraId="3050B8FE">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185" w:type="pct"/>
                  <w:vMerge w:val="continue"/>
                  <w:tcBorders>
                    <w:tl2br w:val="nil"/>
                    <w:tr2bl w:val="nil"/>
                  </w:tcBorders>
                  <w:vAlign w:val="center"/>
                </w:tcPr>
                <w:p w14:paraId="5CE55AEE">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568" w:type="dxa"/>
                  <w:tcBorders>
                    <w:tl2br w:val="nil"/>
                    <w:tr2bl w:val="nil"/>
                  </w:tcBorders>
                  <w:vAlign w:val="center"/>
                </w:tcPr>
                <w:p w14:paraId="74F98105">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南</w:t>
                  </w:r>
                </w:p>
              </w:tc>
              <w:tc>
                <w:tcPr>
                  <w:tcW w:w="300" w:type="pct"/>
                  <w:tcBorders>
                    <w:tl2br w:val="nil"/>
                    <w:tr2bl w:val="nil"/>
                  </w:tcBorders>
                  <w:vAlign w:val="center"/>
                </w:tcPr>
                <w:p w14:paraId="179E9304">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20</w:t>
                  </w:r>
                </w:p>
              </w:tc>
              <w:tc>
                <w:tcPr>
                  <w:tcW w:w="347" w:type="pct"/>
                  <w:tcBorders>
                    <w:tl2br w:val="nil"/>
                    <w:tr2bl w:val="nil"/>
                  </w:tcBorders>
                  <w:vAlign w:val="center"/>
                </w:tcPr>
                <w:p w14:paraId="581F72BC">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64.0</w:t>
                  </w:r>
                </w:p>
              </w:tc>
              <w:tc>
                <w:tcPr>
                  <w:tcW w:w="300" w:type="pct"/>
                  <w:vMerge w:val="continue"/>
                  <w:tcBorders>
                    <w:tl2br w:val="nil"/>
                    <w:tr2bl w:val="nil"/>
                  </w:tcBorders>
                  <w:vAlign w:val="center"/>
                </w:tcPr>
                <w:p w14:paraId="63941A5A">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88" w:type="pct"/>
                  <w:vMerge w:val="continue"/>
                  <w:tcBorders>
                    <w:tl2br w:val="nil"/>
                    <w:tr2bl w:val="nil"/>
                  </w:tcBorders>
                  <w:vAlign w:val="center"/>
                </w:tcPr>
                <w:p w14:paraId="7AA03B17">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896" w:type="dxa"/>
                  <w:tcBorders>
                    <w:tl2br w:val="nil"/>
                    <w:tr2bl w:val="nil"/>
                  </w:tcBorders>
                  <w:vAlign w:val="center"/>
                </w:tcPr>
                <w:p w14:paraId="0F68A4DF">
                  <w:pPr>
                    <w:keepNext w:val="0"/>
                    <w:keepLines w:val="0"/>
                    <w:widowControl/>
                    <w:suppressLineNumbers w:val="0"/>
                    <w:jc w:val="center"/>
                    <w:textAlignment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39</w:t>
                  </w:r>
                </w:p>
              </w:tc>
              <w:tc>
                <w:tcPr>
                  <w:tcW w:w="424" w:type="pct"/>
                  <w:tcBorders>
                    <w:tl2br w:val="nil"/>
                    <w:tr2bl w:val="nil"/>
                  </w:tcBorders>
                  <w:vAlign w:val="center"/>
                </w:tcPr>
                <w:p w14:paraId="7DC6C019">
                  <w:pPr>
                    <w:jc w:val="center"/>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1</w:t>
                  </w:r>
                </w:p>
              </w:tc>
            </w:tr>
            <w:tr w14:paraId="60F122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243" w:type="pct"/>
                  <w:vMerge w:val="continue"/>
                  <w:tcBorders>
                    <w:tl2br w:val="nil"/>
                    <w:tr2bl w:val="nil"/>
                  </w:tcBorders>
                  <w:vAlign w:val="center"/>
                </w:tcPr>
                <w:p w14:paraId="031F28B9">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92" w:type="pct"/>
                  <w:vMerge w:val="continue"/>
                  <w:tcBorders>
                    <w:tl2br w:val="nil"/>
                    <w:tr2bl w:val="nil"/>
                  </w:tcBorders>
                  <w:vAlign w:val="center"/>
                </w:tcPr>
                <w:p w14:paraId="6CC1B666">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58" w:type="pct"/>
                  <w:vMerge w:val="continue"/>
                  <w:tcBorders>
                    <w:tl2br w:val="nil"/>
                    <w:tr2bl w:val="nil"/>
                  </w:tcBorders>
                  <w:vAlign w:val="center"/>
                </w:tcPr>
                <w:p w14:paraId="7F7E7DFD">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24" w:type="pct"/>
                  <w:vMerge w:val="continue"/>
                  <w:tcBorders>
                    <w:tl2br w:val="nil"/>
                    <w:tr2bl w:val="nil"/>
                  </w:tcBorders>
                  <w:vAlign w:val="center"/>
                </w:tcPr>
                <w:p w14:paraId="5B9FAD57">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496" w:type="pct"/>
                  <w:vMerge w:val="continue"/>
                  <w:tcBorders>
                    <w:tl2br w:val="nil"/>
                    <w:tr2bl w:val="nil"/>
                  </w:tcBorders>
                  <w:vAlign w:val="center"/>
                </w:tcPr>
                <w:p w14:paraId="67CE88DE">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47" w:type="pct"/>
                  <w:vMerge w:val="continue"/>
                  <w:tcBorders>
                    <w:tl2br w:val="nil"/>
                    <w:tr2bl w:val="nil"/>
                  </w:tcBorders>
                  <w:vAlign w:val="center"/>
                </w:tcPr>
                <w:p w14:paraId="344C0680">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46" w:type="pct"/>
                  <w:vMerge w:val="continue"/>
                  <w:tcBorders>
                    <w:tl2br w:val="nil"/>
                    <w:tr2bl w:val="nil"/>
                  </w:tcBorders>
                  <w:vAlign w:val="center"/>
                </w:tcPr>
                <w:p w14:paraId="008CBEDF">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31" w:type="pct"/>
                  <w:vMerge w:val="continue"/>
                  <w:tcBorders>
                    <w:tl2br w:val="nil"/>
                    <w:tr2bl w:val="nil"/>
                  </w:tcBorders>
                  <w:vAlign w:val="center"/>
                </w:tcPr>
                <w:p w14:paraId="4717EA2E">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185" w:type="pct"/>
                  <w:vMerge w:val="continue"/>
                  <w:tcBorders>
                    <w:tl2br w:val="nil"/>
                    <w:tr2bl w:val="nil"/>
                  </w:tcBorders>
                  <w:vAlign w:val="center"/>
                </w:tcPr>
                <w:p w14:paraId="240A5978">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568" w:type="dxa"/>
                  <w:tcBorders>
                    <w:tl2br w:val="nil"/>
                    <w:tr2bl w:val="nil"/>
                  </w:tcBorders>
                  <w:vAlign w:val="center"/>
                </w:tcPr>
                <w:p w14:paraId="39B4172A">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西</w:t>
                  </w:r>
                </w:p>
              </w:tc>
              <w:tc>
                <w:tcPr>
                  <w:tcW w:w="300" w:type="pct"/>
                  <w:tcBorders>
                    <w:tl2br w:val="nil"/>
                    <w:tr2bl w:val="nil"/>
                  </w:tcBorders>
                  <w:vAlign w:val="center"/>
                </w:tcPr>
                <w:p w14:paraId="67936173">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83</w:t>
                  </w:r>
                </w:p>
              </w:tc>
              <w:tc>
                <w:tcPr>
                  <w:tcW w:w="347" w:type="pct"/>
                  <w:tcBorders>
                    <w:tl2br w:val="nil"/>
                    <w:tr2bl w:val="nil"/>
                  </w:tcBorders>
                  <w:vAlign w:val="center"/>
                </w:tcPr>
                <w:p w14:paraId="709C10DA">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51.6</w:t>
                  </w:r>
                </w:p>
              </w:tc>
              <w:tc>
                <w:tcPr>
                  <w:tcW w:w="300" w:type="pct"/>
                  <w:vMerge w:val="continue"/>
                  <w:tcBorders>
                    <w:tl2br w:val="nil"/>
                    <w:tr2bl w:val="nil"/>
                  </w:tcBorders>
                  <w:vAlign w:val="center"/>
                </w:tcPr>
                <w:p w14:paraId="7BFD8708">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88" w:type="pct"/>
                  <w:vMerge w:val="continue"/>
                  <w:tcBorders>
                    <w:tl2br w:val="nil"/>
                    <w:tr2bl w:val="nil"/>
                  </w:tcBorders>
                  <w:vAlign w:val="center"/>
                </w:tcPr>
                <w:p w14:paraId="36E11741">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896" w:type="dxa"/>
                  <w:tcBorders>
                    <w:tl2br w:val="nil"/>
                    <w:tr2bl w:val="nil"/>
                  </w:tcBorders>
                  <w:vAlign w:val="center"/>
                </w:tcPr>
                <w:p w14:paraId="04DFCC6F">
                  <w:pPr>
                    <w:keepNext w:val="0"/>
                    <w:keepLines w:val="0"/>
                    <w:widowControl/>
                    <w:suppressLineNumbers w:val="0"/>
                    <w:jc w:val="center"/>
                    <w:textAlignment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26.6</w:t>
                  </w:r>
                </w:p>
              </w:tc>
              <w:tc>
                <w:tcPr>
                  <w:tcW w:w="424" w:type="pct"/>
                  <w:tcBorders>
                    <w:tl2br w:val="nil"/>
                    <w:tr2bl w:val="nil"/>
                  </w:tcBorders>
                  <w:vAlign w:val="center"/>
                </w:tcPr>
                <w:p w14:paraId="712E7E54">
                  <w:pPr>
                    <w:jc w:val="center"/>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1</w:t>
                  </w:r>
                </w:p>
              </w:tc>
            </w:tr>
            <w:tr w14:paraId="2C7B5D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243" w:type="pct"/>
                  <w:vMerge w:val="continue"/>
                  <w:tcBorders>
                    <w:tl2br w:val="nil"/>
                    <w:tr2bl w:val="nil"/>
                  </w:tcBorders>
                  <w:vAlign w:val="center"/>
                </w:tcPr>
                <w:p w14:paraId="7450EB2A">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92" w:type="pct"/>
                  <w:vMerge w:val="continue"/>
                  <w:tcBorders>
                    <w:tl2br w:val="nil"/>
                    <w:tr2bl w:val="nil"/>
                  </w:tcBorders>
                  <w:vAlign w:val="center"/>
                </w:tcPr>
                <w:p w14:paraId="08FC6451">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58" w:type="pct"/>
                  <w:vMerge w:val="continue"/>
                  <w:tcBorders>
                    <w:tl2br w:val="nil"/>
                    <w:tr2bl w:val="nil"/>
                  </w:tcBorders>
                  <w:vAlign w:val="center"/>
                </w:tcPr>
                <w:p w14:paraId="7E7E82BC">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24" w:type="pct"/>
                  <w:vMerge w:val="continue"/>
                  <w:tcBorders>
                    <w:tl2br w:val="nil"/>
                    <w:tr2bl w:val="nil"/>
                  </w:tcBorders>
                  <w:vAlign w:val="center"/>
                </w:tcPr>
                <w:p w14:paraId="0D0ACE1F">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496" w:type="pct"/>
                  <w:vMerge w:val="continue"/>
                  <w:tcBorders>
                    <w:tl2br w:val="nil"/>
                    <w:tr2bl w:val="nil"/>
                  </w:tcBorders>
                  <w:vAlign w:val="center"/>
                </w:tcPr>
                <w:p w14:paraId="564EEB02">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47" w:type="pct"/>
                  <w:vMerge w:val="continue"/>
                  <w:tcBorders>
                    <w:tl2br w:val="nil"/>
                    <w:tr2bl w:val="nil"/>
                  </w:tcBorders>
                  <w:vAlign w:val="center"/>
                </w:tcPr>
                <w:p w14:paraId="556CA7C7">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46" w:type="pct"/>
                  <w:vMerge w:val="continue"/>
                  <w:tcBorders>
                    <w:tl2br w:val="nil"/>
                    <w:tr2bl w:val="nil"/>
                  </w:tcBorders>
                  <w:vAlign w:val="center"/>
                </w:tcPr>
                <w:p w14:paraId="011E1167">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31" w:type="pct"/>
                  <w:vMerge w:val="continue"/>
                  <w:tcBorders>
                    <w:tl2br w:val="nil"/>
                    <w:tr2bl w:val="nil"/>
                  </w:tcBorders>
                  <w:vAlign w:val="center"/>
                </w:tcPr>
                <w:p w14:paraId="0C995944">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185" w:type="pct"/>
                  <w:vMerge w:val="continue"/>
                  <w:tcBorders>
                    <w:tl2br w:val="nil"/>
                    <w:tr2bl w:val="nil"/>
                  </w:tcBorders>
                  <w:vAlign w:val="center"/>
                </w:tcPr>
                <w:p w14:paraId="68EED488">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568" w:type="dxa"/>
                  <w:tcBorders>
                    <w:tl2br w:val="nil"/>
                    <w:tr2bl w:val="nil"/>
                  </w:tcBorders>
                  <w:vAlign w:val="center"/>
                </w:tcPr>
                <w:p w14:paraId="40F6EEB4">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北</w:t>
                  </w:r>
                </w:p>
              </w:tc>
              <w:tc>
                <w:tcPr>
                  <w:tcW w:w="300" w:type="pct"/>
                  <w:tcBorders>
                    <w:tl2br w:val="nil"/>
                    <w:tr2bl w:val="nil"/>
                  </w:tcBorders>
                  <w:vAlign w:val="center"/>
                </w:tcPr>
                <w:p w14:paraId="1975ACD5">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16</w:t>
                  </w:r>
                </w:p>
              </w:tc>
              <w:tc>
                <w:tcPr>
                  <w:tcW w:w="347" w:type="pct"/>
                  <w:tcBorders>
                    <w:tl2br w:val="nil"/>
                    <w:tr2bl w:val="nil"/>
                  </w:tcBorders>
                  <w:vAlign w:val="center"/>
                </w:tcPr>
                <w:p w14:paraId="5C977900">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65.9</w:t>
                  </w:r>
                </w:p>
              </w:tc>
              <w:tc>
                <w:tcPr>
                  <w:tcW w:w="300" w:type="pct"/>
                  <w:vMerge w:val="continue"/>
                  <w:tcBorders>
                    <w:tl2br w:val="nil"/>
                    <w:tr2bl w:val="nil"/>
                  </w:tcBorders>
                  <w:vAlign w:val="center"/>
                </w:tcPr>
                <w:p w14:paraId="0163DEA6">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88" w:type="pct"/>
                  <w:vMerge w:val="continue"/>
                  <w:tcBorders>
                    <w:tl2br w:val="nil"/>
                    <w:tr2bl w:val="nil"/>
                  </w:tcBorders>
                  <w:vAlign w:val="center"/>
                </w:tcPr>
                <w:p w14:paraId="2A9CE359">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896" w:type="dxa"/>
                  <w:tcBorders>
                    <w:tl2br w:val="nil"/>
                    <w:tr2bl w:val="nil"/>
                  </w:tcBorders>
                  <w:vAlign w:val="center"/>
                </w:tcPr>
                <w:p w14:paraId="571337B6">
                  <w:pPr>
                    <w:keepNext w:val="0"/>
                    <w:keepLines w:val="0"/>
                    <w:widowControl/>
                    <w:suppressLineNumbers w:val="0"/>
                    <w:jc w:val="center"/>
                    <w:textAlignment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40.9</w:t>
                  </w:r>
                </w:p>
              </w:tc>
              <w:tc>
                <w:tcPr>
                  <w:tcW w:w="424" w:type="pct"/>
                  <w:tcBorders>
                    <w:tl2br w:val="nil"/>
                    <w:tr2bl w:val="nil"/>
                  </w:tcBorders>
                  <w:vAlign w:val="center"/>
                </w:tcPr>
                <w:p w14:paraId="738856CD">
                  <w:pPr>
                    <w:jc w:val="center"/>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1</w:t>
                  </w:r>
                </w:p>
              </w:tc>
            </w:tr>
            <w:tr w14:paraId="473C0F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43" w:type="pct"/>
                  <w:vMerge w:val="restart"/>
                  <w:tcBorders>
                    <w:tl2br w:val="nil"/>
                    <w:tr2bl w:val="nil"/>
                  </w:tcBorders>
                  <w:vAlign w:val="center"/>
                </w:tcPr>
                <w:p w14:paraId="408B969A">
                  <w:pPr>
                    <w:jc w:val="center"/>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6</w:t>
                  </w:r>
                </w:p>
              </w:tc>
              <w:tc>
                <w:tcPr>
                  <w:tcW w:w="292" w:type="pct"/>
                  <w:vMerge w:val="continue"/>
                  <w:tcBorders>
                    <w:tl2br w:val="nil"/>
                    <w:tr2bl w:val="nil"/>
                  </w:tcBorders>
                  <w:vAlign w:val="center"/>
                </w:tcPr>
                <w:p w14:paraId="0CF41BDF">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58" w:type="pct"/>
                  <w:vMerge w:val="restart"/>
                  <w:tcBorders>
                    <w:tl2br w:val="nil"/>
                    <w:tr2bl w:val="nil"/>
                  </w:tcBorders>
                  <w:vAlign w:val="center"/>
                </w:tcPr>
                <w:p w14:paraId="6B15975A">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eastAsia" w:cs="Times New Roman"/>
                      <w:color w:val="000000" w:themeColor="text1"/>
                      <w:sz w:val="21"/>
                      <w:szCs w:val="21"/>
                      <w:u w:val="single"/>
                      <w:lang w:eastAsia="zh-CN"/>
                      <w14:textFill>
                        <w14:solidFill>
                          <w14:schemeClr w14:val="tx1"/>
                        </w14:solidFill>
                      </w14:textFill>
                    </w:rPr>
                    <w:t>泵</w:t>
                  </w:r>
                  <w:r>
                    <w:rPr>
                      <w:rFonts w:hint="default" w:ascii="Times New Roman" w:hAnsi="Times New Roman" w:cs="Times New Roman"/>
                      <w:color w:val="000000" w:themeColor="text1"/>
                      <w:sz w:val="21"/>
                      <w:szCs w:val="21"/>
                      <w:u w:val="single"/>
                      <w14:textFill>
                        <w14:solidFill>
                          <w14:schemeClr w14:val="tx1"/>
                        </w14:solidFill>
                      </w14:textFill>
                    </w:rPr>
                    <w:t>（</w:t>
                  </w:r>
                  <w:r>
                    <w:rPr>
                      <w:rFonts w:hint="eastAsia" w:cs="Times New Roman"/>
                      <w:color w:val="000000" w:themeColor="text1"/>
                      <w:sz w:val="21"/>
                      <w:szCs w:val="21"/>
                      <w:u w:val="single"/>
                      <w:lang w:val="en-US" w:eastAsia="zh-CN"/>
                      <w14:textFill>
                        <w14:solidFill>
                          <w14:schemeClr w14:val="tx1"/>
                        </w14:solidFill>
                      </w14:textFill>
                    </w:rPr>
                    <w:t>6</w:t>
                  </w:r>
                  <w:r>
                    <w:rPr>
                      <w:rFonts w:hint="default" w:ascii="Times New Roman" w:hAnsi="Times New Roman" w:cs="Times New Roman"/>
                      <w:color w:val="000000" w:themeColor="text1"/>
                      <w:sz w:val="21"/>
                      <w:szCs w:val="21"/>
                      <w:u w:val="single"/>
                      <w14:textFill>
                        <w14:solidFill>
                          <w14:schemeClr w14:val="tx1"/>
                        </w14:solidFill>
                      </w14:textFill>
                    </w:rPr>
                    <w:t>台）</w:t>
                  </w:r>
                </w:p>
              </w:tc>
              <w:tc>
                <w:tcPr>
                  <w:tcW w:w="324" w:type="pct"/>
                  <w:vMerge w:val="restart"/>
                  <w:tcBorders>
                    <w:tl2br w:val="nil"/>
                    <w:tr2bl w:val="nil"/>
                  </w:tcBorders>
                  <w:vAlign w:val="center"/>
                </w:tcPr>
                <w:p w14:paraId="6653EC9E">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w:t>
                  </w:r>
                </w:p>
              </w:tc>
              <w:tc>
                <w:tcPr>
                  <w:tcW w:w="496" w:type="pct"/>
                  <w:vMerge w:val="restart"/>
                  <w:tcBorders>
                    <w:tl2br w:val="nil"/>
                    <w:tr2bl w:val="nil"/>
                  </w:tcBorders>
                  <w:vAlign w:val="center"/>
                </w:tcPr>
                <w:p w14:paraId="6608C45A">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eastAsia" w:cs="Times New Roman"/>
                      <w:color w:val="000000" w:themeColor="text1"/>
                      <w:sz w:val="21"/>
                      <w:szCs w:val="21"/>
                      <w:u w:val="single"/>
                      <w:lang w:val="en-US" w:eastAsia="zh-CN"/>
                      <w14:textFill>
                        <w14:solidFill>
                          <w14:schemeClr w14:val="tx1"/>
                        </w14:solidFill>
                      </w14:textFill>
                    </w:rPr>
                    <w:t>102</w:t>
                  </w:r>
                  <w:r>
                    <w:rPr>
                      <w:rFonts w:hint="default" w:ascii="Times New Roman" w:hAnsi="Times New Roman" w:cs="Times New Roman"/>
                      <w:color w:val="000000" w:themeColor="text1"/>
                      <w:sz w:val="21"/>
                      <w:szCs w:val="21"/>
                      <w:u w:val="single"/>
                      <w14:textFill>
                        <w14:solidFill>
                          <w14:schemeClr w14:val="tx1"/>
                        </w14:solidFill>
                      </w14:textFill>
                    </w:rPr>
                    <w:t>/1</w:t>
                  </w:r>
                </w:p>
              </w:tc>
              <w:tc>
                <w:tcPr>
                  <w:tcW w:w="347" w:type="pct"/>
                  <w:vMerge w:val="continue"/>
                  <w:tcBorders>
                    <w:tl2br w:val="nil"/>
                    <w:tr2bl w:val="nil"/>
                  </w:tcBorders>
                  <w:vAlign w:val="center"/>
                </w:tcPr>
                <w:p w14:paraId="3925D22F">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46" w:type="pct"/>
                  <w:vMerge w:val="restart"/>
                  <w:tcBorders>
                    <w:tl2br w:val="nil"/>
                    <w:tr2bl w:val="nil"/>
                  </w:tcBorders>
                  <w:vAlign w:val="center"/>
                </w:tcPr>
                <w:p w14:paraId="4D01C511">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80</w:t>
                  </w:r>
                </w:p>
              </w:tc>
              <w:tc>
                <w:tcPr>
                  <w:tcW w:w="231" w:type="pct"/>
                  <w:vMerge w:val="restart"/>
                  <w:tcBorders>
                    <w:tl2br w:val="nil"/>
                    <w:tr2bl w:val="nil"/>
                  </w:tcBorders>
                  <w:vAlign w:val="center"/>
                </w:tcPr>
                <w:p w14:paraId="28F0768A">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20</w:t>
                  </w:r>
                </w:p>
              </w:tc>
              <w:tc>
                <w:tcPr>
                  <w:tcW w:w="185" w:type="pct"/>
                  <w:vMerge w:val="restart"/>
                  <w:tcBorders>
                    <w:tl2br w:val="nil"/>
                    <w:tr2bl w:val="nil"/>
                  </w:tcBorders>
                  <w:vAlign w:val="center"/>
                </w:tcPr>
                <w:p w14:paraId="53FDF58E">
                  <w:pPr>
                    <w:jc w:val="center"/>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1</w:t>
                  </w:r>
                </w:p>
              </w:tc>
              <w:tc>
                <w:tcPr>
                  <w:tcW w:w="199" w:type="pct"/>
                  <w:tcBorders>
                    <w:tl2br w:val="nil"/>
                    <w:tr2bl w:val="nil"/>
                  </w:tcBorders>
                  <w:vAlign w:val="center"/>
                </w:tcPr>
                <w:p w14:paraId="47BDB25A">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东</w:t>
                  </w:r>
                </w:p>
              </w:tc>
              <w:tc>
                <w:tcPr>
                  <w:tcW w:w="300" w:type="pct"/>
                  <w:tcBorders>
                    <w:tl2br w:val="nil"/>
                    <w:tr2bl w:val="nil"/>
                  </w:tcBorders>
                  <w:vAlign w:val="center"/>
                </w:tcPr>
                <w:p w14:paraId="45F61CA8">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20</w:t>
                  </w:r>
                </w:p>
              </w:tc>
              <w:tc>
                <w:tcPr>
                  <w:tcW w:w="347" w:type="pct"/>
                  <w:tcBorders>
                    <w:tl2br w:val="nil"/>
                    <w:tr2bl w:val="nil"/>
                  </w:tcBorders>
                  <w:vAlign w:val="center"/>
                </w:tcPr>
                <w:p w14:paraId="4FFA0FDB">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76.0</w:t>
                  </w:r>
                </w:p>
              </w:tc>
              <w:tc>
                <w:tcPr>
                  <w:tcW w:w="300" w:type="pct"/>
                  <w:vMerge w:val="restart"/>
                  <w:tcBorders>
                    <w:tl2br w:val="nil"/>
                    <w:tr2bl w:val="nil"/>
                  </w:tcBorders>
                  <w:vAlign w:val="center"/>
                </w:tcPr>
                <w:p w14:paraId="4DA15C98">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24h</w:t>
                  </w:r>
                </w:p>
              </w:tc>
              <w:tc>
                <w:tcPr>
                  <w:tcW w:w="388" w:type="pct"/>
                  <w:vMerge w:val="restart"/>
                  <w:tcBorders>
                    <w:tl2br w:val="nil"/>
                    <w:tr2bl w:val="nil"/>
                  </w:tcBorders>
                  <w:vAlign w:val="center"/>
                </w:tcPr>
                <w:p w14:paraId="531D2436">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25</w:t>
                  </w:r>
                </w:p>
              </w:tc>
              <w:tc>
                <w:tcPr>
                  <w:tcW w:w="896" w:type="dxa"/>
                  <w:tcBorders>
                    <w:tl2br w:val="nil"/>
                    <w:tr2bl w:val="nil"/>
                  </w:tcBorders>
                  <w:vAlign w:val="center"/>
                </w:tcPr>
                <w:p w14:paraId="6251BEF1">
                  <w:pPr>
                    <w:keepNext w:val="0"/>
                    <w:keepLines w:val="0"/>
                    <w:widowControl/>
                    <w:suppressLineNumbers w:val="0"/>
                    <w:jc w:val="center"/>
                    <w:textAlignment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51</w:t>
                  </w:r>
                </w:p>
              </w:tc>
              <w:tc>
                <w:tcPr>
                  <w:tcW w:w="424" w:type="pct"/>
                  <w:tcBorders>
                    <w:tl2br w:val="nil"/>
                    <w:tr2bl w:val="nil"/>
                  </w:tcBorders>
                  <w:vAlign w:val="center"/>
                </w:tcPr>
                <w:p w14:paraId="39BB6F5B">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1</w:t>
                  </w:r>
                </w:p>
              </w:tc>
            </w:tr>
            <w:tr w14:paraId="0F8C9C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43" w:type="pct"/>
                  <w:vMerge w:val="continue"/>
                  <w:tcBorders>
                    <w:tl2br w:val="nil"/>
                    <w:tr2bl w:val="nil"/>
                  </w:tcBorders>
                  <w:vAlign w:val="center"/>
                </w:tcPr>
                <w:p w14:paraId="32B606BA">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92" w:type="pct"/>
                  <w:vMerge w:val="continue"/>
                  <w:tcBorders>
                    <w:tl2br w:val="nil"/>
                    <w:tr2bl w:val="nil"/>
                  </w:tcBorders>
                  <w:vAlign w:val="center"/>
                </w:tcPr>
                <w:p w14:paraId="0129B42D">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58" w:type="pct"/>
                  <w:vMerge w:val="continue"/>
                  <w:tcBorders>
                    <w:tl2br w:val="nil"/>
                    <w:tr2bl w:val="nil"/>
                  </w:tcBorders>
                  <w:vAlign w:val="center"/>
                </w:tcPr>
                <w:p w14:paraId="44CAC160">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24" w:type="pct"/>
                  <w:vMerge w:val="continue"/>
                  <w:tcBorders>
                    <w:tl2br w:val="nil"/>
                    <w:tr2bl w:val="nil"/>
                  </w:tcBorders>
                  <w:vAlign w:val="center"/>
                </w:tcPr>
                <w:p w14:paraId="51D28450">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496" w:type="pct"/>
                  <w:vMerge w:val="continue"/>
                  <w:tcBorders>
                    <w:tl2br w:val="nil"/>
                    <w:tr2bl w:val="nil"/>
                  </w:tcBorders>
                  <w:vAlign w:val="center"/>
                </w:tcPr>
                <w:p w14:paraId="142C5FBF">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47" w:type="pct"/>
                  <w:vMerge w:val="continue"/>
                  <w:tcBorders>
                    <w:tl2br w:val="nil"/>
                    <w:tr2bl w:val="nil"/>
                  </w:tcBorders>
                  <w:vAlign w:val="center"/>
                </w:tcPr>
                <w:p w14:paraId="093C4EAC">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46" w:type="pct"/>
                  <w:vMerge w:val="continue"/>
                  <w:tcBorders>
                    <w:tl2br w:val="nil"/>
                    <w:tr2bl w:val="nil"/>
                  </w:tcBorders>
                  <w:vAlign w:val="center"/>
                </w:tcPr>
                <w:p w14:paraId="55BB2884">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31" w:type="pct"/>
                  <w:vMerge w:val="continue"/>
                  <w:tcBorders>
                    <w:tl2br w:val="nil"/>
                    <w:tr2bl w:val="nil"/>
                  </w:tcBorders>
                  <w:vAlign w:val="center"/>
                </w:tcPr>
                <w:p w14:paraId="32DD543F">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185" w:type="pct"/>
                  <w:vMerge w:val="continue"/>
                  <w:tcBorders>
                    <w:tl2br w:val="nil"/>
                    <w:tr2bl w:val="nil"/>
                  </w:tcBorders>
                  <w:vAlign w:val="center"/>
                </w:tcPr>
                <w:p w14:paraId="0205195F">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199" w:type="pct"/>
                  <w:tcBorders>
                    <w:tl2br w:val="nil"/>
                    <w:tr2bl w:val="nil"/>
                  </w:tcBorders>
                  <w:vAlign w:val="center"/>
                </w:tcPr>
                <w:p w14:paraId="305071DE">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南</w:t>
                  </w:r>
                </w:p>
              </w:tc>
              <w:tc>
                <w:tcPr>
                  <w:tcW w:w="300" w:type="pct"/>
                  <w:tcBorders>
                    <w:tl2br w:val="nil"/>
                    <w:tr2bl w:val="nil"/>
                  </w:tcBorders>
                  <w:vAlign w:val="center"/>
                </w:tcPr>
                <w:p w14:paraId="564C5916">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20</w:t>
                  </w:r>
                </w:p>
              </w:tc>
              <w:tc>
                <w:tcPr>
                  <w:tcW w:w="347" w:type="pct"/>
                  <w:tcBorders>
                    <w:tl2br w:val="nil"/>
                    <w:tr2bl w:val="nil"/>
                  </w:tcBorders>
                  <w:vAlign w:val="center"/>
                </w:tcPr>
                <w:p w14:paraId="0E19165E">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76.0</w:t>
                  </w:r>
                </w:p>
              </w:tc>
              <w:tc>
                <w:tcPr>
                  <w:tcW w:w="300" w:type="pct"/>
                  <w:vMerge w:val="continue"/>
                  <w:tcBorders>
                    <w:tl2br w:val="nil"/>
                    <w:tr2bl w:val="nil"/>
                  </w:tcBorders>
                  <w:vAlign w:val="center"/>
                </w:tcPr>
                <w:p w14:paraId="5C0A138B">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88" w:type="pct"/>
                  <w:vMerge w:val="continue"/>
                  <w:tcBorders>
                    <w:tl2br w:val="nil"/>
                    <w:tr2bl w:val="nil"/>
                  </w:tcBorders>
                  <w:vAlign w:val="center"/>
                </w:tcPr>
                <w:p w14:paraId="55E51A3B">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896" w:type="dxa"/>
                  <w:tcBorders>
                    <w:tl2br w:val="nil"/>
                    <w:tr2bl w:val="nil"/>
                  </w:tcBorders>
                  <w:vAlign w:val="center"/>
                </w:tcPr>
                <w:p w14:paraId="56B4E7EB">
                  <w:pPr>
                    <w:keepNext w:val="0"/>
                    <w:keepLines w:val="0"/>
                    <w:widowControl/>
                    <w:suppressLineNumbers w:val="0"/>
                    <w:jc w:val="center"/>
                    <w:textAlignment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51</w:t>
                  </w:r>
                </w:p>
              </w:tc>
              <w:tc>
                <w:tcPr>
                  <w:tcW w:w="424" w:type="pct"/>
                  <w:tcBorders>
                    <w:tl2br w:val="nil"/>
                    <w:tr2bl w:val="nil"/>
                  </w:tcBorders>
                  <w:vAlign w:val="center"/>
                </w:tcPr>
                <w:p w14:paraId="152B9EE8">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1</w:t>
                  </w:r>
                </w:p>
              </w:tc>
            </w:tr>
            <w:tr w14:paraId="2ABC41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43" w:type="pct"/>
                  <w:vMerge w:val="continue"/>
                  <w:tcBorders>
                    <w:tl2br w:val="nil"/>
                    <w:tr2bl w:val="nil"/>
                  </w:tcBorders>
                  <w:vAlign w:val="center"/>
                </w:tcPr>
                <w:p w14:paraId="0F893487">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92" w:type="pct"/>
                  <w:vMerge w:val="continue"/>
                  <w:tcBorders>
                    <w:tl2br w:val="nil"/>
                    <w:tr2bl w:val="nil"/>
                  </w:tcBorders>
                  <w:vAlign w:val="center"/>
                </w:tcPr>
                <w:p w14:paraId="489F3BCD">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58" w:type="pct"/>
                  <w:vMerge w:val="continue"/>
                  <w:tcBorders>
                    <w:tl2br w:val="nil"/>
                    <w:tr2bl w:val="nil"/>
                  </w:tcBorders>
                  <w:vAlign w:val="center"/>
                </w:tcPr>
                <w:p w14:paraId="4395DFE3">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24" w:type="pct"/>
                  <w:vMerge w:val="continue"/>
                  <w:tcBorders>
                    <w:tl2br w:val="nil"/>
                    <w:tr2bl w:val="nil"/>
                  </w:tcBorders>
                  <w:vAlign w:val="center"/>
                </w:tcPr>
                <w:p w14:paraId="45C9149B">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496" w:type="pct"/>
                  <w:vMerge w:val="continue"/>
                  <w:tcBorders>
                    <w:tl2br w:val="nil"/>
                    <w:tr2bl w:val="nil"/>
                  </w:tcBorders>
                  <w:vAlign w:val="center"/>
                </w:tcPr>
                <w:p w14:paraId="2F9D33C6">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47" w:type="pct"/>
                  <w:vMerge w:val="continue"/>
                  <w:tcBorders>
                    <w:tl2br w:val="nil"/>
                    <w:tr2bl w:val="nil"/>
                  </w:tcBorders>
                  <w:vAlign w:val="center"/>
                </w:tcPr>
                <w:p w14:paraId="7798171A">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46" w:type="pct"/>
                  <w:vMerge w:val="continue"/>
                  <w:tcBorders>
                    <w:tl2br w:val="nil"/>
                    <w:tr2bl w:val="nil"/>
                  </w:tcBorders>
                  <w:vAlign w:val="center"/>
                </w:tcPr>
                <w:p w14:paraId="0EBAFEF5">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31" w:type="pct"/>
                  <w:vMerge w:val="continue"/>
                  <w:tcBorders>
                    <w:tl2br w:val="nil"/>
                    <w:tr2bl w:val="nil"/>
                  </w:tcBorders>
                  <w:vAlign w:val="center"/>
                </w:tcPr>
                <w:p w14:paraId="563E211D">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185" w:type="pct"/>
                  <w:vMerge w:val="continue"/>
                  <w:tcBorders>
                    <w:tl2br w:val="nil"/>
                    <w:tr2bl w:val="nil"/>
                  </w:tcBorders>
                  <w:vAlign w:val="center"/>
                </w:tcPr>
                <w:p w14:paraId="65F11758">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199" w:type="pct"/>
                  <w:tcBorders>
                    <w:tl2br w:val="nil"/>
                    <w:tr2bl w:val="nil"/>
                  </w:tcBorders>
                  <w:vAlign w:val="center"/>
                </w:tcPr>
                <w:p w14:paraId="59201873">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西</w:t>
                  </w:r>
                </w:p>
              </w:tc>
              <w:tc>
                <w:tcPr>
                  <w:tcW w:w="300" w:type="pct"/>
                  <w:tcBorders>
                    <w:tl2br w:val="nil"/>
                    <w:tr2bl w:val="nil"/>
                  </w:tcBorders>
                  <w:vAlign w:val="center"/>
                </w:tcPr>
                <w:p w14:paraId="367B2505">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80</w:t>
                  </w:r>
                </w:p>
              </w:tc>
              <w:tc>
                <w:tcPr>
                  <w:tcW w:w="347" w:type="pct"/>
                  <w:tcBorders>
                    <w:tl2br w:val="nil"/>
                    <w:tr2bl w:val="nil"/>
                  </w:tcBorders>
                  <w:vAlign w:val="center"/>
                </w:tcPr>
                <w:p w14:paraId="034D58E1">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63.9</w:t>
                  </w:r>
                </w:p>
              </w:tc>
              <w:tc>
                <w:tcPr>
                  <w:tcW w:w="300" w:type="pct"/>
                  <w:vMerge w:val="continue"/>
                  <w:tcBorders>
                    <w:tl2br w:val="nil"/>
                    <w:tr2bl w:val="nil"/>
                  </w:tcBorders>
                  <w:vAlign w:val="center"/>
                </w:tcPr>
                <w:p w14:paraId="55665A6D">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88" w:type="pct"/>
                  <w:vMerge w:val="continue"/>
                  <w:tcBorders>
                    <w:tl2br w:val="nil"/>
                    <w:tr2bl w:val="nil"/>
                  </w:tcBorders>
                  <w:vAlign w:val="center"/>
                </w:tcPr>
                <w:p w14:paraId="658B1DC4">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896" w:type="dxa"/>
                  <w:tcBorders>
                    <w:tl2br w:val="nil"/>
                    <w:tr2bl w:val="nil"/>
                  </w:tcBorders>
                  <w:vAlign w:val="center"/>
                </w:tcPr>
                <w:p w14:paraId="11920F15">
                  <w:pPr>
                    <w:keepNext w:val="0"/>
                    <w:keepLines w:val="0"/>
                    <w:widowControl/>
                    <w:suppressLineNumbers w:val="0"/>
                    <w:jc w:val="center"/>
                    <w:textAlignment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38.9</w:t>
                  </w:r>
                </w:p>
              </w:tc>
              <w:tc>
                <w:tcPr>
                  <w:tcW w:w="424" w:type="pct"/>
                  <w:tcBorders>
                    <w:tl2br w:val="nil"/>
                    <w:tr2bl w:val="nil"/>
                  </w:tcBorders>
                  <w:vAlign w:val="center"/>
                </w:tcPr>
                <w:p w14:paraId="654135E6">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1</w:t>
                  </w:r>
                </w:p>
              </w:tc>
            </w:tr>
            <w:tr w14:paraId="747614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43" w:type="pct"/>
                  <w:vMerge w:val="continue"/>
                  <w:tcBorders>
                    <w:tl2br w:val="nil"/>
                    <w:tr2bl w:val="nil"/>
                  </w:tcBorders>
                  <w:vAlign w:val="center"/>
                </w:tcPr>
                <w:p w14:paraId="5B9B5067">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92" w:type="pct"/>
                  <w:vMerge w:val="continue"/>
                  <w:tcBorders>
                    <w:tl2br w:val="nil"/>
                    <w:tr2bl w:val="nil"/>
                  </w:tcBorders>
                  <w:vAlign w:val="center"/>
                </w:tcPr>
                <w:p w14:paraId="06020B39">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58" w:type="pct"/>
                  <w:vMerge w:val="continue"/>
                  <w:tcBorders>
                    <w:tl2br w:val="nil"/>
                    <w:tr2bl w:val="nil"/>
                  </w:tcBorders>
                  <w:vAlign w:val="center"/>
                </w:tcPr>
                <w:p w14:paraId="03568DFB">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24" w:type="pct"/>
                  <w:vMerge w:val="continue"/>
                  <w:tcBorders>
                    <w:tl2br w:val="nil"/>
                    <w:tr2bl w:val="nil"/>
                  </w:tcBorders>
                  <w:vAlign w:val="center"/>
                </w:tcPr>
                <w:p w14:paraId="5BC8FD12">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496" w:type="pct"/>
                  <w:vMerge w:val="continue"/>
                  <w:tcBorders>
                    <w:tl2br w:val="nil"/>
                    <w:tr2bl w:val="nil"/>
                  </w:tcBorders>
                  <w:vAlign w:val="center"/>
                </w:tcPr>
                <w:p w14:paraId="048D60A1">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47" w:type="pct"/>
                  <w:vMerge w:val="continue"/>
                  <w:tcBorders>
                    <w:tl2br w:val="nil"/>
                    <w:tr2bl w:val="nil"/>
                  </w:tcBorders>
                  <w:vAlign w:val="center"/>
                </w:tcPr>
                <w:p w14:paraId="4E20F835">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46" w:type="pct"/>
                  <w:vMerge w:val="continue"/>
                  <w:tcBorders>
                    <w:tl2br w:val="nil"/>
                    <w:tr2bl w:val="nil"/>
                  </w:tcBorders>
                  <w:vAlign w:val="center"/>
                </w:tcPr>
                <w:p w14:paraId="1B02FE64">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231" w:type="pct"/>
                  <w:vMerge w:val="continue"/>
                  <w:tcBorders>
                    <w:tl2br w:val="nil"/>
                    <w:tr2bl w:val="nil"/>
                  </w:tcBorders>
                  <w:vAlign w:val="center"/>
                </w:tcPr>
                <w:p w14:paraId="29C464C2">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185" w:type="pct"/>
                  <w:vMerge w:val="continue"/>
                  <w:tcBorders>
                    <w:tl2br w:val="nil"/>
                    <w:tr2bl w:val="nil"/>
                  </w:tcBorders>
                  <w:vAlign w:val="center"/>
                </w:tcPr>
                <w:p w14:paraId="13768E0D">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199" w:type="pct"/>
                  <w:tcBorders>
                    <w:tl2br w:val="nil"/>
                    <w:tr2bl w:val="nil"/>
                  </w:tcBorders>
                  <w:vAlign w:val="center"/>
                </w:tcPr>
                <w:p w14:paraId="38B58EFF">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北</w:t>
                  </w:r>
                </w:p>
              </w:tc>
              <w:tc>
                <w:tcPr>
                  <w:tcW w:w="300" w:type="pct"/>
                  <w:tcBorders>
                    <w:tl2br w:val="nil"/>
                    <w:tr2bl w:val="nil"/>
                  </w:tcBorders>
                  <w:vAlign w:val="center"/>
                </w:tcPr>
                <w:p w14:paraId="6AB6FB71">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16</w:t>
                  </w:r>
                </w:p>
              </w:tc>
              <w:tc>
                <w:tcPr>
                  <w:tcW w:w="347" w:type="pct"/>
                  <w:tcBorders>
                    <w:tl2br w:val="nil"/>
                    <w:tr2bl w:val="nil"/>
                  </w:tcBorders>
                  <w:vAlign w:val="center"/>
                </w:tcPr>
                <w:p w14:paraId="4AC6A0E3">
                  <w:pPr>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77.9</w:t>
                  </w:r>
                </w:p>
              </w:tc>
              <w:tc>
                <w:tcPr>
                  <w:tcW w:w="300" w:type="pct"/>
                  <w:vMerge w:val="continue"/>
                  <w:tcBorders>
                    <w:tl2br w:val="nil"/>
                    <w:tr2bl w:val="nil"/>
                  </w:tcBorders>
                  <w:vAlign w:val="center"/>
                </w:tcPr>
                <w:p w14:paraId="6FDDBC03">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388" w:type="pct"/>
                  <w:vMerge w:val="continue"/>
                  <w:tcBorders>
                    <w:tl2br w:val="nil"/>
                    <w:tr2bl w:val="nil"/>
                  </w:tcBorders>
                  <w:vAlign w:val="center"/>
                </w:tcPr>
                <w:p w14:paraId="16AF0055">
                  <w:pPr>
                    <w:jc w:val="center"/>
                    <w:rPr>
                      <w:rFonts w:hint="default" w:ascii="Times New Roman" w:hAnsi="Times New Roman" w:cs="Times New Roman"/>
                      <w:color w:val="000000" w:themeColor="text1"/>
                      <w:sz w:val="21"/>
                      <w:szCs w:val="21"/>
                      <w:u w:val="single"/>
                      <w14:textFill>
                        <w14:solidFill>
                          <w14:schemeClr w14:val="tx1"/>
                        </w14:solidFill>
                      </w14:textFill>
                    </w:rPr>
                  </w:pPr>
                </w:p>
              </w:tc>
              <w:tc>
                <w:tcPr>
                  <w:tcW w:w="896" w:type="dxa"/>
                  <w:tcBorders>
                    <w:tl2br w:val="nil"/>
                    <w:tr2bl w:val="nil"/>
                  </w:tcBorders>
                  <w:vAlign w:val="center"/>
                </w:tcPr>
                <w:p w14:paraId="20299A9A">
                  <w:pPr>
                    <w:keepNext w:val="0"/>
                    <w:keepLines w:val="0"/>
                    <w:widowControl/>
                    <w:suppressLineNumbers w:val="0"/>
                    <w:jc w:val="center"/>
                    <w:textAlignment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52.9</w:t>
                  </w:r>
                </w:p>
              </w:tc>
              <w:tc>
                <w:tcPr>
                  <w:tcW w:w="424" w:type="pct"/>
                  <w:tcBorders>
                    <w:tl2br w:val="nil"/>
                    <w:tr2bl w:val="nil"/>
                  </w:tcBorders>
                  <w:vAlign w:val="center"/>
                </w:tcPr>
                <w:p w14:paraId="01ED8595">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1</w:t>
                  </w:r>
                </w:p>
              </w:tc>
            </w:tr>
            <w:tr w14:paraId="6CD6C7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16"/>
                  <w:vAlign w:val="center"/>
                </w:tcPr>
                <w:p w14:paraId="230AF8D7">
                  <w:pPr>
                    <w:jc w:val="center"/>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注：以厂房1层</w:t>
                  </w:r>
                  <w:r>
                    <w:rPr>
                      <w:rFonts w:hint="eastAsia" w:cs="Times New Roman"/>
                      <w:color w:val="000000" w:themeColor="text1"/>
                      <w:sz w:val="21"/>
                      <w:szCs w:val="21"/>
                      <w:u w:val="single"/>
                      <w:lang w:eastAsia="zh-CN"/>
                      <w14:textFill>
                        <w14:solidFill>
                          <w14:schemeClr w14:val="tx1"/>
                        </w14:solidFill>
                      </w14:textFill>
                    </w:rPr>
                    <w:t>西南角地面</w:t>
                  </w:r>
                  <w:r>
                    <w:rPr>
                      <w:rFonts w:hint="default" w:ascii="Times New Roman" w:hAnsi="Times New Roman" w:cs="Times New Roman"/>
                      <w:color w:val="000000" w:themeColor="text1"/>
                      <w:sz w:val="21"/>
                      <w:szCs w:val="21"/>
                      <w:u w:val="single"/>
                      <w14:textFill>
                        <w14:solidFill>
                          <w14:schemeClr w14:val="tx1"/>
                        </w14:solidFill>
                      </w14:textFill>
                    </w:rPr>
                    <w:t>为（0，0，0）</w:t>
                  </w:r>
                </w:p>
              </w:tc>
            </w:tr>
          </w:tbl>
          <w:p w14:paraId="124AE670">
            <w:pPr>
              <w:pStyle w:val="35"/>
              <w:ind w:left="0" w:leftChars="0" w:firstLine="0" w:firstLineChars="0"/>
              <w:rPr>
                <w:vertAlign w:val="baseline"/>
              </w:rPr>
            </w:pPr>
          </w:p>
        </w:tc>
      </w:tr>
    </w:tbl>
    <w:p w14:paraId="24C1D32C">
      <w:pPr>
        <w:pStyle w:val="35"/>
        <w:ind w:left="0" w:leftChars="0" w:firstLine="0" w:firstLineChars="0"/>
        <w:sectPr>
          <w:pgSz w:w="16840" w:h="11907" w:orient="landscape"/>
          <w:pgMar w:top="1440" w:right="1080" w:bottom="1440" w:left="1080" w:header="851" w:footer="1134" w:gutter="0"/>
          <w:pgBorders>
            <w:top w:val="none" w:sz="0" w:space="0"/>
            <w:left w:val="none" w:sz="0" w:space="0"/>
            <w:bottom w:val="none" w:sz="0" w:space="0"/>
            <w:right w:val="none" w:sz="0" w:space="0"/>
          </w:pgBorders>
          <w:cols w:space="720" w:num="1"/>
          <w:docGrid w:linePitch="312" w:charSpace="0"/>
        </w:sectPr>
      </w:pP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
        <w:gridCol w:w="9349"/>
      </w:tblGrid>
      <w:tr w14:paraId="06B22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dxa"/>
          </w:tcPr>
          <w:p w14:paraId="68BBFB79">
            <w:pPr>
              <w:pStyle w:val="73"/>
              <w:wordWrap w:val="0"/>
              <w:topLinePunct/>
              <w:rPr>
                <w:rFonts w:ascii="Times New Roman" w:hAnsi="Times New Roman"/>
                <w:b/>
                <w:bCs/>
                <w:vertAlign w:val="baseline"/>
              </w:rPr>
            </w:pPr>
            <w:bookmarkStart w:id="61" w:name="_Toc17507"/>
          </w:p>
        </w:tc>
        <w:tc>
          <w:tcPr>
            <w:tcW w:w="9029" w:type="dxa"/>
          </w:tcPr>
          <w:p w14:paraId="188784A8">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本次噪声评价采用《环境影响评价技术导则—声环境》（HJ2.4-2021）中推荐模式进行预测，模式如下：</w:t>
            </w:r>
          </w:p>
          <w:p w14:paraId="1B71DB3D">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①建设项目声源在预测点产生的等效声级贡献值计算</w:t>
            </w:r>
          </w:p>
          <w:p w14:paraId="574A1B69">
            <w:pPr>
              <w:adjustRightInd w:val="0"/>
              <w:snapToGrid w:val="0"/>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609850" cy="485775"/>
                  <wp:effectExtent l="0" t="0" r="0" b="9525"/>
                  <wp:docPr id="435" name="图片 435" descr="C:\Users\Administrator\AppData\Roaming\Tencent\Users\1486689143\QQ\WinTemp\RichOle\WZ(G77L5]Z)@}M%[]YVV1Z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435" descr="C:\Users\Administrator\AppData\Roaming\Tencent\Users\1486689143\QQ\WinTemp\RichOle\WZ(G77L5]Z)@}M%[]YVV1ZJ.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609850" cy="485775"/>
                          </a:xfrm>
                          <a:prstGeom prst="rect">
                            <a:avLst/>
                          </a:prstGeom>
                          <a:noFill/>
                          <a:ln>
                            <a:noFill/>
                          </a:ln>
                        </pic:spPr>
                      </pic:pic>
                    </a:graphicData>
                  </a:graphic>
                </wp:inline>
              </w:drawing>
            </w:r>
          </w:p>
          <w:p w14:paraId="38A1FF20">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式中：</w:t>
            </w:r>
            <w:r>
              <w:rPr>
                <w:i/>
                <w:color w:val="000000" w:themeColor="text1"/>
                <w14:textFill>
                  <w14:solidFill>
                    <w14:schemeClr w14:val="tx1"/>
                  </w14:solidFill>
                </w14:textFill>
              </w:rPr>
              <w:t>L</w:t>
            </w:r>
            <w:r>
              <w:rPr>
                <w:i/>
                <w:color w:val="000000" w:themeColor="text1"/>
                <w:vertAlign w:val="subscript"/>
                <w14:textFill>
                  <w14:solidFill>
                    <w14:schemeClr w14:val="tx1"/>
                  </w14:solidFill>
                </w14:textFill>
              </w:rPr>
              <w:t>eqg</w:t>
            </w:r>
            <w:r>
              <w:rPr>
                <w:color w:val="000000" w:themeColor="text1"/>
                <w14:textFill>
                  <w14:solidFill>
                    <w14:schemeClr w14:val="tx1"/>
                  </w14:solidFill>
                </w14:textFill>
              </w:rPr>
              <w:t>—建设项目声源在预测点的等效声级贡献值，dB(A)；</w:t>
            </w:r>
          </w:p>
          <w:p w14:paraId="12339F4E">
            <w:pPr>
              <w:adjustRightInd w:val="0"/>
              <w:snapToGrid w:val="0"/>
              <w:spacing w:line="360" w:lineRule="auto"/>
              <w:ind w:firstLine="1200" w:firstLineChars="500"/>
              <w:rPr>
                <w:color w:val="000000" w:themeColor="text1"/>
                <w14:textFill>
                  <w14:solidFill>
                    <w14:schemeClr w14:val="tx1"/>
                  </w14:solidFill>
                </w14:textFill>
              </w:rPr>
            </w:pPr>
            <w:r>
              <w:rPr>
                <w:i/>
                <w:color w:val="000000" w:themeColor="text1"/>
                <w14:textFill>
                  <w14:solidFill>
                    <w14:schemeClr w14:val="tx1"/>
                  </w14:solidFill>
                </w14:textFill>
              </w:rPr>
              <w:t>L</w:t>
            </w:r>
            <w:r>
              <w:rPr>
                <w:i/>
                <w:color w:val="000000" w:themeColor="text1"/>
                <w:vertAlign w:val="subscript"/>
                <w14:textFill>
                  <w14:solidFill>
                    <w14:schemeClr w14:val="tx1"/>
                  </w14:solidFill>
                </w14:textFill>
              </w:rPr>
              <w:t>Ai</w:t>
            </w:r>
            <w:r>
              <w:rPr>
                <w:color w:val="000000" w:themeColor="text1"/>
                <w14:textFill>
                  <w14:solidFill>
                    <w14:schemeClr w14:val="tx1"/>
                  </w14:solidFill>
                </w14:textFill>
              </w:rPr>
              <w:t>—i声源在预测点产生的A声级，dB(A)；</w:t>
            </w:r>
          </w:p>
          <w:p w14:paraId="050E1388">
            <w:pPr>
              <w:adjustRightInd w:val="0"/>
              <w:snapToGrid w:val="0"/>
              <w:spacing w:line="360" w:lineRule="auto"/>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L</w:t>
            </w:r>
            <w:r>
              <w:rPr>
                <w:i/>
                <w:color w:val="000000" w:themeColor="text1"/>
                <w:vertAlign w:val="subscript"/>
                <w14:textFill>
                  <w14:solidFill>
                    <w14:schemeClr w14:val="tx1"/>
                  </w14:solidFill>
                </w14:textFill>
              </w:rPr>
              <w:t>Aj</w:t>
            </w:r>
            <w:r>
              <w:rPr>
                <w:color w:val="000000" w:themeColor="text1"/>
                <w14:textFill>
                  <w14:solidFill>
                    <w14:schemeClr w14:val="tx1"/>
                  </w14:solidFill>
                </w14:textFill>
              </w:rPr>
              <w:t>—j声源在预测点产生的A声级，dB(A)；</w:t>
            </w:r>
          </w:p>
          <w:p w14:paraId="59AC29E6">
            <w:pPr>
              <w:adjustRightInd w:val="0"/>
              <w:snapToGrid w:val="0"/>
              <w:spacing w:line="360" w:lineRule="auto"/>
              <w:ind w:firstLine="1200" w:firstLineChars="500"/>
              <w:rPr>
                <w:color w:val="000000" w:themeColor="text1"/>
                <w14:textFill>
                  <w14:solidFill>
                    <w14:schemeClr w14:val="tx1"/>
                  </w14:solidFill>
                </w14:textFill>
              </w:rPr>
            </w:pPr>
            <w:r>
              <w:rPr>
                <w:i/>
                <w:color w:val="000000" w:themeColor="text1"/>
                <w14:textFill>
                  <w14:solidFill>
                    <w14:schemeClr w14:val="tx1"/>
                  </w14:solidFill>
                </w14:textFill>
              </w:rPr>
              <w:t>t</w:t>
            </w:r>
            <w:r>
              <w:rPr>
                <w:i/>
                <w:color w:val="000000" w:themeColor="text1"/>
                <w:vertAlign w:val="subscript"/>
                <w14:textFill>
                  <w14:solidFill>
                    <w14:schemeClr w14:val="tx1"/>
                  </w14:solidFill>
                </w14:textFill>
              </w:rPr>
              <w:t>i</w:t>
            </w:r>
            <w:r>
              <w:rPr>
                <w:color w:val="000000" w:themeColor="text1"/>
                <w14:textFill>
                  <w14:solidFill>
                    <w14:schemeClr w14:val="tx1"/>
                  </w14:solidFill>
                </w14:textFill>
              </w:rPr>
              <w:t>—i声源在T时段内的运行时间，s；</w:t>
            </w:r>
          </w:p>
          <w:p w14:paraId="3BDFF7AF">
            <w:pPr>
              <w:adjustRightInd w:val="0"/>
              <w:snapToGrid w:val="0"/>
              <w:spacing w:line="360" w:lineRule="auto"/>
              <w:ind w:firstLine="1200" w:firstLineChars="500"/>
              <w:rPr>
                <w:color w:val="000000" w:themeColor="text1"/>
                <w14:textFill>
                  <w14:solidFill>
                    <w14:schemeClr w14:val="tx1"/>
                  </w14:solidFill>
                </w14:textFill>
              </w:rPr>
            </w:pPr>
            <w:r>
              <w:rPr>
                <w:i/>
                <w:color w:val="000000" w:themeColor="text1"/>
                <w14:textFill>
                  <w14:solidFill>
                    <w14:schemeClr w14:val="tx1"/>
                  </w14:solidFill>
                </w14:textFill>
              </w:rPr>
              <w:t>t</w:t>
            </w:r>
            <w:r>
              <w:rPr>
                <w:i/>
                <w:color w:val="000000" w:themeColor="text1"/>
                <w:vertAlign w:val="subscript"/>
                <w14:textFill>
                  <w14:solidFill>
                    <w14:schemeClr w14:val="tx1"/>
                  </w14:solidFill>
                </w14:textFill>
              </w:rPr>
              <w:t>j</w:t>
            </w:r>
            <w:r>
              <w:rPr>
                <w:color w:val="000000" w:themeColor="text1"/>
                <w14:textFill>
                  <w14:solidFill>
                    <w14:schemeClr w14:val="tx1"/>
                  </w14:solidFill>
                </w14:textFill>
              </w:rPr>
              <w:t>—j声源在T时段内的运行时间，s；</w:t>
            </w:r>
          </w:p>
          <w:p w14:paraId="1F9E0CBE">
            <w:pPr>
              <w:adjustRightInd w:val="0"/>
              <w:snapToGrid w:val="0"/>
              <w:spacing w:line="360" w:lineRule="auto"/>
              <w:ind w:firstLine="1200" w:firstLineChars="500"/>
              <w:rPr>
                <w:color w:val="000000" w:themeColor="text1"/>
                <w14:textFill>
                  <w14:solidFill>
                    <w14:schemeClr w14:val="tx1"/>
                  </w14:solidFill>
                </w14:textFill>
              </w:rPr>
            </w:pPr>
            <w:r>
              <w:rPr>
                <w:i/>
                <w:color w:val="000000" w:themeColor="text1"/>
                <w14:textFill>
                  <w14:solidFill>
                    <w14:schemeClr w14:val="tx1"/>
                  </w14:solidFill>
                </w14:textFill>
              </w:rPr>
              <w:t>T</w:t>
            </w:r>
            <w:r>
              <w:rPr>
                <w:color w:val="000000" w:themeColor="text1"/>
                <w14:textFill>
                  <w14:solidFill>
                    <w14:schemeClr w14:val="tx1"/>
                  </w14:solidFill>
                </w14:textFill>
              </w:rPr>
              <w:t>—用于计算等效声级，s；</w:t>
            </w:r>
          </w:p>
          <w:p w14:paraId="1A73DE7A">
            <w:pPr>
              <w:adjustRightInd w:val="0"/>
              <w:snapToGrid w:val="0"/>
              <w:spacing w:line="360" w:lineRule="auto"/>
              <w:ind w:firstLine="1200" w:firstLineChars="500"/>
              <w:rPr>
                <w:color w:val="000000" w:themeColor="text1"/>
                <w14:textFill>
                  <w14:solidFill>
                    <w14:schemeClr w14:val="tx1"/>
                  </w14:solidFill>
                </w14:textFill>
              </w:rPr>
            </w:pPr>
            <w:r>
              <w:rPr>
                <w:i/>
                <w:color w:val="000000" w:themeColor="text1"/>
                <w14:textFill>
                  <w14:solidFill>
                    <w14:schemeClr w14:val="tx1"/>
                  </w14:solidFill>
                </w14:textFill>
              </w:rPr>
              <w:t>N</w:t>
            </w:r>
            <w:r>
              <w:rPr>
                <w:color w:val="000000" w:themeColor="text1"/>
                <w14:textFill>
                  <w14:solidFill>
                    <w14:schemeClr w14:val="tx1"/>
                  </w14:solidFill>
                </w14:textFill>
              </w:rPr>
              <w:t>—室外声源个数；</w:t>
            </w:r>
          </w:p>
          <w:p w14:paraId="6106B807">
            <w:pPr>
              <w:adjustRightInd w:val="0"/>
              <w:snapToGrid w:val="0"/>
              <w:spacing w:line="360" w:lineRule="auto"/>
              <w:ind w:firstLine="1200" w:firstLineChars="500"/>
              <w:rPr>
                <w:color w:val="000000" w:themeColor="text1"/>
                <w14:textFill>
                  <w14:solidFill>
                    <w14:schemeClr w14:val="tx1"/>
                  </w14:solidFill>
                </w14:textFill>
              </w:rPr>
            </w:pPr>
            <w:r>
              <w:rPr>
                <w:i/>
                <w:color w:val="000000" w:themeColor="text1"/>
                <w14:textFill>
                  <w14:solidFill>
                    <w14:schemeClr w14:val="tx1"/>
                  </w14:solidFill>
                </w14:textFill>
              </w:rPr>
              <w:t>M</w:t>
            </w:r>
            <w:r>
              <w:rPr>
                <w:color w:val="000000" w:themeColor="text1"/>
                <w14:textFill>
                  <w14:solidFill>
                    <w14:schemeClr w14:val="tx1"/>
                  </w14:solidFill>
                </w14:textFill>
              </w:rPr>
              <w:t>—等效室外声源个数。</w:t>
            </w:r>
          </w:p>
          <w:p w14:paraId="78EED8BD">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②预测点的A声级计算</w:t>
            </w:r>
          </w:p>
          <w:p w14:paraId="60FE10BB">
            <w:pPr>
              <w:adjustRightInd w:val="0"/>
              <w:snapToGrid w:val="0"/>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162175" cy="619125"/>
                  <wp:effectExtent l="0" t="0" r="9525" b="9525"/>
                  <wp:docPr id="434" name="图片 434" descr="C:\Users\Administrator\AppData\Roaming\Tencent\Users\1486689143\QQ\WinTemp\RichOle\3J]XW2@}_~IKQR0)F3ZVWJ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434" descr="C:\Users\Administrator\AppData\Roaming\Tencent\Users\1486689143\QQ\WinTemp\RichOle\3J]XW2@}_~IKQR0)F3ZVWJ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162175" cy="619125"/>
                          </a:xfrm>
                          <a:prstGeom prst="rect">
                            <a:avLst/>
                          </a:prstGeom>
                          <a:noFill/>
                          <a:ln>
                            <a:noFill/>
                          </a:ln>
                        </pic:spPr>
                      </pic:pic>
                    </a:graphicData>
                  </a:graphic>
                </wp:inline>
              </w:drawing>
            </w:r>
          </w:p>
          <w:p w14:paraId="1F9952D3">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式中：</w:t>
            </w:r>
            <w:r>
              <w:rPr>
                <w:i/>
                <w:color w:val="000000" w:themeColor="text1"/>
                <w14:textFill>
                  <w14:solidFill>
                    <w14:schemeClr w14:val="tx1"/>
                  </w14:solidFill>
                </w14:textFill>
              </w:rPr>
              <w:t>L</w:t>
            </w:r>
            <w:r>
              <w:rPr>
                <w:i/>
                <w:color w:val="000000" w:themeColor="text1"/>
                <w:vertAlign w:val="subscript"/>
                <w14:textFill>
                  <w14:solidFill>
                    <w14:schemeClr w14:val="tx1"/>
                  </w14:solidFill>
                </w14:textFill>
              </w:rPr>
              <w:t>A</w:t>
            </w:r>
            <w:r>
              <w:rPr>
                <w:i/>
                <w:color w:val="000000" w:themeColor="text1"/>
                <w14:textFill>
                  <w14:solidFill>
                    <w14:schemeClr w14:val="tx1"/>
                  </w14:solidFill>
                </w14:textFill>
              </w:rPr>
              <w:t>(r)</w:t>
            </w:r>
            <w:r>
              <w:rPr>
                <w:color w:val="000000" w:themeColor="text1"/>
                <w14:textFill>
                  <w14:solidFill>
                    <w14:schemeClr w14:val="tx1"/>
                  </w14:solidFill>
                </w14:textFill>
              </w:rPr>
              <w:t>—预测点的A声级，dB(A)；</w:t>
            </w:r>
          </w:p>
          <w:p w14:paraId="70F62B5B">
            <w:pPr>
              <w:adjustRightInd w:val="0"/>
              <w:snapToGrid w:val="0"/>
              <w:spacing w:line="360" w:lineRule="auto"/>
              <w:ind w:firstLine="1200" w:firstLineChars="500"/>
              <w:rPr>
                <w:color w:val="000000" w:themeColor="text1"/>
                <w14:textFill>
                  <w14:solidFill>
                    <w14:schemeClr w14:val="tx1"/>
                  </w14:solidFill>
                </w14:textFill>
              </w:rPr>
            </w:pPr>
            <w:r>
              <w:rPr>
                <w:i/>
                <w:color w:val="000000" w:themeColor="text1"/>
                <w14:textFill>
                  <w14:solidFill>
                    <w14:schemeClr w14:val="tx1"/>
                  </w14:solidFill>
                </w14:textFill>
              </w:rPr>
              <w:t>L</w:t>
            </w:r>
            <w:r>
              <w:rPr>
                <w:i/>
                <w:color w:val="000000" w:themeColor="text1"/>
                <w:vertAlign w:val="subscript"/>
                <w14:textFill>
                  <w14:solidFill>
                    <w14:schemeClr w14:val="tx1"/>
                  </w14:solidFill>
                </w14:textFill>
              </w:rPr>
              <w:t>pi</w:t>
            </w:r>
            <w:r>
              <w:rPr>
                <w:i/>
                <w:color w:val="000000" w:themeColor="text1"/>
                <w14:textFill>
                  <w14:solidFill>
                    <w14:schemeClr w14:val="tx1"/>
                  </w14:solidFill>
                </w14:textFill>
              </w:rPr>
              <w:t>(r)</w:t>
            </w:r>
            <w:r>
              <w:rPr>
                <w:color w:val="000000" w:themeColor="text1"/>
                <w14:textFill>
                  <w14:solidFill>
                    <w14:schemeClr w14:val="tx1"/>
                  </w14:solidFill>
                </w14:textFill>
              </w:rPr>
              <w:t>—预测点r处，第i倍频带声压级，dB；</w:t>
            </w:r>
          </w:p>
          <w:p w14:paraId="6607E505">
            <w:pPr>
              <w:adjustRightInd w:val="0"/>
              <w:snapToGrid w:val="0"/>
              <w:spacing w:line="360" w:lineRule="auto"/>
              <w:ind w:firstLine="1080" w:firstLineChars="450"/>
              <w:rPr>
                <w:color w:val="000000" w:themeColor="text1"/>
                <w14:textFill>
                  <w14:solidFill>
                    <w14:schemeClr w14:val="tx1"/>
                  </w14:solidFill>
                </w14:textFill>
              </w:rPr>
            </w:pPr>
            <w:r>
              <w:rPr>
                <w:i/>
                <w:color w:val="000000" w:themeColor="text1"/>
                <w14:textFill>
                  <w14:solidFill>
                    <w14:schemeClr w14:val="tx1"/>
                  </w14:solidFill>
                </w14:textFill>
              </w:rPr>
              <w:t>△L</w:t>
            </w:r>
            <w:r>
              <w:rPr>
                <w:i/>
                <w:color w:val="000000" w:themeColor="text1"/>
                <w:vertAlign w:val="subscript"/>
                <w14:textFill>
                  <w14:solidFill>
                    <w14:schemeClr w14:val="tx1"/>
                  </w14:solidFill>
                </w14:textFill>
              </w:rPr>
              <w:t>i</w:t>
            </w:r>
            <w:r>
              <w:rPr>
                <w:color w:val="000000" w:themeColor="text1"/>
                <w14:textFill>
                  <w14:solidFill>
                    <w14:schemeClr w14:val="tx1"/>
                  </w14:solidFill>
                </w14:textFill>
              </w:rPr>
              <w:t>—第i倍频带的A计权网络修正值，dB。</w:t>
            </w:r>
          </w:p>
          <w:p w14:paraId="120F2041">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③参考点r0到预测点r处之间的户外传播衰减量</w:t>
            </w:r>
          </w:p>
          <w:p w14:paraId="72B10741">
            <w:pPr>
              <w:adjustRightInd w:val="0"/>
              <w:snapToGrid w:val="0"/>
              <w:spacing w:line="360" w:lineRule="auto"/>
              <w:jc w:val="center"/>
              <w:rPr>
                <w:color w:val="000000" w:themeColor="text1"/>
                <w14:textFill>
                  <w14:solidFill>
                    <w14:schemeClr w14:val="tx1"/>
                  </w14:solidFill>
                </w14:textFill>
              </w:rPr>
            </w:pPr>
            <w:r>
              <w:rPr>
                <w:i/>
                <w:color w:val="000000" w:themeColor="text1"/>
                <w14:textFill>
                  <w14:solidFill>
                    <w14:schemeClr w14:val="tx1"/>
                  </w14:solidFill>
                </w14:textFill>
              </w:rPr>
              <w:t>L</w:t>
            </w:r>
            <w:r>
              <w:rPr>
                <w:i/>
                <w:color w:val="000000" w:themeColor="text1"/>
                <w:vertAlign w:val="subscript"/>
                <w14:textFill>
                  <w14:solidFill>
                    <w14:schemeClr w14:val="tx1"/>
                  </w14:solidFill>
                </w14:textFill>
              </w:rPr>
              <w:t>P</w:t>
            </w:r>
            <w:r>
              <w:rPr>
                <w:i/>
                <w:color w:val="000000" w:themeColor="text1"/>
                <w14:textFill>
                  <w14:solidFill>
                    <w14:schemeClr w14:val="tx1"/>
                  </w14:solidFill>
                </w14:textFill>
              </w:rPr>
              <w:t>（r）</w:t>
            </w:r>
            <w:r>
              <w:rPr>
                <w:color w:val="000000" w:themeColor="text1"/>
                <w14:textFill>
                  <w14:solidFill>
                    <w14:schemeClr w14:val="tx1"/>
                  </w14:solidFill>
                </w14:textFill>
              </w:rPr>
              <w:t>=</w:t>
            </w:r>
            <w:r>
              <w:rPr>
                <w:i/>
                <w:color w:val="000000" w:themeColor="text1"/>
                <w14:textFill>
                  <w14:solidFill>
                    <w14:schemeClr w14:val="tx1"/>
                  </w14:solidFill>
                </w14:textFill>
              </w:rPr>
              <w:t>L</w:t>
            </w:r>
            <w:r>
              <w:rPr>
                <w:i/>
                <w:color w:val="000000" w:themeColor="text1"/>
                <w:vertAlign w:val="subscript"/>
                <w14:textFill>
                  <w14:solidFill>
                    <w14:schemeClr w14:val="tx1"/>
                  </w14:solidFill>
                </w14:textFill>
              </w:rPr>
              <w:t>P</w:t>
            </w:r>
            <w:r>
              <w:rPr>
                <w:i/>
                <w:color w:val="000000" w:themeColor="text1"/>
                <w14:textFill>
                  <w14:solidFill>
                    <w14:schemeClr w14:val="tx1"/>
                  </w14:solidFill>
                </w14:textFill>
              </w:rPr>
              <w:t>（ro）</w:t>
            </w:r>
            <w:r>
              <w:rPr>
                <w:color w:val="000000" w:themeColor="text1"/>
                <w14:textFill>
                  <w14:solidFill>
                    <w14:schemeClr w14:val="tx1"/>
                  </w14:solidFill>
                </w14:textFill>
              </w:rPr>
              <w:t>-（</w:t>
            </w:r>
            <w:r>
              <w:rPr>
                <w:i/>
                <w:color w:val="000000" w:themeColor="text1"/>
                <w14:textFill>
                  <w14:solidFill>
                    <w14:schemeClr w14:val="tx1"/>
                  </w14:solidFill>
                </w14:textFill>
              </w:rPr>
              <w:t>A</w:t>
            </w:r>
            <w:r>
              <w:rPr>
                <w:i/>
                <w:color w:val="000000" w:themeColor="text1"/>
                <w:vertAlign w:val="subscript"/>
                <w14:textFill>
                  <w14:solidFill>
                    <w14:schemeClr w14:val="tx1"/>
                  </w14:solidFill>
                </w14:textFill>
              </w:rPr>
              <w:t>div</w:t>
            </w:r>
            <w:r>
              <w:rPr>
                <w:color w:val="000000" w:themeColor="text1"/>
                <w14:textFill>
                  <w14:solidFill>
                    <w14:schemeClr w14:val="tx1"/>
                  </w14:solidFill>
                </w14:textFill>
              </w:rPr>
              <w:t>+</w:t>
            </w:r>
            <w:r>
              <w:rPr>
                <w:i/>
                <w:color w:val="000000" w:themeColor="text1"/>
                <w14:textFill>
                  <w14:solidFill>
                    <w14:schemeClr w14:val="tx1"/>
                  </w14:solidFill>
                </w14:textFill>
              </w:rPr>
              <w:t>A</w:t>
            </w:r>
            <w:r>
              <w:rPr>
                <w:i/>
                <w:color w:val="000000" w:themeColor="text1"/>
                <w:vertAlign w:val="subscript"/>
                <w14:textFill>
                  <w14:solidFill>
                    <w14:schemeClr w14:val="tx1"/>
                  </w14:solidFill>
                </w14:textFill>
              </w:rPr>
              <w:t>atm</w:t>
            </w:r>
            <w:r>
              <w:rPr>
                <w:color w:val="000000" w:themeColor="text1"/>
                <w14:textFill>
                  <w14:solidFill>
                    <w14:schemeClr w14:val="tx1"/>
                  </w14:solidFill>
                </w14:textFill>
              </w:rPr>
              <w:t>+</w:t>
            </w:r>
            <w:r>
              <w:rPr>
                <w:i/>
                <w:color w:val="000000" w:themeColor="text1"/>
                <w14:textFill>
                  <w14:solidFill>
                    <w14:schemeClr w14:val="tx1"/>
                  </w14:solidFill>
                </w14:textFill>
              </w:rPr>
              <w:t>A</w:t>
            </w:r>
            <w:r>
              <w:rPr>
                <w:i/>
                <w:color w:val="000000" w:themeColor="text1"/>
                <w:vertAlign w:val="subscript"/>
                <w14:textFill>
                  <w14:solidFill>
                    <w14:schemeClr w14:val="tx1"/>
                  </w14:solidFill>
                </w14:textFill>
              </w:rPr>
              <w:t>bar</w:t>
            </w:r>
            <w:r>
              <w:rPr>
                <w:color w:val="000000" w:themeColor="text1"/>
                <w14:textFill>
                  <w14:solidFill>
                    <w14:schemeClr w14:val="tx1"/>
                  </w14:solidFill>
                </w14:textFill>
              </w:rPr>
              <w:t>+</w:t>
            </w:r>
            <w:r>
              <w:rPr>
                <w:i/>
                <w:color w:val="000000" w:themeColor="text1"/>
                <w14:textFill>
                  <w14:solidFill>
                    <w14:schemeClr w14:val="tx1"/>
                  </w14:solidFill>
                </w14:textFill>
              </w:rPr>
              <w:t>A</w:t>
            </w:r>
            <w:r>
              <w:rPr>
                <w:i/>
                <w:color w:val="000000" w:themeColor="text1"/>
                <w:vertAlign w:val="subscript"/>
                <w14:textFill>
                  <w14:solidFill>
                    <w14:schemeClr w14:val="tx1"/>
                  </w14:solidFill>
                </w14:textFill>
              </w:rPr>
              <w:t>gr</w:t>
            </w:r>
            <w:r>
              <w:rPr>
                <w:color w:val="000000" w:themeColor="text1"/>
                <w14:textFill>
                  <w14:solidFill>
                    <w14:schemeClr w14:val="tx1"/>
                  </w14:solidFill>
                </w14:textFill>
              </w:rPr>
              <w:t>+</w:t>
            </w:r>
            <w:r>
              <w:rPr>
                <w:i/>
                <w:color w:val="000000" w:themeColor="text1"/>
                <w14:textFill>
                  <w14:solidFill>
                    <w14:schemeClr w14:val="tx1"/>
                  </w14:solidFill>
                </w14:textFill>
              </w:rPr>
              <w:t>A</w:t>
            </w:r>
            <w:r>
              <w:rPr>
                <w:i/>
                <w:color w:val="000000" w:themeColor="text1"/>
                <w:vertAlign w:val="subscript"/>
                <w14:textFill>
                  <w14:solidFill>
                    <w14:schemeClr w14:val="tx1"/>
                  </w14:solidFill>
                </w14:textFill>
              </w:rPr>
              <w:t>misc</w:t>
            </w:r>
            <w:r>
              <w:rPr>
                <w:color w:val="000000" w:themeColor="text1"/>
                <w14:textFill>
                  <w14:solidFill>
                    <w14:schemeClr w14:val="tx1"/>
                  </w14:solidFill>
                </w14:textFill>
              </w:rPr>
              <w:t>）</w:t>
            </w:r>
          </w:p>
          <w:p w14:paraId="5043ADC7">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式中：</w:t>
            </w:r>
            <w:r>
              <w:rPr>
                <w:i/>
                <w:color w:val="000000" w:themeColor="text1"/>
                <w14:textFill>
                  <w14:solidFill>
                    <w14:schemeClr w14:val="tx1"/>
                  </w14:solidFill>
                </w14:textFill>
              </w:rPr>
              <w:t>L</w:t>
            </w:r>
            <w:r>
              <w:rPr>
                <w:i/>
                <w:color w:val="000000" w:themeColor="text1"/>
                <w:vertAlign w:val="subscript"/>
                <w14:textFill>
                  <w14:solidFill>
                    <w14:schemeClr w14:val="tx1"/>
                  </w14:solidFill>
                </w14:textFill>
              </w:rPr>
              <w:t>P</w:t>
            </w:r>
            <w:r>
              <w:rPr>
                <w:i/>
                <w:color w:val="000000" w:themeColor="text1"/>
                <w14:textFill>
                  <w14:solidFill>
                    <w14:schemeClr w14:val="tx1"/>
                  </w14:solidFill>
                </w14:textFill>
              </w:rPr>
              <w:t>（r）</w:t>
            </w:r>
            <w:r>
              <w:rPr>
                <w:color w:val="000000" w:themeColor="text1"/>
                <w14:textFill>
                  <w14:solidFill>
                    <w14:schemeClr w14:val="tx1"/>
                  </w14:solidFill>
                </w14:textFill>
              </w:rPr>
              <w:t>——距声源r处的倍频带声压级，dB；</w:t>
            </w:r>
          </w:p>
          <w:p w14:paraId="57422809">
            <w:pPr>
              <w:adjustRightInd w:val="0"/>
              <w:snapToGrid w:val="0"/>
              <w:spacing w:line="360" w:lineRule="auto"/>
              <w:ind w:firstLine="1200" w:firstLineChars="500"/>
              <w:rPr>
                <w:color w:val="000000" w:themeColor="text1"/>
                <w14:textFill>
                  <w14:solidFill>
                    <w14:schemeClr w14:val="tx1"/>
                  </w14:solidFill>
                </w14:textFill>
              </w:rPr>
            </w:pPr>
            <w:r>
              <w:rPr>
                <w:i/>
                <w:color w:val="000000" w:themeColor="text1"/>
                <w14:textFill>
                  <w14:solidFill>
                    <w14:schemeClr w14:val="tx1"/>
                  </w14:solidFill>
                </w14:textFill>
              </w:rPr>
              <w:t>L</w:t>
            </w:r>
            <w:r>
              <w:rPr>
                <w:i/>
                <w:color w:val="000000" w:themeColor="text1"/>
                <w:vertAlign w:val="subscript"/>
                <w14:textFill>
                  <w14:solidFill>
                    <w14:schemeClr w14:val="tx1"/>
                  </w14:solidFill>
                </w14:textFill>
              </w:rPr>
              <w:t>P</w:t>
            </w:r>
            <w:r>
              <w:rPr>
                <w:i/>
                <w:color w:val="000000" w:themeColor="text1"/>
                <w14:textFill>
                  <w14:solidFill>
                    <w14:schemeClr w14:val="tx1"/>
                  </w14:solidFill>
                </w14:textFill>
              </w:rPr>
              <w:t>（ro）</w:t>
            </w:r>
            <w:r>
              <w:rPr>
                <w:color w:val="000000" w:themeColor="text1"/>
                <w14:textFill>
                  <w14:solidFill>
                    <w14:schemeClr w14:val="tx1"/>
                  </w14:solidFill>
                </w14:textFill>
              </w:rPr>
              <w:t>——参考位置ro处的倍频带声压级，dB；</w:t>
            </w:r>
          </w:p>
          <w:p w14:paraId="39BACB97">
            <w:pPr>
              <w:adjustRightInd w:val="0"/>
              <w:snapToGrid w:val="0"/>
              <w:spacing w:line="360" w:lineRule="auto"/>
              <w:ind w:firstLine="1200" w:firstLineChars="500"/>
              <w:rPr>
                <w:color w:val="000000" w:themeColor="text1"/>
                <w14:textFill>
                  <w14:solidFill>
                    <w14:schemeClr w14:val="tx1"/>
                  </w14:solidFill>
                </w14:textFill>
              </w:rPr>
            </w:pPr>
            <w:r>
              <w:rPr>
                <w:i/>
                <w:color w:val="000000" w:themeColor="text1"/>
                <w14:textFill>
                  <w14:solidFill>
                    <w14:schemeClr w14:val="tx1"/>
                  </w14:solidFill>
                </w14:textFill>
              </w:rPr>
              <w:t>A</w:t>
            </w:r>
            <w:r>
              <w:rPr>
                <w:i/>
                <w:color w:val="000000" w:themeColor="text1"/>
                <w:vertAlign w:val="subscript"/>
                <w14:textFill>
                  <w14:solidFill>
                    <w14:schemeClr w14:val="tx1"/>
                  </w14:solidFill>
                </w14:textFill>
              </w:rPr>
              <w:t>div</w:t>
            </w:r>
            <w:r>
              <w:rPr>
                <w:color w:val="000000" w:themeColor="text1"/>
                <w14:textFill>
                  <w14:solidFill>
                    <w14:schemeClr w14:val="tx1"/>
                  </w14:solidFill>
                </w14:textFill>
              </w:rPr>
              <w:t>——几何发散引起的倍频带衰减量，dB；</w:t>
            </w:r>
          </w:p>
          <w:p w14:paraId="08C6D9AE">
            <w:pPr>
              <w:adjustRightInd w:val="0"/>
              <w:snapToGrid w:val="0"/>
              <w:spacing w:line="360" w:lineRule="auto"/>
              <w:ind w:firstLine="1200" w:firstLineChars="500"/>
              <w:rPr>
                <w:color w:val="000000" w:themeColor="text1"/>
                <w14:textFill>
                  <w14:solidFill>
                    <w14:schemeClr w14:val="tx1"/>
                  </w14:solidFill>
                </w14:textFill>
              </w:rPr>
            </w:pPr>
            <w:r>
              <w:rPr>
                <w:i/>
                <w:color w:val="000000" w:themeColor="text1"/>
                <w14:textFill>
                  <w14:solidFill>
                    <w14:schemeClr w14:val="tx1"/>
                  </w14:solidFill>
                </w14:textFill>
              </w:rPr>
              <w:t>A</w:t>
            </w:r>
            <w:r>
              <w:rPr>
                <w:i/>
                <w:color w:val="000000" w:themeColor="text1"/>
                <w:vertAlign w:val="subscript"/>
                <w14:textFill>
                  <w14:solidFill>
                    <w14:schemeClr w14:val="tx1"/>
                  </w14:solidFill>
                </w14:textFill>
              </w:rPr>
              <w:t>atm</w:t>
            </w:r>
            <w:r>
              <w:rPr>
                <w:color w:val="000000" w:themeColor="text1"/>
                <w14:textFill>
                  <w14:solidFill>
                    <w14:schemeClr w14:val="tx1"/>
                  </w14:solidFill>
                </w14:textFill>
              </w:rPr>
              <w:t>——大气吸收引起的倍频带衰减量，dB；</w:t>
            </w:r>
          </w:p>
          <w:p w14:paraId="22FBF698">
            <w:pPr>
              <w:adjustRightInd w:val="0"/>
              <w:snapToGrid w:val="0"/>
              <w:spacing w:line="360" w:lineRule="auto"/>
              <w:ind w:firstLine="1200" w:firstLineChars="500"/>
              <w:rPr>
                <w:color w:val="000000" w:themeColor="text1"/>
                <w14:textFill>
                  <w14:solidFill>
                    <w14:schemeClr w14:val="tx1"/>
                  </w14:solidFill>
                </w14:textFill>
              </w:rPr>
            </w:pPr>
            <w:r>
              <w:rPr>
                <w:i/>
                <w:color w:val="000000" w:themeColor="text1"/>
                <w14:textFill>
                  <w14:solidFill>
                    <w14:schemeClr w14:val="tx1"/>
                  </w14:solidFill>
                </w14:textFill>
              </w:rPr>
              <w:t>A</w:t>
            </w:r>
            <w:r>
              <w:rPr>
                <w:i/>
                <w:color w:val="000000" w:themeColor="text1"/>
                <w:vertAlign w:val="subscript"/>
                <w14:textFill>
                  <w14:solidFill>
                    <w14:schemeClr w14:val="tx1"/>
                  </w14:solidFill>
                </w14:textFill>
              </w:rPr>
              <w:t>bar</w:t>
            </w:r>
            <w:r>
              <w:rPr>
                <w:color w:val="000000" w:themeColor="text1"/>
                <w14:textFill>
                  <w14:solidFill>
                    <w14:schemeClr w14:val="tx1"/>
                  </w14:solidFill>
                </w14:textFill>
              </w:rPr>
              <w:t>——声屏障引起的倍频带衰减量，dB；</w:t>
            </w:r>
          </w:p>
          <w:p w14:paraId="73D790DD">
            <w:pPr>
              <w:adjustRightInd w:val="0"/>
              <w:snapToGrid w:val="0"/>
              <w:spacing w:line="360" w:lineRule="auto"/>
              <w:ind w:firstLine="1200" w:firstLineChars="500"/>
              <w:rPr>
                <w:color w:val="000000" w:themeColor="text1"/>
                <w14:textFill>
                  <w14:solidFill>
                    <w14:schemeClr w14:val="tx1"/>
                  </w14:solidFill>
                </w14:textFill>
              </w:rPr>
            </w:pPr>
            <w:r>
              <w:rPr>
                <w:i/>
                <w:color w:val="000000" w:themeColor="text1"/>
                <w14:textFill>
                  <w14:solidFill>
                    <w14:schemeClr w14:val="tx1"/>
                  </w14:solidFill>
                </w14:textFill>
              </w:rPr>
              <w:t>A</w:t>
            </w:r>
            <w:r>
              <w:rPr>
                <w:i/>
                <w:color w:val="000000" w:themeColor="text1"/>
                <w:vertAlign w:val="subscript"/>
                <w14:textFill>
                  <w14:solidFill>
                    <w14:schemeClr w14:val="tx1"/>
                  </w14:solidFill>
                </w14:textFill>
              </w:rPr>
              <w:t>gr</w:t>
            </w:r>
            <w:r>
              <w:rPr>
                <w:color w:val="000000" w:themeColor="text1"/>
                <w14:textFill>
                  <w14:solidFill>
                    <w14:schemeClr w14:val="tx1"/>
                  </w14:solidFill>
                </w14:textFill>
              </w:rPr>
              <w:t>——地面效应引起的倍频带衰减量，dB；</w:t>
            </w:r>
          </w:p>
          <w:p w14:paraId="497DCE4A">
            <w:pPr>
              <w:adjustRightInd w:val="0"/>
              <w:snapToGrid w:val="0"/>
              <w:spacing w:line="360" w:lineRule="auto"/>
              <w:ind w:firstLine="1200" w:firstLineChars="500"/>
              <w:rPr>
                <w:color w:val="000000" w:themeColor="text1"/>
                <w14:textFill>
                  <w14:solidFill>
                    <w14:schemeClr w14:val="tx1"/>
                  </w14:solidFill>
                </w14:textFill>
              </w:rPr>
            </w:pPr>
            <w:r>
              <w:rPr>
                <w:i/>
                <w:color w:val="000000" w:themeColor="text1"/>
                <w14:textFill>
                  <w14:solidFill>
                    <w14:schemeClr w14:val="tx1"/>
                  </w14:solidFill>
                </w14:textFill>
              </w:rPr>
              <w:t>A</w:t>
            </w:r>
            <w:r>
              <w:rPr>
                <w:i/>
                <w:color w:val="000000" w:themeColor="text1"/>
                <w:vertAlign w:val="subscript"/>
                <w14:textFill>
                  <w14:solidFill>
                    <w14:schemeClr w14:val="tx1"/>
                  </w14:solidFill>
                </w14:textFill>
              </w:rPr>
              <w:t>misc</w:t>
            </w:r>
            <w:r>
              <w:rPr>
                <w:color w:val="000000" w:themeColor="text1"/>
                <w14:textFill>
                  <w14:solidFill>
                    <w14:schemeClr w14:val="tx1"/>
                  </w14:solidFill>
                </w14:textFill>
              </w:rPr>
              <w:t>——其他多方面效应引起的倍频带衰减量，dB；</w:t>
            </w:r>
          </w:p>
          <w:p w14:paraId="74C425C3">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④室内声源等效室外声源后声压级</w:t>
            </w:r>
          </w:p>
          <w:p w14:paraId="60F2DB9A">
            <w:pPr>
              <w:adjustRightInd w:val="0"/>
              <w:snapToGrid w:val="0"/>
              <w:spacing w:line="360" w:lineRule="auto"/>
              <w:ind w:firstLine="480" w:firstLineChars="200"/>
              <w:jc w:val="center"/>
              <w:rPr>
                <w:color w:val="000000" w:themeColor="text1"/>
                <w14:textFill>
                  <w14:solidFill>
                    <w14:schemeClr w14:val="tx1"/>
                  </w14:solidFill>
                </w14:textFill>
              </w:rPr>
            </w:pPr>
            <w:r>
              <w:rPr>
                <w:i/>
                <w:color w:val="000000" w:themeColor="text1"/>
                <w14:textFill>
                  <w14:solidFill>
                    <w14:schemeClr w14:val="tx1"/>
                  </w14:solidFill>
                </w14:textFill>
              </w:rPr>
              <w:t>L</w:t>
            </w:r>
            <w:r>
              <w:rPr>
                <w:i/>
                <w:color w:val="000000" w:themeColor="text1"/>
                <w:vertAlign w:val="subscript"/>
                <w14:textFill>
                  <w14:solidFill>
                    <w14:schemeClr w14:val="tx1"/>
                  </w14:solidFill>
                </w14:textFill>
              </w:rPr>
              <w:t>p2i</w:t>
            </w:r>
            <w:r>
              <w:rPr>
                <w:color w:val="000000" w:themeColor="text1"/>
                <w14:textFill>
                  <w14:solidFill>
                    <w14:schemeClr w14:val="tx1"/>
                  </w14:solidFill>
                </w14:textFill>
              </w:rPr>
              <w:t>=</w:t>
            </w:r>
            <w:r>
              <w:rPr>
                <w:i/>
                <w:color w:val="000000" w:themeColor="text1"/>
                <w14:textFill>
                  <w14:solidFill>
                    <w14:schemeClr w14:val="tx1"/>
                  </w14:solidFill>
                </w14:textFill>
              </w:rPr>
              <w:t>L</w:t>
            </w:r>
            <w:r>
              <w:rPr>
                <w:i/>
                <w:color w:val="000000" w:themeColor="text1"/>
                <w:vertAlign w:val="subscript"/>
                <w14:textFill>
                  <w14:solidFill>
                    <w14:schemeClr w14:val="tx1"/>
                  </w14:solidFill>
                </w14:textFill>
              </w:rPr>
              <w:t>p1i</w:t>
            </w:r>
            <w:r>
              <w:rPr>
                <w:color w:val="000000" w:themeColor="text1"/>
                <w14:textFill>
                  <w14:solidFill>
                    <w14:schemeClr w14:val="tx1"/>
                  </w14:solidFill>
                </w14:textFill>
              </w:rPr>
              <w:t>-(</w:t>
            </w:r>
            <w:r>
              <w:rPr>
                <w:i/>
                <w:color w:val="000000" w:themeColor="text1"/>
                <w14:textFill>
                  <w14:solidFill>
                    <w14:schemeClr w14:val="tx1"/>
                  </w14:solidFill>
                </w14:textFill>
              </w:rPr>
              <w:t>TL</w:t>
            </w:r>
            <w:r>
              <w:rPr>
                <w:i/>
                <w:color w:val="000000" w:themeColor="text1"/>
                <w:vertAlign w:val="subscript"/>
                <w14:textFill>
                  <w14:solidFill>
                    <w14:schemeClr w14:val="tx1"/>
                  </w14:solidFill>
                </w14:textFill>
              </w:rPr>
              <w:t>i</w:t>
            </w:r>
            <w:r>
              <w:rPr>
                <w:color w:val="000000" w:themeColor="text1"/>
                <w14:textFill>
                  <w14:solidFill>
                    <w14:schemeClr w14:val="tx1"/>
                  </w14:solidFill>
                </w14:textFill>
              </w:rPr>
              <w:t>+6)</w:t>
            </w:r>
          </w:p>
          <w:p w14:paraId="6E0484DE">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式中：</w:t>
            </w:r>
            <w:r>
              <w:rPr>
                <w:i/>
                <w:color w:val="000000" w:themeColor="text1"/>
                <w14:textFill>
                  <w14:solidFill>
                    <w14:schemeClr w14:val="tx1"/>
                  </w14:solidFill>
                </w14:textFill>
              </w:rPr>
              <w:t>L</w:t>
            </w:r>
            <w:r>
              <w:rPr>
                <w:i/>
                <w:color w:val="000000" w:themeColor="text1"/>
                <w:vertAlign w:val="subscript"/>
                <w14:textFill>
                  <w14:solidFill>
                    <w14:schemeClr w14:val="tx1"/>
                  </w14:solidFill>
                </w14:textFill>
              </w:rPr>
              <w:t>p2i</w:t>
            </w:r>
            <w:r>
              <w:rPr>
                <w:color w:val="000000" w:themeColor="text1"/>
                <w14:textFill>
                  <w14:solidFill>
                    <w14:schemeClr w14:val="tx1"/>
                  </w14:solidFill>
                </w14:textFill>
              </w:rPr>
              <w:t>—室外i倍频带的声压级，dB；</w:t>
            </w:r>
          </w:p>
          <w:p w14:paraId="3F710FFF">
            <w:pPr>
              <w:adjustRightInd w:val="0"/>
              <w:snapToGrid w:val="0"/>
              <w:spacing w:line="360" w:lineRule="auto"/>
              <w:ind w:firstLine="1200" w:firstLineChars="500"/>
              <w:rPr>
                <w:color w:val="000000" w:themeColor="text1"/>
                <w14:textFill>
                  <w14:solidFill>
                    <w14:schemeClr w14:val="tx1"/>
                  </w14:solidFill>
                </w14:textFill>
              </w:rPr>
            </w:pPr>
            <w:r>
              <w:rPr>
                <w:i/>
                <w:color w:val="000000" w:themeColor="text1"/>
                <w14:textFill>
                  <w14:solidFill>
                    <w14:schemeClr w14:val="tx1"/>
                  </w14:solidFill>
                </w14:textFill>
              </w:rPr>
              <w:t>L</w:t>
            </w:r>
            <w:r>
              <w:rPr>
                <w:i/>
                <w:color w:val="000000" w:themeColor="text1"/>
                <w:vertAlign w:val="subscript"/>
                <w14:textFill>
                  <w14:solidFill>
                    <w14:schemeClr w14:val="tx1"/>
                  </w14:solidFill>
                </w14:textFill>
              </w:rPr>
              <w:t>p1i</w:t>
            </w:r>
            <w:r>
              <w:rPr>
                <w:color w:val="000000" w:themeColor="text1"/>
                <w14:textFill>
                  <w14:solidFill>
                    <w14:schemeClr w14:val="tx1"/>
                  </w14:solidFill>
                </w14:textFill>
              </w:rPr>
              <w:t>—室内i倍频带的声压级，dB；</w:t>
            </w:r>
          </w:p>
          <w:p w14:paraId="439CB3E8">
            <w:pPr>
              <w:adjustRightInd w:val="0"/>
              <w:snapToGrid w:val="0"/>
              <w:spacing w:line="360" w:lineRule="auto"/>
              <w:ind w:firstLine="1200" w:firstLineChars="500"/>
              <w:rPr>
                <w:color w:val="000000" w:themeColor="text1"/>
                <w14:textFill>
                  <w14:solidFill>
                    <w14:schemeClr w14:val="tx1"/>
                  </w14:solidFill>
                </w14:textFill>
              </w:rPr>
            </w:pPr>
            <w:r>
              <w:rPr>
                <w:i/>
                <w:color w:val="000000" w:themeColor="text1"/>
                <w14:textFill>
                  <w14:solidFill>
                    <w14:schemeClr w14:val="tx1"/>
                  </w14:solidFill>
                </w14:textFill>
              </w:rPr>
              <w:t>TL</w:t>
            </w:r>
            <w:r>
              <w:rPr>
                <w:i/>
                <w:color w:val="000000" w:themeColor="text1"/>
                <w:vertAlign w:val="subscript"/>
                <w14:textFill>
                  <w14:solidFill>
                    <w14:schemeClr w14:val="tx1"/>
                  </w14:solidFill>
                </w14:textFill>
              </w:rPr>
              <w:t>i</w:t>
            </w:r>
            <w:r>
              <w:rPr>
                <w:color w:val="000000" w:themeColor="text1"/>
                <w14:textFill>
                  <w14:solidFill>
                    <w14:schemeClr w14:val="tx1"/>
                  </w14:solidFill>
                </w14:textFill>
              </w:rPr>
              <w:t>—围护结构i倍频带的隔声量，dB。</w:t>
            </w:r>
          </w:p>
          <w:p w14:paraId="62EF36B7">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（3）参数确定</w:t>
            </w:r>
          </w:p>
          <w:p w14:paraId="73237D22">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①声波几何发散引起的A声级衰减量A</w:t>
            </w:r>
            <w:r>
              <w:rPr>
                <w:color w:val="000000" w:themeColor="text1"/>
                <w:vertAlign w:val="subscript"/>
                <w14:textFill>
                  <w14:solidFill>
                    <w14:schemeClr w14:val="tx1"/>
                  </w14:solidFill>
                </w14:textFill>
              </w:rPr>
              <w:t>div</w:t>
            </w:r>
            <w:r>
              <w:rPr>
                <w:color w:val="000000" w:themeColor="text1"/>
                <w14:textFill>
                  <w14:solidFill>
                    <w14:schemeClr w14:val="tx1"/>
                  </w14:solidFill>
                </w14:textFill>
              </w:rPr>
              <w:t>点声源</w:t>
            </w:r>
          </w:p>
          <w:p w14:paraId="550A4ED2">
            <w:pPr>
              <w:adjustRightInd w:val="0"/>
              <w:snapToGrid w:val="0"/>
              <w:spacing w:line="360" w:lineRule="auto"/>
              <w:ind w:firstLine="480" w:firstLineChars="20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104900" cy="228600"/>
                  <wp:effectExtent l="0" t="0" r="0" b="0"/>
                  <wp:docPr id="433" name="图片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4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104900" cy="228600"/>
                          </a:xfrm>
                          <a:prstGeom prst="rect">
                            <a:avLst/>
                          </a:prstGeom>
                          <a:noFill/>
                          <a:ln>
                            <a:noFill/>
                          </a:ln>
                        </pic:spPr>
                      </pic:pic>
                    </a:graphicData>
                  </a:graphic>
                </wp:inline>
              </w:drawing>
            </w:r>
          </w:p>
          <w:p w14:paraId="3A8C12B6">
            <w:pPr>
              <w:adjustRightInd w:val="0"/>
              <w:snapToGrid w:val="0"/>
              <w:spacing w:line="360" w:lineRule="auto"/>
              <w:ind w:firstLine="480" w:firstLineChars="200"/>
              <w:rPr>
                <w:color w:val="000000" w:themeColor="text1"/>
                <w:vertAlign w:val="subscript"/>
                <w14:textFill>
                  <w14:solidFill>
                    <w14:schemeClr w14:val="tx1"/>
                  </w14:solidFill>
                </w14:textFill>
              </w:rPr>
            </w:pPr>
            <w:r>
              <w:rPr>
                <w:color w:val="000000" w:themeColor="text1"/>
                <w14:textFill>
                  <w14:solidFill>
                    <w14:schemeClr w14:val="tx1"/>
                  </w14:solidFill>
                </w14:textFill>
              </w:rPr>
              <w:t>②空气吸收衰减量A</w:t>
            </w:r>
            <w:r>
              <w:rPr>
                <w:color w:val="000000" w:themeColor="text1"/>
                <w:vertAlign w:val="subscript"/>
                <w14:textFill>
                  <w14:solidFill>
                    <w14:schemeClr w14:val="tx1"/>
                  </w14:solidFill>
                </w14:textFill>
              </w:rPr>
              <w:t>atm</w:t>
            </w:r>
          </w:p>
          <w:p w14:paraId="310FA594">
            <w:pPr>
              <w:adjustRightInd w:val="0"/>
              <w:snapToGrid w:val="0"/>
              <w:spacing w:line="360" w:lineRule="auto"/>
              <w:ind w:firstLine="480" w:firstLineChars="20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000125" cy="390525"/>
                  <wp:effectExtent l="0" t="0" r="0" b="8890"/>
                  <wp:docPr id="432" name="图片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4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000125" cy="390525"/>
                          </a:xfrm>
                          <a:prstGeom prst="rect">
                            <a:avLst/>
                          </a:prstGeom>
                          <a:noFill/>
                          <a:ln>
                            <a:noFill/>
                          </a:ln>
                        </pic:spPr>
                      </pic:pic>
                    </a:graphicData>
                  </a:graphic>
                </wp:inline>
              </w:drawing>
            </w:r>
          </w:p>
          <w:p w14:paraId="0BD741EF">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式中：</w:t>
            </w:r>
            <w:r>
              <w:rPr>
                <w:color w:val="000000" w:themeColor="text1"/>
                <w14:textFill>
                  <w14:solidFill>
                    <w14:schemeClr w14:val="tx1"/>
                  </w14:solidFill>
                </w14:textFill>
              </w:rPr>
              <w:drawing>
                <wp:inline distT="0" distB="0" distL="0" distR="0">
                  <wp:extent cx="114300" cy="123825"/>
                  <wp:effectExtent l="0" t="0" r="0" b="5715"/>
                  <wp:docPr id="431" name="图片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4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14300" cy="123825"/>
                          </a:xfrm>
                          <a:prstGeom prst="rect">
                            <a:avLst/>
                          </a:prstGeom>
                          <a:noFill/>
                          <a:ln>
                            <a:noFill/>
                          </a:ln>
                        </pic:spPr>
                      </pic:pic>
                    </a:graphicData>
                  </a:graphic>
                </wp:inline>
              </w:drawing>
            </w:r>
            <w:r>
              <w:rPr>
                <w:color w:val="000000" w:themeColor="text1"/>
                <w14:textFill>
                  <w14:solidFill>
                    <w14:schemeClr w14:val="tx1"/>
                  </w14:solidFill>
                </w14:textFill>
              </w:rPr>
              <w:t>—为预测点距声源的距离（m）；</w:t>
            </w:r>
          </w:p>
          <w:p w14:paraId="68463349">
            <w:pPr>
              <w:adjustRightInd w:val="0"/>
              <w:snapToGrid w:val="0"/>
              <w:spacing w:line="360" w:lineRule="auto"/>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r</w:t>
            </w:r>
            <w:r>
              <w:rPr>
                <w:color w:val="000000" w:themeColor="text1"/>
                <w:vertAlign w:val="subscript"/>
                <w14:textFill>
                  <w14:solidFill>
                    <w14:schemeClr w14:val="tx1"/>
                  </w14:solidFill>
                </w14:textFill>
              </w:rPr>
              <w:t>0</w:t>
            </w:r>
            <w:r>
              <w:rPr>
                <w:color w:val="000000" w:themeColor="text1"/>
                <w14:textFill>
                  <w14:solidFill>
                    <w14:schemeClr w14:val="tx1"/>
                  </w14:solidFill>
                </w14:textFill>
              </w:rPr>
              <w:t>—为参考位置距离（m）；</w:t>
            </w:r>
          </w:p>
          <w:p w14:paraId="374ADFDD">
            <w:pPr>
              <w:adjustRightInd w:val="0"/>
              <w:snapToGrid w:val="0"/>
              <w:spacing w:line="360" w:lineRule="auto"/>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52400" cy="142875"/>
                  <wp:effectExtent l="0" t="0" r="0" b="6985"/>
                  <wp:docPr id="430" name="图片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4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52400" cy="142875"/>
                          </a:xfrm>
                          <a:prstGeom prst="rect">
                            <a:avLst/>
                          </a:prstGeom>
                          <a:noFill/>
                          <a:ln>
                            <a:noFill/>
                          </a:ln>
                        </pic:spPr>
                      </pic:pic>
                    </a:graphicData>
                  </a:graphic>
                </wp:inline>
              </w:drawing>
            </w:r>
            <w:r>
              <w:rPr>
                <w:color w:val="000000" w:themeColor="text1"/>
                <w14:textFill>
                  <w14:solidFill>
                    <w14:schemeClr w14:val="tx1"/>
                  </w14:solidFill>
                </w14:textFill>
              </w:rPr>
              <w:t>—为每1000 m空气吸收系数（dB(A)）。</w:t>
            </w:r>
          </w:p>
          <w:p w14:paraId="3CED50A9">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③遮挡物引起的衰减量A</w:t>
            </w:r>
            <w:r>
              <w:rPr>
                <w:color w:val="000000" w:themeColor="text1"/>
                <w:vertAlign w:val="subscript"/>
                <w14:textFill>
                  <w14:solidFill>
                    <w14:schemeClr w14:val="tx1"/>
                  </w14:solidFill>
                </w14:textFill>
              </w:rPr>
              <w:t>bar</w:t>
            </w:r>
          </w:p>
          <w:p w14:paraId="60783A17">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噪声在向外传播过程中将受到厂房或其它车间的阻挡影响，从而引起声能量的较大衰减，具体衰减根据不同声级的传播途径而定，一般取10～20dB(A)。</w:t>
            </w:r>
          </w:p>
          <w:p w14:paraId="708FDCC6">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结合拟建项目的厂区平面布置和噪声源分布情况，本次评价不再考虑地面效应引起的倍频带衰减A</w:t>
            </w:r>
            <w:r>
              <w:rPr>
                <w:color w:val="000000" w:themeColor="text1"/>
                <w:vertAlign w:val="subscript"/>
                <w14:textFill>
                  <w14:solidFill>
                    <w14:schemeClr w14:val="tx1"/>
                  </w14:solidFill>
                </w14:textFill>
              </w:rPr>
              <w:t>gr</w:t>
            </w:r>
            <w:r>
              <w:rPr>
                <w:color w:val="000000" w:themeColor="text1"/>
                <w14:textFill>
                  <w14:solidFill>
                    <w14:schemeClr w14:val="tx1"/>
                  </w14:solidFill>
                </w14:textFill>
              </w:rPr>
              <w:t>和其他多方面效应引起的倍频带衰减A</w:t>
            </w:r>
            <w:r>
              <w:rPr>
                <w:color w:val="000000" w:themeColor="text1"/>
                <w:vertAlign w:val="subscript"/>
                <w14:textFill>
                  <w14:solidFill>
                    <w14:schemeClr w14:val="tx1"/>
                  </w14:solidFill>
                </w14:textFill>
              </w:rPr>
              <w:t>misc</w:t>
            </w:r>
            <w:r>
              <w:rPr>
                <w:color w:val="000000" w:themeColor="text1"/>
                <w14:textFill>
                  <w14:solidFill>
                    <w14:schemeClr w14:val="tx1"/>
                  </w14:solidFill>
                </w14:textFill>
              </w:rPr>
              <w:t>。</w:t>
            </w:r>
          </w:p>
          <w:p w14:paraId="2739AECC">
            <w:pPr>
              <w:adjustRightInd w:val="0"/>
              <w:snapToGrid w:val="0"/>
              <w:spacing w:line="360" w:lineRule="auto"/>
              <w:ind w:firstLine="420"/>
            </w:pPr>
            <w:r>
              <w:t>预测及评价结果见表4-</w:t>
            </w:r>
            <w:r>
              <w:rPr>
                <w:rFonts w:hint="eastAsia"/>
                <w:lang w:val="en-US" w:eastAsia="zh-CN"/>
              </w:rPr>
              <w:t>14</w:t>
            </w:r>
            <w:r>
              <w:t>。</w:t>
            </w:r>
          </w:p>
          <w:p w14:paraId="6640E274">
            <w:pPr>
              <w:spacing w:line="360" w:lineRule="auto"/>
              <w:jc w:val="center"/>
              <w:rPr>
                <w:b/>
                <w:lang w:val="en-GB"/>
              </w:rPr>
            </w:pPr>
            <w:r>
              <w:rPr>
                <w:b/>
                <w:lang w:val="en-GB"/>
              </w:rPr>
              <w:t>表4-1</w:t>
            </w:r>
            <w:r>
              <w:rPr>
                <w:rFonts w:hint="eastAsia"/>
                <w:b/>
                <w:lang w:val="en-US" w:eastAsia="zh-CN"/>
              </w:rPr>
              <w:t>4</w:t>
            </w:r>
            <w:r>
              <w:rPr>
                <w:b/>
              </w:rPr>
              <w:t xml:space="preserve"> </w:t>
            </w:r>
            <w:r>
              <w:rPr>
                <w:b/>
                <w:lang w:val="en-GB"/>
              </w:rPr>
              <w:t xml:space="preserve"> 项目环境噪声预测结果及评价表   单位：LeqdB（A）</w:t>
            </w:r>
          </w:p>
          <w:tbl>
            <w:tblPr>
              <w:tblStyle w:val="36"/>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54"/>
              <w:gridCol w:w="2541"/>
              <w:gridCol w:w="1604"/>
              <w:gridCol w:w="1846"/>
              <w:gridCol w:w="1853"/>
            </w:tblGrid>
            <w:tr w14:paraId="5167C7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9" w:type="pct"/>
                  <w:tcBorders>
                    <w:tl2br w:val="nil"/>
                    <w:tr2bl w:val="nil"/>
                  </w:tcBorders>
                  <w:vAlign w:val="center"/>
                </w:tcPr>
                <w:p w14:paraId="644551B0">
                  <w:pPr>
                    <w:jc w:val="center"/>
                    <w:rPr>
                      <w:color w:val="auto"/>
                      <w:kern w:val="0"/>
                      <w:sz w:val="21"/>
                      <w:szCs w:val="21"/>
                    </w:rPr>
                  </w:pPr>
                  <w:r>
                    <w:rPr>
                      <w:color w:val="auto"/>
                      <w:kern w:val="0"/>
                      <w:sz w:val="21"/>
                      <w:szCs w:val="21"/>
                    </w:rPr>
                    <w:t>序号</w:t>
                  </w:r>
                </w:p>
              </w:tc>
              <w:tc>
                <w:tcPr>
                  <w:tcW w:w="1396" w:type="pct"/>
                  <w:tcBorders>
                    <w:tl2br w:val="nil"/>
                    <w:tr2bl w:val="nil"/>
                  </w:tcBorders>
                  <w:vAlign w:val="center"/>
                </w:tcPr>
                <w:p w14:paraId="51F02DBE">
                  <w:pPr>
                    <w:jc w:val="center"/>
                    <w:rPr>
                      <w:color w:val="auto"/>
                      <w:kern w:val="0"/>
                      <w:sz w:val="21"/>
                      <w:szCs w:val="21"/>
                    </w:rPr>
                  </w:pPr>
                  <w:r>
                    <w:rPr>
                      <w:color w:val="auto"/>
                      <w:kern w:val="0"/>
                      <w:sz w:val="21"/>
                      <w:szCs w:val="21"/>
                    </w:rPr>
                    <w:t>预测点</w:t>
                  </w:r>
                </w:p>
              </w:tc>
              <w:tc>
                <w:tcPr>
                  <w:tcW w:w="881" w:type="pct"/>
                  <w:tcBorders>
                    <w:tl2br w:val="nil"/>
                    <w:tr2bl w:val="nil"/>
                  </w:tcBorders>
                  <w:vAlign w:val="center"/>
                </w:tcPr>
                <w:p w14:paraId="002F6844">
                  <w:pPr>
                    <w:jc w:val="center"/>
                    <w:rPr>
                      <w:color w:val="auto"/>
                      <w:kern w:val="0"/>
                      <w:sz w:val="21"/>
                      <w:szCs w:val="21"/>
                    </w:rPr>
                  </w:pPr>
                  <w:r>
                    <w:rPr>
                      <w:color w:val="auto"/>
                      <w:kern w:val="0"/>
                      <w:sz w:val="21"/>
                      <w:szCs w:val="21"/>
                    </w:rPr>
                    <w:t>贡献值</w:t>
                  </w:r>
                </w:p>
              </w:tc>
              <w:tc>
                <w:tcPr>
                  <w:tcW w:w="1014" w:type="pct"/>
                  <w:tcBorders>
                    <w:tl2br w:val="nil"/>
                    <w:tr2bl w:val="nil"/>
                  </w:tcBorders>
                  <w:vAlign w:val="center"/>
                </w:tcPr>
                <w:p w14:paraId="4F803F84">
                  <w:pPr>
                    <w:jc w:val="center"/>
                    <w:rPr>
                      <w:color w:val="auto"/>
                      <w:kern w:val="0"/>
                      <w:sz w:val="21"/>
                      <w:szCs w:val="21"/>
                    </w:rPr>
                  </w:pPr>
                  <w:r>
                    <w:rPr>
                      <w:color w:val="auto"/>
                      <w:kern w:val="0"/>
                      <w:sz w:val="21"/>
                      <w:szCs w:val="21"/>
                    </w:rPr>
                    <w:t>标准值</w:t>
                  </w:r>
                </w:p>
              </w:tc>
              <w:tc>
                <w:tcPr>
                  <w:tcW w:w="1018" w:type="pct"/>
                  <w:tcBorders>
                    <w:tl2br w:val="nil"/>
                    <w:tr2bl w:val="nil"/>
                  </w:tcBorders>
                  <w:vAlign w:val="center"/>
                </w:tcPr>
                <w:p w14:paraId="38913A46">
                  <w:pPr>
                    <w:jc w:val="center"/>
                    <w:rPr>
                      <w:color w:val="auto"/>
                      <w:kern w:val="0"/>
                      <w:sz w:val="21"/>
                      <w:szCs w:val="21"/>
                    </w:rPr>
                  </w:pPr>
                  <w:r>
                    <w:rPr>
                      <w:color w:val="auto"/>
                      <w:kern w:val="0"/>
                      <w:sz w:val="21"/>
                      <w:szCs w:val="21"/>
                    </w:rPr>
                    <w:t>是否达标</w:t>
                  </w:r>
                </w:p>
              </w:tc>
            </w:tr>
            <w:tr w14:paraId="0A65A6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9" w:type="pct"/>
                  <w:tcBorders>
                    <w:tl2br w:val="nil"/>
                    <w:tr2bl w:val="nil"/>
                  </w:tcBorders>
                  <w:vAlign w:val="center"/>
                </w:tcPr>
                <w:p w14:paraId="312B91EB">
                  <w:pPr>
                    <w:jc w:val="center"/>
                    <w:rPr>
                      <w:color w:val="auto"/>
                      <w:kern w:val="0"/>
                      <w:sz w:val="21"/>
                      <w:szCs w:val="21"/>
                    </w:rPr>
                  </w:pPr>
                  <w:r>
                    <w:rPr>
                      <w:color w:val="auto"/>
                      <w:kern w:val="0"/>
                      <w:sz w:val="21"/>
                      <w:szCs w:val="21"/>
                    </w:rPr>
                    <w:t>1#</w:t>
                  </w:r>
                </w:p>
              </w:tc>
              <w:tc>
                <w:tcPr>
                  <w:tcW w:w="1396" w:type="pct"/>
                  <w:tcBorders>
                    <w:tl2br w:val="nil"/>
                    <w:tr2bl w:val="nil"/>
                  </w:tcBorders>
                  <w:vAlign w:val="center"/>
                </w:tcPr>
                <w:p w14:paraId="033018B6">
                  <w:pPr>
                    <w:jc w:val="center"/>
                    <w:rPr>
                      <w:color w:val="auto"/>
                      <w:kern w:val="0"/>
                      <w:sz w:val="21"/>
                      <w:szCs w:val="21"/>
                    </w:rPr>
                  </w:pPr>
                  <w:r>
                    <w:rPr>
                      <w:color w:val="auto"/>
                      <w:kern w:val="0"/>
                      <w:sz w:val="21"/>
                      <w:szCs w:val="21"/>
                    </w:rPr>
                    <w:t>项目东侧厂界</w:t>
                  </w:r>
                </w:p>
              </w:tc>
              <w:tc>
                <w:tcPr>
                  <w:tcW w:w="881" w:type="pct"/>
                  <w:tcBorders>
                    <w:tl2br w:val="nil"/>
                    <w:tr2bl w:val="nil"/>
                  </w:tcBorders>
                  <w:vAlign w:val="center"/>
                </w:tcPr>
                <w:p w14:paraId="5D2F3345">
                  <w:pPr>
                    <w:pStyle w:val="14"/>
                    <w:widowControl w:val="0"/>
                    <w:snapToGrid/>
                    <w:spacing w:before="0" w:after="0" w:line="240" w:lineRule="auto"/>
                    <w:ind w:right="0"/>
                    <w:jc w:val="center"/>
                    <w:rPr>
                      <w:rFonts w:hint="default" w:eastAsia="宋体"/>
                      <w:color w:val="auto"/>
                      <w:sz w:val="21"/>
                      <w:szCs w:val="21"/>
                      <w:lang w:val="en-US" w:eastAsia="zh-CN"/>
                    </w:rPr>
                  </w:pPr>
                  <w:r>
                    <w:rPr>
                      <w:rFonts w:hint="eastAsia"/>
                      <w:color w:val="auto"/>
                      <w:sz w:val="21"/>
                      <w:szCs w:val="21"/>
                      <w:lang w:val="en-US" w:eastAsia="zh-CN"/>
                    </w:rPr>
                    <w:t>53.01</w:t>
                  </w:r>
                </w:p>
              </w:tc>
              <w:tc>
                <w:tcPr>
                  <w:tcW w:w="1014" w:type="pct"/>
                  <w:vMerge w:val="restart"/>
                  <w:tcBorders>
                    <w:tl2br w:val="nil"/>
                    <w:tr2bl w:val="nil"/>
                  </w:tcBorders>
                  <w:vAlign w:val="center"/>
                </w:tcPr>
                <w:p w14:paraId="0B2DE64C">
                  <w:pPr>
                    <w:jc w:val="center"/>
                    <w:rPr>
                      <w:rFonts w:hint="default" w:eastAsia="宋体"/>
                      <w:color w:val="auto"/>
                      <w:kern w:val="0"/>
                      <w:sz w:val="21"/>
                      <w:szCs w:val="21"/>
                      <w:lang w:val="en-US" w:eastAsia="zh-CN"/>
                    </w:rPr>
                  </w:pPr>
                  <w:r>
                    <w:rPr>
                      <w:rFonts w:hint="eastAsia"/>
                      <w:color w:val="auto"/>
                      <w:kern w:val="0"/>
                      <w:sz w:val="21"/>
                      <w:szCs w:val="21"/>
                      <w:lang w:eastAsia="zh-CN"/>
                    </w:rPr>
                    <w:t>昼间</w:t>
                  </w:r>
                  <w:r>
                    <w:rPr>
                      <w:rFonts w:hint="eastAsia"/>
                      <w:color w:val="auto"/>
                      <w:kern w:val="0"/>
                      <w:sz w:val="21"/>
                      <w:szCs w:val="21"/>
                      <w:lang w:val="en-US" w:eastAsia="zh-CN"/>
                    </w:rPr>
                    <w:t>65，夜间55</w:t>
                  </w:r>
                </w:p>
              </w:tc>
              <w:tc>
                <w:tcPr>
                  <w:tcW w:w="1018" w:type="pct"/>
                  <w:tcBorders>
                    <w:tl2br w:val="nil"/>
                    <w:tr2bl w:val="nil"/>
                  </w:tcBorders>
                  <w:vAlign w:val="center"/>
                </w:tcPr>
                <w:p w14:paraId="0E1D9EB6">
                  <w:pPr>
                    <w:jc w:val="center"/>
                    <w:rPr>
                      <w:color w:val="auto"/>
                      <w:kern w:val="0"/>
                      <w:sz w:val="21"/>
                      <w:szCs w:val="21"/>
                    </w:rPr>
                  </w:pPr>
                  <w:r>
                    <w:rPr>
                      <w:color w:val="auto"/>
                      <w:kern w:val="0"/>
                      <w:sz w:val="21"/>
                      <w:szCs w:val="21"/>
                    </w:rPr>
                    <w:t>达标</w:t>
                  </w:r>
                </w:p>
              </w:tc>
            </w:tr>
            <w:tr w14:paraId="3201E8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9" w:type="pct"/>
                  <w:tcBorders>
                    <w:tl2br w:val="nil"/>
                    <w:tr2bl w:val="nil"/>
                  </w:tcBorders>
                  <w:vAlign w:val="center"/>
                </w:tcPr>
                <w:p w14:paraId="783E48CA">
                  <w:pPr>
                    <w:jc w:val="center"/>
                    <w:rPr>
                      <w:color w:val="auto"/>
                      <w:kern w:val="0"/>
                      <w:sz w:val="21"/>
                      <w:szCs w:val="21"/>
                    </w:rPr>
                  </w:pPr>
                  <w:r>
                    <w:rPr>
                      <w:color w:val="auto"/>
                      <w:kern w:val="0"/>
                      <w:sz w:val="21"/>
                      <w:szCs w:val="21"/>
                    </w:rPr>
                    <w:t>2#</w:t>
                  </w:r>
                </w:p>
              </w:tc>
              <w:tc>
                <w:tcPr>
                  <w:tcW w:w="1396" w:type="pct"/>
                  <w:tcBorders>
                    <w:tl2br w:val="nil"/>
                    <w:tr2bl w:val="nil"/>
                  </w:tcBorders>
                  <w:vAlign w:val="center"/>
                </w:tcPr>
                <w:p w14:paraId="552DE7AF">
                  <w:pPr>
                    <w:jc w:val="center"/>
                    <w:rPr>
                      <w:color w:val="auto"/>
                      <w:kern w:val="0"/>
                      <w:sz w:val="21"/>
                      <w:szCs w:val="21"/>
                    </w:rPr>
                  </w:pPr>
                  <w:r>
                    <w:rPr>
                      <w:color w:val="auto"/>
                      <w:kern w:val="0"/>
                      <w:sz w:val="21"/>
                      <w:szCs w:val="21"/>
                    </w:rPr>
                    <w:t>项目南侧厂界</w:t>
                  </w:r>
                </w:p>
              </w:tc>
              <w:tc>
                <w:tcPr>
                  <w:tcW w:w="881" w:type="pct"/>
                  <w:tcBorders>
                    <w:tl2br w:val="nil"/>
                    <w:tr2bl w:val="nil"/>
                  </w:tcBorders>
                  <w:vAlign w:val="center"/>
                </w:tcPr>
                <w:p w14:paraId="01700D30">
                  <w:pPr>
                    <w:pStyle w:val="14"/>
                    <w:widowControl w:val="0"/>
                    <w:snapToGrid/>
                    <w:spacing w:before="0" w:after="0" w:line="240" w:lineRule="auto"/>
                    <w:ind w:right="0"/>
                    <w:jc w:val="center"/>
                    <w:rPr>
                      <w:rFonts w:hint="default" w:eastAsia="宋体"/>
                      <w:color w:val="auto"/>
                      <w:sz w:val="21"/>
                      <w:szCs w:val="21"/>
                      <w:lang w:val="en-US" w:eastAsia="zh-CN"/>
                    </w:rPr>
                  </w:pPr>
                  <w:r>
                    <w:rPr>
                      <w:rFonts w:hint="eastAsia" w:eastAsia="宋体"/>
                      <w:color w:val="auto"/>
                      <w:sz w:val="21"/>
                      <w:szCs w:val="21"/>
                      <w:lang w:val="en-US" w:eastAsia="zh-CN"/>
                    </w:rPr>
                    <w:t>53.22</w:t>
                  </w:r>
                </w:p>
              </w:tc>
              <w:tc>
                <w:tcPr>
                  <w:tcW w:w="1014" w:type="pct"/>
                  <w:vMerge w:val="continue"/>
                  <w:tcBorders>
                    <w:tl2br w:val="nil"/>
                    <w:tr2bl w:val="nil"/>
                  </w:tcBorders>
                  <w:vAlign w:val="center"/>
                </w:tcPr>
                <w:p w14:paraId="7C910D38">
                  <w:pPr>
                    <w:jc w:val="center"/>
                    <w:rPr>
                      <w:color w:val="auto"/>
                      <w:kern w:val="0"/>
                      <w:sz w:val="21"/>
                      <w:szCs w:val="21"/>
                    </w:rPr>
                  </w:pPr>
                </w:p>
              </w:tc>
              <w:tc>
                <w:tcPr>
                  <w:tcW w:w="1018" w:type="pct"/>
                  <w:tcBorders>
                    <w:tl2br w:val="nil"/>
                    <w:tr2bl w:val="nil"/>
                  </w:tcBorders>
                  <w:vAlign w:val="center"/>
                </w:tcPr>
                <w:p w14:paraId="1DD4833A">
                  <w:pPr>
                    <w:jc w:val="center"/>
                    <w:rPr>
                      <w:color w:val="auto"/>
                      <w:kern w:val="0"/>
                      <w:sz w:val="21"/>
                      <w:szCs w:val="21"/>
                    </w:rPr>
                  </w:pPr>
                  <w:r>
                    <w:rPr>
                      <w:color w:val="auto"/>
                      <w:kern w:val="0"/>
                      <w:sz w:val="21"/>
                      <w:szCs w:val="21"/>
                    </w:rPr>
                    <w:t>达标</w:t>
                  </w:r>
                </w:p>
              </w:tc>
            </w:tr>
            <w:tr w14:paraId="4CC747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9" w:type="pct"/>
                  <w:tcBorders>
                    <w:tl2br w:val="nil"/>
                    <w:tr2bl w:val="nil"/>
                  </w:tcBorders>
                  <w:vAlign w:val="center"/>
                </w:tcPr>
                <w:p w14:paraId="4751F84B">
                  <w:pPr>
                    <w:jc w:val="center"/>
                    <w:rPr>
                      <w:color w:val="auto"/>
                      <w:kern w:val="0"/>
                      <w:sz w:val="21"/>
                      <w:szCs w:val="21"/>
                    </w:rPr>
                  </w:pPr>
                  <w:r>
                    <w:rPr>
                      <w:color w:val="auto"/>
                      <w:kern w:val="0"/>
                      <w:sz w:val="21"/>
                      <w:szCs w:val="21"/>
                    </w:rPr>
                    <w:t>3#</w:t>
                  </w:r>
                </w:p>
              </w:tc>
              <w:tc>
                <w:tcPr>
                  <w:tcW w:w="1396" w:type="pct"/>
                  <w:tcBorders>
                    <w:tl2br w:val="nil"/>
                    <w:tr2bl w:val="nil"/>
                  </w:tcBorders>
                  <w:vAlign w:val="center"/>
                </w:tcPr>
                <w:p w14:paraId="18D88CCB">
                  <w:pPr>
                    <w:jc w:val="center"/>
                    <w:rPr>
                      <w:color w:val="auto"/>
                      <w:kern w:val="0"/>
                      <w:sz w:val="21"/>
                      <w:szCs w:val="21"/>
                    </w:rPr>
                  </w:pPr>
                  <w:r>
                    <w:rPr>
                      <w:color w:val="auto"/>
                      <w:kern w:val="0"/>
                      <w:sz w:val="21"/>
                      <w:szCs w:val="21"/>
                    </w:rPr>
                    <w:t>项目西侧厂界</w:t>
                  </w:r>
                </w:p>
              </w:tc>
              <w:tc>
                <w:tcPr>
                  <w:tcW w:w="881" w:type="pct"/>
                  <w:tcBorders>
                    <w:tl2br w:val="nil"/>
                    <w:tr2bl w:val="nil"/>
                  </w:tcBorders>
                  <w:vAlign w:val="center"/>
                </w:tcPr>
                <w:p w14:paraId="08FC49D7">
                  <w:pPr>
                    <w:pStyle w:val="14"/>
                    <w:widowControl w:val="0"/>
                    <w:snapToGrid/>
                    <w:spacing w:before="0" w:after="0" w:line="240" w:lineRule="auto"/>
                    <w:ind w:right="0"/>
                    <w:jc w:val="center"/>
                    <w:rPr>
                      <w:rFonts w:hint="default" w:eastAsia="宋体"/>
                      <w:color w:val="auto"/>
                      <w:sz w:val="21"/>
                      <w:szCs w:val="21"/>
                      <w:lang w:val="en-US" w:eastAsia="zh-CN"/>
                    </w:rPr>
                  </w:pPr>
                  <w:r>
                    <w:rPr>
                      <w:rFonts w:hint="eastAsia"/>
                      <w:color w:val="auto"/>
                      <w:sz w:val="21"/>
                      <w:szCs w:val="21"/>
                      <w:lang w:val="en-US" w:eastAsia="zh-CN"/>
                    </w:rPr>
                    <w:t>41.08</w:t>
                  </w:r>
                </w:p>
              </w:tc>
              <w:tc>
                <w:tcPr>
                  <w:tcW w:w="1014" w:type="pct"/>
                  <w:vMerge w:val="continue"/>
                  <w:tcBorders>
                    <w:tl2br w:val="nil"/>
                    <w:tr2bl w:val="nil"/>
                  </w:tcBorders>
                  <w:vAlign w:val="center"/>
                </w:tcPr>
                <w:p w14:paraId="3FA02AD1">
                  <w:pPr>
                    <w:jc w:val="center"/>
                    <w:rPr>
                      <w:color w:val="auto"/>
                      <w:kern w:val="0"/>
                      <w:sz w:val="21"/>
                      <w:szCs w:val="21"/>
                    </w:rPr>
                  </w:pPr>
                </w:p>
              </w:tc>
              <w:tc>
                <w:tcPr>
                  <w:tcW w:w="1018" w:type="pct"/>
                  <w:tcBorders>
                    <w:tl2br w:val="nil"/>
                    <w:tr2bl w:val="nil"/>
                  </w:tcBorders>
                  <w:vAlign w:val="center"/>
                </w:tcPr>
                <w:p w14:paraId="04CE0031">
                  <w:pPr>
                    <w:jc w:val="center"/>
                    <w:rPr>
                      <w:color w:val="auto"/>
                      <w:kern w:val="0"/>
                      <w:sz w:val="21"/>
                      <w:szCs w:val="21"/>
                    </w:rPr>
                  </w:pPr>
                  <w:r>
                    <w:rPr>
                      <w:color w:val="auto"/>
                      <w:kern w:val="0"/>
                      <w:sz w:val="21"/>
                      <w:szCs w:val="21"/>
                    </w:rPr>
                    <w:t>达标</w:t>
                  </w:r>
                </w:p>
              </w:tc>
            </w:tr>
            <w:tr w14:paraId="02EB7D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9" w:type="pct"/>
                  <w:tcBorders>
                    <w:tl2br w:val="nil"/>
                    <w:tr2bl w:val="nil"/>
                  </w:tcBorders>
                  <w:vAlign w:val="center"/>
                </w:tcPr>
                <w:p w14:paraId="5E30A846">
                  <w:pPr>
                    <w:jc w:val="center"/>
                    <w:rPr>
                      <w:color w:val="auto"/>
                      <w:kern w:val="0"/>
                      <w:sz w:val="21"/>
                      <w:szCs w:val="21"/>
                    </w:rPr>
                  </w:pPr>
                  <w:r>
                    <w:rPr>
                      <w:color w:val="auto"/>
                      <w:kern w:val="0"/>
                      <w:sz w:val="21"/>
                      <w:szCs w:val="21"/>
                    </w:rPr>
                    <w:t>4#</w:t>
                  </w:r>
                </w:p>
              </w:tc>
              <w:tc>
                <w:tcPr>
                  <w:tcW w:w="1396" w:type="pct"/>
                  <w:tcBorders>
                    <w:tl2br w:val="nil"/>
                    <w:tr2bl w:val="nil"/>
                  </w:tcBorders>
                  <w:vAlign w:val="center"/>
                </w:tcPr>
                <w:p w14:paraId="213C9DF1">
                  <w:pPr>
                    <w:jc w:val="center"/>
                    <w:rPr>
                      <w:color w:val="auto"/>
                      <w:kern w:val="0"/>
                      <w:sz w:val="21"/>
                      <w:szCs w:val="21"/>
                    </w:rPr>
                  </w:pPr>
                  <w:r>
                    <w:rPr>
                      <w:color w:val="auto"/>
                      <w:kern w:val="0"/>
                      <w:sz w:val="21"/>
                      <w:szCs w:val="21"/>
                    </w:rPr>
                    <w:t>项目北侧厂界</w:t>
                  </w:r>
                </w:p>
              </w:tc>
              <w:tc>
                <w:tcPr>
                  <w:tcW w:w="881" w:type="pct"/>
                  <w:tcBorders>
                    <w:tl2br w:val="nil"/>
                    <w:tr2bl w:val="nil"/>
                  </w:tcBorders>
                  <w:vAlign w:val="center"/>
                </w:tcPr>
                <w:p w14:paraId="25A967CC">
                  <w:pPr>
                    <w:pStyle w:val="14"/>
                    <w:widowControl w:val="0"/>
                    <w:snapToGrid/>
                    <w:spacing w:before="0" w:after="0" w:line="240" w:lineRule="auto"/>
                    <w:ind w:right="0"/>
                    <w:jc w:val="center"/>
                    <w:rPr>
                      <w:rFonts w:hint="default" w:eastAsia="宋体"/>
                      <w:color w:val="auto"/>
                      <w:sz w:val="21"/>
                      <w:szCs w:val="21"/>
                      <w:lang w:val="en-US" w:eastAsia="zh-CN"/>
                    </w:rPr>
                  </w:pPr>
                  <w:r>
                    <w:rPr>
                      <w:rFonts w:hint="eastAsia" w:eastAsia="宋体"/>
                      <w:color w:val="auto"/>
                      <w:sz w:val="21"/>
                      <w:szCs w:val="21"/>
                      <w:lang w:val="en-US" w:eastAsia="zh-CN"/>
                    </w:rPr>
                    <w:t>54.12</w:t>
                  </w:r>
                </w:p>
              </w:tc>
              <w:tc>
                <w:tcPr>
                  <w:tcW w:w="1014" w:type="pct"/>
                  <w:vMerge w:val="continue"/>
                  <w:tcBorders>
                    <w:tl2br w:val="nil"/>
                    <w:tr2bl w:val="nil"/>
                  </w:tcBorders>
                  <w:vAlign w:val="center"/>
                </w:tcPr>
                <w:p w14:paraId="1349777C">
                  <w:pPr>
                    <w:jc w:val="center"/>
                    <w:rPr>
                      <w:color w:val="auto"/>
                      <w:kern w:val="0"/>
                      <w:sz w:val="21"/>
                      <w:szCs w:val="21"/>
                    </w:rPr>
                  </w:pPr>
                </w:p>
              </w:tc>
              <w:tc>
                <w:tcPr>
                  <w:tcW w:w="1018" w:type="pct"/>
                  <w:tcBorders>
                    <w:tl2br w:val="nil"/>
                    <w:tr2bl w:val="nil"/>
                  </w:tcBorders>
                  <w:vAlign w:val="center"/>
                </w:tcPr>
                <w:p w14:paraId="6116AFEC">
                  <w:pPr>
                    <w:jc w:val="center"/>
                    <w:rPr>
                      <w:color w:val="auto"/>
                      <w:kern w:val="0"/>
                      <w:sz w:val="21"/>
                      <w:szCs w:val="21"/>
                    </w:rPr>
                  </w:pPr>
                  <w:r>
                    <w:rPr>
                      <w:color w:val="auto"/>
                      <w:kern w:val="0"/>
                      <w:sz w:val="21"/>
                      <w:szCs w:val="21"/>
                    </w:rPr>
                    <w:t>达标</w:t>
                  </w:r>
                </w:p>
              </w:tc>
            </w:tr>
          </w:tbl>
          <w:p w14:paraId="08570DCC">
            <w:pPr>
              <w:spacing w:line="360" w:lineRule="auto"/>
              <w:ind w:firstLine="480" w:firstLineChars="200"/>
              <w:rPr>
                <w:bCs/>
                <w:kern w:val="0"/>
                <w:lang w:val="en-GB"/>
              </w:rPr>
            </w:pPr>
            <w:r>
              <w:rPr>
                <w:bCs/>
                <w:kern w:val="0"/>
                <w:lang w:val="en-GB"/>
              </w:rPr>
              <w:t>由预测结果可知，各声源在采取相应的基础减振以及厂房隔声等措施后，项目各设备运行对厂界的噪声贡献值较小，厂界四周噪声预测值可满足《工业企业厂界环境噪声排放标准》（GB12348-2008）中的</w:t>
            </w:r>
            <w:r>
              <w:rPr>
                <w:bCs/>
                <w:kern w:val="0"/>
              </w:rPr>
              <w:t>3</w:t>
            </w:r>
            <w:r>
              <w:rPr>
                <w:bCs/>
                <w:kern w:val="0"/>
                <w:lang w:val="en-GB"/>
              </w:rPr>
              <w:t>类功能区标准要求。</w:t>
            </w:r>
          </w:p>
          <w:p w14:paraId="52E04046">
            <w:pPr>
              <w:spacing w:line="360" w:lineRule="auto"/>
              <w:ind w:firstLine="480" w:firstLineChars="200"/>
              <w:rPr>
                <w:bCs/>
                <w:kern w:val="0"/>
                <w:lang w:val="en-GB"/>
              </w:rPr>
            </w:pPr>
            <w:r>
              <w:rPr>
                <w:bCs/>
                <w:kern w:val="0"/>
                <w:lang w:val="en-GB"/>
              </w:rPr>
              <w:t>（</w:t>
            </w:r>
            <w:r>
              <w:rPr>
                <w:bCs/>
                <w:kern w:val="0"/>
              </w:rPr>
              <w:t>2</w:t>
            </w:r>
            <w:r>
              <w:rPr>
                <w:bCs/>
                <w:kern w:val="0"/>
                <w:lang w:val="en-GB"/>
              </w:rPr>
              <w:t>）噪声防治措施</w:t>
            </w:r>
          </w:p>
          <w:p w14:paraId="31C3EA48">
            <w:pPr>
              <w:spacing w:line="360" w:lineRule="auto"/>
              <w:ind w:firstLine="480" w:firstLineChars="200"/>
              <w:rPr>
                <w:bCs/>
                <w:kern w:val="0"/>
                <w:lang w:val="en-GB"/>
              </w:rPr>
            </w:pPr>
            <w:r>
              <w:rPr>
                <w:bCs/>
                <w:kern w:val="0"/>
                <w:lang w:val="en-GB"/>
              </w:rPr>
              <w:t>项目生产设备噪声源位于封闭的车间内。噪声防治对策应该主要从声源上降低噪声和从噪声传播等途径上进行，建议企业采取如下降噪措施：</w:t>
            </w:r>
          </w:p>
          <w:p w14:paraId="6C8A3065">
            <w:pPr>
              <w:spacing w:line="360" w:lineRule="auto"/>
              <w:ind w:firstLine="480" w:firstLineChars="200"/>
              <w:rPr>
                <w:bCs/>
                <w:kern w:val="0"/>
                <w:lang w:val="en-GB"/>
              </w:rPr>
            </w:pPr>
            <w:r>
              <w:rPr>
                <w:bCs/>
                <w:kern w:val="0"/>
                <w:lang w:val="en-GB"/>
              </w:rPr>
              <w:t>①制定相关操作规程，做好对生产、装卸过程中的管理，对原料、成品的搬运、装卸做到轻拿轻放，减少原料和成品装卸时的落差，尽量减少瞬时噪声对周边环境产生的影响。</w:t>
            </w:r>
          </w:p>
          <w:p w14:paraId="1B52199E">
            <w:pPr>
              <w:spacing w:line="360" w:lineRule="auto"/>
              <w:ind w:firstLine="480" w:firstLineChars="200"/>
              <w:rPr>
                <w:bCs/>
                <w:kern w:val="0"/>
                <w:lang w:val="en-GB"/>
              </w:rPr>
            </w:pPr>
            <w:r>
              <w:rPr>
                <w:bCs/>
                <w:kern w:val="0"/>
                <w:lang w:val="en-GB"/>
              </w:rPr>
              <w:t>②在设计和设备采购阶段，优先选用先进的低噪音设备，从声源上降低设备本身噪音。风机等动力设备选用满足国际标准的低噪声、低振动设备，通风系统通风系统的风机也采用符合国家标准的设备，同时主要应选择本身带减振底座的风机。</w:t>
            </w:r>
          </w:p>
          <w:p w14:paraId="38637E1D">
            <w:pPr>
              <w:spacing w:line="360" w:lineRule="auto"/>
              <w:ind w:firstLine="480" w:firstLineChars="200"/>
              <w:rPr>
                <w:bCs/>
                <w:kern w:val="0"/>
                <w:lang w:val="en-GB"/>
              </w:rPr>
            </w:pPr>
            <w:r>
              <w:rPr>
                <w:bCs/>
                <w:kern w:val="0"/>
                <w:lang w:val="en-GB"/>
              </w:rPr>
              <w:t>③设备安装定位时注意减振措施设计，在定位装置设备与楼面之间垫减振材料，设备基础与墙体、地坪之间适当设置减振沟，减少振动噪声的传播。对于设置在屋顶的风机或排气口考虑加设风机隔声罩，排风管道进出口加柔性软接头，以降低风机噪声对周围环境的影响。</w:t>
            </w:r>
          </w:p>
          <w:p w14:paraId="1FBD2CDE">
            <w:pPr>
              <w:spacing w:line="360" w:lineRule="auto"/>
              <w:ind w:firstLine="480" w:firstLineChars="200"/>
              <w:rPr>
                <w:bCs/>
                <w:kern w:val="0"/>
                <w:lang w:val="en-GB"/>
              </w:rPr>
            </w:pPr>
            <w:r>
              <w:rPr>
                <w:bCs/>
                <w:kern w:val="0"/>
                <w:lang w:val="en-GB"/>
              </w:rPr>
              <w:t>④日常生产需加强对各设备的维修、保养，对其主要磨损部位要及时添加润滑油，确保设备处于良好的运转状态，杜绝因设备不正常运转而产生的高噪音现象。加强管理，合理安排作业时间，禁止夜间生产。</w:t>
            </w:r>
          </w:p>
          <w:p w14:paraId="65000273">
            <w:pPr>
              <w:spacing w:line="360" w:lineRule="auto"/>
              <w:ind w:firstLine="480" w:firstLineChars="200"/>
              <w:rPr>
                <w:bCs/>
                <w:kern w:val="0"/>
                <w:lang w:val="zh-CN"/>
              </w:rPr>
            </w:pPr>
            <w:r>
              <w:rPr>
                <w:bCs/>
                <w:kern w:val="0"/>
                <w:lang w:val="en-GB"/>
              </w:rPr>
              <w:t>采取上述隔声、减振等噪声污染防治措施后，厂界外昼夜间噪声值可满足《工业企业厂界环境噪声排放标准》（GB12348-2008）中的3类标准的要求，且项目周边50m范围内无声环境敏感目标，项目噪声对周边声环境影响不大。</w:t>
            </w:r>
          </w:p>
          <w:p w14:paraId="4DC2C705">
            <w:pPr>
              <w:spacing w:line="360" w:lineRule="auto"/>
              <w:ind w:left="420"/>
              <w:rPr>
                <w:szCs w:val="32"/>
              </w:rPr>
            </w:pPr>
            <w:r>
              <w:rPr>
                <w:kern w:val="0"/>
                <w:szCs w:val="21"/>
              </w:rPr>
              <w:t>（3）</w:t>
            </w:r>
            <w:r>
              <w:rPr>
                <w:szCs w:val="32"/>
              </w:rPr>
              <w:t>噪声污染源自行监测计划</w:t>
            </w:r>
          </w:p>
          <w:p w14:paraId="4DD863A8">
            <w:pPr>
              <w:spacing w:line="360" w:lineRule="auto"/>
              <w:ind w:firstLine="480" w:firstLineChars="200"/>
            </w:pPr>
            <w:r>
              <w:t>依据</w:t>
            </w:r>
            <w:r>
              <w:rPr>
                <w:color w:val="000000" w:themeColor="text1"/>
                <w:u w:val="none"/>
                <w14:textFill>
                  <w14:solidFill>
                    <w14:schemeClr w14:val="tx1"/>
                  </w14:solidFill>
                </w14:textFill>
              </w:rPr>
              <w:t>《排污许可证申请与核发技术规范</w:t>
            </w:r>
            <w:r>
              <w:rPr>
                <w:rFonts w:hint="eastAsia"/>
                <w:color w:val="000000" w:themeColor="text1"/>
                <w:u w:val="none"/>
                <w:lang w:val="en-US" w:eastAsia="zh-CN"/>
                <w14:textFill>
                  <w14:solidFill>
                    <w14:schemeClr w14:val="tx1"/>
                  </w14:solidFill>
                </w14:textFill>
              </w:rPr>
              <w:t xml:space="preserve"> </w:t>
            </w:r>
            <w:r>
              <w:rPr>
                <w:rFonts w:hint="eastAsia"/>
                <w:color w:val="000000" w:themeColor="text1"/>
                <w:u w:val="none"/>
                <w:lang w:eastAsia="zh-CN"/>
                <w14:textFill>
                  <w14:solidFill>
                    <w14:schemeClr w14:val="tx1"/>
                  </w14:solidFill>
                </w14:textFill>
              </w:rPr>
              <w:t>专用化学产品制造工业</w:t>
            </w:r>
            <w:r>
              <w:rPr>
                <w:color w:val="000000" w:themeColor="text1"/>
                <w:u w:val="none"/>
                <w14:textFill>
                  <w14:solidFill>
                    <w14:schemeClr w14:val="tx1"/>
                  </w14:solidFill>
                </w14:textFill>
              </w:rPr>
              <w:t>》</w:t>
            </w:r>
            <w:r>
              <w:rPr>
                <w:rFonts w:hint="eastAsia"/>
                <w:color w:val="000000" w:themeColor="text1"/>
                <w:u w:val="none"/>
                <w:lang w:eastAsia="zh-CN"/>
                <w14:textFill>
                  <w14:solidFill>
                    <w14:schemeClr w14:val="tx1"/>
                  </w14:solidFill>
                </w14:textFill>
              </w:rPr>
              <w:t>（</w:t>
            </w:r>
            <w:r>
              <w:rPr>
                <w:color w:val="000000" w:themeColor="text1"/>
                <w:u w:val="none"/>
                <w14:textFill>
                  <w14:solidFill>
                    <w14:schemeClr w14:val="tx1"/>
                  </w14:solidFill>
                </w14:textFill>
              </w:rPr>
              <w:t>HJ1</w:t>
            </w:r>
            <w:r>
              <w:rPr>
                <w:rFonts w:hint="eastAsia"/>
                <w:color w:val="000000" w:themeColor="text1"/>
                <w:u w:val="none"/>
                <w:lang w:val="en-US" w:eastAsia="zh-CN"/>
                <w14:textFill>
                  <w14:solidFill>
                    <w14:schemeClr w14:val="tx1"/>
                  </w14:solidFill>
                </w14:textFill>
              </w:rPr>
              <w:t>103</w:t>
            </w:r>
            <w:r>
              <w:rPr>
                <w:color w:val="000000" w:themeColor="text1"/>
                <w:u w:val="none"/>
                <w14:textFill>
                  <w14:solidFill>
                    <w14:schemeClr w14:val="tx1"/>
                  </w14:solidFill>
                </w14:textFill>
              </w:rPr>
              <w:t>-20</w:t>
            </w:r>
            <w:r>
              <w:rPr>
                <w:rFonts w:hint="eastAsia"/>
                <w:color w:val="000000" w:themeColor="text1"/>
                <w:u w:val="none"/>
                <w:lang w:val="en-US" w:eastAsia="zh-CN"/>
                <w14:textFill>
                  <w14:solidFill>
                    <w14:schemeClr w14:val="tx1"/>
                  </w14:solidFill>
                </w14:textFill>
              </w:rPr>
              <w:t>20</w:t>
            </w:r>
            <w:r>
              <w:rPr>
                <w:rFonts w:hint="eastAsia"/>
                <w:color w:val="000000" w:themeColor="text1"/>
                <w:u w:val="none"/>
                <w:lang w:eastAsia="zh-CN"/>
                <w14:textFill>
                  <w14:solidFill>
                    <w14:schemeClr w14:val="tx1"/>
                  </w14:solidFill>
                </w14:textFill>
              </w:rPr>
              <w:t>）</w:t>
            </w:r>
            <w:r>
              <w:t>，建议项目运营期噪声污染源监测计划如下表。</w:t>
            </w:r>
          </w:p>
          <w:p w14:paraId="17204C86">
            <w:pPr>
              <w:spacing w:line="360" w:lineRule="auto"/>
              <w:jc w:val="center"/>
              <w:rPr>
                <w:b/>
                <w:lang w:val="en-GB"/>
              </w:rPr>
            </w:pPr>
            <w:r>
              <w:rPr>
                <w:b/>
                <w:lang w:val="en-GB"/>
              </w:rPr>
              <w:t>表4-1</w:t>
            </w:r>
            <w:r>
              <w:rPr>
                <w:rFonts w:hint="eastAsia"/>
                <w:b/>
                <w:lang w:val="en-US" w:eastAsia="zh-CN"/>
              </w:rPr>
              <w:t>5</w:t>
            </w:r>
            <w:r>
              <w:rPr>
                <w:b/>
                <w:lang w:val="en-GB"/>
              </w:rPr>
              <w:t xml:space="preserve">  噪声监测点位、昼间监测指标及最低监测频次一览表</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34"/>
              <w:gridCol w:w="3054"/>
              <w:gridCol w:w="2416"/>
              <w:gridCol w:w="1899"/>
            </w:tblGrid>
            <w:tr w14:paraId="007183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2" w:type="pct"/>
                  <w:vAlign w:val="center"/>
                </w:tcPr>
                <w:p w14:paraId="7860C058">
                  <w:pPr>
                    <w:jc w:val="center"/>
                    <w:rPr>
                      <w:b/>
                      <w:sz w:val="21"/>
                      <w:szCs w:val="21"/>
                    </w:rPr>
                  </w:pPr>
                  <w:r>
                    <w:rPr>
                      <w:b/>
                      <w:sz w:val="21"/>
                      <w:szCs w:val="21"/>
                    </w:rPr>
                    <w:t>监测类别</w:t>
                  </w:r>
                </w:p>
              </w:tc>
              <w:tc>
                <w:tcPr>
                  <w:tcW w:w="1677" w:type="pct"/>
                  <w:vAlign w:val="center"/>
                </w:tcPr>
                <w:p w14:paraId="310EA1B1">
                  <w:pPr>
                    <w:jc w:val="center"/>
                    <w:rPr>
                      <w:b/>
                      <w:sz w:val="21"/>
                      <w:szCs w:val="21"/>
                    </w:rPr>
                  </w:pPr>
                  <w:r>
                    <w:rPr>
                      <w:b/>
                      <w:sz w:val="21"/>
                      <w:szCs w:val="21"/>
                    </w:rPr>
                    <w:t>监测点</w:t>
                  </w:r>
                </w:p>
              </w:tc>
              <w:tc>
                <w:tcPr>
                  <w:tcW w:w="1327" w:type="pct"/>
                  <w:vAlign w:val="center"/>
                </w:tcPr>
                <w:p w14:paraId="364BCAA8">
                  <w:pPr>
                    <w:jc w:val="center"/>
                    <w:rPr>
                      <w:b/>
                      <w:sz w:val="21"/>
                      <w:szCs w:val="21"/>
                    </w:rPr>
                  </w:pPr>
                  <w:r>
                    <w:rPr>
                      <w:b/>
                      <w:sz w:val="21"/>
                      <w:szCs w:val="21"/>
                    </w:rPr>
                    <w:t>监测内容</w:t>
                  </w:r>
                </w:p>
              </w:tc>
              <w:tc>
                <w:tcPr>
                  <w:tcW w:w="1043" w:type="pct"/>
                  <w:vAlign w:val="center"/>
                </w:tcPr>
                <w:p w14:paraId="22FABCA2">
                  <w:pPr>
                    <w:jc w:val="center"/>
                    <w:rPr>
                      <w:b/>
                      <w:sz w:val="21"/>
                      <w:szCs w:val="21"/>
                    </w:rPr>
                  </w:pPr>
                  <w:r>
                    <w:rPr>
                      <w:b/>
                      <w:sz w:val="21"/>
                      <w:szCs w:val="21"/>
                    </w:rPr>
                    <w:t>监测频率</w:t>
                  </w:r>
                </w:p>
              </w:tc>
            </w:tr>
            <w:tr w14:paraId="6AD9CE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2" w:type="pct"/>
                  <w:vAlign w:val="center"/>
                </w:tcPr>
                <w:p w14:paraId="79648531">
                  <w:pPr>
                    <w:jc w:val="center"/>
                    <w:rPr>
                      <w:sz w:val="21"/>
                      <w:szCs w:val="21"/>
                    </w:rPr>
                  </w:pPr>
                  <w:r>
                    <w:rPr>
                      <w:sz w:val="21"/>
                      <w:szCs w:val="21"/>
                    </w:rPr>
                    <w:t>噪声</w:t>
                  </w:r>
                </w:p>
              </w:tc>
              <w:tc>
                <w:tcPr>
                  <w:tcW w:w="1677" w:type="pct"/>
                  <w:vAlign w:val="center"/>
                </w:tcPr>
                <w:p w14:paraId="0E229D65">
                  <w:pPr>
                    <w:pStyle w:val="2"/>
                    <w:adjustRightInd/>
                    <w:jc w:val="center"/>
                    <w:rPr>
                      <w:rFonts w:ascii="Times New Roman" w:hAnsi="Times New Roman" w:cs="Times New Roman"/>
                      <w:color w:val="auto"/>
                      <w:sz w:val="21"/>
                      <w:szCs w:val="21"/>
                    </w:rPr>
                  </w:pPr>
                  <w:r>
                    <w:rPr>
                      <w:rFonts w:ascii="Times New Roman" w:hAnsi="Times New Roman" w:cs="Times New Roman"/>
                      <w:color w:val="auto"/>
                      <w:sz w:val="21"/>
                      <w:szCs w:val="21"/>
                    </w:rPr>
                    <w:t>厂界东、南、西、北厂界外1m</w:t>
                  </w:r>
                </w:p>
              </w:tc>
              <w:tc>
                <w:tcPr>
                  <w:tcW w:w="1327" w:type="pct"/>
                  <w:vAlign w:val="center"/>
                </w:tcPr>
                <w:p w14:paraId="10CE52B6">
                  <w:pPr>
                    <w:jc w:val="center"/>
                    <w:rPr>
                      <w:sz w:val="21"/>
                      <w:szCs w:val="21"/>
                    </w:rPr>
                  </w:pPr>
                  <w:r>
                    <w:rPr>
                      <w:sz w:val="21"/>
                      <w:szCs w:val="21"/>
                    </w:rPr>
                    <w:t>等效连续A声级</w:t>
                  </w:r>
                </w:p>
              </w:tc>
              <w:tc>
                <w:tcPr>
                  <w:tcW w:w="1043" w:type="pct"/>
                  <w:vAlign w:val="center"/>
                </w:tcPr>
                <w:p w14:paraId="5263FF3D">
                  <w:pPr>
                    <w:pStyle w:val="2"/>
                    <w:adjustRightInd/>
                    <w:jc w:val="center"/>
                    <w:rPr>
                      <w:rFonts w:ascii="Times New Roman" w:hAnsi="Times New Roman" w:cs="Times New Roman"/>
                      <w:color w:val="auto"/>
                      <w:sz w:val="21"/>
                      <w:szCs w:val="21"/>
                    </w:rPr>
                  </w:pPr>
                  <w:r>
                    <w:rPr>
                      <w:rFonts w:ascii="Times New Roman" w:hAnsi="Times New Roman" w:cs="Times New Roman"/>
                      <w:color w:val="auto"/>
                      <w:sz w:val="21"/>
                      <w:szCs w:val="21"/>
                    </w:rPr>
                    <w:t>1次/季度</w:t>
                  </w:r>
                </w:p>
              </w:tc>
            </w:tr>
          </w:tbl>
          <w:p w14:paraId="41256933">
            <w:pPr>
              <w:spacing w:line="360" w:lineRule="auto"/>
              <w:ind w:left="480" w:leftChars="200"/>
              <w:rPr>
                <w:u w:val="single"/>
              </w:rPr>
            </w:pPr>
            <w:r>
              <w:rPr>
                <w:b/>
                <w:bCs/>
                <w:szCs w:val="32"/>
                <w:u w:val="single"/>
              </w:rPr>
              <w:t>4、固废</w:t>
            </w:r>
          </w:p>
          <w:p w14:paraId="7981BC0B">
            <w:pPr>
              <w:spacing w:line="360" w:lineRule="auto"/>
              <w:ind w:firstLine="480" w:firstLineChars="200"/>
              <w:rPr>
                <w:bCs/>
                <w:kern w:val="0"/>
                <w:highlight w:val="none"/>
                <w:lang w:val="en-GB"/>
              </w:rPr>
            </w:pPr>
            <w:r>
              <w:rPr>
                <w:rFonts w:hint="eastAsia"/>
                <w:bCs/>
                <w:kern w:val="0"/>
                <w:u w:val="single"/>
                <w:lang w:val="en-GB"/>
              </w:rPr>
              <w:t>项目运营期产生的固废主要为生活垃圾、</w:t>
            </w:r>
            <w:r>
              <w:rPr>
                <w:rFonts w:hint="eastAsia"/>
                <w:bCs/>
                <w:kern w:val="0"/>
                <w:highlight w:val="none"/>
                <w:u w:val="single"/>
                <w:lang w:val="en-GB" w:eastAsia="zh-CN"/>
              </w:rPr>
              <w:t>废活性炭、</w:t>
            </w:r>
            <w:r>
              <w:rPr>
                <w:rFonts w:hint="eastAsia"/>
                <w:bCs/>
                <w:kern w:val="0"/>
                <w:highlight w:val="none"/>
                <w:u w:val="single"/>
                <w:lang w:val="en-GB"/>
              </w:rPr>
              <w:t>设备维修保养产生的废矿物油</w:t>
            </w:r>
            <w:r>
              <w:rPr>
                <w:rFonts w:hint="eastAsia"/>
                <w:bCs/>
                <w:kern w:val="0"/>
                <w:highlight w:val="none"/>
                <w:u w:val="single"/>
                <w:lang w:val="en-GB" w:eastAsia="zh-CN"/>
              </w:rPr>
              <w:t>、废导热油、废含油抹布、手套</w:t>
            </w:r>
            <w:r>
              <w:rPr>
                <w:rFonts w:hint="eastAsia"/>
                <w:bCs/>
                <w:kern w:val="0"/>
                <w:highlight w:val="none"/>
                <w:u w:val="single"/>
                <w:lang w:val="en-GB"/>
              </w:rPr>
              <w:t>等</w:t>
            </w:r>
            <w:r>
              <w:rPr>
                <w:bCs/>
                <w:kern w:val="0"/>
                <w:highlight w:val="none"/>
                <w:u w:val="single"/>
                <w:lang w:val="en-GB"/>
              </w:rPr>
              <w:t>。</w:t>
            </w:r>
          </w:p>
          <w:p w14:paraId="6E85D74A">
            <w:pPr>
              <w:spacing w:line="360" w:lineRule="auto"/>
              <w:ind w:firstLine="480" w:firstLineChars="200"/>
              <w:rPr>
                <w:rFonts w:hint="eastAsia" w:eastAsia="宋体"/>
                <w:bCs/>
                <w:kern w:val="0"/>
                <w:lang w:eastAsia="zh-CN"/>
              </w:rPr>
            </w:pPr>
            <w:r>
              <w:rPr>
                <w:rFonts w:hint="eastAsia"/>
                <w:bCs/>
                <w:kern w:val="0"/>
                <w:lang w:val="en-GB"/>
              </w:rPr>
              <w:t>项目粉碎包装工序颗粒物经布袋除尘器处理后达标排放，滤尘产生量为</w:t>
            </w:r>
            <w:r>
              <w:rPr>
                <w:rFonts w:hint="eastAsia"/>
                <w:bCs/>
                <w:kern w:val="0"/>
              </w:rPr>
              <w:t>22.33t/a，其主要成分为焦磷酸哌嗪，收集后回用于生产</w:t>
            </w:r>
            <w:r>
              <w:rPr>
                <w:rFonts w:hint="eastAsia"/>
                <w:bCs/>
                <w:kern w:val="0"/>
                <w:lang w:eastAsia="zh-CN"/>
              </w:rPr>
              <w:t>，不计入固废。</w:t>
            </w:r>
          </w:p>
          <w:p w14:paraId="35A837F4">
            <w:pPr>
              <w:spacing w:line="360" w:lineRule="auto"/>
              <w:ind w:firstLine="480" w:firstLineChars="200"/>
              <w:rPr>
                <w:bCs/>
                <w:kern w:val="0"/>
                <w:lang w:val="en-GB"/>
              </w:rPr>
            </w:pPr>
            <w:r>
              <w:rPr>
                <w:bCs/>
                <w:kern w:val="0"/>
                <w:lang w:val="en-GB"/>
              </w:rPr>
              <w:t>（1）生活垃圾</w:t>
            </w:r>
          </w:p>
          <w:p w14:paraId="130D64D0">
            <w:pPr>
              <w:spacing w:line="360" w:lineRule="auto"/>
              <w:ind w:firstLine="480" w:firstLineChars="200"/>
              <w:rPr>
                <w:bCs/>
                <w:kern w:val="0"/>
                <w:lang w:val="en-GB"/>
              </w:rPr>
            </w:pPr>
            <w:r>
              <w:rPr>
                <w:bCs/>
                <w:kern w:val="0"/>
                <w:lang w:val="en-GB"/>
              </w:rPr>
              <w:t>本项目设</w:t>
            </w:r>
            <w:r>
              <w:rPr>
                <w:rFonts w:hint="eastAsia"/>
                <w:bCs/>
                <w:kern w:val="0"/>
              </w:rPr>
              <w:t>6</w:t>
            </w:r>
            <w:r>
              <w:rPr>
                <w:bCs/>
                <w:kern w:val="0"/>
                <w:lang w:val="en-GB"/>
              </w:rPr>
              <w:t>名工作人员，按垃圾产生量0.5kg/人·d计算，生活垃圾产生量为</w:t>
            </w:r>
            <w:r>
              <w:rPr>
                <w:rFonts w:hint="eastAsia"/>
                <w:bCs/>
                <w:kern w:val="0"/>
              </w:rPr>
              <w:t>3</w:t>
            </w:r>
            <w:r>
              <w:rPr>
                <w:bCs/>
                <w:kern w:val="0"/>
                <w:lang w:val="en-GB"/>
              </w:rPr>
              <w:t>kg/d，即</w:t>
            </w:r>
            <w:r>
              <w:rPr>
                <w:rFonts w:hint="eastAsia"/>
                <w:bCs/>
                <w:kern w:val="0"/>
              </w:rPr>
              <w:t>1</w:t>
            </w:r>
            <w:r>
              <w:rPr>
                <w:bCs/>
                <w:kern w:val="0"/>
                <w:lang w:val="en-GB"/>
              </w:rPr>
              <w:t>t/a，交由环卫部门清运处置。</w:t>
            </w:r>
          </w:p>
          <w:p w14:paraId="162B7F03">
            <w:pPr>
              <w:spacing w:line="360" w:lineRule="auto"/>
              <w:ind w:firstLine="480" w:firstLineChars="200"/>
              <w:rPr>
                <w:rFonts w:hint="eastAsia" w:eastAsia="宋体"/>
                <w:bCs/>
                <w:kern w:val="0"/>
                <w:u w:val="single"/>
                <w:lang w:val="en-GB" w:eastAsia="zh-CN"/>
              </w:rPr>
            </w:pPr>
            <w:r>
              <w:rPr>
                <w:rFonts w:hint="eastAsia"/>
                <w:bCs/>
                <w:kern w:val="0"/>
                <w:u w:val="single"/>
                <w:lang w:val="en-GB" w:eastAsia="zh-CN"/>
              </w:rPr>
              <w:t>（</w:t>
            </w:r>
            <w:r>
              <w:rPr>
                <w:rFonts w:hint="eastAsia"/>
                <w:bCs/>
                <w:kern w:val="0"/>
                <w:u w:val="single"/>
                <w:lang w:val="en-US" w:eastAsia="zh-CN"/>
              </w:rPr>
              <w:t>2</w:t>
            </w:r>
            <w:r>
              <w:rPr>
                <w:rFonts w:hint="eastAsia"/>
                <w:bCs/>
                <w:kern w:val="0"/>
                <w:u w:val="single"/>
                <w:lang w:val="en-GB" w:eastAsia="zh-CN"/>
              </w:rPr>
              <w:t>）废气处理过程废活性炭</w:t>
            </w:r>
          </w:p>
          <w:p w14:paraId="6CD7DD2F">
            <w:pPr>
              <w:spacing w:line="360" w:lineRule="auto"/>
              <w:ind w:firstLine="480" w:firstLineChars="200"/>
              <w:rPr>
                <w:rFonts w:hint="default"/>
                <w:lang w:val="en-US" w:eastAsia="zh-CN"/>
              </w:rPr>
            </w:pPr>
            <w:r>
              <w:rPr>
                <w:rFonts w:hint="eastAsia"/>
                <w:bCs/>
                <w:kern w:val="0"/>
                <w:u w:val="single"/>
                <w:lang w:val="en-GB" w:eastAsia="zh-CN"/>
              </w:rPr>
              <w:t>项目造粒挤出工序产生的</w:t>
            </w:r>
            <w:r>
              <w:rPr>
                <w:rFonts w:hint="eastAsia"/>
                <w:bCs/>
                <w:kern w:val="0"/>
                <w:u w:val="single"/>
                <w:lang w:val="en-US" w:eastAsia="zh-CN"/>
              </w:rPr>
              <w:t>VOCs采用移动式VOCs处理设备处理，其内置活性炭需定期更换，根据《简明通风设计手册》，活性炭对废气的吸附值在0.24g/g-0.30g/g之间，本报告取0.25g/g，项目有机废气处理量为0.585t/a，则需要约2.34t的活性炭，废活性炭产生量约为3t/a。</w:t>
            </w:r>
            <w:r>
              <w:rPr>
                <w:rFonts w:hint="eastAsia"/>
                <w:bCs/>
                <w:kern w:val="0"/>
                <w:u w:val="single"/>
              </w:rPr>
              <w:t>根据国家危废管理名录，此部分废物属于危险固废的范围，按《国家危险废物名录》（2021版），分类编号为HW</w:t>
            </w:r>
            <w:r>
              <w:rPr>
                <w:rFonts w:hint="eastAsia"/>
                <w:bCs/>
                <w:kern w:val="0"/>
                <w:u w:val="single"/>
                <w:lang w:val="en-US" w:eastAsia="zh-CN"/>
              </w:rPr>
              <w:t>49</w:t>
            </w:r>
            <w:r>
              <w:rPr>
                <w:bCs/>
                <w:kern w:val="0"/>
                <w:u w:val="single"/>
                <w:lang w:val="en-GB"/>
              </w:rPr>
              <w:t>其他废物</w:t>
            </w:r>
            <w:r>
              <w:rPr>
                <w:rFonts w:hint="eastAsia"/>
                <w:bCs/>
                <w:kern w:val="0"/>
                <w:u w:val="single"/>
              </w:rPr>
              <w:t>，900-</w:t>
            </w:r>
            <w:r>
              <w:rPr>
                <w:rFonts w:hint="eastAsia"/>
                <w:bCs/>
                <w:kern w:val="0"/>
                <w:u w:val="single"/>
                <w:lang w:val="en-US" w:eastAsia="zh-CN"/>
              </w:rPr>
              <w:t>039</w:t>
            </w:r>
            <w:r>
              <w:rPr>
                <w:rFonts w:hint="eastAsia"/>
                <w:bCs/>
                <w:kern w:val="0"/>
                <w:u w:val="single"/>
              </w:rPr>
              <w:t>-</w:t>
            </w:r>
            <w:r>
              <w:rPr>
                <w:rFonts w:hint="eastAsia"/>
                <w:bCs/>
                <w:kern w:val="0"/>
                <w:u w:val="single"/>
                <w:lang w:val="en-US" w:eastAsia="zh-CN"/>
              </w:rPr>
              <w:t>49</w:t>
            </w:r>
            <w:r>
              <w:rPr>
                <w:rFonts w:hint="eastAsia"/>
                <w:bCs/>
                <w:kern w:val="0"/>
                <w:u w:val="single"/>
              </w:rPr>
              <w:t>，</w:t>
            </w:r>
            <w:r>
              <w:rPr>
                <w:bCs/>
                <w:kern w:val="0"/>
                <w:u w:val="single"/>
                <w:lang w:val="en-GB"/>
              </w:rPr>
              <w:t>因此，本部分固废在厂区自产危废暂存区暂存，定期与本项目周转的危险废物一同交由有资质的单位处置。</w:t>
            </w:r>
          </w:p>
          <w:p w14:paraId="3C8E1A06">
            <w:pPr>
              <w:spacing w:line="360" w:lineRule="auto"/>
              <w:ind w:firstLine="480" w:firstLineChars="200"/>
              <w:rPr>
                <w:bCs/>
                <w:kern w:val="0"/>
                <w:lang w:val="en-GB"/>
              </w:rPr>
            </w:pPr>
            <w:r>
              <w:rPr>
                <w:bCs/>
                <w:kern w:val="0"/>
                <w:lang w:val="en-GB"/>
              </w:rPr>
              <w:t>（</w:t>
            </w:r>
            <w:r>
              <w:rPr>
                <w:rFonts w:hint="eastAsia"/>
                <w:bCs/>
                <w:kern w:val="0"/>
                <w:lang w:val="en-US" w:eastAsia="zh-CN"/>
              </w:rPr>
              <w:t>3</w:t>
            </w:r>
            <w:r>
              <w:rPr>
                <w:bCs/>
                <w:kern w:val="0"/>
                <w:lang w:val="en-GB"/>
              </w:rPr>
              <w:t>）</w:t>
            </w:r>
            <w:r>
              <w:rPr>
                <w:rFonts w:hint="eastAsia"/>
                <w:bCs/>
                <w:kern w:val="0"/>
                <w:lang w:val="en-GB"/>
              </w:rPr>
              <w:t>废矿物油</w:t>
            </w:r>
          </w:p>
          <w:p w14:paraId="0EF7A8A9">
            <w:pPr>
              <w:spacing w:line="360" w:lineRule="auto"/>
              <w:ind w:firstLine="480" w:firstLineChars="200"/>
              <w:rPr>
                <w:bCs/>
                <w:kern w:val="0"/>
              </w:rPr>
            </w:pPr>
            <w:r>
              <w:rPr>
                <w:rFonts w:hint="eastAsia"/>
                <w:bCs/>
                <w:kern w:val="0"/>
                <w:lang w:val="en-GB"/>
              </w:rPr>
              <w:t>项目设备维修保养过程中会产生少量废矿物油，类比同类型企业，产生量约为</w:t>
            </w:r>
            <w:r>
              <w:rPr>
                <w:rFonts w:hint="eastAsia"/>
                <w:bCs/>
                <w:kern w:val="0"/>
              </w:rPr>
              <w:t>0.01t/a，根据国家危废管理名录，此部分废物属于危险固废的范围，按《国家危险废物名录》（2021版），分类编号为HW08废矿物油与含矿物油废物，900-214-08，</w:t>
            </w:r>
            <w:r>
              <w:rPr>
                <w:bCs/>
                <w:kern w:val="0"/>
                <w:lang w:val="en-GB"/>
              </w:rPr>
              <w:t>因此，本部分固废在厂区自产危废暂存区暂存，定期与本项目周转的危险废物一同交由有资质的单位处置。</w:t>
            </w:r>
          </w:p>
          <w:p w14:paraId="274D666A">
            <w:pPr>
              <w:spacing w:line="360" w:lineRule="auto"/>
              <w:ind w:firstLine="480" w:firstLineChars="200"/>
              <w:rPr>
                <w:bCs/>
                <w:kern w:val="0"/>
                <w:u w:val="single"/>
                <w:lang w:val="en-GB"/>
              </w:rPr>
            </w:pPr>
            <w:r>
              <w:rPr>
                <w:bCs/>
                <w:kern w:val="0"/>
                <w:u w:val="single"/>
                <w:lang w:val="en-GB"/>
              </w:rPr>
              <w:t>（</w:t>
            </w:r>
            <w:r>
              <w:rPr>
                <w:rFonts w:hint="eastAsia"/>
                <w:bCs/>
                <w:kern w:val="0"/>
                <w:u w:val="single"/>
                <w:lang w:val="en-US" w:eastAsia="zh-CN"/>
              </w:rPr>
              <w:t>4</w:t>
            </w:r>
            <w:r>
              <w:rPr>
                <w:bCs/>
                <w:kern w:val="0"/>
                <w:u w:val="single"/>
                <w:lang w:val="en-GB"/>
              </w:rPr>
              <w:t>）</w:t>
            </w:r>
            <w:r>
              <w:rPr>
                <w:rFonts w:hint="eastAsia"/>
                <w:bCs/>
                <w:kern w:val="0"/>
                <w:u w:val="single"/>
                <w:lang w:val="en-GB"/>
              </w:rPr>
              <w:t>废</w:t>
            </w:r>
            <w:r>
              <w:rPr>
                <w:rFonts w:hint="eastAsia"/>
                <w:bCs/>
                <w:kern w:val="0"/>
                <w:u w:val="single"/>
                <w:lang w:val="en-GB" w:eastAsia="zh-CN"/>
              </w:rPr>
              <w:t>导热</w:t>
            </w:r>
            <w:r>
              <w:rPr>
                <w:rFonts w:hint="eastAsia"/>
                <w:bCs/>
                <w:kern w:val="0"/>
                <w:u w:val="single"/>
                <w:lang w:val="en-GB"/>
              </w:rPr>
              <w:t>油</w:t>
            </w:r>
          </w:p>
          <w:p w14:paraId="051D11F0">
            <w:pPr>
              <w:spacing w:line="360" w:lineRule="auto"/>
              <w:ind w:firstLine="480" w:firstLineChars="200"/>
              <w:rPr>
                <w:bCs/>
                <w:kern w:val="0"/>
                <w:u w:val="single"/>
              </w:rPr>
            </w:pPr>
            <w:r>
              <w:rPr>
                <w:rFonts w:hint="eastAsia"/>
                <w:bCs/>
                <w:kern w:val="0"/>
                <w:u w:val="single"/>
                <w:lang w:val="en-GB"/>
              </w:rPr>
              <w:t>项目</w:t>
            </w:r>
            <w:r>
              <w:rPr>
                <w:rFonts w:hint="eastAsia"/>
                <w:bCs/>
                <w:kern w:val="0"/>
                <w:u w:val="single"/>
                <w:lang w:val="en-GB" w:eastAsia="zh-CN"/>
              </w:rPr>
              <w:t>导热油炉所用导热油需定期更换</w:t>
            </w:r>
            <w:r>
              <w:rPr>
                <w:rFonts w:hint="eastAsia"/>
                <w:bCs/>
                <w:kern w:val="0"/>
                <w:u w:val="single"/>
                <w:lang w:val="en-GB"/>
              </w:rPr>
              <w:t>，</w:t>
            </w:r>
            <w:r>
              <w:rPr>
                <w:rFonts w:hint="eastAsia"/>
                <w:bCs/>
                <w:kern w:val="0"/>
                <w:u w:val="single"/>
                <w:lang w:val="en-GB" w:eastAsia="zh-CN"/>
              </w:rPr>
              <w:t>根据建设单位提供的资料</w:t>
            </w:r>
            <w:r>
              <w:rPr>
                <w:rFonts w:hint="eastAsia"/>
                <w:bCs/>
                <w:kern w:val="0"/>
                <w:u w:val="single"/>
                <w:lang w:val="en-GB"/>
              </w:rPr>
              <w:t>，</w:t>
            </w:r>
            <w:r>
              <w:rPr>
                <w:rFonts w:hint="eastAsia"/>
                <w:bCs/>
                <w:kern w:val="0"/>
                <w:u w:val="single"/>
                <w:lang w:val="en-GB" w:eastAsia="zh-CN"/>
              </w:rPr>
              <w:t>废导热油</w:t>
            </w:r>
            <w:r>
              <w:rPr>
                <w:rFonts w:hint="eastAsia"/>
                <w:bCs/>
                <w:kern w:val="0"/>
                <w:u w:val="single"/>
                <w:lang w:val="en-GB"/>
              </w:rPr>
              <w:t>产生量约为</w:t>
            </w:r>
            <w:r>
              <w:rPr>
                <w:rFonts w:hint="eastAsia"/>
                <w:bCs/>
                <w:kern w:val="0"/>
                <w:u w:val="single"/>
              </w:rPr>
              <w:t>1t/a，根据国家危废管理名录，此部分废物属于危险固废的范围，按《国家危险废物名录》（2021版），分类编号为HW08废矿物油与含矿物油废物，900-214-08，</w:t>
            </w:r>
            <w:r>
              <w:rPr>
                <w:bCs/>
                <w:kern w:val="0"/>
                <w:u w:val="single"/>
                <w:lang w:val="en-GB"/>
              </w:rPr>
              <w:t>因此，本部分固废在厂区自产危废暂存区暂存，定期与本项目周转的危险废物一同交由有资质的单位处置。</w:t>
            </w:r>
          </w:p>
          <w:p w14:paraId="5931746A">
            <w:pPr>
              <w:spacing w:line="360" w:lineRule="auto"/>
              <w:ind w:firstLine="480" w:firstLineChars="200"/>
              <w:rPr>
                <w:bCs/>
                <w:kern w:val="0"/>
                <w:lang w:val="en-GB"/>
              </w:rPr>
            </w:pPr>
            <w:r>
              <w:rPr>
                <w:rFonts w:hint="eastAsia"/>
                <w:bCs/>
                <w:kern w:val="0"/>
                <w:lang w:val="en-GB"/>
              </w:rPr>
              <w:t>（</w:t>
            </w:r>
            <w:r>
              <w:rPr>
                <w:rFonts w:hint="eastAsia"/>
                <w:bCs/>
                <w:kern w:val="0"/>
                <w:lang w:val="en-US" w:eastAsia="zh-CN"/>
              </w:rPr>
              <w:t>5</w:t>
            </w:r>
            <w:r>
              <w:rPr>
                <w:rFonts w:hint="eastAsia"/>
                <w:bCs/>
                <w:kern w:val="0"/>
                <w:lang w:val="en-GB"/>
              </w:rPr>
              <w:t>）</w:t>
            </w:r>
            <w:r>
              <w:rPr>
                <w:bCs/>
                <w:kern w:val="0"/>
                <w:lang w:val="en-GB"/>
              </w:rPr>
              <w:t>废含</w:t>
            </w:r>
            <w:r>
              <w:rPr>
                <w:rFonts w:hint="eastAsia"/>
                <w:bCs/>
                <w:kern w:val="0"/>
                <w:lang w:val="en-GB"/>
              </w:rPr>
              <w:t>油</w:t>
            </w:r>
            <w:r>
              <w:rPr>
                <w:bCs/>
                <w:kern w:val="0"/>
                <w:lang w:val="en-GB"/>
              </w:rPr>
              <w:t>抹布</w:t>
            </w:r>
            <w:r>
              <w:rPr>
                <w:rFonts w:hint="eastAsia"/>
                <w:bCs/>
                <w:kern w:val="0"/>
                <w:lang w:val="en-GB"/>
              </w:rPr>
              <w:t>及</w:t>
            </w:r>
            <w:r>
              <w:rPr>
                <w:bCs/>
                <w:kern w:val="0"/>
                <w:lang w:val="en-GB"/>
              </w:rPr>
              <w:t>手套</w:t>
            </w:r>
          </w:p>
          <w:p w14:paraId="3064D334">
            <w:pPr>
              <w:spacing w:line="360" w:lineRule="auto"/>
              <w:ind w:firstLine="480" w:firstLineChars="200"/>
              <w:rPr>
                <w:bCs/>
                <w:kern w:val="0"/>
                <w:lang w:val="en-GB"/>
              </w:rPr>
            </w:pPr>
            <w:r>
              <w:rPr>
                <w:bCs/>
                <w:kern w:val="0"/>
                <w:lang w:val="en-GB"/>
              </w:rPr>
              <w:t>根据类比同类型项目，本项目废含</w:t>
            </w:r>
            <w:r>
              <w:rPr>
                <w:rFonts w:hint="eastAsia"/>
                <w:bCs/>
                <w:kern w:val="0"/>
                <w:lang w:val="en-GB"/>
              </w:rPr>
              <w:t>油</w:t>
            </w:r>
            <w:r>
              <w:rPr>
                <w:bCs/>
                <w:kern w:val="0"/>
                <w:lang w:val="en-GB"/>
              </w:rPr>
              <w:t>抹布</w:t>
            </w:r>
            <w:r>
              <w:rPr>
                <w:rFonts w:hint="eastAsia"/>
                <w:bCs/>
                <w:kern w:val="0"/>
                <w:lang w:val="en-GB"/>
              </w:rPr>
              <w:t>及</w:t>
            </w:r>
            <w:r>
              <w:rPr>
                <w:bCs/>
                <w:kern w:val="0"/>
                <w:lang w:val="en-GB"/>
              </w:rPr>
              <w:t>手套产生量为0.</w:t>
            </w:r>
            <w:r>
              <w:rPr>
                <w:bCs/>
                <w:kern w:val="0"/>
              </w:rPr>
              <w:t>1</w:t>
            </w:r>
            <w:r>
              <w:rPr>
                <w:bCs/>
                <w:kern w:val="0"/>
                <w:lang w:val="en-GB"/>
              </w:rPr>
              <w:t>t/a，根据国家危废管理名录，此部分废物属于危险固废的范围，按《国家危险废物名录》（20</w:t>
            </w:r>
            <w:r>
              <w:rPr>
                <w:bCs/>
                <w:kern w:val="0"/>
              </w:rPr>
              <w:t>21版</w:t>
            </w:r>
            <w:r>
              <w:rPr>
                <w:bCs/>
                <w:kern w:val="0"/>
                <w:lang w:val="en-GB"/>
              </w:rPr>
              <w:t>），分类编号为HW49其他废物900-041-049含有或沾染毒性、感染性危险废物的废弃包装物、容器、过滤吸附介质。因此，本部分固废在厂区自产危废暂存区暂存，定期与本项目周转的危险废物一同交由有资质的单位处置。</w:t>
            </w:r>
          </w:p>
          <w:p w14:paraId="0B9CE860">
            <w:pPr>
              <w:spacing w:line="360" w:lineRule="auto"/>
              <w:ind w:firstLine="480" w:firstLineChars="200"/>
              <w:rPr>
                <w:rFonts w:hint="eastAsia"/>
                <w:bCs/>
                <w:kern w:val="0"/>
              </w:rPr>
            </w:pPr>
            <w:r>
              <w:rPr>
                <w:rFonts w:hint="eastAsia"/>
                <w:bCs/>
                <w:kern w:val="0"/>
              </w:rPr>
              <w:t>综上，本项目固体废物产生情况详见表4-1</w:t>
            </w:r>
            <w:r>
              <w:rPr>
                <w:rFonts w:hint="eastAsia"/>
                <w:bCs/>
                <w:kern w:val="0"/>
                <w:lang w:val="en-US" w:eastAsia="zh-CN"/>
              </w:rPr>
              <w:t>6</w:t>
            </w:r>
            <w:r>
              <w:rPr>
                <w:rFonts w:hint="eastAsia"/>
                <w:bCs/>
                <w:kern w:val="0"/>
              </w:rPr>
              <w:t>。</w:t>
            </w:r>
          </w:p>
          <w:p w14:paraId="17337BF5">
            <w:pPr>
              <w:pStyle w:val="2"/>
              <w:rPr>
                <w:rFonts w:hint="eastAsia"/>
                <w:bCs/>
                <w:kern w:val="0"/>
              </w:rPr>
            </w:pPr>
          </w:p>
          <w:p w14:paraId="0C54310B">
            <w:pPr>
              <w:pStyle w:val="4"/>
            </w:pPr>
          </w:p>
          <w:p w14:paraId="394B85CF">
            <w:pPr>
              <w:spacing w:line="360" w:lineRule="auto"/>
              <w:jc w:val="center"/>
              <w:rPr>
                <w:b/>
                <w:lang w:val="en-GB"/>
              </w:rPr>
            </w:pPr>
            <w:r>
              <w:rPr>
                <w:b/>
                <w:lang w:val="en-GB"/>
              </w:rPr>
              <w:t>表4-1</w:t>
            </w:r>
            <w:r>
              <w:rPr>
                <w:rFonts w:hint="eastAsia"/>
                <w:b/>
                <w:lang w:val="en-US" w:eastAsia="zh-CN"/>
              </w:rPr>
              <w:t>6</w:t>
            </w:r>
            <w:r>
              <w:rPr>
                <w:b/>
                <w:lang w:val="en-GB"/>
              </w:rPr>
              <w:t xml:space="preserve">  </w:t>
            </w:r>
            <w:r>
              <w:rPr>
                <w:rFonts w:hint="eastAsia"/>
                <w:b/>
                <w:lang w:val="en-GB"/>
              </w:rPr>
              <w:t>本项目固废产生情况</w:t>
            </w:r>
            <w:r>
              <w:rPr>
                <w:b/>
                <w:lang w:val="en-GB"/>
              </w:rPr>
              <w:t>一览表</w:t>
            </w:r>
          </w:p>
          <w:tbl>
            <w:tblPr>
              <w:tblStyle w:val="36"/>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26"/>
              <w:gridCol w:w="1371"/>
              <w:gridCol w:w="1646"/>
              <w:gridCol w:w="1131"/>
              <w:gridCol w:w="1131"/>
              <w:gridCol w:w="1400"/>
              <w:gridCol w:w="1493"/>
            </w:tblGrid>
            <w:tr w14:paraId="7C640F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9" w:type="pct"/>
                  <w:vAlign w:val="center"/>
                </w:tcPr>
                <w:p w14:paraId="673D940B">
                  <w:pPr>
                    <w:jc w:val="center"/>
                    <w:rPr>
                      <w:b/>
                      <w:sz w:val="21"/>
                      <w:szCs w:val="21"/>
                    </w:rPr>
                  </w:pPr>
                  <w:r>
                    <w:rPr>
                      <w:rFonts w:hint="eastAsia"/>
                      <w:b/>
                      <w:sz w:val="21"/>
                      <w:szCs w:val="21"/>
                    </w:rPr>
                    <w:t>类别</w:t>
                  </w:r>
                </w:p>
              </w:tc>
              <w:tc>
                <w:tcPr>
                  <w:tcW w:w="753" w:type="pct"/>
                  <w:vAlign w:val="center"/>
                </w:tcPr>
                <w:p w14:paraId="2F458499">
                  <w:pPr>
                    <w:jc w:val="center"/>
                    <w:rPr>
                      <w:b/>
                      <w:sz w:val="21"/>
                      <w:szCs w:val="21"/>
                    </w:rPr>
                  </w:pPr>
                  <w:r>
                    <w:rPr>
                      <w:rFonts w:hint="eastAsia"/>
                      <w:b/>
                      <w:sz w:val="21"/>
                      <w:szCs w:val="21"/>
                    </w:rPr>
                    <w:t>名称</w:t>
                  </w:r>
                </w:p>
              </w:tc>
              <w:tc>
                <w:tcPr>
                  <w:tcW w:w="904" w:type="pct"/>
                  <w:vAlign w:val="center"/>
                </w:tcPr>
                <w:p w14:paraId="5524CFE4">
                  <w:pPr>
                    <w:jc w:val="center"/>
                    <w:rPr>
                      <w:b/>
                      <w:sz w:val="21"/>
                      <w:szCs w:val="21"/>
                    </w:rPr>
                  </w:pPr>
                  <w:r>
                    <w:rPr>
                      <w:rFonts w:hint="eastAsia"/>
                      <w:b/>
                      <w:sz w:val="21"/>
                      <w:szCs w:val="21"/>
                    </w:rPr>
                    <w:t>产生位置</w:t>
                  </w:r>
                </w:p>
              </w:tc>
              <w:tc>
                <w:tcPr>
                  <w:tcW w:w="621" w:type="pct"/>
                  <w:vAlign w:val="center"/>
                </w:tcPr>
                <w:p w14:paraId="58BA5056">
                  <w:pPr>
                    <w:jc w:val="center"/>
                    <w:rPr>
                      <w:b/>
                      <w:sz w:val="21"/>
                      <w:szCs w:val="21"/>
                    </w:rPr>
                  </w:pPr>
                  <w:r>
                    <w:rPr>
                      <w:rFonts w:hint="eastAsia"/>
                      <w:b/>
                      <w:sz w:val="21"/>
                      <w:szCs w:val="21"/>
                    </w:rPr>
                    <w:t>产生量t/a</w:t>
                  </w:r>
                </w:p>
              </w:tc>
              <w:tc>
                <w:tcPr>
                  <w:tcW w:w="621" w:type="pct"/>
                  <w:vAlign w:val="center"/>
                </w:tcPr>
                <w:p w14:paraId="74949D7B">
                  <w:pPr>
                    <w:jc w:val="center"/>
                    <w:rPr>
                      <w:b/>
                      <w:sz w:val="21"/>
                      <w:szCs w:val="21"/>
                    </w:rPr>
                  </w:pPr>
                  <w:r>
                    <w:rPr>
                      <w:rFonts w:hint="eastAsia"/>
                      <w:b/>
                      <w:sz w:val="21"/>
                      <w:szCs w:val="21"/>
                    </w:rPr>
                    <w:t>主要危险物质</w:t>
                  </w:r>
                </w:p>
              </w:tc>
              <w:tc>
                <w:tcPr>
                  <w:tcW w:w="769" w:type="pct"/>
                  <w:vAlign w:val="center"/>
                </w:tcPr>
                <w:p w14:paraId="64085BCB">
                  <w:pPr>
                    <w:jc w:val="center"/>
                    <w:rPr>
                      <w:b/>
                      <w:sz w:val="21"/>
                      <w:szCs w:val="21"/>
                    </w:rPr>
                  </w:pPr>
                  <w:r>
                    <w:rPr>
                      <w:b/>
                      <w:color w:val="000000" w:themeColor="text1"/>
                      <w:sz w:val="21"/>
                      <w:szCs w:val="21"/>
                      <w:u w:val="single"/>
                      <w14:textFill>
                        <w14:solidFill>
                          <w14:schemeClr w14:val="tx1"/>
                        </w14:solidFill>
                      </w14:textFill>
                    </w:rPr>
                    <w:t>固废属性及编号</w:t>
                  </w:r>
                </w:p>
              </w:tc>
              <w:tc>
                <w:tcPr>
                  <w:tcW w:w="820" w:type="pct"/>
                  <w:vAlign w:val="center"/>
                </w:tcPr>
                <w:p w14:paraId="7FA907A9">
                  <w:pPr>
                    <w:jc w:val="center"/>
                    <w:rPr>
                      <w:b/>
                      <w:sz w:val="21"/>
                      <w:szCs w:val="21"/>
                    </w:rPr>
                  </w:pPr>
                  <w:r>
                    <w:rPr>
                      <w:rFonts w:hint="eastAsia"/>
                      <w:b/>
                      <w:sz w:val="21"/>
                      <w:szCs w:val="21"/>
                    </w:rPr>
                    <w:t>处置措施</w:t>
                  </w:r>
                </w:p>
              </w:tc>
            </w:tr>
            <w:tr w14:paraId="7C6A3A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2" w:type="pct"/>
                  <w:gridSpan w:val="2"/>
                  <w:vAlign w:val="center"/>
                </w:tcPr>
                <w:p w14:paraId="16A20700">
                  <w:pPr>
                    <w:pStyle w:val="2"/>
                    <w:adjustRightInd/>
                    <w:jc w:val="center"/>
                    <w:rPr>
                      <w:rFonts w:ascii="Times New Roman" w:hAnsi="Times New Roman" w:cs="Times New Roman"/>
                      <w:color w:val="auto"/>
                      <w:sz w:val="21"/>
                      <w:szCs w:val="21"/>
                    </w:rPr>
                  </w:pPr>
                  <w:r>
                    <w:rPr>
                      <w:rFonts w:hint="eastAsia" w:ascii="Times New Roman" w:hAnsi="Times New Roman" w:cs="Times New Roman"/>
                      <w:sz w:val="21"/>
                      <w:szCs w:val="21"/>
                    </w:rPr>
                    <w:t>生活垃圾</w:t>
                  </w:r>
                </w:p>
              </w:tc>
              <w:tc>
                <w:tcPr>
                  <w:tcW w:w="904" w:type="pct"/>
                  <w:vAlign w:val="center"/>
                </w:tcPr>
                <w:p w14:paraId="1C714533">
                  <w:pPr>
                    <w:jc w:val="center"/>
                    <w:rPr>
                      <w:sz w:val="21"/>
                      <w:szCs w:val="21"/>
                    </w:rPr>
                  </w:pPr>
                  <w:r>
                    <w:rPr>
                      <w:rFonts w:hint="eastAsia"/>
                      <w:sz w:val="21"/>
                      <w:szCs w:val="21"/>
                    </w:rPr>
                    <w:t>员工办公生活</w:t>
                  </w:r>
                </w:p>
              </w:tc>
              <w:tc>
                <w:tcPr>
                  <w:tcW w:w="621" w:type="pct"/>
                  <w:vAlign w:val="center"/>
                </w:tcPr>
                <w:p w14:paraId="6FEFFCF6">
                  <w:pPr>
                    <w:pStyle w:val="2"/>
                    <w:adjustRightInd/>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w:t>
                  </w:r>
                </w:p>
              </w:tc>
              <w:tc>
                <w:tcPr>
                  <w:tcW w:w="621" w:type="pct"/>
                  <w:vAlign w:val="center"/>
                </w:tcPr>
                <w:p w14:paraId="248F2961">
                  <w:pPr>
                    <w:pStyle w:val="2"/>
                    <w:adjustRightInd/>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w:t>
                  </w:r>
                </w:p>
              </w:tc>
              <w:tc>
                <w:tcPr>
                  <w:tcW w:w="769" w:type="pct"/>
                  <w:vAlign w:val="center"/>
                </w:tcPr>
                <w:p w14:paraId="72974FCA">
                  <w:pPr>
                    <w:pStyle w:val="2"/>
                    <w:adjustRightInd/>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w:t>
                  </w:r>
                </w:p>
              </w:tc>
              <w:tc>
                <w:tcPr>
                  <w:tcW w:w="820" w:type="pct"/>
                  <w:vAlign w:val="center"/>
                </w:tcPr>
                <w:p w14:paraId="7827EF52">
                  <w:pPr>
                    <w:pStyle w:val="2"/>
                    <w:adjustRightInd/>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交由园区环卫部门清运</w:t>
                  </w:r>
                </w:p>
              </w:tc>
            </w:tr>
            <w:tr w14:paraId="15A8E2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9" w:type="pct"/>
                  <w:vMerge w:val="restart"/>
                  <w:vAlign w:val="center"/>
                </w:tcPr>
                <w:p w14:paraId="695A0879">
                  <w:pPr>
                    <w:jc w:val="center"/>
                    <w:rPr>
                      <w:sz w:val="21"/>
                      <w:szCs w:val="21"/>
                      <w:highlight w:val="none"/>
                    </w:rPr>
                  </w:pPr>
                  <w:r>
                    <w:rPr>
                      <w:rFonts w:hint="eastAsia"/>
                      <w:sz w:val="21"/>
                      <w:szCs w:val="21"/>
                      <w:highlight w:val="none"/>
                    </w:rPr>
                    <w:t>危废废物</w:t>
                  </w:r>
                </w:p>
              </w:tc>
              <w:tc>
                <w:tcPr>
                  <w:tcW w:w="753" w:type="pct"/>
                  <w:vAlign w:val="center"/>
                </w:tcPr>
                <w:p w14:paraId="39973E50">
                  <w:pPr>
                    <w:pStyle w:val="2"/>
                    <w:adjustRightInd/>
                    <w:jc w:val="center"/>
                    <w:rPr>
                      <w:rFonts w:hint="eastAsia" w:ascii="Times New Roman" w:hAnsi="Times New Roman" w:eastAsia="宋体" w:cs="Times New Roman"/>
                      <w:color w:val="auto"/>
                      <w:sz w:val="21"/>
                      <w:szCs w:val="21"/>
                      <w:highlight w:val="none"/>
                      <w:u w:val="single"/>
                      <w:lang w:eastAsia="zh-CN"/>
                    </w:rPr>
                  </w:pPr>
                  <w:r>
                    <w:rPr>
                      <w:rFonts w:hint="eastAsia" w:ascii="Times New Roman" w:hAnsi="Times New Roman" w:cs="Times New Roman"/>
                      <w:color w:val="auto"/>
                      <w:sz w:val="21"/>
                      <w:szCs w:val="21"/>
                      <w:highlight w:val="none"/>
                      <w:u w:val="single"/>
                      <w:lang w:eastAsia="zh-CN"/>
                    </w:rPr>
                    <w:t>废活性炭</w:t>
                  </w:r>
                </w:p>
              </w:tc>
              <w:tc>
                <w:tcPr>
                  <w:tcW w:w="904" w:type="pct"/>
                  <w:vAlign w:val="center"/>
                </w:tcPr>
                <w:p w14:paraId="607CB846">
                  <w:pPr>
                    <w:jc w:val="center"/>
                    <w:rPr>
                      <w:rFonts w:hint="default" w:eastAsia="宋体"/>
                      <w:sz w:val="21"/>
                      <w:szCs w:val="21"/>
                      <w:highlight w:val="none"/>
                      <w:u w:val="single"/>
                      <w:lang w:val="en-US" w:eastAsia="zh-CN"/>
                    </w:rPr>
                  </w:pPr>
                  <w:r>
                    <w:rPr>
                      <w:rFonts w:hint="eastAsia"/>
                      <w:sz w:val="21"/>
                      <w:szCs w:val="21"/>
                      <w:highlight w:val="none"/>
                      <w:u w:val="single"/>
                      <w:lang w:eastAsia="zh-CN"/>
                    </w:rPr>
                    <w:t>移动式</w:t>
                  </w:r>
                  <w:r>
                    <w:rPr>
                      <w:rFonts w:hint="eastAsia"/>
                      <w:sz w:val="21"/>
                      <w:szCs w:val="21"/>
                      <w:highlight w:val="none"/>
                      <w:u w:val="single"/>
                      <w:lang w:val="en-US" w:eastAsia="zh-CN"/>
                    </w:rPr>
                    <w:t>VOCs处理设备</w:t>
                  </w:r>
                </w:p>
              </w:tc>
              <w:tc>
                <w:tcPr>
                  <w:tcW w:w="621" w:type="pct"/>
                  <w:vAlign w:val="center"/>
                </w:tcPr>
                <w:p w14:paraId="298D9052">
                  <w:pPr>
                    <w:jc w:val="center"/>
                    <w:rPr>
                      <w:rFonts w:hint="default" w:eastAsia="宋体"/>
                      <w:sz w:val="21"/>
                      <w:szCs w:val="21"/>
                      <w:highlight w:val="none"/>
                      <w:u w:val="single"/>
                      <w:lang w:val="en-US" w:eastAsia="zh-CN"/>
                    </w:rPr>
                  </w:pPr>
                  <w:r>
                    <w:rPr>
                      <w:rFonts w:hint="eastAsia"/>
                      <w:sz w:val="21"/>
                      <w:szCs w:val="21"/>
                      <w:highlight w:val="none"/>
                      <w:u w:val="single"/>
                      <w:lang w:val="en-US" w:eastAsia="zh-CN"/>
                    </w:rPr>
                    <w:t>3</w:t>
                  </w:r>
                </w:p>
              </w:tc>
              <w:tc>
                <w:tcPr>
                  <w:tcW w:w="621" w:type="pct"/>
                  <w:vAlign w:val="center"/>
                </w:tcPr>
                <w:p w14:paraId="63B7ECD2">
                  <w:pPr>
                    <w:jc w:val="center"/>
                    <w:rPr>
                      <w:rFonts w:hint="eastAsia" w:eastAsia="宋体"/>
                      <w:sz w:val="21"/>
                      <w:szCs w:val="21"/>
                      <w:highlight w:val="none"/>
                      <w:u w:val="single"/>
                      <w:lang w:eastAsia="zh-CN"/>
                    </w:rPr>
                  </w:pPr>
                  <w:r>
                    <w:rPr>
                      <w:rFonts w:hint="eastAsia"/>
                      <w:sz w:val="21"/>
                      <w:szCs w:val="21"/>
                      <w:highlight w:val="none"/>
                      <w:u w:val="single"/>
                      <w:lang w:eastAsia="zh-CN"/>
                    </w:rPr>
                    <w:t>有机废气</w:t>
                  </w:r>
                </w:p>
              </w:tc>
              <w:tc>
                <w:tcPr>
                  <w:tcW w:w="769" w:type="pct"/>
                  <w:vAlign w:val="center"/>
                </w:tcPr>
                <w:p w14:paraId="30220F74">
                  <w:pPr>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HW49</w:t>
                  </w:r>
                </w:p>
                <w:p w14:paraId="507E28A8">
                  <w:pPr>
                    <w:jc w:val="center"/>
                    <w:rPr>
                      <w:color w:val="000000" w:themeColor="text1"/>
                      <w:sz w:val="21"/>
                      <w:szCs w:val="21"/>
                      <w:highlight w:val="none"/>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900-039-49</w:t>
                  </w:r>
                </w:p>
              </w:tc>
              <w:tc>
                <w:tcPr>
                  <w:tcW w:w="820" w:type="pct"/>
                  <w:vMerge w:val="restart"/>
                  <w:vAlign w:val="center"/>
                </w:tcPr>
                <w:p w14:paraId="63E6F59F">
                  <w:pPr>
                    <w:pStyle w:val="2"/>
                    <w:adjustRightInd/>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暂存于危废间，定期交由有资质单位拉运处理</w:t>
                  </w:r>
                </w:p>
              </w:tc>
            </w:tr>
            <w:tr w14:paraId="5029D6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9" w:type="pct"/>
                  <w:vMerge w:val="continue"/>
                  <w:vAlign w:val="center"/>
                </w:tcPr>
                <w:p w14:paraId="52D4A68B">
                  <w:pPr>
                    <w:jc w:val="center"/>
                    <w:rPr>
                      <w:rFonts w:hint="eastAsia"/>
                      <w:sz w:val="21"/>
                      <w:szCs w:val="21"/>
                      <w:highlight w:val="none"/>
                    </w:rPr>
                  </w:pPr>
                </w:p>
              </w:tc>
              <w:tc>
                <w:tcPr>
                  <w:tcW w:w="753" w:type="pct"/>
                  <w:vAlign w:val="center"/>
                </w:tcPr>
                <w:p w14:paraId="60C0FD99">
                  <w:pPr>
                    <w:pStyle w:val="2"/>
                    <w:adjustRightInd/>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rPr>
                    <w:t>废矿物油</w:t>
                  </w:r>
                </w:p>
              </w:tc>
              <w:tc>
                <w:tcPr>
                  <w:tcW w:w="904" w:type="pct"/>
                  <w:vAlign w:val="center"/>
                </w:tcPr>
                <w:p w14:paraId="4BA64AC6">
                  <w:pPr>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rPr>
                    <w:t>维修保养</w:t>
                  </w:r>
                </w:p>
              </w:tc>
              <w:tc>
                <w:tcPr>
                  <w:tcW w:w="621" w:type="pct"/>
                  <w:vAlign w:val="center"/>
                </w:tcPr>
                <w:p w14:paraId="247AF578">
                  <w:pPr>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rPr>
                    <w:t>0.01</w:t>
                  </w:r>
                </w:p>
              </w:tc>
              <w:tc>
                <w:tcPr>
                  <w:tcW w:w="621" w:type="pct"/>
                  <w:vAlign w:val="center"/>
                </w:tcPr>
                <w:p w14:paraId="36EF8C67">
                  <w:pPr>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rPr>
                    <w:t>矿物油</w:t>
                  </w:r>
                </w:p>
              </w:tc>
              <w:tc>
                <w:tcPr>
                  <w:tcW w:w="769" w:type="pct"/>
                  <w:vAlign w:val="center"/>
                </w:tcPr>
                <w:p w14:paraId="3E968F2D">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HW08</w:t>
                  </w:r>
                </w:p>
                <w:p w14:paraId="716B5C7F">
                  <w:pPr>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900-249-08</w:t>
                  </w:r>
                </w:p>
              </w:tc>
              <w:tc>
                <w:tcPr>
                  <w:tcW w:w="820" w:type="pct"/>
                  <w:vMerge w:val="continue"/>
                  <w:vAlign w:val="center"/>
                </w:tcPr>
                <w:p w14:paraId="2BABE312">
                  <w:pPr>
                    <w:pStyle w:val="2"/>
                    <w:adjustRightInd/>
                    <w:jc w:val="center"/>
                    <w:rPr>
                      <w:rFonts w:hint="eastAsia" w:ascii="Times New Roman" w:hAnsi="Times New Roman" w:cs="Times New Roman"/>
                      <w:color w:val="auto"/>
                      <w:sz w:val="21"/>
                      <w:szCs w:val="21"/>
                      <w:lang w:eastAsia="zh-CN"/>
                    </w:rPr>
                  </w:pPr>
                </w:p>
              </w:tc>
            </w:tr>
            <w:tr w14:paraId="6C07AB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9" w:type="pct"/>
                  <w:vMerge w:val="continue"/>
                  <w:vAlign w:val="center"/>
                </w:tcPr>
                <w:p w14:paraId="4C54F367">
                  <w:pPr>
                    <w:jc w:val="center"/>
                    <w:rPr>
                      <w:rFonts w:hint="eastAsia"/>
                      <w:sz w:val="21"/>
                      <w:szCs w:val="21"/>
                      <w:highlight w:val="none"/>
                    </w:rPr>
                  </w:pPr>
                </w:p>
              </w:tc>
              <w:tc>
                <w:tcPr>
                  <w:tcW w:w="753" w:type="pct"/>
                  <w:vAlign w:val="center"/>
                </w:tcPr>
                <w:p w14:paraId="074EE020">
                  <w:pPr>
                    <w:pStyle w:val="2"/>
                    <w:adjustRightInd/>
                    <w:jc w:val="center"/>
                    <w:rPr>
                      <w:rFonts w:hint="eastAsia" w:ascii="Times New Roman" w:hAnsi="Times New Roman" w:eastAsia="宋体" w:cs="Times New Roman"/>
                      <w:color w:val="auto"/>
                      <w:sz w:val="21"/>
                      <w:szCs w:val="21"/>
                      <w:highlight w:val="none"/>
                      <w:u w:val="single"/>
                      <w:lang w:eastAsia="zh-CN"/>
                    </w:rPr>
                  </w:pPr>
                  <w:r>
                    <w:rPr>
                      <w:rFonts w:hint="eastAsia" w:ascii="Times New Roman" w:hAnsi="Times New Roman" w:cs="Times New Roman"/>
                      <w:color w:val="auto"/>
                      <w:sz w:val="21"/>
                      <w:szCs w:val="21"/>
                      <w:highlight w:val="none"/>
                      <w:u w:val="single"/>
                      <w:lang w:eastAsia="zh-CN"/>
                    </w:rPr>
                    <w:t>废导热油</w:t>
                  </w:r>
                </w:p>
              </w:tc>
              <w:tc>
                <w:tcPr>
                  <w:tcW w:w="904" w:type="pct"/>
                  <w:vAlign w:val="center"/>
                </w:tcPr>
                <w:p w14:paraId="6103A72D">
                  <w:pPr>
                    <w:jc w:val="center"/>
                    <w:rPr>
                      <w:rFonts w:hint="eastAsia" w:eastAsia="宋体"/>
                      <w:sz w:val="21"/>
                      <w:szCs w:val="21"/>
                      <w:highlight w:val="none"/>
                      <w:u w:val="single"/>
                      <w:lang w:eastAsia="zh-CN"/>
                    </w:rPr>
                  </w:pPr>
                  <w:r>
                    <w:rPr>
                      <w:rFonts w:hint="eastAsia"/>
                      <w:sz w:val="21"/>
                      <w:szCs w:val="21"/>
                      <w:highlight w:val="none"/>
                      <w:u w:val="single"/>
                      <w:lang w:eastAsia="zh-CN"/>
                    </w:rPr>
                    <w:t>导热油炉</w:t>
                  </w:r>
                </w:p>
              </w:tc>
              <w:tc>
                <w:tcPr>
                  <w:tcW w:w="621" w:type="pct"/>
                  <w:vAlign w:val="center"/>
                </w:tcPr>
                <w:p w14:paraId="1F8022D1">
                  <w:pPr>
                    <w:jc w:val="center"/>
                    <w:rPr>
                      <w:rFonts w:hint="eastAsia" w:eastAsia="宋体"/>
                      <w:sz w:val="21"/>
                      <w:szCs w:val="21"/>
                      <w:highlight w:val="none"/>
                      <w:u w:val="single"/>
                      <w:lang w:val="en-US" w:eastAsia="zh-CN"/>
                    </w:rPr>
                  </w:pPr>
                  <w:r>
                    <w:rPr>
                      <w:rFonts w:hint="eastAsia"/>
                      <w:sz w:val="21"/>
                      <w:szCs w:val="21"/>
                      <w:highlight w:val="none"/>
                      <w:u w:val="single"/>
                      <w:lang w:val="en-US" w:eastAsia="zh-CN"/>
                    </w:rPr>
                    <w:t>1</w:t>
                  </w:r>
                </w:p>
              </w:tc>
              <w:tc>
                <w:tcPr>
                  <w:tcW w:w="621" w:type="pct"/>
                  <w:vAlign w:val="center"/>
                </w:tcPr>
                <w:p w14:paraId="0519B3E9">
                  <w:pPr>
                    <w:jc w:val="center"/>
                    <w:rPr>
                      <w:rFonts w:hint="eastAsia"/>
                      <w:sz w:val="21"/>
                      <w:szCs w:val="21"/>
                      <w:highlight w:val="none"/>
                      <w:u w:val="single"/>
                    </w:rPr>
                  </w:pPr>
                  <w:r>
                    <w:rPr>
                      <w:rFonts w:hint="eastAsia"/>
                      <w:sz w:val="21"/>
                      <w:szCs w:val="21"/>
                      <w:highlight w:val="none"/>
                      <w:u w:val="single"/>
                    </w:rPr>
                    <w:t>矿物油</w:t>
                  </w:r>
                </w:p>
              </w:tc>
              <w:tc>
                <w:tcPr>
                  <w:tcW w:w="769" w:type="pct"/>
                  <w:vAlign w:val="center"/>
                </w:tcPr>
                <w:p w14:paraId="1AD8F323">
                  <w:pPr>
                    <w:jc w:val="center"/>
                    <w:rPr>
                      <w:color w:val="000000" w:themeColor="text1"/>
                      <w:sz w:val="21"/>
                      <w:szCs w:val="21"/>
                      <w:highlight w:val="none"/>
                      <w:u w:val="single"/>
                      <w14:textFill>
                        <w14:solidFill>
                          <w14:schemeClr w14:val="tx1"/>
                        </w14:solidFill>
                      </w14:textFill>
                    </w:rPr>
                  </w:pPr>
                  <w:r>
                    <w:rPr>
                      <w:color w:val="000000" w:themeColor="text1"/>
                      <w:sz w:val="21"/>
                      <w:szCs w:val="21"/>
                      <w:highlight w:val="none"/>
                      <w:u w:val="single"/>
                      <w14:textFill>
                        <w14:solidFill>
                          <w14:schemeClr w14:val="tx1"/>
                        </w14:solidFill>
                      </w14:textFill>
                    </w:rPr>
                    <w:t>HW08</w:t>
                  </w:r>
                </w:p>
                <w:p w14:paraId="0FE90A61">
                  <w:pPr>
                    <w:jc w:val="center"/>
                    <w:rPr>
                      <w:color w:val="000000" w:themeColor="text1"/>
                      <w:sz w:val="21"/>
                      <w:szCs w:val="21"/>
                      <w:highlight w:val="none"/>
                      <w:u w:val="single"/>
                      <w14:textFill>
                        <w14:solidFill>
                          <w14:schemeClr w14:val="tx1"/>
                        </w14:solidFill>
                      </w14:textFill>
                    </w:rPr>
                  </w:pPr>
                  <w:r>
                    <w:rPr>
                      <w:color w:val="000000" w:themeColor="text1"/>
                      <w:sz w:val="21"/>
                      <w:szCs w:val="21"/>
                      <w:highlight w:val="none"/>
                      <w:u w:val="single"/>
                      <w14:textFill>
                        <w14:solidFill>
                          <w14:schemeClr w14:val="tx1"/>
                        </w14:solidFill>
                      </w14:textFill>
                    </w:rPr>
                    <w:t>900-249-08</w:t>
                  </w:r>
                </w:p>
              </w:tc>
              <w:tc>
                <w:tcPr>
                  <w:tcW w:w="820" w:type="pct"/>
                  <w:vMerge w:val="continue"/>
                  <w:vAlign w:val="center"/>
                </w:tcPr>
                <w:p w14:paraId="2F9C4329">
                  <w:pPr>
                    <w:pStyle w:val="2"/>
                    <w:adjustRightInd/>
                    <w:jc w:val="center"/>
                    <w:rPr>
                      <w:rFonts w:hint="eastAsia" w:ascii="Times New Roman" w:hAnsi="Times New Roman" w:cs="Times New Roman"/>
                      <w:color w:val="auto"/>
                      <w:sz w:val="21"/>
                      <w:szCs w:val="21"/>
                      <w:lang w:eastAsia="zh-CN"/>
                    </w:rPr>
                  </w:pPr>
                </w:p>
              </w:tc>
            </w:tr>
            <w:tr w14:paraId="0E59C0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9" w:type="pct"/>
                  <w:vMerge w:val="continue"/>
                  <w:vAlign w:val="center"/>
                </w:tcPr>
                <w:p w14:paraId="53726141">
                  <w:pPr>
                    <w:jc w:val="center"/>
                    <w:rPr>
                      <w:sz w:val="21"/>
                      <w:szCs w:val="21"/>
                    </w:rPr>
                  </w:pPr>
                </w:p>
              </w:tc>
              <w:tc>
                <w:tcPr>
                  <w:tcW w:w="753" w:type="pct"/>
                  <w:vAlign w:val="center"/>
                </w:tcPr>
                <w:p w14:paraId="7097A669">
                  <w:pPr>
                    <w:pStyle w:val="2"/>
                    <w:adjustRightInd/>
                    <w:jc w:val="center"/>
                    <w:rPr>
                      <w:rFonts w:ascii="Times New Roman" w:hAnsi="Times New Roman" w:cs="Times New Roman"/>
                      <w:color w:val="auto"/>
                      <w:sz w:val="21"/>
                      <w:szCs w:val="21"/>
                    </w:rPr>
                  </w:pPr>
                  <w:r>
                    <w:rPr>
                      <w:rFonts w:ascii="Times New Roman" w:hAnsi="Times New Roman" w:cs="Times New Roman"/>
                      <w:color w:val="auto"/>
                      <w:sz w:val="21"/>
                      <w:szCs w:val="21"/>
                    </w:rPr>
                    <w:t>废含油抹布及手套</w:t>
                  </w:r>
                </w:p>
              </w:tc>
              <w:tc>
                <w:tcPr>
                  <w:tcW w:w="904" w:type="pct"/>
                  <w:vAlign w:val="center"/>
                </w:tcPr>
                <w:p w14:paraId="5BF96FEF">
                  <w:pPr>
                    <w:jc w:val="center"/>
                    <w:rPr>
                      <w:sz w:val="21"/>
                      <w:szCs w:val="21"/>
                    </w:rPr>
                  </w:pPr>
                  <w:r>
                    <w:rPr>
                      <w:rFonts w:hint="eastAsia"/>
                      <w:sz w:val="21"/>
                      <w:szCs w:val="21"/>
                    </w:rPr>
                    <w:t>维修保养</w:t>
                  </w:r>
                </w:p>
              </w:tc>
              <w:tc>
                <w:tcPr>
                  <w:tcW w:w="621" w:type="pct"/>
                  <w:vAlign w:val="center"/>
                </w:tcPr>
                <w:p w14:paraId="261EBB82">
                  <w:pPr>
                    <w:jc w:val="center"/>
                    <w:rPr>
                      <w:sz w:val="21"/>
                      <w:szCs w:val="21"/>
                    </w:rPr>
                  </w:pPr>
                  <w:r>
                    <w:rPr>
                      <w:rFonts w:hint="eastAsia"/>
                      <w:sz w:val="21"/>
                      <w:szCs w:val="21"/>
                    </w:rPr>
                    <w:t>0.1</w:t>
                  </w:r>
                </w:p>
              </w:tc>
              <w:tc>
                <w:tcPr>
                  <w:tcW w:w="621" w:type="pct"/>
                  <w:vAlign w:val="center"/>
                </w:tcPr>
                <w:p w14:paraId="5C8090B5">
                  <w:pPr>
                    <w:jc w:val="center"/>
                    <w:rPr>
                      <w:sz w:val="21"/>
                      <w:szCs w:val="21"/>
                    </w:rPr>
                  </w:pPr>
                  <w:r>
                    <w:rPr>
                      <w:rFonts w:hint="eastAsia"/>
                      <w:sz w:val="21"/>
                      <w:szCs w:val="21"/>
                    </w:rPr>
                    <w:t>矿物油</w:t>
                  </w:r>
                </w:p>
              </w:tc>
              <w:tc>
                <w:tcPr>
                  <w:tcW w:w="769" w:type="pct"/>
                  <w:vAlign w:val="center"/>
                </w:tcPr>
                <w:p w14:paraId="029F50BE">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HW49</w:t>
                  </w:r>
                </w:p>
                <w:p w14:paraId="3A6B2EED">
                  <w:pPr>
                    <w:jc w:val="center"/>
                    <w:rPr>
                      <w:sz w:val="21"/>
                      <w:szCs w:val="21"/>
                    </w:rPr>
                  </w:pPr>
                  <w:r>
                    <w:rPr>
                      <w:color w:val="000000" w:themeColor="text1"/>
                      <w:sz w:val="21"/>
                      <w:szCs w:val="21"/>
                      <w14:textFill>
                        <w14:solidFill>
                          <w14:schemeClr w14:val="tx1"/>
                        </w14:solidFill>
                      </w14:textFill>
                    </w:rPr>
                    <w:t>900-041-49</w:t>
                  </w:r>
                </w:p>
              </w:tc>
              <w:tc>
                <w:tcPr>
                  <w:tcW w:w="820" w:type="pct"/>
                  <w:vMerge w:val="continue"/>
                  <w:vAlign w:val="center"/>
                </w:tcPr>
                <w:p w14:paraId="4A8E6D1A">
                  <w:pPr>
                    <w:pStyle w:val="2"/>
                    <w:adjustRightInd/>
                    <w:jc w:val="center"/>
                    <w:rPr>
                      <w:rFonts w:ascii="Times New Roman" w:hAnsi="Times New Roman" w:cs="Times New Roman"/>
                      <w:color w:val="auto"/>
                      <w:sz w:val="21"/>
                      <w:szCs w:val="21"/>
                    </w:rPr>
                  </w:pPr>
                </w:p>
              </w:tc>
            </w:tr>
          </w:tbl>
          <w:p w14:paraId="5EEACE7C">
            <w:pPr>
              <w:spacing w:line="360" w:lineRule="auto"/>
              <w:ind w:firstLine="480" w:firstLineChars="200"/>
              <w:rPr>
                <w:rFonts w:hint="eastAsia" w:eastAsia="宋体"/>
                <w:bCs/>
                <w:kern w:val="0"/>
                <w:u w:val="single"/>
                <w:vertAlign w:val="baseline"/>
                <w:lang w:val="en-US" w:eastAsia="zh-CN"/>
              </w:rPr>
            </w:pPr>
            <w:r>
              <w:rPr>
                <w:rFonts w:hint="eastAsia"/>
                <w:bCs/>
                <w:kern w:val="0"/>
                <w:u w:val="single"/>
                <w:lang w:eastAsia="zh-CN"/>
              </w:rPr>
              <w:t>本项目在厂房东侧设置</w:t>
            </w:r>
            <w:r>
              <w:rPr>
                <w:rFonts w:hint="eastAsia"/>
                <w:bCs/>
                <w:kern w:val="0"/>
                <w:u w:val="single"/>
                <w:lang w:val="en-US" w:eastAsia="zh-CN"/>
              </w:rPr>
              <w:t>10m</w:t>
            </w:r>
            <w:r>
              <w:rPr>
                <w:rFonts w:hint="eastAsia"/>
                <w:bCs/>
                <w:kern w:val="0"/>
                <w:u w:val="single"/>
                <w:vertAlign w:val="superscript"/>
                <w:lang w:val="en-US" w:eastAsia="zh-CN"/>
              </w:rPr>
              <w:t>3</w:t>
            </w:r>
            <w:r>
              <w:rPr>
                <w:rFonts w:hint="eastAsia"/>
                <w:bCs/>
                <w:kern w:val="0"/>
                <w:u w:val="single"/>
                <w:vertAlign w:val="baseline"/>
                <w:lang w:val="en-US" w:eastAsia="zh-CN"/>
              </w:rPr>
              <w:t>危废间，设计储存能力为15t，</w:t>
            </w:r>
            <w:r>
              <w:rPr>
                <w:rFonts w:hint="default" w:ascii="Times New Roman" w:hAnsi="Times New Roman" w:cs="Times New Roman"/>
                <w:color w:val="000000" w:themeColor="text1"/>
                <w:kern w:val="2"/>
                <w:szCs w:val="24"/>
                <w:u w:val="single"/>
                <w:lang w:bidi="ar"/>
                <w14:textFill>
                  <w14:solidFill>
                    <w14:schemeClr w14:val="tx1"/>
                  </w14:solidFill>
                </w14:textFill>
              </w:rPr>
              <w:t>环评</w:t>
            </w:r>
            <w:r>
              <w:rPr>
                <w:rFonts w:hint="eastAsia" w:cs="Times New Roman"/>
                <w:color w:val="000000" w:themeColor="text1"/>
                <w:kern w:val="2"/>
                <w:szCs w:val="24"/>
                <w:u w:val="single"/>
                <w:lang w:eastAsia="zh-CN" w:bidi="ar"/>
                <w14:textFill>
                  <w14:solidFill>
                    <w14:schemeClr w14:val="tx1"/>
                  </w14:solidFill>
                </w14:textFill>
              </w:rPr>
              <w:t>要求</w:t>
            </w:r>
            <w:r>
              <w:rPr>
                <w:rFonts w:hint="default" w:ascii="Times New Roman" w:hAnsi="Times New Roman" w:cs="Times New Roman"/>
                <w:color w:val="000000" w:themeColor="text1"/>
                <w:kern w:val="2"/>
                <w:szCs w:val="24"/>
                <w:u w:val="single"/>
                <w:lang w:bidi="ar"/>
                <w14:textFill>
                  <w14:solidFill>
                    <w14:schemeClr w14:val="tx1"/>
                  </w14:solidFill>
                </w14:textFill>
              </w:rPr>
              <w:t>本项目严格按照</w:t>
            </w:r>
            <w:r>
              <w:rPr>
                <w:rFonts w:hint="default" w:ascii="Times New Roman" w:hAnsi="Times New Roman" w:cs="Times New Roman"/>
                <w:color w:val="000000" w:themeColor="text1"/>
                <w:kern w:val="2"/>
                <w:szCs w:val="22"/>
                <w:u w:val="single"/>
                <w14:textFill>
                  <w14:solidFill>
                    <w14:schemeClr w14:val="tx1"/>
                  </w14:solidFill>
                </w14:textFill>
              </w:rPr>
              <w:t>《危险废物贮存污染控制标准》（GB18597-2023）</w:t>
            </w:r>
            <w:r>
              <w:rPr>
                <w:rFonts w:hint="default" w:ascii="Times New Roman" w:hAnsi="Times New Roman" w:cs="Times New Roman"/>
                <w:color w:val="000000" w:themeColor="text1"/>
                <w:kern w:val="2"/>
                <w:szCs w:val="24"/>
                <w:u w:val="single"/>
                <w:lang w:bidi="ar"/>
                <w14:textFill>
                  <w14:solidFill>
                    <w14:schemeClr w14:val="tx1"/>
                  </w14:solidFill>
                </w14:textFill>
              </w:rPr>
              <w:t>建设危险固废暂存处</w:t>
            </w:r>
            <w:r>
              <w:rPr>
                <w:rFonts w:hint="eastAsia" w:cs="Times New Roman"/>
                <w:color w:val="000000" w:themeColor="text1"/>
                <w:kern w:val="2"/>
                <w:szCs w:val="24"/>
                <w:u w:val="single"/>
                <w:lang w:eastAsia="zh-CN" w:bidi="ar"/>
                <w14:textFill>
                  <w14:solidFill>
                    <w14:schemeClr w14:val="tx1"/>
                  </w14:solidFill>
                </w14:textFill>
              </w:rPr>
              <w:t>。</w:t>
            </w:r>
            <w:r>
              <w:rPr>
                <w:rFonts w:hint="default" w:ascii="Times New Roman" w:hAnsi="Times New Roman" w:cs="Times New Roman"/>
                <w:color w:val="000000" w:themeColor="text1"/>
                <w:kern w:val="2"/>
                <w:szCs w:val="24"/>
                <w:u w:val="single"/>
                <w:lang w:bidi="ar"/>
                <w14:textFill>
                  <w14:solidFill>
                    <w14:schemeClr w14:val="tx1"/>
                  </w14:solidFill>
                </w14:textFill>
              </w:rPr>
              <w:t>各类危险废物收集后严格按照</w:t>
            </w:r>
            <w:r>
              <w:rPr>
                <w:rFonts w:hint="default" w:ascii="Times New Roman" w:hAnsi="Times New Roman" w:cs="Times New Roman"/>
                <w:color w:val="000000" w:themeColor="text1"/>
                <w:kern w:val="2"/>
                <w:szCs w:val="22"/>
                <w:u w:val="single"/>
                <w14:textFill>
                  <w14:solidFill>
                    <w14:schemeClr w14:val="tx1"/>
                  </w14:solidFill>
                </w14:textFill>
              </w:rPr>
              <w:t>《危险废物贮存污染控制标准》（GB18597-2023）</w:t>
            </w:r>
            <w:r>
              <w:rPr>
                <w:rFonts w:hint="default" w:ascii="Times New Roman" w:hAnsi="Times New Roman" w:cs="Times New Roman"/>
                <w:color w:val="000000" w:themeColor="text1"/>
                <w:kern w:val="2"/>
                <w:szCs w:val="24"/>
                <w:u w:val="single"/>
                <w:lang w:bidi="ar"/>
                <w14:textFill>
                  <w14:solidFill>
                    <w14:schemeClr w14:val="tx1"/>
                  </w14:solidFill>
                </w14:textFill>
              </w:rPr>
              <w:t>和《危险废物收集 贮存运输技术规范》（HJ2025-2012）中的要求贮存在厂区存储区。各危险废物的包装表面均按</w:t>
            </w:r>
            <w:r>
              <w:rPr>
                <w:rFonts w:hint="default" w:ascii="Times New Roman" w:hAnsi="Times New Roman" w:cs="Times New Roman"/>
                <w:color w:val="000000" w:themeColor="text1"/>
                <w:kern w:val="2"/>
                <w:szCs w:val="22"/>
                <w:u w:val="single"/>
                <w14:textFill>
                  <w14:solidFill>
                    <w14:schemeClr w14:val="tx1"/>
                  </w14:solidFill>
                </w14:textFill>
              </w:rPr>
              <w:t>《危险废物贮存污染控制标准》（GB18597-2023）</w:t>
            </w:r>
            <w:r>
              <w:rPr>
                <w:rFonts w:hint="default" w:ascii="Times New Roman" w:hAnsi="Times New Roman" w:cs="Times New Roman"/>
                <w:color w:val="000000" w:themeColor="text1"/>
                <w:kern w:val="2"/>
                <w:szCs w:val="24"/>
                <w:u w:val="single"/>
                <w:lang w:bidi="ar"/>
                <w14:textFill>
                  <w14:solidFill>
                    <w14:schemeClr w14:val="tx1"/>
                  </w14:solidFill>
                </w14:textFill>
              </w:rPr>
              <w:t>所示的标签应明确标识出危险废物名称等，并满足《危险货物包装标志》（GB190-2009）中要求</w:t>
            </w:r>
            <w:r>
              <w:rPr>
                <w:rFonts w:hint="eastAsia" w:cs="Times New Roman"/>
                <w:color w:val="000000" w:themeColor="text1"/>
                <w:kern w:val="2"/>
                <w:szCs w:val="24"/>
                <w:u w:val="single"/>
                <w:lang w:eastAsia="zh-CN" w:bidi="ar"/>
                <w14:textFill>
                  <w14:solidFill>
                    <w14:schemeClr w14:val="tx1"/>
                  </w14:solidFill>
                </w14:textFill>
              </w:rPr>
              <w:t>。</w:t>
            </w:r>
          </w:p>
          <w:p w14:paraId="070CFCD5">
            <w:pPr>
              <w:spacing w:line="360" w:lineRule="auto"/>
              <w:ind w:firstLine="480" w:firstLineChars="200"/>
              <w:rPr>
                <w:bCs/>
                <w:kern w:val="0"/>
              </w:rPr>
            </w:pPr>
            <w:r>
              <w:rPr>
                <w:rFonts w:hint="eastAsia"/>
                <w:bCs/>
                <w:kern w:val="0"/>
              </w:rPr>
              <w:t>综上，在落实以上固体废物污染防治措施、加强环境管理的前提下，项目的各项固体废物均可达到妥善处置，不会对环境产生二次污染。</w:t>
            </w:r>
          </w:p>
          <w:p w14:paraId="0CFE2919">
            <w:pPr>
              <w:wordWrap w:val="0"/>
              <w:topLinePunct/>
              <w:adjustRightInd w:val="0"/>
              <w:snapToGrid w:val="0"/>
              <w:spacing w:line="360" w:lineRule="auto"/>
              <w:ind w:left="480" w:leftChars="200"/>
              <w:rPr>
                <w:b/>
                <w:szCs w:val="21"/>
              </w:rPr>
            </w:pPr>
            <w:r>
              <w:rPr>
                <w:b/>
                <w:szCs w:val="21"/>
              </w:rPr>
              <w:t>5、土壤</w:t>
            </w:r>
          </w:p>
          <w:p w14:paraId="6FA6A054">
            <w:pPr>
              <w:adjustRightInd w:val="0"/>
              <w:snapToGrid w:val="0"/>
              <w:spacing w:line="360" w:lineRule="auto"/>
              <w:ind w:firstLine="480" w:firstLineChars="200"/>
              <w:rPr>
                <w:kern w:val="0"/>
              </w:rPr>
            </w:pPr>
            <w:r>
              <w:rPr>
                <w:kern w:val="0"/>
              </w:rPr>
              <w:t>项目选址土壤敏感程度不敏感，生产全程为物理过程，不涉及化学反应，车间经地面硬化和防渗处理后，对土壤的影响不大。</w:t>
            </w:r>
          </w:p>
          <w:p w14:paraId="3C7209EC">
            <w:pPr>
              <w:wordWrap w:val="0"/>
              <w:topLinePunct/>
              <w:adjustRightInd w:val="0"/>
              <w:snapToGrid w:val="0"/>
              <w:spacing w:line="360" w:lineRule="auto"/>
              <w:ind w:left="480" w:leftChars="200"/>
              <w:rPr>
                <w:b/>
                <w:szCs w:val="21"/>
              </w:rPr>
            </w:pPr>
            <w:r>
              <w:rPr>
                <w:b/>
                <w:szCs w:val="21"/>
              </w:rPr>
              <w:t>6、地下水</w:t>
            </w:r>
          </w:p>
          <w:p w14:paraId="64375811">
            <w:pPr>
              <w:widowControl/>
              <w:spacing w:line="360" w:lineRule="auto"/>
              <w:ind w:firstLine="480" w:firstLineChars="200"/>
              <w:jc w:val="left"/>
            </w:pPr>
            <w:r>
              <w:rPr>
                <w:color w:val="000000"/>
                <w:kern w:val="0"/>
                <w:lang w:bidi="ar"/>
              </w:rPr>
              <w:t xml:space="preserve">本项目运营期正常情况下对地下水水质的影响较小。为防止项目运营对地下水的影响，根据工程特点和当地的实际情况，按照“源头控制、分区防治、污染监控、应急响应”的地下水污染防治总体原则，本工程将从污染物的产生、入渗、扩散、应急响应采取全方位的防渗控制措施。 </w:t>
            </w:r>
          </w:p>
          <w:p w14:paraId="0F46B02C">
            <w:pPr>
              <w:widowControl/>
              <w:spacing w:line="360" w:lineRule="auto"/>
              <w:ind w:firstLine="480" w:firstLineChars="200"/>
              <w:jc w:val="left"/>
            </w:pPr>
            <w:r>
              <w:rPr>
                <w:color w:val="000000"/>
                <w:kern w:val="0"/>
                <w:lang w:bidi="ar"/>
              </w:rPr>
              <w:t>地下水污染的特点主要体现在它的滞后性和难恢复性，基于上述两点原因，决定了地下水污染防治的特点是以防为主，且需加强监测，以便及时发现问题、及时解决</w:t>
            </w:r>
          </w:p>
          <w:p w14:paraId="2B88E487">
            <w:pPr>
              <w:widowControl/>
              <w:spacing w:line="360" w:lineRule="auto"/>
              <w:ind w:firstLine="480" w:firstLineChars="200"/>
              <w:jc w:val="left"/>
            </w:pPr>
            <w:r>
              <w:rPr>
                <w:rFonts w:hint="eastAsia"/>
                <w:kern w:val="0"/>
              </w:rPr>
              <w:t>分区防渗：根据本项目实际情况，厂区大致分为三个区域</w:t>
            </w:r>
            <w:r>
              <w:rPr>
                <w:kern w:val="0"/>
              </w:rPr>
              <w:t>，</w:t>
            </w:r>
            <w:r>
              <w:rPr>
                <w:rFonts w:hint="eastAsia"/>
                <w:kern w:val="0"/>
              </w:rPr>
              <w:t>办公室、食堂为简单防渗区</w:t>
            </w:r>
            <w:r>
              <w:rPr>
                <w:rFonts w:hint="eastAsia"/>
              </w:rPr>
              <w:t>；生产车间、原料仓库、成品仓库为一般防渗区；危废暂存间为重点防渗区</w:t>
            </w:r>
            <w:r>
              <w:t>。</w:t>
            </w:r>
          </w:p>
          <w:p w14:paraId="0F560FDA">
            <w:pPr>
              <w:widowControl/>
              <w:spacing w:line="360" w:lineRule="auto"/>
              <w:ind w:firstLine="480" w:firstLineChars="200"/>
              <w:jc w:val="left"/>
            </w:pPr>
            <w:r>
              <w:rPr>
                <w:rFonts w:hint="eastAsia"/>
              </w:rPr>
              <w:t xml:space="preserve">在确保各项防渗措施得以落实，并加强维护和厂区环境管理的前提下，可有效控制厂区内的污染物下渗现象，避免污染地下水，加之该地区地层渗透性差，因此项目不会对区域地下水环境产生明显影响。 </w:t>
            </w:r>
          </w:p>
          <w:p w14:paraId="1F73754C">
            <w:pPr>
              <w:widowControl/>
              <w:spacing w:line="360" w:lineRule="auto"/>
              <w:ind w:firstLine="480" w:firstLineChars="200"/>
              <w:jc w:val="left"/>
            </w:pPr>
            <w:r>
              <w:rPr>
                <w:rFonts w:hint="eastAsia"/>
              </w:rPr>
              <w:t>综上所述，在做好上述地下水污染防治措施的情况下，本项目对地下水不会造成明显的影响。</w:t>
            </w:r>
          </w:p>
          <w:p w14:paraId="6880E926">
            <w:pPr>
              <w:spacing w:line="360" w:lineRule="auto"/>
              <w:ind w:firstLine="482" w:firstLineChars="200"/>
              <w:rPr>
                <w:b/>
              </w:rPr>
            </w:pPr>
            <w:r>
              <w:rPr>
                <w:rFonts w:hint="eastAsia"/>
                <w:b/>
                <w:kern w:val="0"/>
                <w:szCs w:val="21"/>
              </w:rPr>
              <w:t>7、生态</w:t>
            </w:r>
          </w:p>
          <w:p w14:paraId="6B1F2C21">
            <w:pPr>
              <w:pStyle w:val="14"/>
              <w:spacing w:before="0" w:after="0" w:line="360" w:lineRule="auto"/>
              <w:ind w:right="0" w:firstLine="480" w:firstLineChars="200"/>
              <w:rPr>
                <w:sz w:val="24"/>
                <w:szCs w:val="24"/>
              </w:rPr>
            </w:pPr>
            <w:r>
              <w:rPr>
                <w:rFonts w:hint="eastAsia"/>
                <w:sz w:val="24"/>
                <w:szCs w:val="24"/>
              </w:rPr>
              <w:t>本项目租赁己建成厂房进行建设，占用土地类型为工业用地，不新增占地。在采取报告表提出的污染防治措施后，项目“三废” 均能做到达标排放和妥善处置，项目的建设运营不会对周边生态环境产生明显影响。</w:t>
            </w:r>
          </w:p>
          <w:p w14:paraId="762BE6F9">
            <w:pPr>
              <w:wordWrap w:val="0"/>
              <w:topLinePunct/>
              <w:adjustRightInd w:val="0"/>
              <w:snapToGrid w:val="0"/>
              <w:spacing w:line="360" w:lineRule="auto"/>
              <w:ind w:left="480" w:leftChars="200"/>
              <w:rPr>
                <w:kern w:val="0"/>
                <w:szCs w:val="21"/>
              </w:rPr>
            </w:pPr>
            <w:r>
              <w:rPr>
                <w:rFonts w:hint="eastAsia"/>
                <w:b/>
                <w:kern w:val="0"/>
                <w:szCs w:val="21"/>
              </w:rPr>
              <w:t>8</w:t>
            </w:r>
            <w:r>
              <w:rPr>
                <w:b/>
                <w:kern w:val="0"/>
                <w:szCs w:val="21"/>
              </w:rPr>
              <w:t>、环境风险</w:t>
            </w:r>
          </w:p>
          <w:p w14:paraId="22B01646">
            <w:pPr>
              <w:adjustRightInd w:val="0"/>
              <w:snapToGrid w:val="0"/>
              <w:spacing w:line="360" w:lineRule="auto"/>
              <w:ind w:firstLine="480" w:firstLineChars="200"/>
              <w:rPr>
                <w:bCs/>
              </w:rPr>
            </w:pPr>
            <w:r>
              <w:rPr>
                <w:bCs/>
              </w:rPr>
              <w:t>（1）风险调查</w:t>
            </w:r>
          </w:p>
          <w:p w14:paraId="22DBC75D">
            <w:pPr>
              <w:adjustRightInd w:val="0"/>
              <w:snapToGrid w:val="0"/>
              <w:spacing w:line="360" w:lineRule="auto"/>
              <w:ind w:firstLine="480" w:firstLineChars="200"/>
              <w:rPr>
                <w:bCs/>
              </w:rPr>
            </w:pPr>
            <w:r>
              <w:rPr>
                <w:bCs/>
              </w:rPr>
              <w:t>根据《建设项目环境风险评价技术导则》（HJ169-2018）及其附录B，本项目</w:t>
            </w:r>
            <w:r>
              <w:rPr>
                <w:rFonts w:hint="eastAsia"/>
                <w:bCs/>
              </w:rPr>
              <w:t>涉及的</w:t>
            </w:r>
            <w:r>
              <w:rPr>
                <w:bCs/>
              </w:rPr>
              <w:t>突发环境事件风险物质</w:t>
            </w:r>
            <w:r>
              <w:rPr>
                <w:rFonts w:hint="eastAsia"/>
                <w:bCs/>
              </w:rPr>
              <w:t>主要为废矿物油、废矿物油桶、含油废抹布及手套</w:t>
            </w:r>
            <w:r>
              <w:rPr>
                <w:bCs/>
              </w:rPr>
              <w:t>。</w:t>
            </w:r>
          </w:p>
          <w:p w14:paraId="7A8A0854">
            <w:pPr>
              <w:adjustRightInd w:val="0"/>
              <w:snapToGrid w:val="0"/>
              <w:spacing w:line="360" w:lineRule="auto"/>
              <w:ind w:firstLine="480" w:firstLineChars="200"/>
              <w:rPr>
                <w:bCs/>
              </w:rPr>
            </w:pPr>
            <w:r>
              <w:rPr>
                <w:rFonts w:hint="eastAsia"/>
                <w:bCs/>
              </w:rPr>
              <w:t>（</w:t>
            </w:r>
            <w:r>
              <w:rPr>
                <w:bCs/>
              </w:rPr>
              <w:t>2</w:t>
            </w:r>
            <w:r>
              <w:rPr>
                <w:rFonts w:hint="eastAsia"/>
                <w:bCs/>
              </w:rPr>
              <w:t>）风险潜势初判</w:t>
            </w:r>
          </w:p>
          <w:p w14:paraId="334568CD">
            <w:pPr>
              <w:pStyle w:val="2"/>
              <w:ind w:firstLine="480"/>
              <w:rPr>
                <w:color w:val="auto"/>
              </w:rPr>
            </w:pPr>
            <w:r>
              <w:rPr>
                <w:rFonts w:hint="eastAsia"/>
                <w:color w:val="auto"/>
              </w:rPr>
              <w:t>危险物质数量与临界量比值：</w:t>
            </w:r>
          </w:p>
          <w:p w14:paraId="59E45F9A">
            <w:pPr>
              <w:pStyle w:val="2"/>
              <w:jc w:val="center"/>
              <w:rPr>
                <w:color w:val="auto"/>
              </w:rPr>
            </w:pPr>
            <w:r>
              <w:rPr>
                <w:color w:val="auto"/>
              </w:rPr>
              <w:drawing>
                <wp:inline distT="0" distB="0" distL="114300" distR="114300">
                  <wp:extent cx="4547870" cy="1219200"/>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a:stretch>
                            <a:fillRect/>
                          </a:stretch>
                        </pic:blipFill>
                        <pic:spPr>
                          <a:xfrm>
                            <a:off x="0" y="0"/>
                            <a:ext cx="4547870" cy="1219200"/>
                          </a:xfrm>
                          <a:prstGeom prst="rect">
                            <a:avLst/>
                          </a:prstGeom>
                          <a:noFill/>
                          <a:ln>
                            <a:noFill/>
                          </a:ln>
                        </pic:spPr>
                      </pic:pic>
                    </a:graphicData>
                  </a:graphic>
                </wp:inline>
              </w:drawing>
            </w:r>
          </w:p>
          <w:p w14:paraId="386D28C7">
            <w:pPr>
              <w:adjustRightInd w:val="0"/>
              <w:snapToGrid w:val="0"/>
              <w:spacing w:line="360" w:lineRule="auto"/>
              <w:ind w:firstLine="440" w:firstLineChars="200"/>
              <w:rPr>
                <w:rFonts w:hint="eastAsia"/>
                <w:bCs/>
                <w:spacing w:val="-10"/>
              </w:rPr>
            </w:pPr>
            <w:r>
              <w:rPr>
                <w:rFonts w:hint="eastAsia"/>
                <w:bCs/>
                <w:spacing w:val="-10"/>
              </w:rPr>
              <w:t>根据《建设项目环境风险评价技术导则》（</w:t>
            </w:r>
            <w:r>
              <w:rPr>
                <w:bCs/>
                <w:spacing w:val="-10"/>
              </w:rPr>
              <w:t>HJ169-2018</w:t>
            </w:r>
            <w:r>
              <w:rPr>
                <w:rFonts w:hint="eastAsia"/>
                <w:bCs/>
                <w:spacing w:val="-10"/>
              </w:rPr>
              <w:t>），危险化学品的生产、加工、使用或储存场所需进行重大危险源分析。项目化学品在厂区内最大存放情况见下表。</w:t>
            </w:r>
          </w:p>
          <w:p w14:paraId="4E430636">
            <w:pPr>
              <w:pStyle w:val="123"/>
              <w:spacing w:before="48"/>
              <w:rPr>
                <w:kern w:val="2"/>
              </w:rPr>
            </w:pPr>
            <w:r>
              <w:rPr>
                <w:rFonts w:hint="eastAsia"/>
                <w:kern w:val="2"/>
              </w:rPr>
              <w:t>表4-1</w:t>
            </w:r>
            <w:r>
              <w:rPr>
                <w:rFonts w:hint="eastAsia"/>
                <w:kern w:val="2"/>
                <w:lang w:val="en-US" w:eastAsia="zh-CN"/>
              </w:rPr>
              <w:t>7</w:t>
            </w:r>
            <w:r>
              <w:rPr>
                <w:kern w:val="2"/>
              </w:rPr>
              <w:t xml:space="preserve"> </w:t>
            </w:r>
            <w:r>
              <w:rPr>
                <w:rFonts w:hint="eastAsia"/>
                <w:kern w:val="2"/>
              </w:rPr>
              <w:t>厂区内最大存放情况一览表</w:t>
            </w:r>
          </w:p>
          <w:tbl>
            <w:tblPr>
              <w:tblStyle w:val="36"/>
              <w:tblW w:w="48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96"/>
              <w:gridCol w:w="2421"/>
              <w:gridCol w:w="2193"/>
              <w:gridCol w:w="1809"/>
            </w:tblGrid>
            <w:tr w14:paraId="7E98DA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9" w:type="pct"/>
                  <w:tcBorders>
                    <w:tl2br w:val="nil"/>
                    <w:tr2bl w:val="nil"/>
                  </w:tcBorders>
                  <w:vAlign w:val="center"/>
                </w:tcPr>
                <w:p w14:paraId="02B0FBD4">
                  <w:pPr>
                    <w:pStyle w:val="118"/>
                    <w:spacing w:line="240" w:lineRule="auto"/>
                    <w:rPr>
                      <w:b/>
                      <w:bCs/>
                      <w:sz w:val="21"/>
                    </w:rPr>
                  </w:pPr>
                  <w:r>
                    <w:rPr>
                      <w:b/>
                      <w:bCs/>
                      <w:sz w:val="21"/>
                    </w:rPr>
                    <w:t>风险物质名称</w:t>
                  </w:r>
                </w:p>
              </w:tc>
              <w:tc>
                <w:tcPr>
                  <w:tcW w:w="1357" w:type="pct"/>
                  <w:tcBorders>
                    <w:tl2br w:val="nil"/>
                    <w:tr2bl w:val="nil"/>
                  </w:tcBorders>
                  <w:vAlign w:val="center"/>
                </w:tcPr>
                <w:p w14:paraId="24529502">
                  <w:pPr>
                    <w:pStyle w:val="118"/>
                    <w:spacing w:line="240" w:lineRule="auto"/>
                    <w:rPr>
                      <w:b/>
                      <w:bCs/>
                      <w:sz w:val="21"/>
                    </w:rPr>
                  </w:pPr>
                  <w:r>
                    <w:rPr>
                      <w:b/>
                      <w:bCs/>
                      <w:sz w:val="21"/>
                    </w:rPr>
                    <w:t>厂界内最大存储量/t</w:t>
                  </w:r>
                </w:p>
              </w:tc>
              <w:tc>
                <w:tcPr>
                  <w:tcW w:w="1229" w:type="pct"/>
                  <w:tcBorders>
                    <w:tl2br w:val="nil"/>
                    <w:tr2bl w:val="nil"/>
                  </w:tcBorders>
                  <w:vAlign w:val="center"/>
                </w:tcPr>
                <w:p w14:paraId="1A24DB84">
                  <w:pPr>
                    <w:pStyle w:val="118"/>
                    <w:spacing w:line="240" w:lineRule="auto"/>
                    <w:rPr>
                      <w:b/>
                      <w:bCs/>
                      <w:sz w:val="21"/>
                    </w:rPr>
                  </w:pPr>
                  <w:r>
                    <w:rPr>
                      <w:b/>
                      <w:bCs/>
                      <w:sz w:val="21"/>
                    </w:rPr>
                    <w:t>临界量/t</w:t>
                  </w:r>
                </w:p>
              </w:tc>
              <w:tc>
                <w:tcPr>
                  <w:tcW w:w="1014" w:type="pct"/>
                  <w:tcBorders>
                    <w:tl2br w:val="nil"/>
                    <w:tr2bl w:val="nil"/>
                  </w:tcBorders>
                  <w:vAlign w:val="center"/>
                </w:tcPr>
                <w:p w14:paraId="77D6F20C">
                  <w:pPr>
                    <w:pStyle w:val="118"/>
                    <w:spacing w:line="240" w:lineRule="auto"/>
                    <w:rPr>
                      <w:b/>
                      <w:bCs/>
                      <w:sz w:val="21"/>
                    </w:rPr>
                  </w:pPr>
                  <w:r>
                    <w:rPr>
                      <w:b/>
                      <w:bCs/>
                      <w:sz w:val="21"/>
                    </w:rPr>
                    <w:t>Q值</w:t>
                  </w:r>
                </w:p>
              </w:tc>
            </w:tr>
            <w:tr w14:paraId="20E373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9" w:type="pct"/>
                  <w:tcBorders>
                    <w:tl2br w:val="nil"/>
                    <w:tr2bl w:val="nil"/>
                  </w:tcBorders>
                  <w:vAlign w:val="center"/>
                </w:tcPr>
                <w:p w14:paraId="653F244D">
                  <w:pPr>
                    <w:pStyle w:val="118"/>
                    <w:spacing w:line="240" w:lineRule="auto"/>
                    <w:rPr>
                      <w:sz w:val="21"/>
                    </w:rPr>
                  </w:pPr>
                  <w:r>
                    <w:rPr>
                      <w:rFonts w:hint="eastAsia"/>
                      <w:sz w:val="21"/>
                    </w:rPr>
                    <w:t>废矿物油</w:t>
                  </w:r>
                </w:p>
              </w:tc>
              <w:tc>
                <w:tcPr>
                  <w:tcW w:w="1357" w:type="pct"/>
                  <w:tcBorders>
                    <w:tl2br w:val="nil"/>
                    <w:tr2bl w:val="nil"/>
                  </w:tcBorders>
                  <w:vAlign w:val="center"/>
                </w:tcPr>
                <w:p w14:paraId="7759EF6D">
                  <w:pPr>
                    <w:pStyle w:val="118"/>
                    <w:spacing w:line="240" w:lineRule="auto"/>
                    <w:rPr>
                      <w:sz w:val="21"/>
                    </w:rPr>
                  </w:pPr>
                  <w:r>
                    <w:rPr>
                      <w:rFonts w:hint="eastAsia"/>
                      <w:sz w:val="21"/>
                    </w:rPr>
                    <w:t>0.01</w:t>
                  </w:r>
                </w:p>
              </w:tc>
              <w:tc>
                <w:tcPr>
                  <w:tcW w:w="1229" w:type="pct"/>
                  <w:tcBorders>
                    <w:tl2br w:val="nil"/>
                    <w:tr2bl w:val="nil"/>
                  </w:tcBorders>
                  <w:vAlign w:val="center"/>
                </w:tcPr>
                <w:p w14:paraId="00CAE34B">
                  <w:pPr>
                    <w:pStyle w:val="118"/>
                    <w:spacing w:line="240" w:lineRule="auto"/>
                    <w:rPr>
                      <w:sz w:val="21"/>
                    </w:rPr>
                  </w:pPr>
                  <w:r>
                    <w:rPr>
                      <w:rFonts w:hint="eastAsia"/>
                      <w:sz w:val="21"/>
                    </w:rPr>
                    <w:t>2500</w:t>
                  </w:r>
                </w:p>
              </w:tc>
              <w:tc>
                <w:tcPr>
                  <w:tcW w:w="1014" w:type="pct"/>
                  <w:tcBorders>
                    <w:tl2br w:val="nil"/>
                    <w:tr2bl w:val="nil"/>
                  </w:tcBorders>
                  <w:vAlign w:val="center"/>
                </w:tcPr>
                <w:p w14:paraId="630C1A9B">
                  <w:pPr>
                    <w:pStyle w:val="118"/>
                    <w:spacing w:line="240" w:lineRule="auto"/>
                    <w:rPr>
                      <w:sz w:val="21"/>
                    </w:rPr>
                  </w:pPr>
                  <w:r>
                    <w:rPr>
                      <w:rFonts w:hint="eastAsia"/>
                      <w:sz w:val="21"/>
                    </w:rPr>
                    <w:t>0.000004</w:t>
                  </w:r>
                </w:p>
              </w:tc>
            </w:tr>
            <w:tr w14:paraId="223F87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9" w:type="pct"/>
                  <w:tcBorders>
                    <w:tl2br w:val="nil"/>
                    <w:tr2bl w:val="nil"/>
                  </w:tcBorders>
                  <w:vAlign w:val="center"/>
                </w:tcPr>
                <w:p w14:paraId="7CFF9E3D">
                  <w:pPr>
                    <w:pStyle w:val="118"/>
                    <w:spacing w:line="240" w:lineRule="auto"/>
                    <w:rPr>
                      <w:rFonts w:hint="eastAsia" w:eastAsia="宋体"/>
                      <w:sz w:val="21"/>
                      <w:lang w:eastAsia="zh-CN"/>
                    </w:rPr>
                  </w:pPr>
                  <w:r>
                    <w:rPr>
                      <w:rFonts w:hint="eastAsia"/>
                      <w:sz w:val="21"/>
                      <w:lang w:eastAsia="zh-CN"/>
                    </w:rPr>
                    <w:t>废导热油</w:t>
                  </w:r>
                </w:p>
              </w:tc>
              <w:tc>
                <w:tcPr>
                  <w:tcW w:w="1357" w:type="pct"/>
                  <w:tcBorders>
                    <w:tl2br w:val="nil"/>
                    <w:tr2bl w:val="nil"/>
                  </w:tcBorders>
                  <w:vAlign w:val="center"/>
                </w:tcPr>
                <w:p w14:paraId="64B4A13E">
                  <w:pPr>
                    <w:pStyle w:val="118"/>
                    <w:spacing w:line="240" w:lineRule="auto"/>
                    <w:rPr>
                      <w:rFonts w:hint="eastAsia" w:eastAsia="宋体"/>
                      <w:sz w:val="21"/>
                      <w:lang w:val="en-US" w:eastAsia="zh-CN"/>
                    </w:rPr>
                  </w:pPr>
                  <w:r>
                    <w:rPr>
                      <w:rFonts w:hint="eastAsia"/>
                      <w:sz w:val="21"/>
                      <w:lang w:val="en-US" w:eastAsia="zh-CN"/>
                    </w:rPr>
                    <w:t>1</w:t>
                  </w:r>
                </w:p>
              </w:tc>
              <w:tc>
                <w:tcPr>
                  <w:tcW w:w="1229" w:type="pct"/>
                  <w:tcBorders>
                    <w:tl2br w:val="nil"/>
                    <w:tr2bl w:val="nil"/>
                  </w:tcBorders>
                  <w:vAlign w:val="center"/>
                </w:tcPr>
                <w:p w14:paraId="785767E9">
                  <w:pPr>
                    <w:pStyle w:val="118"/>
                    <w:spacing w:line="240" w:lineRule="auto"/>
                    <w:rPr>
                      <w:rFonts w:hint="eastAsia"/>
                      <w:sz w:val="21"/>
                    </w:rPr>
                  </w:pPr>
                  <w:r>
                    <w:rPr>
                      <w:rFonts w:hint="eastAsia"/>
                      <w:sz w:val="21"/>
                    </w:rPr>
                    <w:t>2500</w:t>
                  </w:r>
                </w:p>
              </w:tc>
              <w:tc>
                <w:tcPr>
                  <w:tcW w:w="1014" w:type="pct"/>
                  <w:tcBorders>
                    <w:tl2br w:val="nil"/>
                    <w:tr2bl w:val="nil"/>
                  </w:tcBorders>
                  <w:vAlign w:val="center"/>
                </w:tcPr>
                <w:p w14:paraId="59A54F14">
                  <w:pPr>
                    <w:pStyle w:val="118"/>
                    <w:spacing w:line="240" w:lineRule="auto"/>
                    <w:rPr>
                      <w:rFonts w:hint="default" w:eastAsia="宋体"/>
                      <w:sz w:val="21"/>
                      <w:lang w:val="en-US" w:eastAsia="zh-CN"/>
                    </w:rPr>
                  </w:pPr>
                  <w:r>
                    <w:rPr>
                      <w:rFonts w:hint="eastAsia"/>
                      <w:sz w:val="21"/>
                      <w:lang w:val="en-US" w:eastAsia="zh-CN"/>
                    </w:rPr>
                    <w:t>0.0004</w:t>
                  </w:r>
                </w:p>
              </w:tc>
            </w:tr>
            <w:tr w14:paraId="52D703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9" w:type="pct"/>
                  <w:tcBorders>
                    <w:tl2br w:val="nil"/>
                    <w:tr2bl w:val="nil"/>
                  </w:tcBorders>
                  <w:vAlign w:val="center"/>
                </w:tcPr>
                <w:p w14:paraId="65852144">
                  <w:pPr>
                    <w:pStyle w:val="118"/>
                    <w:spacing w:line="240" w:lineRule="auto"/>
                    <w:rPr>
                      <w:sz w:val="21"/>
                    </w:rPr>
                  </w:pPr>
                  <w:r>
                    <w:rPr>
                      <w:rFonts w:hint="eastAsia"/>
                      <w:sz w:val="21"/>
                    </w:rPr>
                    <w:t>含油废抹布及手套</w:t>
                  </w:r>
                </w:p>
              </w:tc>
              <w:tc>
                <w:tcPr>
                  <w:tcW w:w="1357" w:type="pct"/>
                  <w:tcBorders>
                    <w:tl2br w:val="nil"/>
                    <w:tr2bl w:val="nil"/>
                  </w:tcBorders>
                  <w:vAlign w:val="center"/>
                </w:tcPr>
                <w:p w14:paraId="6041CEFF">
                  <w:pPr>
                    <w:pStyle w:val="118"/>
                    <w:spacing w:line="240" w:lineRule="auto"/>
                    <w:rPr>
                      <w:sz w:val="21"/>
                    </w:rPr>
                  </w:pPr>
                  <w:r>
                    <w:rPr>
                      <w:rFonts w:hint="eastAsia"/>
                      <w:sz w:val="21"/>
                    </w:rPr>
                    <w:t>0.1</w:t>
                  </w:r>
                </w:p>
              </w:tc>
              <w:tc>
                <w:tcPr>
                  <w:tcW w:w="1229" w:type="pct"/>
                  <w:tcBorders>
                    <w:tl2br w:val="nil"/>
                    <w:tr2bl w:val="nil"/>
                  </w:tcBorders>
                  <w:vAlign w:val="center"/>
                </w:tcPr>
                <w:p w14:paraId="34E5E2D8">
                  <w:pPr>
                    <w:pStyle w:val="118"/>
                    <w:spacing w:line="240" w:lineRule="auto"/>
                    <w:rPr>
                      <w:sz w:val="21"/>
                    </w:rPr>
                  </w:pPr>
                  <w:r>
                    <w:rPr>
                      <w:rFonts w:hint="eastAsia"/>
                      <w:sz w:val="21"/>
                    </w:rPr>
                    <w:t>2500</w:t>
                  </w:r>
                </w:p>
              </w:tc>
              <w:tc>
                <w:tcPr>
                  <w:tcW w:w="1014" w:type="pct"/>
                  <w:tcBorders>
                    <w:tl2br w:val="nil"/>
                    <w:tr2bl w:val="nil"/>
                  </w:tcBorders>
                  <w:vAlign w:val="center"/>
                </w:tcPr>
                <w:p w14:paraId="103B74CC">
                  <w:pPr>
                    <w:pStyle w:val="118"/>
                    <w:spacing w:line="240" w:lineRule="auto"/>
                    <w:rPr>
                      <w:sz w:val="21"/>
                    </w:rPr>
                  </w:pPr>
                  <w:r>
                    <w:rPr>
                      <w:rFonts w:hint="eastAsia"/>
                      <w:sz w:val="21"/>
                    </w:rPr>
                    <w:t>0.00004</w:t>
                  </w:r>
                </w:p>
              </w:tc>
            </w:tr>
            <w:tr w14:paraId="3A7B1E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5" w:type="pct"/>
                  <w:gridSpan w:val="3"/>
                  <w:tcBorders>
                    <w:tl2br w:val="nil"/>
                    <w:tr2bl w:val="nil"/>
                  </w:tcBorders>
                  <w:vAlign w:val="center"/>
                </w:tcPr>
                <w:p w14:paraId="36587259">
                  <w:pPr>
                    <w:pStyle w:val="118"/>
                    <w:spacing w:line="240" w:lineRule="auto"/>
                    <w:rPr>
                      <w:sz w:val="21"/>
                    </w:rPr>
                  </w:pPr>
                  <w:r>
                    <w:rPr>
                      <w:rFonts w:hint="eastAsia"/>
                      <w:sz w:val="21"/>
                    </w:rPr>
                    <w:t>合计</w:t>
                  </w:r>
                </w:p>
              </w:tc>
              <w:tc>
                <w:tcPr>
                  <w:tcW w:w="1014" w:type="pct"/>
                  <w:tcBorders>
                    <w:tl2br w:val="nil"/>
                    <w:tr2bl w:val="nil"/>
                  </w:tcBorders>
                  <w:vAlign w:val="center"/>
                </w:tcPr>
                <w:p w14:paraId="2F676B07">
                  <w:pPr>
                    <w:pStyle w:val="118"/>
                    <w:spacing w:line="240" w:lineRule="auto"/>
                    <w:rPr>
                      <w:rFonts w:hint="eastAsia" w:eastAsia="宋体"/>
                      <w:sz w:val="21"/>
                      <w:lang w:eastAsia="zh-CN"/>
                    </w:rPr>
                  </w:pPr>
                  <w:r>
                    <w:rPr>
                      <w:rFonts w:hint="eastAsia"/>
                      <w:sz w:val="21"/>
                    </w:rPr>
                    <w:t>0.000</w:t>
                  </w:r>
                  <w:r>
                    <w:rPr>
                      <w:rFonts w:hint="eastAsia"/>
                      <w:sz w:val="21"/>
                      <w:lang w:val="en-US" w:eastAsia="zh-CN"/>
                    </w:rPr>
                    <w:t>4</w:t>
                  </w:r>
                  <w:r>
                    <w:rPr>
                      <w:rFonts w:hint="eastAsia"/>
                      <w:sz w:val="21"/>
                    </w:rPr>
                    <w:t>4</w:t>
                  </w:r>
                  <w:r>
                    <w:rPr>
                      <w:rFonts w:hint="eastAsia"/>
                      <w:sz w:val="21"/>
                      <w:lang w:val="en-US" w:eastAsia="zh-CN"/>
                    </w:rPr>
                    <w:t>4</w:t>
                  </w:r>
                </w:p>
              </w:tc>
            </w:tr>
          </w:tbl>
          <w:p w14:paraId="315722ED">
            <w:pPr>
              <w:pStyle w:val="122"/>
              <w:ind w:firstLine="480"/>
              <w:rPr>
                <w:rFonts w:cs="Times New Roman"/>
              </w:rPr>
            </w:pPr>
            <w:r>
              <w:rPr>
                <w:rFonts w:eastAsia="宋体" w:cs="Times New Roman"/>
              </w:rPr>
              <w:t>因此，本项目</w:t>
            </w:r>
            <w:r>
              <w:rPr>
                <w:rFonts w:cs="Times New Roman"/>
              </w:rPr>
              <w:t>Q</w:t>
            </w:r>
            <w:r>
              <w:rPr>
                <w:rFonts w:eastAsia="宋体" w:cs="Times New Roman"/>
              </w:rPr>
              <w:t>＜</w:t>
            </w:r>
            <w:r>
              <w:rPr>
                <w:rFonts w:cs="Times New Roman"/>
              </w:rPr>
              <w:t>1</w:t>
            </w:r>
            <w:r>
              <w:rPr>
                <w:rFonts w:eastAsia="宋体" w:cs="Times New Roman"/>
              </w:rPr>
              <w:t>，风险潜势为Ⅰ。</w:t>
            </w:r>
          </w:p>
          <w:p w14:paraId="6DBAE196">
            <w:pPr>
              <w:pStyle w:val="122"/>
              <w:ind w:firstLine="482"/>
              <w:rPr>
                <w:rFonts w:cs="Times New Roman"/>
                <w:b/>
                <w:bCs/>
              </w:rPr>
            </w:pPr>
            <w:r>
              <w:rPr>
                <w:rFonts w:hint="eastAsia" w:cs="Times New Roman"/>
                <w:b/>
                <w:bCs/>
              </w:rPr>
              <w:t>（3）评价等级</w:t>
            </w:r>
          </w:p>
          <w:p w14:paraId="62EC8CA7">
            <w:pPr>
              <w:pStyle w:val="122"/>
              <w:ind w:firstLine="480"/>
              <w:rPr>
                <w:rFonts w:cs="Times New Roman"/>
              </w:rPr>
            </w:pPr>
            <w:r>
              <w:rPr>
                <w:rFonts w:hint="eastAsia" w:cs="Times New Roman"/>
              </w:rPr>
              <w:t>项目风险潜势初判为Ⅰ级，根据《建设项目环境风险评价技术导则（HJ169-2018）》，只需开展简单分析。</w:t>
            </w:r>
          </w:p>
          <w:p w14:paraId="350A4EF9">
            <w:pPr>
              <w:pStyle w:val="122"/>
              <w:ind w:firstLine="482"/>
              <w:rPr>
                <w:rFonts w:cs="Times New Roman"/>
                <w:b/>
                <w:bCs/>
              </w:rPr>
            </w:pPr>
            <w:r>
              <w:rPr>
                <w:rFonts w:hint="eastAsia" w:cs="Times New Roman"/>
                <w:b/>
                <w:bCs/>
              </w:rPr>
              <w:t>（</w:t>
            </w:r>
            <w:r>
              <w:rPr>
                <w:rFonts w:hint="eastAsia" w:cs="Times New Roman"/>
                <w:b/>
                <w:bCs/>
                <w:lang w:val="en-US"/>
              </w:rPr>
              <w:t>二</w:t>
            </w:r>
            <w:r>
              <w:rPr>
                <w:rFonts w:hint="eastAsia" w:cs="Times New Roman"/>
                <w:b/>
                <w:bCs/>
              </w:rPr>
              <w:t>）环境风险识别</w:t>
            </w:r>
          </w:p>
          <w:p w14:paraId="2A242C6C">
            <w:pPr>
              <w:adjustRightInd w:val="0"/>
              <w:snapToGrid w:val="0"/>
              <w:spacing w:line="360" w:lineRule="auto"/>
              <w:ind w:firstLine="480" w:firstLineChars="200"/>
            </w:pPr>
            <w:r>
              <w:t>对项目风险进行分析，项目环境分析识别情况见下表。</w:t>
            </w:r>
          </w:p>
          <w:p w14:paraId="6CA47B44">
            <w:pPr>
              <w:spacing w:line="360" w:lineRule="auto"/>
              <w:jc w:val="center"/>
              <w:rPr>
                <w:b/>
              </w:rPr>
            </w:pPr>
            <w:r>
              <w:rPr>
                <w:b/>
              </w:rPr>
              <w:t>表4-1</w:t>
            </w:r>
            <w:r>
              <w:rPr>
                <w:rFonts w:hint="eastAsia"/>
                <w:b/>
                <w:lang w:val="en-US" w:eastAsia="zh-CN"/>
              </w:rPr>
              <w:t>8</w:t>
            </w:r>
            <w:r>
              <w:rPr>
                <w:b/>
              </w:rPr>
              <w:t xml:space="preserve">  项目环境风险识别情况表</w:t>
            </w:r>
          </w:p>
          <w:tbl>
            <w:tblPr>
              <w:tblStyle w:val="3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82"/>
              <w:gridCol w:w="933"/>
              <w:gridCol w:w="809"/>
              <w:gridCol w:w="1129"/>
              <w:gridCol w:w="969"/>
              <w:gridCol w:w="4781"/>
            </w:tblGrid>
            <w:tr w14:paraId="59F41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tcBorders>
                    <w:tl2br w:val="nil"/>
                    <w:tr2bl w:val="nil"/>
                  </w:tcBorders>
                  <w:shd w:val="clear" w:color="auto" w:fill="auto"/>
                  <w:vAlign w:val="center"/>
                </w:tcPr>
                <w:p w14:paraId="1B773ADE">
                  <w:pPr>
                    <w:pStyle w:val="2"/>
                    <w:adjustRightInd/>
                    <w:jc w:val="center"/>
                    <w:rPr>
                      <w:rFonts w:ascii="Times New Roman" w:hAnsi="Times New Roman" w:cs="Times New Roman"/>
                      <w:color w:val="auto"/>
                      <w:sz w:val="21"/>
                      <w:szCs w:val="21"/>
                    </w:rPr>
                  </w:pPr>
                  <w:r>
                    <w:rPr>
                      <w:rFonts w:ascii="Times New Roman" w:hAnsi="Times New Roman" w:cs="Times New Roman"/>
                      <w:color w:val="auto"/>
                      <w:sz w:val="21"/>
                      <w:szCs w:val="21"/>
                    </w:rPr>
                    <w:t>序号</w:t>
                  </w:r>
                </w:p>
              </w:tc>
              <w:tc>
                <w:tcPr>
                  <w:tcW w:w="512" w:type="pct"/>
                  <w:tcBorders>
                    <w:tl2br w:val="nil"/>
                    <w:tr2bl w:val="nil"/>
                  </w:tcBorders>
                  <w:shd w:val="clear" w:color="auto" w:fill="auto"/>
                  <w:vAlign w:val="center"/>
                </w:tcPr>
                <w:p w14:paraId="42451CC1">
                  <w:pPr>
                    <w:pStyle w:val="2"/>
                    <w:adjustRightInd/>
                    <w:jc w:val="center"/>
                    <w:rPr>
                      <w:rFonts w:ascii="Times New Roman" w:hAnsi="Times New Roman" w:cs="Times New Roman"/>
                      <w:color w:val="auto"/>
                      <w:sz w:val="21"/>
                      <w:szCs w:val="21"/>
                    </w:rPr>
                  </w:pPr>
                  <w:r>
                    <w:rPr>
                      <w:rFonts w:ascii="Times New Roman" w:hAnsi="Times New Roman" w:cs="Times New Roman"/>
                      <w:color w:val="auto"/>
                      <w:sz w:val="21"/>
                      <w:szCs w:val="21"/>
                    </w:rPr>
                    <w:t>危险</w:t>
                  </w:r>
                </w:p>
                <w:p w14:paraId="66A2485F">
                  <w:pPr>
                    <w:pStyle w:val="2"/>
                    <w:adjustRightInd/>
                    <w:jc w:val="center"/>
                    <w:rPr>
                      <w:rFonts w:ascii="Times New Roman" w:hAnsi="Times New Roman" w:cs="Times New Roman"/>
                      <w:color w:val="auto"/>
                      <w:sz w:val="21"/>
                      <w:szCs w:val="21"/>
                    </w:rPr>
                  </w:pPr>
                  <w:r>
                    <w:rPr>
                      <w:rFonts w:ascii="Times New Roman" w:hAnsi="Times New Roman" w:cs="Times New Roman"/>
                      <w:color w:val="auto"/>
                      <w:sz w:val="21"/>
                      <w:szCs w:val="21"/>
                    </w:rPr>
                    <w:t>单元</w:t>
                  </w:r>
                </w:p>
              </w:tc>
              <w:tc>
                <w:tcPr>
                  <w:tcW w:w="444" w:type="pct"/>
                  <w:tcBorders>
                    <w:tl2br w:val="nil"/>
                    <w:tr2bl w:val="nil"/>
                  </w:tcBorders>
                  <w:shd w:val="clear" w:color="auto" w:fill="auto"/>
                  <w:vAlign w:val="center"/>
                </w:tcPr>
                <w:p w14:paraId="39BE7367">
                  <w:pPr>
                    <w:pStyle w:val="2"/>
                    <w:adjustRightInd/>
                    <w:jc w:val="center"/>
                    <w:rPr>
                      <w:rFonts w:ascii="Times New Roman" w:hAnsi="Times New Roman" w:cs="Times New Roman"/>
                      <w:color w:val="auto"/>
                      <w:sz w:val="21"/>
                      <w:szCs w:val="21"/>
                    </w:rPr>
                  </w:pPr>
                  <w:r>
                    <w:rPr>
                      <w:rFonts w:ascii="Times New Roman" w:hAnsi="Times New Roman" w:cs="Times New Roman"/>
                      <w:color w:val="auto"/>
                      <w:sz w:val="21"/>
                      <w:szCs w:val="21"/>
                    </w:rPr>
                    <w:t>风险源</w:t>
                  </w:r>
                </w:p>
              </w:tc>
              <w:tc>
                <w:tcPr>
                  <w:tcW w:w="620" w:type="pct"/>
                  <w:tcBorders>
                    <w:tl2br w:val="nil"/>
                    <w:tr2bl w:val="nil"/>
                  </w:tcBorders>
                  <w:shd w:val="clear" w:color="auto" w:fill="auto"/>
                  <w:vAlign w:val="center"/>
                </w:tcPr>
                <w:p w14:paraId="00BDD1F5">
                  <w:pPr>
                    <w:pStyle w:val="2"/>
                    <w:adjustRightInd/>
                    <w:jc w:val="center"/>
                    <w:rPr>
                      <w:rFonts w:ascii="Times New Roman" w:hAnsi="Times New Roman" w:cs="Times New Roman"/>
                      <w:color w:val="auto"/>
                      <w:sz w:val="21"/>
                      <w:szCs w:val="21"/>
                    </w:rPr>
                  </w:pPr>
                  <w:r>
                    <w:rPr>
                      <w:rFonts w:ascii="Times New Roman" w:hAnsi="Times New Roman" w:cs="Times New Roman"/>
                      <w:color w:val="auto"/>
                      <w:sz w:val="21"/>
                      <w:szCs w:val="21"/>
                    </w:rPr>
                    <w:t>主要危险物质</w:t>
                  </w:r>
                </w:p>
              </w:tc>
              <w:tc>
                <w:tcPr>
                  <w:tcW w:w="532" w:type="pct"/>
                  <w:tcBorders>
                    <w:tl2br w:val="nil"/>
                    <w:tr2bl w:val="nil"/>
                  </w:tcBorders>
                  <w:shd w:val="clear" w:color="auto" w:fill="auto"/>
                  <w:vAlign w:val="center"/>
                </w:tcPr>
                <w:p w14:paraId="38C43AFA">
                  <w:pPr>
                    <w:pStyle w:val="2"/>
                    <w:adjustRightInd/>
                    <w:jc w:val="center"/>
                    <w:rPr>
                      <w:rFonts w:ascii="Times New Roman" w:hAnsi="Times New Roman" w:cs="Times New Roman"/>
                      <w:color w:val="auto"/>
                      <w:sz w:val="21"/>
                      <w:szCs w:val="21"/>
                    </w:rPr>
                  </w:pPr>
                  <w:r>
                    <w:rPr>
                      <w:rFonts w:ascii="Times New Roman" w:hAnsi="Times New Roman" w:cs="Times New Roman"/>
                      <w:color w:val="auto"/>
                      <w:sz w:val="21"/>
                      <w:szCs w:val="21"/>
                    </w:rPr>
                    <w:t>环境风险类型</w:t>
                  </w:r>
                </w:p>
              </w:tc>
              <w:tc>
                <w:tcPr>
                  <w:tcW w:w="2625" w:type="pct"/>
                  <w:tcBorders>
                    <w:tl2br w:val="nil"/>
                    <w:tr2bl w:val="nil"/>
                  </w:tcBorders>
                  <w:shd w:val="clear" w:color="auto" w:fill="auto"/>
                  <w:vAlign w:val="center"/>
                </w:tcPr>
                <w:p w14:paraId="20724380">
                  <w:pPr>
                    <w:pStyle w:val="2"/>
                    <w:adjustRightInd/>
                    <w:jc w:val="center"/>
                    <w:rPr>
                      <w:rFonts w:ascii="Times New Roman" w:hAnsi="Times New Roman" w:cs="Times New Roman"/>
                      <w:color w:val="auto"/>
                      <w:sz w:val="21"/>
                      <w:szCs w:val="21"/>
                    </w:rPr>
                  </w:pPr>
                  <w:r>
                    <w:rPr>
                      <w:rFonts w:ascii="Times New Roman" w:hAnsi="Times New Roman" w:cs="Times New Roman"/>
                      <w:color w:val="auto"/>
                      <w:sz w:val="21"/>
                      <w:szCs w:val="21"/>
                    </w:rPr>
                    <w:t>环境影响途径</w:t>
                  </w:r>
                </w:p>
              </w:tc>
            </w:tr>
            <w:tr w14:paraId="2F2FA2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tcBorders>
                    <w:tl2br w:val="nil"/>
                    <w:tr2bl w:val="nil"/>
                  </w:tcBorders>
                  <w:shd w:val="clear" w:color="auto" w:fill="auto"/>
                  <w:vAlign w:val="center"/>
                </w:tcPr>
                <w:p w14:paraId="0B7E1679">
                  <w:pPr>
                    <w:pStyle w:val="2"/>
                    <w:adjustRightInd/>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512" w:type="pct"/>
                  <w:tcBorders>
                    <w:tl2br w:val="nil"/>
                    <w:tr2bl w:val="nil"/>
                  </w:tcBorders>
                  <w:shd w:val="clear" w:color="auto" w:fill="auto"/>
                  <w:vAlign w:val="center"/>
                </w:tcPr>
                <w:p w14:paraId="7D0C74F0">
                  <w:pPr>
                    <w:pStyle w:val="2"/>
                    <w:adjustRightInd/>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危废暂存仓</w:t>
                  </w:r>
                </w:p>
              </w:tc>
              <w:tc>
                <w:tcPr>
                  <w:tcW w:w="444" w:type="pct"/>
                  <w:tcBorders>
                    <w:tl2br w:val="nil"/>
                    <w:tr2bl w:val="nil"/>
                  </w:tcBorders>
                  <w:shd w:val="clear" w:color="auto" w:fill="auto"/>
                  <w:vAlign w:val="center"/>
                </w:tcPr>
                <w:p w14:paraId="426339D3">
                  <w:pPr>
                    <w:pStyle w:val="2"/>
                    <w:adjustRightInd/>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危废暂存仓</w:t>
                  </w:r>
                </w:p>
              </w:tc>
              <w:tc>
                <w:tcPr>
                  <w:tcW w:w="620" w:type="pct"/>
                  <w:tcBorders>
                    <w:tl2br w:val="nil"/>
                    <w:tr2bl w:val="nil"/>
                  </w:tcBorders>
                  <w:shd w:val="clear" w:color="auto" w:fill="auto"/>
                  <w:vAlign w:val="center"/>
                </w:tcPr>
                <w:p w14:paraId="014B3041">
                  <w:pPr>
                    <w:pStyle w:val="2"/>
                    <w:adjustRightInd/>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废矿物油</w:t>
                  </w:r>
                </w:p>
              </w:tc>
              <w:tc>
                <w:tcPr>
                  <w:tcW w:w="532" w:type="pct"/>
                  <w:tcBorders>
                    <w:tl2br w:val="nil"/>
                    <w:tr2bl w:val="nil"/>
                  </w:tcBorders>
                  <w:shd w:val="clear" w:color="auto" w:fill="auto"/>
                  <w:vAlign w:val="center"/>
                </w:tcPr>
                <w:p w14:paraId="311A43FD">
                  <w:pPr>
                    <w:pStyle w:val="2"/>
                    <w:adjustRightInd/>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泄漏</w:t>
                  </w:r>
                </w:p>
              </w:tc>
              <w:tc>
                <w:tcPr>
                  <w:tcW w:w="2625" w:type="pct"/>
                  <w:tcBorders>
                    <w:tl2br w:val="nil"/>
                    <w:tr2bl w:val="nil"/>
                  </w:tcBorders>
                  <w:shd w:val="clear" w:color="auto" w:fill="auto"/>
                  <w:vAlign w:val="center"/>
                </w:tcPr>
                <w:p w14:paraId="7B6F8EFF">
                  <w:pPr>
                    <w:pStyle w:val="2"/>
                    <w:adjustRightInd/>
                    <w:jc w:val="center"/>
                    <w:rPr>
                      <w:rFonts w:ascii="Times New Roman" w:hAnsi="Times New Roman" w:cs="Times New Roman"/>
                      <w:color w:val="auto"/>
                      <w:sz w:val="21"/>
                      <w:szCs w:val="21"/>
                    </w:rPr>
                  </w:pPr>
                  <w:r>
                    <w:rPr>
                      <w:rFonts w:ascii="Times New Roman" w:hAnsi="Times New Roman" w:cs="Times New Roman"/>
                      <w:color w:val="auto"/>
                      <w:sz w:val="21"/>
                      <w:szCs w:val="21"/>
                    </w:rPr>
                    <w:t>泄漏后将通过</w:t>
                  </w:r>
                  <w:r>
                    <w:rPr>
                      <w:rFonts w:hint="eastAsia" w:ascii="Times New Roman" w:hAnsi="Times New Roman" w:cs="Times New Roman"/>
                      <w:color w:val="auto"/>
                      <w:sz w:val="21"/>
                      <w:szCs w:val="21"/>
                    </w:rPr>
                    <w:t>危废仓</w:t>
                  </w:r>
                  <w:r>
                    <w:rPr>
                      <w:rFonts w:ascii="Times New Roman" w:hAnsi="Times New Roman" w:cs="Times New Roman"/>
                      <w:color w:val="auto"/>
                      <w:sz w:val="21"/>
                      <w:szCs w:val="21"/>
                    </w:rPr>
                    <w:t>导流沟、收集池收集，不会泄漏致厂区外</w:t>
                  </w:r>
                </w:p>
              </w:tc>
            </w:tr>
            <w:tr w14:paraId="01EE81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tcBorders>
                    <w:tl2br w:val="nil"/>
                    <w:tr2bl w:val="nil"/>
                  </w:tcBorders>
                  <w:shd w:val="clear" w:color="auto" w:fill="auto"/>
                  <w:vAlign w:val="center"/>
                </w:tcPr>
                <w:p w14:paraId="06BB23F6">
                  <w:pPr>
                    <w:pStyle w:val="2"/>
                    <w:adjustRightInd/>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w:t>
                  </w:r>
                </w:p>
              </w:tc>
              <w:tc>
                <w:tcPr>
                  <w:tcW w:w="512" w:type="pct"/>
                  <w:tcBorders>
                    <w:tl2br w:val="nil"/>
                    <w:tr2bl w:val="nil"/>
                  </w:tcBorders>
                  <w:shd w:val="clear" w:color="auto" w:fill="auto"/>
                  <w:vAlign w:val="center"/>
                </w:tcPr>
                <w:p w14:paraId="0495170B">
                  <w:pPr>
                    <w:pStyle w:val="2"/>
                    <w:adjustRightInd/>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废气处理设施</w:t>
                  </w:r>
                </w:p>
              </w:tc>
              <w:tc>
                <w:tcPr>
                  <w:tcW w:w="444" w:type="pct"/>
                  <w:tcBorders>
                    <w:tl2br w:val="nil"/>
                    <w:tr2bl w:val="nil"/>
                  </w:tcBorders>
                  <w:shd w:val="clear" w:color="auto" w:fill="auto"/>
                  <w:vAlign w:val="center"/>
                </w:tcPr>
                <w:p w14:paraId="43AB48CA">
                  <w:pPr>
                    <w:pStyle w:val="2"/>
                    <w:adjustRightInd/>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废气处理设施</w:t>
                  </w:r>
                </w:p>
              </w:tc>
              <w:tc>
                <w:tcPr>
                  <w:tcW w:w="620" w:type="pct"/>
                  <w:tcBorders>
                    <w:tl2br w:val="nil"/>
                    <w:tr2bl w:val="nil"/>
                  </w:tcBorders>
                  <w:shd w:val="clear" w:color="auto" w:fill="auto"/>
                  <w:vAlign w:val="center"/>
                </w:tcPr>
                <w:p w14:paraId="510265AF">
                  <w:pPr>
                    <w:pStyle w:val="2"/>
                    <w:adjustRightInd/>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颗粒物</w:t>
                  </w:r>
                </w:p>
              </w:tc>
              <w:tc>
                <w:tcPr>
                  <w:tcW w:w="532" w:type="pct"/>
                  <w:tcBorders>
                    <w:tl2br w:val="nil"/>
                    <w:tr2bl w:val="nil"/>
                  </w:tcBorders>
                  <w:shd w:val="clear" w:color="auto" w:fill="auto"/>
                  <w:vAlign w:val="center"/>
                </w:tcPr>
                <w:p w14:paraId="4055743E">
                  <w:pPr>
                    <w:pStyle w:val="2"/>
                    <w:adjustRightInd/>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事故排放</w:t>
                  </w:r>
                </w:p>
              </w:tc>
              <w:tc>
                <w:tcPr>
                  <w:tcW w:w="2625" w:type="pct"/>
                  <w:tcBorders>
                    <w:tl2br w:val="nil"/>
                    <w:tr2bl w:val="nil"/>
                  </w:tcBorders>
                  <w:shd w:val="clear" w:color="auto" w:fill="auto"/>
                  <w:vAlign w:val="center"/>
                </w:tcPr>
                <w:p w14:paraId="552FE005">
                  <w:pPr>
                    <w:pStyle w:val="2"/>
                    <w:adjustRightInd/>
                    <w:jc w:val="center"/>
                    <w:rPr>
                      <w:rFonts w:ascii="Times New Roman" w:hAnsi="Times New Roman" w:cs="Times New Roman"/>
                      <w:color w:val="auto"/>
                      <w:sz w:val="21"/>
                      <w:szCs w:val="21"/>
                    </w:rPr>
                  </w:pPr>
                  <w:r>
                    <w:rPr>
                      <w:rFonts w:ascii="Times New Roman" w:hAnsi="Times New Roman" w:cs="Times New Roman"/>
                      <w:color w:val="auto"/>
                      <w:sz w:val="21"/>
                      <w:szCs w:val="21"/>
                    </w:rPr>
                    <w:t>废气处理设施</w:t>
                  </w:r>
                  <w:r>
                    <w:rPr>
                      <w:rFonts w:hint="eastAsia" w:ascii="Times New Roman" w:hAnsi="Times New Roman" w:cs="Times New Roman"/>
                      <w:color w:val="auto"/>
                      <w:sz w:val="21"/>
                      <w:szCs w:val="21"/>
                    </w:rPr>
                    <w:t>故障</w:t>
                  </w:r>
                  <w:r>
                    <w:rPr>
                      <w:rFonts w:ascii="Times New Roman" w:hAnsi="Times New Roman" w:cs="Times New Roman"/>
                      <w:color w:val="auto"/>
                      <w:sz w:val="21"/>
                      <w:szCs w:val="21"/>
                    </w:rPr>
                    <w:t>，废气未经有效处理直接排放至大气环境</w:t>
                  </w:r>
                </w:p>
              </w:tc>
            </w:tr>
            <w:tr w14:paraId="3902FA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tcBorders>
                    <w:tl2br w:val="nil"/>
                    <w:tr2bl w:val="nil"/>
                  </w:tcBorders>
                  <w:shd w:val="clear" w:color="auto" w:fill="auto"/>
                  <w:vAlign w:val="center"/>
                </w:tcPr>
                <w:p w14:paraId="2EDE11C7">
                  <w:pPr>
                    <w:pStyle w:val="2"/>
                    <w:adjustRightInd/>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512" w:type="pct"/>
                  <w:tcBorders>
                    <w:tl2br w:val="nil"/>
                    <w:tr2bl w:val="nil"/>
                  </w:tcBorders>
                  <w:shd w:val="clear" w:color="auto" w:fill="auto"/>
                  <w:vAlign w:val="center"/>
                </w:tcPr>
                <w:p w14:paraId="0BF957A0">
                  <w:pPr>
                    <w:pStyle w:val="2"/>
                    <w:adjustRightInd/>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废水暂存及转运过程</w:t>
                  </w:r>
                </w:p>
              </w:tc>
              <w:tc>
                <w:tcPr>
                  <w:tcW w:w="444" w:type="pct"/>
                  <w:tcBorders>
                    <w:tl2br w:val="nil"/>
                    <w:tr2bl w:val="nil"/>
                  </w:tcBorders>
                  <w:shd w:val="clear" w:color="auto" w:fill="auto"/>
                  <w:vAlign w:val="center"/>
                </w:tcPr>
                <w:p w14:paraId="60559B35">
                  <w:pPr>
                    <w:pStyle w:val="2"/>
                    <w:adjustRightInd/>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废水暂存桶</w:t>
                  </w:r>
                </w:p>
              </w:tc>
              <w:tc>
                <w:tcPr>
                  <w:tcW w:w="620" w:type="pct"/>
                  <w:tcBorders>
                    <w:tl2br w:val="nil"/>
                    <w:tr2bl w:val="nil"/>
                  </w:tcBorders>
                  <w:shd w:val="clear" w:color="auto" w:fill="auto"/>
                  <w:vAlign w:val="center"/>
                </w:tcPr>
                <w:p w14:paraId="2E397ECD">
                  <w:pPr>
                    <w:pStyle w:val="2"/>
                    <w:adjustRightInd/>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生产废水</w:t>
                  </w:r>
                </w:p>
              </w:tc>
              <w:tc>
                <w:tcPr>
                  <w:tcW w:w="532" w:type="pct"/>
                  <w:tcBorders>
                    <w:tl2br w:val="nil"/>
                    <w:tr2bl w:val="nil"/>
                  </w:tcBorders>
                  <w:shd w:val="clear" w:color="auto" w:fill="auto"/>
                  <w:vAlign w:val="center"/>
                </w:tcPr>
                <w:p w14:paraId="1008A7D6">
                  <w:pPr>
                    <w:pStyle w:val="2"/>
                    <w:adjustRightInd/>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泄露</w:t>
                  </w:r>
                </w:p>
              </w:tc>
              <w:tc>
                <w:tcPr>
                  <w:tcW w:w="2625" w:type="pct"/>
                  <w:tcBorders>
                    <w:tl2br w:val="nil"/>
                    <w:tr2bl w:val="nil"/>
                  </w:tcBorders>
                  <w:shd w:val="clear" w:color="auto" w:fill="auto"/>
                  <w:vAlign w:val="center"/>
                </w:tcPr>
                <w:p w14:paraId="02CA7777">
                  <w:pPr>
                    <w:pStyle w:val="2"/>
                    <w:adjustRightInd/>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泄露的废水</w:t>
                  </w:r>
                  <w:r>
                    <w:rPr>
                      <w:rFonts w:hint="eastAsia" w:ascii="Times New Roman" w:hAnsi="Times New Roman" w:cs="Times New Roman"/>
                      <w:color w:val="auto"/>
                      <w:sz w:val="21"/>
                      <w:szCs w:val="21"/>
                    </w:rPr>
                    <w:t>若不能及时得到有效收集和处置，将随排水系统进入外界水体</w:t>
                  </w:r>
                </w:p>
              </w:tc>
            </w:tr>
            <w:tr w14:paraId="62F0A8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restart"/>
                  <w:tcBorders>
                    <w:tl2br w:val="nil"/>
                    <w:tr2bl w:val="nil"/>
                  </w:tcBorders>
                  <w:shd w:val="clear" w:color="auto" w:fill="auto"/>
                  <w:vAlign w:val="center"/>
                </w:tcPr>
                <w:p w14:paraId="01FE4B1F">
                  <w:pPr>
                    <w:pStyle w:val="2"/>
                    <w:adjustRightInd/>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512" w:type="pct"/>
                  <w:vMerge w:val="restart"/>
                  <w:tcBorders>
                    <w:tl2br w:val="nil"/>
                    <w:tr2bl w:val="nil"/>
                  </w:tcBorders>
                  <w:shd w:val="clear" w:color="auto" w:fill="auto"/>
                  <w:vAlign w:val="center"/>
                </w:tcPr>
                <w:p w14:paraId="30762764">
                  <w:pPr>
                    <w:pStyle w:val="2"/>
                    <w:adjustRightInd/>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火灾、爆炸次生环境风险</w:t>
                  </w:r>
                </w:p>
              </w:tc>
              <w:tc>
                <w:tcPr>
                  <w:tcW w:w="444" w:type="pct"/>
                  <w:vMerge w:val="restart"/>
                  <w:tcBorders>
                    <w:tl2br w:val="nil"/>
                    <w:tr2bl w:val="nil"/>
                  </w:tcBorders>
                  <w:shd w:val="clear" w:color="auto" w:fill="auto"/>
                  <w:vAlign w:val="center"/>
                </w:tcPr>
                <w:p w14:paraId="2C7C5A6C">
                  <w:pPr>
                    <w:pStyle w:val="2"/>
                    <w:adjustRightInd/>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生产车间</w:t>
                  </w:r>
                </w:p>
              </w:tc>
              <w:tc>
                <w:tcPr>
                  <w:tcW w:w="620" w:type="pct"/>
                  <w:tcBorders>
                    <w:tl2br w:val="nil"/>
                    <w:tr2bl w:val="nil"/>
                  </w:tcBorders>
                  <w:shd w:val="clear" w:color="auto" w:fill="auto"/>
                  <w:vAlign w:val="center"/>
                </w:tcPr>
                <w:p w14:paraId="0CC090A1">
                  <w:pPr>
                    <w:pStyle w:val="2"/>
                    <w:adjustRightInd/>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CO、烟尘</w:t>
                  </w:r>
                </w:p>
              </w:tc>
              <w:tc>
                <w:tcPr>
                  <w:tcW w:w="532" w:type="pct"/>
                  <w:vMerge w:val="restart"/>
                  <w:tcBorders>
                    <w:tl2br w:val="nil"/>
                    <w:tr2bl w:val="nil"/>
                  </w:tcBorders>
                  <w:shd w:val="clear" w:color="auto" w:fill="auto"/>
                  <w:vAlign w:val="center"/>
                </w:tcPr>
                <w:p w14:paraId="6C5DFD30">
                  <w:pPr>
                    <w:pStyle w:val="2"/>
                    <w:adjustRightInd/>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火灾、爆炸</w:t>
                  </w:r>
                </w:p>
              </w:tc>
              <w:tc>
                <w:tcPr>
                  <w:tcW w:w="2625" w:type="pct"/>
                  <w:tcBorders>
                    <w:tl2br w:val="nil"/>
                    <w:tr2bl w:val="nil"/>
                  </w:tcBorders>
                  <w:shd w:val="clear" w:color="auto" w:fill="auto"/>
                  <w:vAlign w:val="center"/>
                </w:tcPr>
                <w:p w14:paraId="0CBDE8FC">
                  <w:pPr>
                    <w:pStyle w:val="2"/>
                    <w:adjustRightInd/>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发生火灾事故时多为不完全燃烧，火灾发生后进入环境的主要污染物有CO、烟尘等，对环境空气及周边人群健康产生危害。</w:t>
                  </w:r>
                </w:p>
              </w:tc>
            </w:tr>
            <w:tr w14:paraId="4A534D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tcBorders>
                    <w:tl2br w:val="nil"/>
                    <w:tr2bl w:val="nil"/>
                  </w:tcBorders>
                  <w:shd w:val="clear" w:color="auto" w:fill="auto"/>
                  <w:vAlign w:val="center"/>
                </w:tcPr>
                <w:p w14:paraId="12A3D592">
                  <w:pPr>
                    <w:pStyle w:val="2"/>
                    <w:adjustRightInd/>
                    <w:jc w:val="center"/>
                    <w:rPr>
                      <w:rFonts w:hint="eastAsia" w:ascii="Times New Roman" w:hAnsi="Times New Roman" w:cs="Times New Roman"/>
                      <w:color w:val="auto"/>
                      <w:sz w:val="21"/>
                      <w:szCs w:val="21"/>
                    </w:rPr>
                  </w:pPr>
                </w:p>
              </w:tc>
              <w:tc>
                <w:tcPr>
                  <w:tcW w:w="512" w:type="pct"/>
                  <w:vMerge w:val="continue"/>
                  <w:tcBorders>
                    <w:tl2br w:val="nil"/>
                    <w:tr2bl w:val="nil"/>
                  </w:tcBorders>
                  <w:shd w:val="clear" w:color="auto" w:fill="auto"/>
                  <w:vAlign w:val="center"/>
                </w:tcPr>
                <w:p w14:paraId="4AE07218">
                  <w:pPr>
                    <w:pStyle w:val="2"/>
                    <w:adjustRightInd/>
                    <w:jc w:val="center"/>
                    <w:rPr>
                      <w:rFonts w:hint="eastAsia" w:ascii="Times New Roman" w:hAnsi="Times New Roman" w:cs="Times New Roman"/>
                      <w:color w:val="auto"/>
                      <w:sz w:val="21"/>
                      <w:szCs w:val="21"/>
                    </w:rPr>
                  </w:pPr>
                </w:p>
              </w:tc>
              <w:tc>
                <w:tcPr>
                  <w:tcW w:w="444" w:type="pct"/>
                  <w:vMerge w:val="continue"/>
                  <w:tcBorders>
                    <w:tl2br w:val="nil"/>
                    <w:tr2bl w:val="nil"/>
                  </w:tcBorders>
                  <w:shd w:val="clear" w:color="auto" w:fill="auto"/>
                  <w:vAlign w:val="center"/>
                </w:tcPr>
                <w:p w14:paraId="01241E72">
                  <w:pPr>
                    <w:pStyle w:val="2"/>
                    <w:adjustRightInd/>
                    <w:jc w:val="center"/>
                    <w:rPr>
                      <w:rFonts w:hint="eastAsia" w:ascii="Times New Roman" w:hAnsi="Times New Roman" w:cs="Times New Roman"/>
                      <w:color w:val="auto"/>
                      <w:sz w:val="21"/>
                      <w:szCs w:val="21"/>
                    </w:rPr>
                  </w:pPr>
                </w:p>
              </w:tc>
              <w:tc>
                <w:tcPr>
                  <w:tcW w:w="620" w:type="pct"/>
                  <w:tcBorders>
                    <w:tl2br w:val="nil"/>
                    <w:tr2bl w:val="nil"/>
                  </w:tcBorders>
                  <w:shd w:val="clear" w:color="auto" w:fill="auto"/>
                  <w:vAlign w:val="center"/>
                </w:tcPr>
                <w:p w14:paraId="5CF87594">
                  <w:pPr>
                    <w:pStyle w:val="2"/>
                    <w:adjustRightInd/>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消防废水</w:t>
                  </w:r>
                </w:p>
              </w:tc>
              <w:tc>
                <w:tcPr>
                  <w:tcW w:w="532" w:type="pct"/>
                  <w:vMerge w:val="continue"/>
                  <w:tcBorders>
                    <w:tl2br w:val="nil"/>
                    <w:tr2bl w:val="nil"/>
                  </w:tcBorders>
                  <w:shd w:val="clear" w:color="auto" w:fill="auto"/>
                  <w:vAlign w:val="center"/>
                </w:tcPr>
                <w:p w14:paraId="4F896489">
                  <w:pPr>
                    <w:pStyle w:val="2"/>
                    <w:adjustRightInd/>
                    <w:jc w:val="center"/>
                    <w:rPr>
                      <w:rFonts w:hint="eastAsia" w:ascii="Times New Roman" w:hAnsi="Times New Roman" w:cs="Times New Roman"/>
                      <w:color w:val="auto"/>
                      <w:sz w:val="21"/>
                      <w:szCs w:val="21"/>
                    </w:rPr>
                  </w:pPr>
                </w:p>
              </w:tc>
              <w:tc>
                <w:tcPr>
                  <w:tcW w:w="2625" w:type="pct"/>
                  <w:tcBorders>
                    <w:tl2br w:val="nil"/>
                    <w:tr2bl w:val="nil"/>
                  </w:tcBorders>
                  <w:shd w:val="clear" w:color="auto" w:fill="auto"/>
                  <w:vAlign w:val="center"/>
                </w:tcPr>
                <w:p w14:paraId="44B9850D">
                  <w:pPr>
                    <w:pStyle w:val="2"/>
                    <w:adjustRightInd/>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火灾爆炸后</w:t>
                  </w:r>
                  <w:r>
                    <w:rPr>
                      <w:rFonts w:hint="eastAsia" w:ascii="Times New Roman" w:hAnsi="Times New Roman" w:cs="Times New Roman"/>
                      <w:color w:val="auto"/>
                      <w:sz w:val="21"/>
                      <w:szCs w:val="21"/>
                    </w:rPr>
                    <w:t>产生的消防废水会携带一定量的有害物质，若不能及时得到有效收集和处置，将随排水系统进入外界水体</w:t>
                  </w:r>
                </w:p>
              </w:tc>
            </w:tr>
          </w:tbl>
          <w:p w14:paraId="16E64713">
            <w:pPr>
              <w:pStyle w:val="122"/>
              <w:ind w:firstLine="482"/>
              <w:rPr>
                <w:rFonts w:cs="Times New Roman"/>
                <w:b/>
                <w:bCs/>
              </w:rPr>
            </w:pPr>
            <w:r>
              <w:rPr>
                <w:rFonts w:hint="eastAsia" w:cs="Times New Roman"/>
                <w:b/>
                <w:bCs/>
              </w:rPr>
              <w:t>（</w:t>
            </w:r>
            <w:r>
              <w:rPr>
                <w:rFonts w:hint="eastAsia" w:eastAsia="宋体" w:cs="Times New Roman"/>
                <w:b/>
                <w:bCs/>
                <w:lang w:val="en-US"/>
              </w:rPr>
              <w:t>三</w:t>
            </w:r>
            <w:r>
              <w:rPr>
                <w:rFonts w:hint="eastAsia" w:cs="Times New Roman"/>
                <w:b/>
                <w:bCs/>
              </w:rPr>
              <w:t>）环境风险防范措施及应急要求</w:t>
            </w:r>
          </w:p>
          <w:p w14:paraId="6EA22AE0">
            <w:pPr>
              <w:adjustRightInd w:val="0"/>
              <w:snapToGrid w:val="0"/>
              <w:spacing w:line="360" w:lineRule="auto"/>
              <w:ind w:firstLine="482" w:firstLineChars="200"/>
              <w:rPr>
                <w:b/>
                <w:bCs/>
              </w:rPr>
            </w:pPr>
            <w:r>
              <w:rPr>
                <w:rFonts w:hint="eastAsia"/>
                <w:b/>
                <w:bCs/>
              </w:rPr>
              <w:t>1、危废暂存间泄露</w:t>
            </w:r>
          </w:p>
          <w:p w14:paraId="143D5E08">
            <w:pPr>
              <w:adjustRightInd w:val="0"/>
              <w:snapToGrid w:val="0"/>
              <w:spacing w:line="360" w:lineRule="auto"/>
              <w:ind w:firstLine="480" w:firstLineChars="200"/>
            </w:pPr>
            <w:r>
              <w:t>项目存在一定程度上的泄漏风险，需采取相应的风险防范措施以降低各类风险事故发生的概率。本项目事故风险防范措施如下：</w:t>
            </w:r>
          </w:p>
          <w:p w14:paraId="0DB6A21A">
            <w:pPr>
              <w:pStyle w:val="114"/>
              <w:ind w:firstLine="480"/>
            </w:pPr>
            <w:r>
              <w:t>①</w:t>
            </w:r>
            <w:r>
              <w:rPr>
                <w:rFonts w:hint="eastAsia"/>
              </w:rPr>
              <w:t>危废暂存间</w:t>
            </w:r>
            <w:r>
              <w:t>的建筑设计应符合《建筑设计防火规范》、《仓库防火安全管理规则》、《危险废物收集贮存运输技术规范》（HJ2025-2012）、《危险废物处置工程技术导则》（HJ2042-2014）、《危险废物贮存污染控制标准》（GB18597-20</w:t>
            </w:r>
            <w:r>
              <w:rPr>
                <w:rFonts w:hint="eastAsia"/>
                <w:lang w:val="en-US" w:eastAsia="zh-CN"/>
              </w:rPr>
              <w:t>23</w:t>
            </w:r>
            <w:r>
              <w:t>）的要求。</w:t>
            </w:r>
          </w:p>
          <w:p w14:paraId="568ED300">
            <w:pPr>
              <w:pStyle w:val="114"/>
              <w:ind w:firstLine="480"/>
            </w:pPr>
            <w:r>
              <w:t>②应区分危险废物的相容性，根据不同特性分区存储，不得将能发生相互反应的危废存储在一起。</w:t>
            </w:r>
          </w:p>
          <w:p w14:paraId="1031EDC5">
            <w:pPr>
              <w:pStyle w:val="114"/>
              <w:ind w:firstLine="480"/>
            </w:pPr>
            <w:r>
              <w:rPr>
                <w:rFonts w:hint="eastAsia"/>
              </w:rPr>
              <w:t>③</w:t>
            </w:r>
            <w:r>
              <w:t>危险废物存储区域建筑材料应与危险废物相容，有泄漏液体收集装置，设施内有安全照明设施和观察窗口。应有隔离设施、报警装置和防风、防晒、防雨、防腐设施。</w:t>
            </w:r>
          </w:p>
          <w:p w14:paraId="480BB09B">
            <w:pPr>
              <w:pStyle w:val="114"/>
              <w:ind w:firstLine="480"/>
            </w:pPr>
            <w:r>
              <w:rPr>
                <w:rFonts w:hint="eastAsia"/>
              </w:rPr>
              <w:t>④</w:t>
            </w:r>
            <w:r>
              <w:t>应按照《危险废物贮存污染控制标准》（GB 18597-20</w:t>
            </w:r>
            <w:r>
              <w:rPr>
                <w:rFonts w:hint="eastAsia"/>
                <w:lang w:val="en-US" w:eastAsia="zh-CN"/>
              </w:rPr>
              <w:t>23</w:t>
            </w:r>
            <w:r>
              <w:t>）要求进行建设，存储区应做好防雨、防风、防渗漏、防扬散措施，应设置渗出液收集设施。</w:t>
            </w:r>
          </w:p>
          <w:p w14:paraId="09F13298">
            <w:pPr>
              <w:pStyle w:val="114"/>
              <w:ind w:firstLine="480"/>
            </w:pPr>
            <w:r>
              <w:rPr>
                <w:rFonts w:hint="eastAsia"/>
              </w:rPr>
              <w:t>⑤</w:t>
            </w:r>
            <w:r>
              <w:t>施工时加强管理，严格按设计要求施工，严禁偷工减料；施工现场监理到位，严格把关，确保施工质量，减少风险。</w:t>
            </w:r>
          </w:p>
          <w:p w14:paraId="6FD8703D">
            <w:pPr>
              <w:pStyle w:val="114"/>
              <w:ind w:firstLine="480"/>
            </w:pPr>
            <w:r>
              <w:rPr>
                <w:rFonts w:hint="eastAsia"/>
              </w:rPr>
              <w:t>⑥</w:t>
            </w:r>
            <w:r>
              <w:t>按照《环境保护图形标志—固体废物贮存（处置）场》（GB15562.2-1995）的要求设立危险废物标示牌，盛装危险废物的容器上必须粘贴符合标准的标签。</w:t>
            </w:r>
          </w:p>
          <w:p w14:paraId="39A50DD1">
            <w:pPr>
              <w:pStyle w:val="114"/>
              <w:ind w:firstLine="480"/>
            </w:pPr>
            <w:r>
              <w:t>⑦危险废物的转移应严格按照危险废物转移联单手续进行。</w:t>
            </w:r>
          </w:p>
          <w:p w14:paraId="4555714A">
            <w:pPr>
              <w:pStyle w:val="114"/>
              <w:ind w:firstLine="480"/>
              <w:rPr>
                <w:rFonts w:hint="default" w:eastAsia="宋体"/>
                <w:lang w:val="en-US" w:eastAsia="zh-CN"/>
              </w:rPr>
            </w:pPr>
            <w:r>
              <w:rPr>
                <w:rFonts w:hint="eastAsia"/>
                <w:lang w:val="en-US" w:eastAsia="zh-CN"/>
              </w:rPr>
              <w:t>应急要求：危废间各液体危废如废矿物油等均设置托盘暂存，当储存容器发生破损泄露时，泄露的危险物质被收集在托盘内（托盘容积大于储存容器容积），不会泄露至外环境。</w:t>
            </w:r>
          </w:p>
          <w:p w14:paraId="03C0835A">
            <w:pPr>
              <w:pStyle w:val="114"/>
              <w:ind w:firstLine="482"/>
              <w:rPr>
                <w:b/>
                <w:bCs/>
              </w:rPr>
            </w:pPr>
            <w:r>
              <w:rPr>
                <w:rFonts w:hint="eastAsia"/>
                <w:b/>
                <w:bCs/>
              </w:rPr>
              <w:t>2、废气事故排放</w:t>
            </w:r>
          </w:p>
          <w:p w14:paraId="6CA12A6E">
            <w:pPr>
              <w:pStyle w:val="114"/>
              <w:ind w:firstLine="48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防范措施：</w:t>
            </w:r>
            <w:r>
              <w:rPr>
                <w:color w:val="000000" w:themeColor="text1"/>
                <w14:textFill>
                  <w14:solidFill>
                    <w14:schemeClr w14:val="tx1"/>
                  </w14:solidFill>
                </w14:textFill>
              </w:rPr>
              <w:t>事故排放主要为废气处理装置</w:t>
            </w:r>
            <w:r>
              <w:rPr>
                <w:rFonts w:hint="eastAsia"/>
                <w:color w:val="000000" w:themeColor="text1"/>
                <w14:textFill>
                  <w14:solidFill>
                    <w14:schemeClr w14:val="tx1"/>
                  </w14:solidFill>
                </w14:textFill>
              </w:rPr>
              <w:t>故障导致废气处理效率下降</w:t>
            </w:r>
            <w:r>
              <w:rPr>
                <w:color w:val="000000" w:themeColor="text1"/>
                <w14:textFill>
                  <w14:solidFill>
                    <w14:schemeClr w14:val="tx1"/>
                  </w14:solidFill>
                </w14:textFill>
              </w:rPr>
              <w:t>。项目在车间开工时，首先运行所有的废气处理装置，然后再开启车间的生产工艺，使生产过程中所产生的废气都能得到处理。车间停工时，所有的废气处理装置、除害装置和污水处理设施继续运转，待产生的废气全部处理排出之后才逐台关闭。项目排风系统均设安全保护电源和报警系统，设备每年定期检修，基本上能保证无故障运行</w:t>
            </w:r>
            <w:r>
              <w:rPr>
                <w:rFonts w:hint="eastAsia"/>
                <w:color w:val="000000" w:themeColor="text1"/>
                <w14:textFill>
                  <w14:solidFill>
                    <w14:schemeClr w14:val="tx1"/>
                  </w14:solidFill>
                </w14:textFill>
              </w:rPr>
              <w:t>。</w:t>
            </w:r>
          </w:p>
          <w:p w14:paraId="702F8504">
            <w:pPr>
              <w:pStyle w:val="114"/>
              <w:ind w:firstLine="48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应急要求：当发生废气事故排放时，应立即停止相应工序生产，并联系专业人员对废气处理设施、风机等相应设备进行检修，待处理设施检修完成并试运行正常后，再进行正常生产。</w:t>
            </w:r>
          </w:p>
          <w:p w14:paraId="187CD78E">
            <w:pPr>
              <w:pStyle w:val="122"/>
              <w:ind w:firstLine="482"/>
              <w:rPr>
                <w:rFonts w:hint="default" w:eastAsia="宋体" w:cs="Times New Roman"/>
                <w:b/>
                <w:bCs/>
                <w:u w:val="single"/>
                <w:lang w:val="en-US" w:eastAsia="zh-CN"/>
              </w:rPr>
            </w:pPr>
            <w:r>
              <w:rPr>
                <w:rFonts w:hint="eastAsia" w:eastAsia="宋体" w:cs="Times New Roman"/>
                <w:b/>
                <w:bCs/>
                <w:u w:val="single"/>
                <w:lang w:val="en-US" w:eastAsia="zh-CN"/>
              </w:rPr>
              <w:t>3、废水泄露事故</w:t>
            </w:r>
          </w:p>
          <w:p w14:paraId="38BE8D1E">
            <w:pPr>
              <w:pStyle w:val="122"/>
              <w:ind w:firstLine="482"/>
              <w:rPr>
                <w:rFonts w:hint="eastAsia" w:eastAsia="宋体" w:cs="Times New Roman"/>
                <w:b w:val="0"/>
                <w:bCs w:val="0"/>
                <w:u w:val="single"/>
                <w:lang w:val="en-US" w:eastAsia="zh-CN"/>
              </w:rPr>
            </w:pPr>
            <w:r>
              <w:rPr>
                <w:rFonts w:hint="eastAsia" w:eastAsia="宋体" w:cs="Times New Roman"/>
                <w:b w:val="0"/>
                <w:bCs w:val="0"/>
                <w:u w:val="single"/>
                <w:lang w:val="en-US" w:eastAsia="zh-CN"/>
              </w:rPr>
              <w:t>暂存过程泄露：本项目冷却废水、化验废水年产生量为19.65t，在厂区内由废水暂存桶收集暂存，正常情况下不会发生泄漏，建议建设单位在废水暂存桶下方设置托盘，当废水暂存桶桶体破裂发生泄漏时，泄露的冷却废水由托盘收集，不会通过车间地面溢流至外环境，杜绝事故状态下废水泄露进外环境的风险。</w:t>
            </w:r>
          </w:p>
          <w:p w14:paraId="549AA907">
            <w:pPr>
              <w:pStyle w:val="122"/>
              <w:ind w:firstLine="482"/>
              <w:rPr>
                <w:rFonts w:hint="eastAsia" w:eastAsia="宋体" w:cs="Times New Roman"/>
                <w:b w:val="0"/>
                <w:bCs w:val="0"/>
                <w:u w:val="single"/>
                <w:lang w:val="en-US" w:eastAsia="zh-CN"/>
              </w:rPr>
            </w:pPr>
            <w:r>
              <w:rPr>
                <w:rFonts w:hint="eastAsia" w:eastAsia="宋体" w:cs="Times New Roman"/>
                <w:b w:val="0"/>
                <w:bCs w:val="0"/>
                <w:u w:val="single"/>
                <w:lang w:val="en-US" w:eastAsia="zh-CN"/>
              </w:rPr>
              <w:t>转运过程：本项目冷却废水、化验废水年产生量为19.65t，每2月拉运一次（每年拉运6次），单次拉运量为3.28t，当运输途中发生严重交通事故时，可能导致本项目废水泄露至外环境。本项目废水运输路线短（线路长度约2.3km），通过控制运输车速等措施，降低交通事故发生概率，可有效降低废水泄露概率，同时，建议建设单位在废水运输车上准备足量吸水棉，当运输过程发生废水泄漏时，采用吸水棉将泄露废水吸附，防止废水进入外环境。本项目运输路线见图4-1。</w:t>
            </w:r>
          </w:p>
          <w:p w14:paraId="3FE91D9B">
            <w:pPr>
              <w:pStyle w:val="122"/>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pPr>
            <w:r>
              <w:rPr>
                <w:sz w:val="21"/>
              </w:rPr>
              <w:pict>
                <v:shape id="_x0000_s1067" o:spid="_x0000_s1067" o:spt="136" type="#_x0000_t136" style="position:absolute;left:0pt;margin-left:347.6pt;margin-top:88.55pt;height:11pt;width:30pt;z-index:251671552;mso-width-relative:page;mso-height-relative:page;" fillcolor="#FFFFFF" filled="t" stroked="t" coordsize="21600,21600" adj="10800">
                  <v:path/>
                  <v:fill on="t" color2="#FFFFFF" focussize="0,0"/>
                  <v:stroke color="#FF0000"/>
                  <v:imagedata o:title=""/>
                  <o:lock v:ext="edit" aspectratio="f"/>
                  <v:textpath on="t" fitshape="t" fitpath="t" trim="t" xscale="f" string="新安路" style="font-family:宋体;font-size:10pt;v-text-align:center;"/>
                  <v:shadow on="t" obscured="f" color="#B2B2B2" opacity="52428f" offset="0.000236220472440945pt,0pt" offset2="-2pt,-2pt" origin="0f,0f" matrix="65536f,0f,0f,65536f,0,0"/>
                </v:shape>
              </w:pict>
            </w:r>
            <w:r>
              <w:rPr>
                <w:sz w:val="21"/>
              </w:rPr>
              <w:pict>
                <v:shape id="_x0000_s1066" o:spid="_x0000_s1066" o:spt="136" type="#_x0000_t136" style="position:absolute;left:0pt;margin-left:268.25pt;margin-top:109.15pt;height:11pt;width:30pt;z-index:251670528;mso-width-relative:page;mso-height-relative:page;" fillcolor="#FFFFFF" filled="t" stroked="t" coordsize="21600,21600" adj="10800">
                  <v:path/>
                  <v:fill on="t" color2="#FFFFFF" focussize="0,0"/>
                  <v:stroke color="#FF0000"/>
                  <v:imagedata o:title=""/>
                  <o:lock v:ext="edit" aspectratio="f"/>
                  <v:textpath on="t" fitshape="t" fitpath="t" trim="t" xscale="f" string="化工路" style="font-family:宋体;font-size:10pt;v-text-align:center;"/>
                  <v:shadow on="t" obscured="f" color="#B2B2B2" opacity="52428f" offset="0.000236220472440945pt,0pt" offset2="-2pt,-2pt" origin="0f,0f" matrix="65536f,0f,0f,65536f,0,0"/>
                </v:shape>
              </w:pict>
            </w:r>
            <w:r>
              <w:rPr>
                <w:sz w:val="21"/>
              </w:rPr>
              <w:pict>
                <v:shape id="_x0000_s1065" o:spid="_x0000_s1065" o:spt="136" type="#_x0000_t136" style="position:absolute;left:0pt;margin-left:177pt;margin-top:206.65pt;height:11pt;width:40pt;z-index:251669504;mso-width-relative:page;mso-height-relative:page;" fillcolor="#FFFFFF" filled="t" stroked="t" coordsize="21600,21600" adj="10800">
                  <v:path/>
                  <v:fill on="t" color2="#FFFFFF" focussize="0,0"/>
                  <v:stroke color="#FF0000"/>
                  <v:imagedata o:title=""/>
                  <o:lock v:ext="edit" aspectratio="f"/>
                  <v:textpath on="t" fitshape="t" fitpath="t" trim="t" xscale="f" string="江霞大道" style="font-family:宋体;font-size:10pt;v-text-align:center;"/>
                  <v:shadow on="t" obscured="f" color="#B2B2B2" opacity="52428f" offset="0.000236220472440945pt,0pt" offset2="-2pt,-2pt" origin="0f,0f" matrix="65536f,0f,0f,65536f,0,0"/>
                </v:shape>
              </w:pict>
            </w:r>
            <w:r>
              <w:rPr>
                <w:sz w:val="21"/>
              </w:rPr>
              <w:pict>
                <v:shape id="_x0000_s1064" o:spid="_x0000_s1064" o:spt="136" type="#_x0000_t136" style="position:absolute;left:0pt;margin-left:98.25pt;margin-top:266.05pt;height:11pt;width:30pt;z-index:251668480;mso-width-relative:page;mso-height-relative:page;" fillcolor="#FFFFFF" filled="t" stroked="t" coordsize="21600,21600" adj="10800">
                  <v:path/>
                  <v:fill on="t" color2="#FFFFFF" focussize="0,0"/>
                  <v:stroke color="#FF0000"/>
                  <v:imagedata o:title=""/>
                  <o:lock v:ext="edit" aspectratio="f"/>
                  <v:textpath on="t" fitshape="t" fitpath="t" trim="t" xscale="f" string="松枫路" style="font-family:宋体;font-size:10pt;v-text-align:center;"/>
                  <v:shadow on="t" obscured="f" color="#B2B2B2" opacity="52428f" offset="0.000236220472440945pt,0pt" offset2="-2pt,-2pt" origin="0f,0f" matrix="65536f,0f,0f,65536f,0,0"/>
                </v:shape>
              </w:pict>
            </w:r>
            <w:r>
              <w:rPr>
                <w:sz w:val="21"/>
              </w:rPr>
              <w:pict>
                <v:shape id="_x0000_s1063" o:spid="_x0000_s1063" o:spt="136" type="#_x0000_t136" style="position:absolute;left:0pt;margin-left:128.25pt;margin-top:56.1pt;height:11pt;width:85pt;z-index:251667456;mso-width-relative:page;mso-height-relative:page;" fillcolor="#00B050" filled="t" stroked="t" coordsize="21600,21600" adj="10800">
                  <v:path/>
                  <v:fill on="t" color2="#FFFFFF" focussize="0,0"/>
                  <v:stroke color="#00B050"/>
                  <v:imagedata o:title=""/>
                  <o:lock v:ext="edit" aspectratio="f"/>
                  <v:textpath on="t" fitshape="t" fitpath="t" trim="t" xscale="f" string="运输路线（2.3km）" style="font-family:宋体;font-size:10pt;v-text-align:center;"/>
                  <v:shadow on="t" obscured="f" color="#B2B2B2" opacity="52428f" offset="0.000236220472440945pt,0pt" offset2="-2pt,-2pt" origin="0f,0f" matrix="65536f,0f,0f,65536f,0,0"/>
                </v:shape>
              </w:pict>
            </w:r>
            <w:r>
              <w:rPr>
                <w:sz w:val="21"/>
              </w:rPr>
              <mc:AlternateContent>
                <mc:Choice Requires="wps">
                  <w:drawing>
                    <wp:anchor distT="0" distB="0" distL="114300" distR="114300" simplePos="0" relativeHeight="251664384" behindDoc="0" locked="0" layoutInCell="1" allowOverlap="1">
                      <wp:simplePos x="0" y="0"/>
                      <wp:positionH relativeFrom="column">
                        <wp:posOffset>2275840</wp:posOffset>
                      </wp:positionH>
                      <wp:positionV relativeFrom="paragraph">
                        <wp:posOffset>851535</wp:posOffset>
                      </wp:positionV>
                      <wp:extent cx="365125" cy="570865"/>
                      <wp:effectExtent l="10795" t="6985" r="5080" b="12700"/>
                      <wp:wrapNone/>
                      <wp:docPr id="31" name="直接箭头连接符 31"/>
                      <wp:cNvGraphicFramePr/>
                      <a:graphic xmlns:a="http://schemas.openxmlformats.org/drawingml/2006/main">
                        <a:graphicData uri="http://schemas.microsoft.com/office/word/2010/wordprocessingShape">
                          <wps:wsp>
                            <wps:cNvCnPr/>
                            <wps:spPr>
                              <a:xfrm>
                                <a:off x="3530600" y="2892425"/>
                                <a:ext cx="365125" cy="570865"/>
                              </a:xfrm>
                              <a:prstGeom prst="straightConnector1">
                                <a:avLst/>
                              </a:prstGeom>
                              <a:ln>
                                <a:solidFill>
                                  <a:srgbClr val="00B05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79.2pt;margin-top:67.05pt;height:44.95pt;width:28.75pt;z-index:251664384;mso-width-relative:page;mso-height-relative:page;" filled="f" stroked="t" coordsize="21600,21600" o:gfxdata="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9Y4mn2AAAAAsBAAAPAAAAAAAAAAEAIAAA&#10;ACIAAABkcnMvZG93bnJldi54bWxQSwECFAAUAAAACACHTuJA+pB1PgwCAADaAwAADgAAAAAAAAAB&#10;ACAAAAAnAQAAZHJzL2Uyb0RvYy54bWxQSwUGAAAAAAYABgBZAQAApQUAAAAA&#10;">
                      <v:fill on="f" focussize="0,0"/>
                      <v:stroke weight="2pt" color="#00B050 [3204]" joinstyle="round" endarrow="open"/>
                      <v:imagedata o:title=""/>
                      <o:lock v:ext="edit" aspectratio="f"/>
                    </v:shape>
                  </w:pict>
                </mc:Fallback>
              </mc:AlternateContent>
            </w:r>
            <w:r>
              <w:rPr>
                <w:sz w:val="21"/>
              </w:rPr>
              <w:pict>
                <v:shape id="_x0000_s1062" o:spid="_x0000_s1062" o:spt="136" type="#_x0000_t136" style="position:absolute;left:0pt;margin-left:321.4pt;margin-top:36.7pt;height:11pt;width:40pt;z-index:251666432;mso-width-relative:page;mso-height-relative:page;" fillcolor="#FFFFFF" filled="t" stroked="t" coordsize="21600,21600" adj="10800">
                  <v:path/>
                  <v:fill on="t" color2="#FFFFFF" focussize="0,0"/>
                  <v:stroke color="#FF0000"/>
                  <v:imagedata o:title=""/>
                  <o:lock v:ext="edit" aspectratio="f"/>
                  <v:textpath on="t" fitshape="t" fitpath="t" trim="t" xscale="f" string="丰联公司" style="font-family:宋体;font-size:10pt;v-text-align:center;"/>
                  <v:shadow on="t" obscured="f" color="#B2B2B2" opacity="52428f" offset="0.000236220472440945pt,0pt" offset2="-2pt,-2pt" origin="0f,0f" matrix="65536f,0f,0f,65536f,0,0"/>
                </v:shape>
              </w:pict>
            </w:r>
            <w:r>
              <w:rPr>
                <w:sz w:val="21"/>
              </w:rPr>
              <w:pict>
                <v:shape id="_x0000_s1061" o:spid="_x0000_s1061" o:spt="136" type="#_x0000_t136" style="position:absolute;left:0pt;margin-left:46.4pt;margin-top:174.8pt;height:11pt;width:50pt;z-index:251665408;mso-width-relative:page;mso-height-relative:page;" fillcolor="#FFFFFF" filled="t" stroked="t" coordsize="21600,21600" adj="10800">
                  <v:path/>
                  <v:fill on="t" color2="#FFFFFF" focussize="0,0"/>
                  <v:stroke color="#FF0000"/>
                  <v:imagedata o:title=""/>
                  <o:lock v:ext="edit" aspectratio="f"/>
                  <v:textpath on="t" fitshape="t" fitpath="t" trim="t" xscale="f" string="本项目位置" style="font-family:宋体;font-size:10pt;v-text-align:center;"/>
                  <v:shadow on="t" obscured="f" color="#B2B2B2" opacity="52428f" offset="0.000236220472440945pt,0pt" offset2="-2pt,-2pt" origin="0f,0f" matrix="65536f,0f,0f,65536f,0,0"/>
                </v:shape>
              </w:pict>
            </w:r>
            <w:r>
              <w:rPr>
                <w:rFonts w:ascii="宋体"/>
                <w:color w:val="000000" w:themeColor="text1"/>
                <w:kern w:val="0"/>
                <w:szCs w:val="20"/>
                <w14:textFill>
                  <w14:solidFill>
                    <w14:schemeClr w14:val="tx1"/>
                  </w14:solidFill>
                </w14:textFill>
              </w:rPr>
              <w:drawing>
                <wp:anchor distT="0" distB="0" distL="114300" distR="114300" simplePos="0" relativeHeight="251663360" behindDoc="0" locked="0" layoutInCell="1" allowOverlap="1">
                  <wp:simplePos x="0" y="0"/>
                  <wp:positionH relativeFrom="column">
                    <wp:posOffset>5036820</wp:posOffset>
                  </wp:positionH>
                  <wp:positionV relativeFrom="paragraph">
                    <wp:posOffset>6985</wp:posOffset>
                  </wp:positionV>
                  <wp:extent cx="739775" cy="766445"/>
                  <wp:effectExtent l="0" t="0" r="3175" b="14605"/>
                  <wp:wrapNone/>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6"/>
                          <a:stretch>
                            <a:fillRect/>
                          </a:stretch>
                        </pic:blipFill>
                        <pic:spPr>
                          <a:xfrm>
                            <a:off x="0" y="0"/>
                            <a:ext cx="739775" cy="766445"/>
                          </a:xfrm>
                          <a:prstGeom prst="rect">
                            <a:avLst/>
                          </a:prstGeom>
                          <a:noFill/>
                          <a:ln>
                            <a:noFill/>
                          </a:ln>
                        </pic:spPr>
                      </pic:pic>
                    </a:graphicData>
                  </a:graphic>
                </wp:anchor>
              </w:drawing>
            </w:r>
            <w:r>
              <w:drawing>
                <wp:inline distT="0" distB="0" distL="114300" distR="114300">
                  <wp:extent cx="5793105" cy="3708400"/>
                  <wp:effectExtent l="0" t="0" r="17145" b="635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7"/>
                          <a:stretch>
                            <a:fillRect/>
                          </a:stretch>
                        </pic:blipFill>
                        <pic:spPr>
                          <a:xfrm>
                            <a:off x="0" y="0"/>
                            <a:ext cx="5793105" cy="3708400"/>
                          </a:xfrm>
                          <a:prstGeom prst="rect">
                            <a:avLst/>
                          </a:prstGeom>
                          <a:noFill/>
                          <a:ln>
                            <a:noFill/>
                          </a:ln>
                        </pic:spPr>
                      </pic:pic>
                    </a:graphicData>
                  </a:graphic>
                </wp:inline>
              </w:drawing>
            </w:r>
          </w:p>
          <w:p w14:paraId="2E05AF59">
            <w:pPr>
              <w:pStyle w:val="122"/>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b/>
                <w:bCs/>
                <w:lang w:val="en-US" w:eastAsia="zh-CN"/>
              </w:rPr>
            </w:pPr>
            <w:r>
              <w:rPr>
                <w:rFonts w:hint="eastAsia"/>
                <w:b/>
                <w:bCs/>
                <w:lang w:val="en-US" w:eastAsia="zh-CN"/>
              </w:rPr>
              <w:t>图4-1 本项目废水运输路线图</w:t>
            </w:r>
          </w:p>
          <w:p w14:paraId="76AF6AB5">
            <w:pPr>
              <w:pStyle w:val="122"/>
              <w:ind w:firstLine="482"/>
              <w:rPr>
                <w:rFonts w:hint="default" w:eastAsia="宋体" w:cs="Times New Roman"/>
                <w:b/>
                <w:bCs/>
                <w:u w:val="single"/>
                <w:lang w:val="en-US" w:eastAsia="zh-CN"/>
              </w:rPr>
            </w:pPr>
            <w:r>
              <w:rPr>
                <w:rFonts w:hint="eastAsia" w:eastAsia="宋体" w:cs="Times New Roman"/>
                <w:b/>
                <w:bCs/>
                <w:u w:val="single"/>
                <w:lang w:val="en-US" w:eastAsia="zh-CN"/>
              </w:rPr>
              <w:t>3、火灾爆炸次生环境风险</w:t>
            </w:r>
          </w:p>
          <w:p w14:paraId="35CCEBDE">
            <w:pPr>
              <w:spacing w:line="360" w:lineRule="auto"/>
              <w:ind w:firstLine="480" w:firstLineChars="200"/>
              <w:rPr>
                <w:rFonts w:hint="default" w:ascii="Times New Roman" w:hAnsi="Times New Roman" w:cs="Times New Roman"/>
                <w:color w:val="auto"/>
                <w:sz w:val="24"/>
                <w:highlight w:val="none"/>
                <w:u w:val="single"/>
                <w:lang w:val="en-US" w:eastAsia="zh-CN"/>
              </w:rPr>
            </w:pPr>
            <w:r>
              <w:rPr>
                <w:rFonts w:hint="eastAsia" w:ascii="Times New Roman" w:hAnsi="Times New Roman" w:cs="Times New Roman"/>
                <w:color w:val="auto"/>
                <w:sz w:val="24"/>
                <w:highlight w:val="none"/>
                <w:u w:val="single"/>
                <w:lang w:val="en-US" w:eastAsia="zh-CN"/>
              </w:rPr>
              <w:t>防范措施：①加强车间电路检修，避免因电路老化短路等导致火灾爆炸事件；②厂区生产工艺采用先进的DCS控制系统，对重要工艺参数(温度)实时监测、集中控制，避免因工艺操作不当发生火灾爆炸事故。</w:t>
            </w:r>
          </w:p>
          <w:p w14:paraId="42BD7949">
            <w:pPr>
              <w:spacing w:line="360" w:lineRule="auto"/>
              <w:ind w:firstLine="480" w:firstLineChars="200"/>
              <w:rPr>
                <w:rFonts w:hint="default" w:ascii="Times New Roman" w:hAnsi="Times New Roman" w:cs="Times New Roman"/>
                <w:color w:val="auto"/>
                <w:sz w:val="24"/>
                <w:highlight w:val="none"/>
                <w:u w:val="single"/>
                <w:lang w:val="en-US" w:eastAsia="zh-CN"/>
              </w:rPr>
            </w:pPr>
            <w:r>
              <w:rPr>
                <w:rFonts w:hint="eastAsia" w:ascii="Times New Roman" w:hAnsi="Times New Roman" w:cs="Times New Roman"/>
                <w:color w:val="auto"/>
                <w:sz w:val="24"/>
                <w:highlight w:val="none"/>
                <w:u w:val="single"/>
                <w:lang w:val="en-US" w:eastAsia="zh-CN"/>
              </w:rPr>
              <w:t>应急要求：火灾爆炸事故发生时，应立即通知湖南衡阳松木经济开发区产业孵化基地，启动产业孵化基地应急预案，根据现场情况进行监测及下风向居民疏散，切断消防废水外排路径，并收集至产业孵化基地事故应急池。</w:t>
            </w:r>
          </w:p>
          <w:p w14:paraId="055A07F3">
            <w:pPr>
              <w:pStyle w:val="122"/>
              <w:ind w:firstLine="482"/>
              <w:rPr>
                <w:rFonts w:cs="Times New Roman"/>
                <w:b/>
                <w:bCs/>
              </w:rPr>
            </w:pPr>
            <w:r>
              <w:rPr>
                <w:rFonts w:hint="eastAsia" w:cs="Times New Roman"/>
                <w:b/>
                <w:bCs/>
              </w:rPr>
              <w:t>（</w:t>
            </w:r>
            <w:r>
              <w:rPr>
                <w:rFonts w:hint="eastAsia" w:eastAsia="宋体" w:cs="Times New Roman"/>
                <w:b/>
                <w:bCs/>
                <w:lang w:val="en-US"/>
              </w:rPr>
              <w:t>四</w:t>
            </w:r>
            <w:r>
              <w:rPr>
                <w:rFonts w:hint="eastAsia" w:cs="Times New Roman"/>
                <w:b/>
                <w:bCs/>
              </w:rPr>
              <w:t>）分析结论</w:t>
            </w:r>
          </w:p>
          <w:p w14:paraId="04B2EBCD">
            <w:pPr>
              <w:adjustRightInd w:val="0"/>
              <w:snapToGrid w:val="0"/>
              <w:spacing w:line="360" w:lineRule="auto"/>
              <w:ind w:firstLine="480" w:firstLineChars="200"/>
            </w:pPr>
            <w:r>
              <w:rPr>
                <w:rFonts w:hint="eastAsia"/>
              </w:rPr>
              <w:t>通过前述分析可知，本项目在落实相应的风险防范措施后，项目环境风险在可控范围内采取上述治理措施后，项目环境风险可控。</w:t>
            </w:r>
          </w:p>
          <w:p w14:paraId="76E5FADF">
            <w:pPr>
              <w:pStyle w:val="114"/>
              <w:ind w:firstLine="480"/>
            </w:pPr>
            <w:r>
              <w:t>项目环境风险简单分析内容见表4-</w:t>
            </w:r>
            <w:r>
              <w:rPr>
                <w:rFonts w:hint="eastAsia"/>
                <w:lang w:val="en-US" w:eastAsia="zh-CN"/>
              </w:rPr>
              <w:t>19</w:t>
            </w:r>
            <w:r>
              <w:t>。</w:t>
            </w:r>
          </w:p>
          <w:p w14:paraId="0225DC4C">
            <w:pPr>
              <w:spacing w:before="120" w:beforeLines="50" w:line="360" w:lineRule="auto"/>
              <w:jc w:val="center"/>
              <w:rPr>
                <w:b/>
              </w:rPr>
            </w:pPr>
            <w:r>
              <w:rPr>
                <w:b/>
              </w:rPr>
              <w:t>表4-1</w:t>
            </w:r>
            <w:r>
              <w:rPr>
                <w:rFonts w:hint="eastAsia"/>
                <w:b/>
                <w:lang w:val="en-US" w:eastAsia="zh-CN"/>
              </w:rPr>
              <w:t>9</w:t>
            </w:r>
            <w:r>
              <w:rPr>
                <w:b/>
              </w:rPr>
              <w:t xml:space="preserve">  项目环境风险简单分析内容表</w:t>
            </w:r>
          </w:p>
          <w:tbl>
            <w:tblPr>
              <w:tblStyle w:val="3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798"/>
              <w:gridCol w:w="1806"/>
              <w:gridCol w:w="1713"/>
              <w:gridCol w:w="1798"/>
            </w:tblGrid>
            <w:tr w14:paraId="548969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915" w:type="dxa"/>
                  <w:tcBorders>
                    <w:tl2br w:val="nil"/>
                    <w:tr2bl w:val="nil"/>
                  </w:tcBorders>
                  <w:vAlign w:val="center"/>
                </w:tcPr>
                <w:p w14:paraId="4FBEB7F0">
                  <w:pPr>
                    <w:jc w:val="center"/>
                    <w:rPr>
                      <w:sz w:val="21"/>
                      <w:szCs w:val="21"/>
                    </w:rPr>
                  </w:pPr>
                  <w:r>
                    <w:rPr>
                      <w:sz w:val="21"/>
                      <w:szCs w:val="21"/>
                    </w:rPr>
                    <w:t>建设项目名称</w:t>
                  </w:r>
                </w:p>
              </w:tc>
              <w:tc>
                <w:tcPr>
                  <w:tcW w:w="6866" w:type="dxa"/>
                  <w:gridSpan w:val="4"/>
                  <w:tcBorders>
                    <w:tl2br w:val="nil"/>
                    <w:tr2bl w:val="nil"/>
                  </w:tcBorders>
                  <w:vAlign w:val="center"/>
                </w:tcPr>
                <w:p w14:paraId="5E6F46EE">
                  <w:pPr>
                    <w:jc w:val="center"/>
                    <w:rPr>
                      <w:sz w:val="21"/>
                      <w:szCs w:val="21"/>
                    </w:rPr>
                  </w:pPr>
                  <w:r>
                    <w:rPr>
                      <w:rFonts w:hint="eastAsia"/>
                      <w:sz w:val="21"/>
                      <w:szCs w:val="21"/>
                    </w:rPr>
                    <w:t>衡阳丰联精细化工有限公司</w:t>
                  </w:r>
                  <w:r>
                    <w:rPr>
                      <w:rFonts w:hint="eastAsia"/>
                      <w:sz w:val="21"/>
                      <w:szCs w:val="21"/>
                      <w:lang w:eastAsia="zh-CN"/>
                    </w:rPr>
                    <w:t>年产1.5万吨无卤阻燃材料及功能母粒</w:t>
                  </w:r>
                  <w:r>
                    <w:rPr>
                      <w:rFonts w:hint="eastAsia"/>
                      <w:sz w:val="21"/>
                      <w:szCs w:val="21"/>
                    </w:rPr>
                    <w:t>项目</w:t>
                  </w:r>
                </w:p>
              </w:tc>
            </w:tr>
            <w:tr w14:paraId="2A59EF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5" w:type="dxa"/>
                  <w:tcBorders>
                    <w:tl2br w:val="nil"/>
                    <w:tr2bl w:val="nil"/>
                  </w:tcBorders>
                  <w:vAlign w:val="center"/>
                </w:tcPr>
                <w:p w14:paraId="60023AEC">
                  <w:pPr>
                    <w:jc w:val="center"/>
                    <w:rPr>
                      <w:sz w:val="21"/>
                      <w:szCs w:val="21"/>
                    </w:rPr>
                  </w:pPr>
                  <w:r>
                    <w:rPr>
                      <w:sz w:val="21"/>
                      <w:szCs w:val="21"/>
                    </w:rPr>
                    <w:t>建设地点</w:t>
                  </w:r>
                </w:p>
              </w:tc>
              <w:tc>
                <w:tcPr>
                  <w:tcW w:w="6866" w:type="dxa"/>
                  <w:gridSpan w:val="4"/>
                  <w:tcBorders>
                    <w:tl2br w:val="nil"/>
                    <w:tr2bl w:val="nil"/>
                  </w:tcBorders>
                  <w:vAlign w:val="center"/>
                </w:tcPr>
                <w:p w14:paraId="475FC617">
                  <w:pPr>
                    <w:jc w:val="center"/>
                    <w:rPr>
                      <w:sz w:val="21"/>
                      <w:szCs w:val="21"/>
                    </w:rPr>
                  </w:pPr>
                  <w:r>
                    <w:rPr>
                      <w:rFonts w:hint="eastAsia"/>
                      <w:sz w:val="21"/>
                      <w:szCs w:val="21"/>
                    </w:rPr>
                    <w:t>湖南省衡阳市松木经开区产业孵化基地四期31#栋标准厂房</w:t>
                  </w:r>
                </w:p>
              </w:tc>
            </w:tr>
            <w:tr w14:paraId="630451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5" w:type="dxa"/>
                  <w:tcBorders>
                    <w:tl2br w:val="nil"/>
                    <w:tr2bl w:val="nil"/>
                  </w:tcBorders>
                  <w:vAlign w:val="center"/>
                </w:tcPr>
                <w:p w14:paraId="67A69118">
                  <w:pPr>
                    <w:jc w:val="center"/>
                    <w:rPr>
                      <w:sz w:val="21"/>
                      <w:szCs w:val="21"/>
                    </w:rPr>
                  </w:pPr>
                  <w:r>
                    <w:rPr>
                      <w:sz w:val="21"/>
                      <w:szCs w:val="21"/>
                    </w:rPr>
                    <w:t>地理坐标</w:t>
                  </w:r>
                </w:p>
              </w:tc>
              <w:tc>
                <w:tcPr>
                  <w:tcW w:w="1735" w:type="dxa"/>
                  <w:tcBorders>
                    <w:tl2br w:val="nil"/>
                    <w:tr2bl w:val="nil"/>
                  </w:tcBorders>
                  <w:vAlign w:val="center"/>
                </w:tcPr>
                <w:p w14:paraId="6D512B30">
                  <w:pPr>
                    <w:jc w:val="center"/>
                    <w:rPr>
                      <w:sz w:val="21"/>
                      <w:szCs w:val="21"/>
                    </w:rPr>
                  </w:pPr>
                  <w:r>
                    <w:rPr>
                      <w:sz w:val="21"/>
                      <w:szCs w:val="21"/>
                    </w:rPr>
                    <w:t>经度</w:t>
                  </w:r>
                </w:p>
              </w:tc>
              <w:tc>
                <w:tcPr>
                  <w:tcW w:w="1743" w:type="dxa"/>
                  <w:tcBorders>
                    <w:tl2br w:val="nil"/>
                    <w:tr2bl w:val="nil"/>
                  </w:tcBorders>
                  <w:vAlign w:val="center"/>
                </w:tcPr>
                <w:p w14:paraId="290D930B">
                  <w:pPr>
                    <w:jc w:val="center"/>
                    <w:rPr>
                      <w:sz w:val="21"/>
                      <w:szCs w:val="21"/>
                    </w:rPr>
                  </w:pPr>
                  <w:r>
                    <w:rPr>
                      <w:sz w:val="21"/>
                      <w:szCs w:val="21"/>
                    </w:rPr>
                    <w:t>11</w:t>
                  </w:r>
                  <w:r>
                    <w:rPr>
                      <w:rFonts w:hint="eastAsia"/>
                      <w:sz w:val="21"/>
                      <w:szCs w:val="21"/>
                    </w:rPr>
                    <w:t>2</w:t>
                  </w:r>
                  <w:r>
                    <w:rPr>
                      <w:sz w:val="21"/>
                      <w:szCs w:val="21"/>
                    </w:rPr>
                    <w:t>°</w:t>
                  </w:r>
                  <w:r>
                    <w:rPr>
                      <w:rFonts w:hint="eastAsia"/>
                      <w:sz w:val="21"/>
                      <w:szCs w:val="21"/>
                    </w:rPr>
                    <w:t>37</w:t>
                  </w:r>
                  <w:r>
                    <w:rPr>
                      <w:sz w:val="21"/>
                      <w:szCs w:val="21"/>
                    </w:rPr>
                    <w:t>′</w:t>
                  </w:r>
                  <w:r>
                    <w:rPr>
                      <w:rFonts w:hint="eastAsia"/>
                      <w:sz w:val="21"/>
                      <w:szCs w:val="21"/>
                    </w:rPr>
                    <w:t>39.522</w:t>
                  </w:r>
                  <w:r>
                    <w:rPr>
                      <w:sz w:val="21"/>
                      <w:szCs w:val="21"/>
                    </w:rPr>
                    <w:t>″</w:t>
                  </w:r>
                </w:p>
              </w:tc>
              <w:tc>
                <w:tcPr>
                  <w:tcW w:w="1653" w:type="dxa"/>
                  <w:tcBorders>
                    <w:tl2br w:val="nil"/>
                    <w:tr2bl w:val="nil"/>
                  </w:tcBorders>
                  <w:vAlign w:val="center"/>
                </w:tcPr>
                <w:p w14:paraId="43D215D0">
                  <w:pPr>
                    <w:jc w:val="center"/>
                    <w:rPr>
                      <w:sz w:val="21"/>
                      <w:szCs w:val="21"/>
                    </w:rPr>
                  </w:pPr>
                  <w:r>
                    <w:rPr>
                      <w:sz w:val="21"/>
                      <w:szCs w:val="21"/>
                    </w:rPr>
                    <w:t>纬度</w:t>
                  </w:r>
                </w:p>
              </w:tc>
              <w:tc>
                <w:tcPr>
                  <w:tcW w:w="1735" w:type="dxa"/>
                  <w:tcBorders>
                    <w:tl2br w:val="nil"/>
                    <w:tr2bl w:val="nil"/>
                  </w:tcBorders>
                  <w:vAlign w:val="center"/>
                </w:tcPr>
                <w:p w14:paraId="3FDFEE35">
                  <w:pPr>
                    <w:jc w:val="center"/>
                    <w:rPr>
                      <w:sz w:val="21"/>
                      <w:szCs w:val="21"/>
                    </w:rPr>
                  </w:pPr>
                  <w:r>
                    <w:rPr>
                      <w:sz w:val="21"/>
                      <w:szCs w:val="21"/>
                    </w:rPr>
                    <w:t>2</w:t>
                  </w:r>
                  <w:r>
                    <w:rPr>
                      <w:rFonts w:hint="eastAsia"/>
                      <w:sz w:val="21"/>
                      <w:szCs w:val="21"/>
                    </w:rPr>
                    <w:t>6</w:t>
                  </w:r>
                  <w:r>
                    <w:rPr>
                      <w:sz w:val="21"/>
                      <w:szCs w:val="21"/>
                    </w:rPr>
                    <w:t>°</w:t>
                  </w:r>
                  <w:r>
                    <w:rPr>
                      <w:rFonts w:hint="eastAsia"/>
                      <w:sz w:val="21"/>
                      <w:szCs w:val="21"/>
                    </w:rPr>
                    <w:t>58</w:t>
                  </w:r>
                  <w:r>
                    <w:rPr>
                      <w:sz w:val="21"/>
                      <w:szCs w:val="21"/>
                    </w:rPr>
                    <w:t>′</w:t>
                  </w:r>
                  <w:r>
                    <w:rPr>
                      <w:rFonts w:hint="eastAsia"/>
                      <w:sz w:val="21"/>
                      <w:szCs w:val="21"/>
                    </w:rPr>
                    <w:t>17.214</w:t>
                  </w:r>
                  <w:r>
                    <w:rPr>
                      <w:sz w:val="21"/>
                      <w:szCs w:val="21"/>
                    </w:rPr>
                    <w:t>″</w:t>
                  </w:r>
                </w:p>
              </w:tc>
            </w:tr>
            <w:tr w14:paraId="1FB609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5" w:type="dxa"/>
                  <w:tcBorders>
                    <w:tl2br w:val="nil"/>
                    <w:tr2bl w:val="nil"/>
                  </w:tcBorders>
                  <w:vAlign w:val="center"/>
                </w:tcPr>
                <w:p w14:paraId="00583539">
                  <w:pPr>
                    <w:jc w:val="center"/>
                    <w:rPr>
                      <w:sz w:val="21"/>
                      <w:szCs w:val="21"/>
                    </w:rPr>
                  </w:pPr>
                  <w:r>
                    <w:rPr>
                      <w:sz w:val="21"/>
                      <w:szCs w:val="21"/>
                    </w:rPr>
                    <w:t>主要危险物质及分布</w:t>
                  </w:r>
                </w:p>
              </w:tc>
              <w:tc>
                <w:tcPr>
                  <w:tcW w:w="6866" w:type="dxa"/>
                  <w:gridSpan w:val="4"/>
                  <w:tcBorders>
                    <w:tl2br w:val="nil"/>
                    <w:tr2bl w:val="nil"/>
                  </w:tcBorders>
                  <w:vAlign w:val="center"/>
                </w:tcPr>
                <w:p w14:paraId="0FF0F380">
                  <w:pPr>
                    <w:jc w:val="center"/>
                    <w:rPr>
                      <w:sz w:val="21"/>
                      <w:szCs w:val="21"/>
                    </w:rPr>
                  </w:pPr>
                  <w:r>
                    <w:rPr>
                      <w:rFonts w:hint="eastAsia"/>
                      <w:sz w:val="21"/>
                      <w:szCs w:val="21"/>
                    </w:rPr>
                    <w:t>危废暂存间</w:t>
                  </w:r>
                </w:p>
              </w:tc>
            </w:tr>
            <w:tr w14:paraId="06316F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5" w:type="dxa"/>
                  <w:tcBorders>
                    <w:tl2br w:val="nil"/>
                    <w:tr2bl w:val="nil"/>
                  </w:tcBorders>
                  <w:vAlign w:val="center"/>
                </w:tcPr>
                <w:p w14:paraId="184D7336">
                  <w:pPr>
                    <w:jc w:val="center"/>
                    <w:rPr>
                      <w:sz w:val="21"/>
                      <w:szCs w:val="21"/>
                    </w:rPr>
                  </w:pPr>
                  <w:r>
                    <w:rPr>
                      <w:sz w:val="21"/>
                      <w:szCs w:val="21"/>
                    </w:rPr>
                    <w:t>环境影响途径及</w:t>
                  </w:r>
                </w:p>
                <w:p w14:paraId="7F089B9E">
                  <w:pPr>
                    <w:jc w:val="center"/>
                    <w:rPr>
                      <w:sz w:val="21"/>
                      <w:szCs w:val="21"/>
                    </w:rPr>
                  </w:pPr>
                  <w:r>
                    <w:rPr>
                      <w:sz w:val="21"/>
                      <w:szCs w:val="21"/>
                    </w:rPr>
                    <w:t>危害后果</w:t>
                  </w:r>
                </w:p>
              </w:tc>
              <w:tc>
                <w:tcPr>
                  <w:tcW w:w="6866" w:type="dxa"/>
                  <w:gridSpan w:val="4"/>
                  <w:tcBorders>
                    <w:tl2br w:val="nil"/>
                    <w:tr2bl w:val="nil"/>
                  </w:tcBorders>
                  <w:vAlign w:val="center"/>
                </w:tcPr>
                <w:p w14:paraId="0D4F1C54">
                  <w:pPr>
                    <w:jc w:val="center"/>
                    <w:rPr>
                      <w:sz w:val="21"/>
                      <w:szCs w:val="21"/>
                    </w:rPr>
                  </w:pPr>
                  <w:r>
                    <w:rPr>
                      <w:sz w:val="21"/>
                      <w:szCs w:val="21"/>
                    </w:rPr>
                    <w:t>①危险物质泄漏，对周边环境造成不利影响。</w:t>
                  </w:r>
                </w:p>
                <w:p w14:paraId="33FE7EC3">
                  <w:pPr>
                    <w:jc w:val="center"/>
                    <w:rPr>
                      <w:sz w:val="21"/>
                      <w:szCs w:val="21"/>
                    </w:rPr>
                  </w:pPr>
                  <w:r>
                    <w:rPr>
                      <w:sz w:val="21"/>
                      <w:szCs w:val="21"/>
                    </w:rPr>
                    <w:t>②</w:t>
                  </w:r>
                  <w:r>
                    <w:rPr>
                      <w:rFonts w:hint="eastAsia"/>
                      <w:sz w:val="21"/>
                      <w:szCs w:val="21"/>
                    </w:rPr>
                    <w:t>废气事故排放</w:t>
                  </w:r>
                  <w:r>
                    <w:rPr>
                      <w:sz w:val="21"/>
                      <w:szCs w:val="21"/>
                    </w:rPr>
                    <w:t>，对周边环境造成不利影响。</w:t>
                  </w:r>
                </w:p>
                <w:p w14:paraId="494A24DB">
                  <w:pPr>
                    <w:pStyle w:val="2"/>
                    <w:jc w:val="center"/>
                    <w:rPr>
                      <w:rFonts w:hint="eastAsia"/>
                      <w:sz w:val="21"/>
                      <w:szCs w:val="21"/>
                      <w:lang w:val="en-US" w:eastAsia="zh-CN"/>
                    </w:rPr>
                  </w:pPr>
                  <w:r>
                    <w:rPr>
                      <w:rFonts w:hint="eastAsia"/>
                      <w:sz w:val="21"/>
                      <w:szCs w:val="21"/>
                      <w:lang w:val="en-US" w:eastAsia="zh-CN"/>
                    </w:rPr>
                    <w:t>③废水泄露，对周边环境造成不利影响。</w:t>
                  </w:r>
                </w:p>
                <w:p w14:paraId="6AF1E590">
                  <w:pPr>
                    <w:pStyle w:val="2"/>
                    <w:jc w:val="center"/>
                    <w:rPr>
                      <w:rFonts w:hint="default" w:eastAsia="宋体"/>
                      <w:lang w:val="en-US" w:eastAsia="zh-CN"/>
                    </w:rPr>
                  </w:pPr>
                  <w:r>
                    <w:rPr>
                      <w:rFonts w:hint="eastAsia"/>
                      <w:sz w:val="21"/>
                      <w:szCs w:val="21"/>
                      <w:lang w:val="en-US" w:eastAsia="zh-CN"/>
                    </w:rPr>
                    <w:t>④火灾爆炸次生环境污染，</w:t>
                  </w:r>
                  <w:r>
                    <w:rPr>
                      <w:sz w:val="21"/>
                      <w:szCs w:val="21"/>
                    </w:rPr>
                    <w:t>对周边环境造成不利影响。</w:t>
                  </w:r>
                </w:p>
              </w:tc>
            </w:tr>
            <w:tr w14:paraId="737F1D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5" w:type="dxa"/>
                  <w:tcBorders>
                    <w:tl2br w:val="nil"/>
                    <w:tr2bl w:val="nil"/>
                  </w:tcBorders>
                  <w:vAlign w:val="center"/>
                </w:tcPr>
                <w:p w14:paraId="343D2A56">
                  <w:pPr>
                    <w:jc w:val="center"/>
                    <w:rPr>
                      <w:sz w:val="21"/>
                      <w:szCs w:val="21"/>
                    </w:rPr>
                  </w:pPr>
                  <w:r>
                    <w:rPr>
                      <w:sz w:val="21"/>
                      <w:szCs w:val="21"/>
                    </w:rPr>
                    <w:t>风险防范措施要求</w:t>
                  </w:r>
                </w:p>
              </w:tc>
              <w:tc>
                <w:tcPr>
                  <w:tcW w:w="6866" w:type="dxa"/>
                  <w:gridSpan w:val="4"/>
                  <w:tcBorders>
                    <w:tl2br w:val="nil"/>
                    <w:tr2bl w:val="nil"/>
                  </w:tcBorders>
                  <w:vAlign w:val="center"/>
                </w:tcPr>
                <w:p w14:paraId="32082C11">
                  <w:pPr>
                    <w:jc w:val="center"/>
                    <w:rPr>
                      <w:rFonts w:hint="default"/>
                      <w:sz w:val="21"/>
                      <w:szCs w:val="21"/>
                      <w:lang w:val="en-US" w:eastAsia="zh-CN"/>
                    </w:rPr>
                  </w:pPr>
                  <w:r>
                    <w:rPr>
                      <w:rFonts w:hint="eastAsia"/>
                      <w:sz w:val="21"/>
                      <w:szCs w:val="21"/>
                      <w:lang w:val="en-US" w:eastAsia="zh-CN"/>
                    </w:rPr>
                    <w:t>①设置危险废物暂存间，并满足GB18597-2023等相关标准的要求，危险废物分类存储，危险废物的转移应严格按照危险废物转移联单手续进行。危废间各液体危废如废矿物油等均设置托盘暂存，当储存容器发生破损泄露时，泄露的危险物质被收集在托盘内（托盘容积大于储存容器容积），不会泄露至外环境。</w:t>
                  </w:r>
                </w:p>
                <w:p w14:paraId="77013150">
                  <w:pPr>
                    <w:jc w:val="center"/>
                    <w:rPr>
                      <w:rFonts w:hint="eastAsia"/>
                      <w:sz w:val="21"/>
                      <w:szCs w:val="21"/>
                      <w:lang w:val="en-US" w:eastAsia="zh-CN"/>
                    </w:rPr>
                  </w:pPr>
                  <w:r>
                    <w:rPr>
                      <w:rFonts w:hint="eastAsia"/>
                      <w:sz w:val="21"/>
                      <w:szCs w:val="21"/>
                      <w:lang w:val="en-US" w:eastAsia="zh-CN"/>
                    </w:rPr>
                    <w:t>②项目在车间开工时，首先运行所有的废气处理装置，然后再开启车间的生产工艺，使生产过程中所产生的废气都能得到处理。车间停工时，所有的废气处理装置、除害装置和污水处理设施继续运转，待产生的废气全部处理排出之后才逐台关闭。项目排风系统均设安全保护电源和报警系统，设备每年定期检修，基本上能保证无故障运行</w:t>
                  </w:r>
                  <w:r>
                    <w:rPr>
                      <w:sz w:val="21"/>
                      <w:szCs w:val="21"/>
                    </w:rPr>
                    <w:t>。</w:t>
                  </w:r>
                  <w:r>
                    <w:rPr>
                      <w:rFonts w:hint="eastAsia"/>
                      <w:sz w:val="21"/>
                      <w:szCs w:val="21"/>
                    </w:rPr>
                    <w:t>当发生废气事故排放时，应立即停止相应工序生产，并联系专业人员对废气处理设施、风机等相应设备进行检修，待处理设施检修完成并试运行正常后，再进行正常生产。</w:t>
                  </w:r>
                </w:p>
                <w:p w14:paraId="6885AB36">
                  <w:pPr>
                    <w:jc w:val="center"/>
                    <w:rPr>
                      <w:rFonts w:hint="eastAsia"/>
                      <w:sz w:val="21"/>
                      <w:szCs w:val="21"/>
                      <w:lang w:val="en-US" w:eastAsia="zh-CN"/>
                    </w:rPr>
                  </w:pPr>
                  <w:r>
                    <w:rPr>
                      <w:rFonts w:hint="eastAsia"/>
                      <w:sz w:val="21"/>
                      <w:szCs w:val="21"/>
                      <w:lang w:val="en-US" w:eastAsia="zh-CN"/>
                    </w:rPr>
                    <w:t>③建议建设单位在废水暂存桶下方设置托盘，当废水暂存桶桶体破裂发生泄漏时，泄露的冷却废水由托盘收集，不会通过车间地面溢流至外环境，杜绝事故状态下废水泄露进外环境的风险；通过控制运输车速等措施，降低交通事故发生概率，从而降低废水泄露概率，同时，建议建设单位在废水运输车上准备足量吸水棉，当运输过程发生废水泄漏时，采用吸水棉将泄露废水吸附，防止废水进入外环境。</w:t>
                  </w:r>
                </w:p>
                <w:p w14:paraId="21968C40">
                  <w:pPr>
                    <w:jc w:val="center"/>
                    <w:rPr>
                      <w:rFonts w:hint="default" w:eastAsia="宋体"/>
                      <w:sz w:val="21"/>
                      <w:szCs w:val="21"/>
                      <w:lang w:val="en-US" w:eastAsia="zh-CN"/>
                    </w:rPr>
                  </w:pPr>
                  <w:r>
                    <w:rPr>
                      <w:rFonts w:hint="eastAsia"/>
                      <w:sz w:val="21"/>
                      <w:szCs w:val="21"/>
                      <w:lang w:val="en-US" w:eastAsia="zh-CN"/>
                    </w:rPr>
                    <w:t>④加强车间电路检修，避免因电路老化短路等导致火灾爆炸事件；厂区生产工艺采用先进的DCS控制系统，对重要工艺参数(温度)实时监测、集中控制，避免因工艺操作不当发生火灾爆炸事故；火灾爆炸事故次生消防废水收集至产业孵化基地事故应急池，杜绝其排放至外环境。</w:t>
                  </w:r>
                </w:p>
              </w:tc>
            </w:tr>
            <w:tr w14:paraId="0F06A0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1" w:type="dxa"/>
                  <w:gridSpan w:val="5"/>
                  <w:tcBorders>
                    <w:tl2br w:val="nil"/>
                    <w:tr2bl w:val="nil"/>
                  </w:tcBorders>
                  <w:vAlign w:val="center"/>
                </w:tcPr>
                <w:p w14:paraId="3F333365">
                  <w:pPr>
                    <w:rPr>
                      <w:sz w:val="21"/>
                      <w:szCs w:val="21"/>
                    </w:rPr>
                  </w:pPr>
                  <w:r>
                    <w:rPr>
                      <w:sz w:val="21"/>
                      <w:szCs w:val="21"/>
                    </w:rPr>
                    <w:t>填表说明：</w:t>
                  </w:r>
                </w:p>
                <w:p w14:paraId="42BF3336">
                  <w:pPr>
                    <w:rPr>
                      <w:sz w:val="21"/>
                      <w:szCs w:val="21"/>
                    </w:rPr>
                  </w:pPr>
                  <w:r>
                    <w:rPr>
                      <w:sz w:val="21"/>
                      <w:szCs w:val="21"/>
                    </w:rPr>
                    <w:t>项目信息：</w:t>
                  </w:r>
                  <w:r>
                    <w:rPr>
                      <w:rFonts w:hint="eastAsia"/>
                      <w:sz w:val="21"/>
                      <w:szCs w:val="21"/>
                      <w:lang w:eastAsia="zh-CN"/>
                    </w:rPr>
                    <w:t>年产1.5万吨无卤阻燃材料及功能母粒</w:t>
                  </w:r>
                  <w:r>
                    <w:rPr>
                      <w:rFonts w:hint="eastAsia"/>
                      <w:sz w:val="21"/>
                      <w:szCs w:val="21"/>
                    </w:rPr>
                    <w:t>项目</w:t>
                  </w:r>
                </w:p>
                <w:p w14:paraId="4E8FD750">
                  <w:pPr>
                    <w:rPr>
                      <w:sz w:val="21"/>
                      <w:szCs w:val="21"/>
                    </w:rPr>
                  </w:pPr>
                  <w:r>
                    <w:rPr>
                      <w:sz w:val="21"/>
                      <w:szCs w:val="21"/>
                    </w:rPr>
                    <w:t>评价说明：根据项目所用原料及辅料种类及工艺系统，涉及危险物质</w:t>
                  </w:r>
                  <w:r>
                    <w:rPr>
                      <w:rFonts w:hint="eastAsia"/>
                      <w:sz w:val="21"/>
                      <w:szCs w:val="21"/>
                    </w:rPr>
                    <w:t>主要为危险废物</w:t>
                  </w:r>
                  <w:r>
                    <w:rPr>
                      <w:sz w:val="21"/>
                      <w:szCs w:val="21"/>
                    </w:rPr>
                    <w:t>，Q值为＜1，所以本项目环境风险潜势级别定为I级，只需进行简单分析，在描述危险物质、环境影响途径、环境危害后果、风险防范措施等方面给出定性的说明。</w:t>
                  </w:r>
                </w:p>
              </w:tc>
            </w:tr>
          </w:tbl>
          <w:p w14:paraId="71E70F30">
            <w:pPr>
              <w:pStyle w:val="21"/>
              <w:spacing w:before="120" w:beforeLines="50" w:line="360" w:lineRule="auto"/>
              <w:ind w:firstLine="482" w:firstLineChars="200"/>
              <w:rPr>
                <w:rFonts w:ascii="Times New Roman" w:hAnsi="Times New Roman" w:eastAsia="宋体"/>
                <w:b/>
                <w:bCs/>
                <w:sz w:val="24"/>
              </w:rPr>
            </w:pPr>
            <w:r>
              <w:rPr>
                <w:rFonts w:ascii="Times New Roman" w:hAnsi="Times New Roman" w:eastAsia="宋体"/>
                <w:b/>
                <w:bCs/>
                <w:sz w:val="24"/>
              </w:rPr>
              <w:t>8、项目环境保护投资估算</w:t>
            </w:r>
          </w:p>
          <w:p w14:paraId="08289611">
            <w:pPr>
              <w:pStyle w:val="114"/>
              <w:ind w:firstLine="480"/>
            </w:pPr>
            <w:r>
              <w:t>本项目总投资</w:t>
            </w:r>
            <w:r>
              <w:rPr>
                <w:rFonts w:hint="eastAsia"/>
                <w:lang w:val="en-US" w:eastAsia="zh-CN"/>
              </w:rPr>
              <w:t>1237.84</w:t>
            </w:r>
            <w:r>
              <w:t>万元，其中环保投资</w:t>
            </w:r>
            <w:r>
              <w:rPr>
                <w:rFonts w:hint="eastAsia"/>
                <w:lang w:val="en-US" w:eastAsia="zh-CN"/>
              </w:rPr>
              <w:t>38.5</w:t>
            </w:r>
            <w:r>
              <w:t>万元，环保投资占总投资比例</w:t>
            </w:r>
            <w:r>
              <w:rPr>
                <w:rFonts w:hint="eastAsia"/>
                <w:lang w:val="en-US" w:eastAsia="zh-CN"/>
              </w:rPr>
              <w:t>3.1</w:t>
            </w:r>
            <w:r>
              <w:rPr>
                <w:rFonts w:hint="eastAsia"/>
              </w:rPr>
              <w:t>%</w:t>
            </w:r>
            <w:r>
              <w:t>。项目环保设施及投资估算详见下表。</w:t>
            </w:r>
          </w:p>
          <w:p w14:paraId="129D67A9">
            <w:pPr>
              <w:spacing w:line="360" w:lineRule="auto"/>
              <w:jc w:val="center"/>
              <w:rPr>
                <w:b/>
              </w:rPr>
            </w:pPr>
            <w:r>
              <w:rPr>
                <w:b/>
              </w:rPr>
              <w:t>表4-</w:t>
            </w:r>
            <w:r>
              <w:rPr>
                <w:rFonts w:hint="eastAsia"/>
                <w:b/>
                <w:lang w:val="en-US" w:eastAsia="zh-CN"/>
              </w:rPr>
              <w:t>20</w:t>
            </w:r>
            <w:r>
              <w:rPr>
                <w:b/>
              </w:rPr>
              <w:t xml:space="preserve">  项目环境保护投资估算一览表</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64"/>
              <w:gridCol w:w="1060"/>
              <w:gridCol w:w="1440"/>
              <w:gridCol w:w="4307"/>
              <w:gridCol w:w="1014"/>
              <w:gridCol w:w="818"/>
            </w:tblGrid>
            <w:tr w14:paraId="4B2912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7" w:type="pct"/>
                  <w:gridSpan w:val="2"/>
                  <w:tcBorders>
                    <w:tl2br w:val="nil"/>
                    <w:tr2bl w:val="nil"/>
                  </w:tcBorders>
                  <w:vAlign w:val="center"/>
                </w:tcPr>
                <w:p w14:paraId="39CAC6CE">
                  <w:pPr>
                    <w:jc w:val="center"/>
                    <w:rPr>
                      <w:sz w:val="21"/>
                      <w:szCs w:val="21"/>
                      <w:u w:val="single"/>
                    </w:rPr>
                  </w:pPr>
                  <w:r>
                    <w:rPr>
                      <w:rFonts w:hint="eastAsia"/>
                      <w:sz w:val="21"/>
                      <w:szCs w:val="21"/>
                      <w:u w:val="single"/>
                    </w:rPr>
                    <w:t>污染源</w:t>
                  </w:r>
                </w:p>
              </w:tc>
              <w:tc>
                <w:tcPr>
                  <w:tcW w:w="790" w:type="pct"/>
                  <w:tcBorders>
                    <w:tl2br w:val="nil"/>
                    <w:tr2bl w:val="nil"/>
                  </w:tcBorders>
                  <w:shd w:val="clear" w:color="auto" w:fill="auto"/>
                  <w:vAlign w:val="center"/>
                </w:tcPr>
                <w:p w14:paraId="6C6B25FC">
                  <w:pPr>
                    <w:jc w:val="center"/>
                    <w:rPr>
                      <w:sz w:val="21"/>
                      <w:szCs w:val="21"/>
                      <w:u w:val="single"/>
                    </w:rPr>
                  </w:pPr>
                  <w:r>
                    <w:rPr>
                      <w:rFonts w:hint="eastAsia"/>
                      <w:sz w:val="21"/>
                      <w:szCs w:val="21"/>
                      <w:u w:val="single"/>
                    </w:rPr>
                    <w:t>主要污染物</w:t>
                  </w:r>
                </w:p>
              </w:tc>
              <w:tc>
                <w:tcPr>
                  <w:tcW w:w="2365" w:type="pct"/>
                  <w:tcBorders>
                    <w:tl2br w:val="nil"/>
                    <w:tr2bl w:val="nil"/>
                  </w:tcBorders>
                  <w:shd w:val="clear" w:color="auto" w:fill="auto"/>
                  <w:vAlign w:val="center"/>
                </w:tcPr>
                <w:p w14:paraId="1BBEF320">
                  <w:pPr>
                    <w:jc w:val="center"/>
                    <w:rPr>
                      <w:sz w:val="21"/>
                      <w:szCs w:val="21"/>
                      <w:u w:val="single"/>
                    </w:rPr>
                  </w:pPr>
                  <w:r>
                    <w:rPr>
                      <w:sz w:val="21"/>
                      <w:szCs w:val="21"/>
                      <w:u w:val="single"/>
                    </w:rPr>
                    <w:t>建设内容</w:t>
                  </w:r>
                </w:p>
              </w:tc>
              <w:tc>
                <w:tcPr>
                  <w:tcW w:w="557" w:type="pct"/>
                  <w:tcBorders>
                    <w:tl2br w:val="nil"/>
                    <w:tr2bl w:val="nil"/>
                  </w:tcBorders>
                  <w:shd w:val="clear" w:color="auto" w:fill="auto"/>
                  <w:vAlign w:val="center"/>
                </w:tcPr>
                <w:p w14:paraId="7389B8BE">
                  <w:pPr>
                    <w:jc w:val="center"/>
                    <w:rPr>
                      <w:sz w:val="21"/>
                      <w:szCs w:val="21"/>
                      <w:u w:val="single"/>
                    </w:rPr>
                  </w:pPr>
                  <w:r>
                    <w:rPr>
                      <w:sz w:val="21"/>
                      <w:szCs w:val="21"/>
                      <w:u w:val="single"/>
                    </w:rPr>
                    <w:t>投资费用(万元)</w:t>
                  </w:r>
                </w:p>
              </w:tc>
              <w:tc>
                <w:tcPr>
                  <w:tcW w:w="449" w:type="pct"/>
                  <w:tcBorders>
                    <w:tl2br w:val="nil"/>
                    <w:tr2bl w:val="nil"/>
                  </w:tcBorders>
                  <w:vAlign w:val="center"/>
                </w:tcPr>
                <w:p w14:paraId="2374904C">
                  <w:pPr>
                    <w:jc w:val="center"/>
                    <w:rPr>
                      <w:sz w:val="21"/>
                      <w:szCs w:val="21"/>
                      <w:u w:val="single"/>
                    </w:rPr>
                  </w:pPr>
                  <w:r>
                    <w:rPr>
                      <w:sz w:val="21"/>
                      <w:szCs w:val="21"/>
                      <w:u w:val="single"/>
                    </w:rPr>
                    <w:t>备注</w:t>
                  </w:r>
                </w:p>
              </w:tc>
            </w:tr>
            <w:tr w14:paraId="3D93D6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 w:type="pct"/>
                  <w:vMerge w:val="restart"/>
                  <w:tcBorders>
                    <w:tl2br w:val="nil"/>
                    <w:tr2bl w:val="nil"/>
                  </w:tcBorders>
                  <w:vAlign w:val="center"/>
                </w:tcPr>
                <w:p w14:paraId="1E1AC999">
                  <w:pPr>
                    <w:jc w:val="center"/>
                    <w:rPr>
                      <w:sz w:val="21"/>
                      <w:szCs w:val="21"/>
                      <w:u w:val="single"/>
                    </w:rPr>
                  </w:pPr>
                  <w:r>
                    <w:rPr>
                      <w:rFonts w:hint="eastAsia"/>
                      <w:sz w:val="21"/>
                      <w:szCs w:val="21"/>
                      <w:u w:val="single"/>
                    </w:rPr>
                    <w:t>废气</w:t>
                  </w:r>
                </w:p>
              </w:tc>
              <w:tc>
                <w:tcPr>
                  <w:tcW w:w="582" w:type="pct"/>
                  <w:tcBorders>
                    <w:tl2br w:val="nil"/>
                    <w:tr2bl w:val="nil"/>
                  </w:tcBorders>
                  <w:shd w:val="clear" w:color="auto" w:fill="auto"/>
                  <w:vAlign w:val="center"/>
                </w:tcPr>
                <w:p w14:paraId="4D93783D">
                  <w:pPr>
                    <w:jc w:val="center"/>
                    <w:rPr>
                      <w:sz w:val="21"/>
                      <w:szCs w:val="21"/>
                      <w:u w:val="single"/>
                    </w:rPr>
                  </w:pPr>
                  <w:r>
                    <w:rPr>
                      <w:rFonts w:hint="eastAsia"/>
                      <w:sz w:val="21"/>
                      <w:szCs w:val="21"/>
                      <w:u w:val="single"/>
                    </w:rPr>
                    <w:t>粉碎包装废气</w:t>
                  </w:r>
                </w:p>
              </w:tc>
              <w:tc>
                <w:tcPr>
                  <w:tcW w:w="790" w:type="pct"/>
                  <w:tcBorders>
                    <w:tl2br w:val="nil"/>
                    <w:tr2bl w:val="nil"/>
                  </w:tcBorders>
                  <w:shd w:val="clear" w:color="auto" w:fill="auto"/>
                  <w:vAlign w:val="center"/>
                </w:tcPr>
                <w:p w14:paraId="4F046334">
                  <w:pPr>
                    <w:jc w:val="center"/>
                    <w:rPr>
                      <w:sz w:val="21"/>
                      <w:szCs w:val="21"/>
                      <w:u w:val="single"/>
                    </w:rPr>
                  </w:pPr>
                  <w:r>
                    <w:rPr>
                      <w:rFonts w:hint="eastAsia"/>
                      <w:sz w:val="21"/>
                      <w:szCs w:val="21"/>
                      <w:u w:val="single"/>
                    </w:rPr>
                    <w:t>颗粒物</w:t>
                  </w:r>
                </w:p>
              </w:tc>
              <w:tc>
                <w:tcPr>
                  <w:tcW w:w="2365" w:type="pct"/>
                  <w:tcBorders>
                    <w:tl2br w:val="nil"/>
                    <w:tr2bl w:val="nil"/>
                  </w:tcBorders>
                  <w:shd w:val="clear" w:color="auto" w:fill="auto"/>
                  <w:vAlign w:val="center"/>
                </w:tcPr>
                <w:p w14:paraId="777E94C6">
                  <w:pPr>
                    <w:jc w:val="center"/>
                    <w:rPr>
                      <w:sz w:val="21"/>
                      <w:szCs w:val="21"/>
                      <w:u w:val="single"/>
                    </w:rPr>
                  </w:pPr>
                  <w:r>
                    <w:rPr>
                      <w:rFonts w:hint="eastAsia"/>
                      <w:sz w:val="21"/>
                      <w:szCs w:val="21"/>
                      <w:u w:val="single"/>
                    </w:rPr>
                    <w:t>1套管道收集+布袋除尘器+</w:t>
                  </w:r>
                  <w:r>
                    <w:rPr>
                      <w:sz w:val="21"/>
                      <w:szCs w:val="21"/>
                      <w:u w:val="single"/>
                    </w:rPr>
                    <w:t>15</w:t>
                  </w:r>
                  <w:r>
                    <w:rPr>
                      <w:rFonts w:hint="eastAsia"/>
                      <w:sz w:val="21"/>
                      <w:szCs w:val="21"/>
                      <w:u w:val="single"/>
                    </w:rPr>
                    <w:t>m高排气筒（DA001），风机风量60</w:t>
                  </w:r>
                  <w:r>
                    <w:rPr>
                      <w:sz w:val="21"/>
                      <w:szCs w:val="21"/>
                      <w:u w:val="single"/>
                    </w:rPr>
                    <w:t>00m</w:t>
                  </w:r>
                  <w:r>
                    <w:rPr>
                      <w:sz w:val="21"/>
                      <w:szCs w:val="21"/>
                      <w:u w:val="single"/>
                      <w:vertAlign w:val="superscript"/>
                    </w:rPr>
                    <w:t>3</w:t>
                  </w:r>
                  <w:r>
                    <w:rPr>
                      <w:rFonts w:hint="eastAsia"/>
                      <w:sz w:val="21"/>
                      <w:szCs w:val="21"/>
                      <w:u w:val="single"/>
                    </w:rPr>
                    <w:t>/h</w:t>
                  </w:r>
                </w:p>
              </w:tc>
              <w:tc>
                <w:tcPr>
                  <w:tcW w:w="557" w:type="pct"/>
                  <w:tcBorders>
                    <w:tl2br w:val="nil"/>
                    <w:tr2bl w:val="nil"/>
                  </w:tcBorders>
                  <w:shd w:val="clear" w:color="auto" w:fill="auto"/>
                  <w:vAlign w:val="center"/>
                </w:tcPr>
                <w:p w14:paraId="4939C241">
                  <w:pPr>
                    <w:jc w:val="center"/>
                    <w:rPr>
                      <w:sz w:val="21"/>
                      <w:szCs w:val="21"/>
                      <w:u w:val="single"/>
                    </w:rPr>
                  </w:pPr>
                  <w:r>
                    <w:rPr>
                      <w:rFonts w:hint="eastAsia"/>
                      <w:sz w:val="21"/>
                      <w:szCs w:val="21"/>
                      <w:u w:val="single"/>
                    </w:rPr>
                    <w:t>15</w:t>
                  </w:r>
                </w:p>
              </w:tc>
              <w:tc>
                <w:tcPr>
                  <w:tcW w:w="449" w:type="pct"/>
                  <w:tcBorders>
                    <w:tl2br w:val="nil"/>
                    <w:tr2bl w:val="nil"/>
                  </w:tcBorders>
                  <w:vAlign w:val="center"/>
                </w:tcPr>
                <w:p w14:paraId="6FD7CF22">
                  <w:pPr>
                    <w:jc w:val="center"/>
                    <w:rPr>
                      <w:sz w:val="21"/>
                      <w:szCs w:val="21"/>
                      <w:u w:val="single"/>
                    </w:rPr>
                  </w:pPr>
                  <w:r>
                    <w:rPr>
                      <w:rFonts w:hint="eastAsia"/>
                      <w:sz w:val="21"/>
                      <w:szCs w:val="21"/>
                      <w:u w:val="single"/>
                    </w:rPr>
                    <w:t>新建</w:t>
                  </w:r>
                </w:p>
              </w:tc>
            </w:tr>
            <w:tr w14:paraId="2ED539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 w:type="pct"/>
                  <w:vMerge w:val="continue"/>
                  <w:tcBorders>
                    <w:tl2br w:val="nil"/>
                    <w:tr2bl w:val="nil"/>
                  </w:tcBorders>
                  <w:vAlign w:val="center"/>
                </w:tcPr>
                <w:p w14:paraId="1770BD7A">
                  <w:pPr>
                    <w:jc w:val="center"/>
                    <w:rPr>
                      <w:rFonts w:hint="eastAsia"/>
                      <w:sz w:val="21"/>
                      <w:szCs w:val="21"/>
                      <w:u w:val="single"/>
                    </w:rPr>
                  </w:pPr>
                </w:p>
              </w:tc>
              <w:tc>
                <w:tcPr>
                  <w:tcW w:w="582" w:type="pct"/>
                  <w:tcBorders>
                    <w:tl2br w:val="nil"/>
                    <w:tr2bl w:val="nil"/>
                  </w:tcBorders>
                  <w:shd w:val="clear" w:color="auto" w:fill="auto"/>
                  <w:vAlign w:val="center"/>
                </w:tcPr>
                <w:p w14:paraId="5B22B907">
                  <w:pPr>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rPr>
                    <w:t>天然气燃烧废气</w:t>
                  </w:r>
                </w:p>
              </w:tc>
              <w:tc>
                <w:tcPr>
                  <w:tcW w:w="790" w:type="pct"/>
                  <w:tcBorders>
                    <w:tl2br w:val="nil"/>
                    <w:tr2bl w:val="nil"/>
                  </w:tcBorders>
                  <w:shd w:val="clear" w:color="auto" w:fill="auto"/>
                  <w:vAlign w:val="center"/>
                </w:tcPr>
                <w:p w14:paraId="69761649">
                  <w:pPr>
                    <w:jc w:val="center"/>
                    <w:rPr>
                      <w:rFonts w:hint="default" w:ascii="Times New Roman" w:hAnsi="Times New Roman" w:eastAsia="宋体" w:cs="Times New Roman"/>
                      <w:kern w:val="2"/>
                      <w:sz w:val="21"/>
                      <w:szCs w:val="21"/>
                      <w:u w:val="single"/>
                      <w:lang w:val="en-US" w:eastAsia="zh-CN" w:bidi="ar-SA"/>
                    </w:rPr>
                  </w:pPr>
                  <w:r>
                    <w:rPr>
                      <w:rFonts w:hint="eastAsia"/>
                      <w:sz w:val="21"/>
                      <w:szCs w:val="21"/>
                      <w:u w:val="single"/>
                    </w:rPr>
                    <w:t>SO</w:t>
                  </w:r>
                  <w:r>
                    <w:rPr>
                      <w:rFonts w:hint="eastAsia"/>
                      <w:sz w:val="21"/>
                      <w:szCs w:val="21"/>
                      <w:u w:val="single"/>
                      <w:vertAlign w:val="subscript"/>
                    </w:rPr>
                    <w:t>2</w:t>
                  </w:r>
                  <w:r>
                    <w:rPr>
                      <w:sz w:val="21"/>
                      <w:szCs w:val="21"/>
                      <w:u w:val="single"/>
                    </w:rPr>
                    <w:t>、</w:t>
                  </w:r>
                  <w:r>
                    <w:rPr>
                      <w:rFonts w:hint="eastAsia"/>
                      <w:sz w:val="21"/>
                      <w:szCs w:val="21"/>
                      <w:u w:val="single"/>
                    </w:rPr>
                    <w:t>NO</w:t>
                  </w:r>
                  <w:r>
                    <w:rPr>
                      <w:rFonts w:hint="eastAsia"/>
                      <w:sz w:val="21"/>
                      <w:szCs w:val="21"/>
                      <w:u w:val="single"/>
                      <w:vertAlign w:val="subscript"/>
                    </w:rPr>
                    <w:t>X</w:t>
                  </w:r>
                  <w:r>
                    <w:rPr>
                      <w:sz w:val="21"/>
                      <w:szCs w:val="21"/>
                      <w:u w:val="single"/>
                    </w:rPr>
                    <w:t>、</w:t>
                  </w:r>
                  <w:r>
                    <w:rPr>
                      <w:rFonts w:hint="eastAsia"/>
                      <w:sz w:val="21"/>
                      <w:szCs w:val="21"/>
                      <w:u w:val="single"/>
                    </w:rPr>
                    <w:t>颗粒物</w:t>
                  </w:r>
                </w:p>
              </w:tc>
              <w:tc>
                <w:tcPr>
                  <w:tcW w:w="2365" w:type="pct"/>
                  <w:tcBorders>
                    <w:tl2br w:val="nil"/>
                    <w:tr2bl w:val="nil"/>
                  </w:tcBorders>
                  <w:shd w:val="clear" w:color="auto" w:fill="auto"/>
                  <w:vAlign w:val="center"/>
                </w:tcPr>
                <w:p w14:paraId="4061A3E4">
                  <w:pPr>
                    <w:jc w:val="center"/>
                    <w:rPr>
                      <w:rFonts w:hint="default" w:ascii="Times New Roman" w:hAnsi="Times New Roman" w:eastAsia="宋体" w:cs="Times New Roman"/>
                      <w:kern w:val="2"/>
                      <w:sz w:val="21"/>
                      <w:szCs w:val="21"/>
                      <w:u w:val="single"/>
                      <w:lang w:val="en-US" w:eastAsia="zh-CN" w:bidi="ar-SA"/>
                    </w:rPr>
                  </w:pPr>
                  <w:r>
                    <w:rPr>
                      <w:rFonts w:hint="eastAsia"/>
                      <w:sz w:val="21"/>
                      <w:szCs w:val="21"/>
                      <w:u w:val="single"/>
                    </w:rPr>
                    <w:t>1套管道收集+</w:t>
                  </w:r>
                  <w:r>
                    <w:rPr>
                      <w:sz w:val="21"/>
                      <w:szCs w:val="21"/>
                      <w:u w:val="single"/>
                    </w:rPr>
                    <w:t>15</w:t>
                  </w:r>
                  <w:r>
                    <w:rPr>
                      <w:rFonts w:hint="eastAsia"/>
                      <w:sz w:val="21"/>
                      <w:szCs w:val="21"/>
                      <w:u w:val="single"/>
                    </w:rPr>
                    <w:t>m高排气筒（DA003），风机风量159</w:t>
                  </w:r>
                  <w:r>
                    <w:rPr>
                      <w:sz w:val="21"/>
                      <w:szCs w:val="21"/>
                      <w:u w:val="single"/>
                    </w:rPr>
                    <w:t>0m</w:t>
                  </w:r>
                  <w:r>
                    <w:rPr>
                      <w:sz w:val="21"/>
                      <w:szCs w:val="21"/>
                      <w:u w:val="single"/>
                      <w:vertAlign w:val="superscript"/>
                    </w:rPr>
                    <w:t>3</w:t>
                  </w:r>
                  <w:r>
                    <w:rPr>
                      <w:rFonts w:hint="eastAsia"/>
                      <w:sz w:val="21"/>
                      <w:szCs w:val="21"/>
                      <w:u w:val="single"/>
                    </w:rPr>
                    <w:t>/h</w:t>
                  </w:r>
                </w:p>
              </w:tc>
              <w:tc>
                <w:tcPr>
                  <w:tcW w:w="557" w:type="pct"/>
                  <w:tcBorders>
                    <w:tl2br w:val="nil"/>
                    <w:tr2bl w:val="nil"/>
                  </w:tcBorders>
                  <w:shd w:val="clear" w:color="auto" w:fill="auto"/>
                  <w:vAlign w:val="center"/>
                </w:tcPr>
                <w:p w14:paraId="5A02AC8E">
                  <w:pPr>
                    <w:jc w:val="center"/>
                    <w:rPr>
                      <w:rFonts w:hint="default"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9</w:t>
                  </w:r>
                </w:p>
              </w:tc>
              <w:tc>
                <w:tcPr>
                  <w:tcW w:w="449" w:type="pct"/>
                  <w:tcBorders>
                    <w:tl2br w:val="nil"/>
                    <w:tr2bl w:val="nil"/>
                  </w:tcBorders>
                  <w:vAlign w:val="center"/>
                </w:tcPr>
                <w:p w14:paraId="4FB758AB">
                  <w:pPr>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rPr>
                    <w:t>新建</w:t>
                  </w:r>
                </w:p>
              </w:tc>
            </w:tr>
            <w:tr w14:paraId="3374F0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 w:type="pct"/>
                  <w:vMerge w:val="continue"/>
                  <w:tcBorders>
                    <w:tl2br w:val="nil"/>
                    <w:tr2bl w:val="nil"/>
                  </w:tcBorders>
                  <w:vAlign w:val="center"/>
                </w:tcPr>
                <w:p w14:paraId="04F6D67F">
                  <w:pPr>
                    <w:jc w:val="center"/>
                    <w:rPr>
                      <w:sz w:val="21"/>
                      <w:szCs w:val="21"/>
                      <w:u w:val="single"/>
                    </w:rPr>
                  </w:pPr>
                </w:p>
              </w:tc>
              <w:tc>
                <w:tcPr>
                  <w:tcW w:w="582" w:type="pct"/>
                  <w:tcBorders>
                    <w:tl2br w:val="nil"/>
                    <w:tr2bl w:val="nil"/>
                  </w:tcBorders>
                  <w:shd w:val="clear" w:color="auto" w:fill="auto"/>
                  <w:vAlign w:val="center"/>
                </w:tcPr>
                <w:p w14:paraId="535761DA">
                  <w:pPr>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eastAsia="zh-CN"/>
                    </w:rPr>
                    <w:t>造粒有机废气</w:t>
                  </w:r>
                </w:p>
              </w:tc>
              <w:tc>
                <w:tcPr>
                  <w:tcW w:w="790" w:type="pct"/>
                  <w:tcBorders>
                    <w:tl2br w:val="nil"/>
                    <w:tr2bl w:val="nil"/>
                  </w:tcBorders>
                  <w:shd w:val="clear" w:color="auto" w:fill="auto"/>
                  <w:vAlign w:val="center"/>
                </w:tcPr>
                <w:p w14:paraId="6ADD3938">
                  <w:pPr>
                    <w:jc w:val="center"/>
                    <w:rPr>
                      <w:rFonts w:hint="default"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VOCs</w:t>
                  </w:r>
                </w:p>
              </w:tc>
              <w:tc>
                <w:tcPr>
                  <w:tcW w:w="2365" w:type="pct"/>
                  <w:tcBorders>
                    <w:tl2br w:val="nil"/>
                    <w:tr2bl w:val="nil"/>
                  </w:tcBorders>
                  <w:shd w:val="clear" w:color="auto" w:fill="auto"/>
                  <w:vAlign w:val="center"/>
                </w:tcPr>
                <w:p w14:paraId="721B4B59">
                  <w:pPr>
                    <w:jc w:val="center"/>
                    <w:rPr>
                      <w:rFonts w:hint="default" w:ascii="Times New Roman" w:hAnsi="Times New Roman" w:eastAsia="宋体" w:cs="Times New Roman"/>
                      <w:kern w:val="2"/>
                      <w:sz w:val="21"/>
                      <w:szCs w:val="21"/>
                      <w:u w:val="single"/>
                      <w:lang w:val="en-US" w:eastAsia="zh-CN" w:bidi="ar-SA"/>
                    </w:rPr>
                  </w:pPr>
                  <w:r>
                    <w:rPr>
                      <w:rFonts w:hint="eastAsia"/>
                      <w:sz w:val="21"/>
                      <w:szCs w:val="21"/>
                      <w:u w:val="single"/>
                      <w:lang w:eastAsia="zh-CN"/>
                    </w:rPr>
                    <w:t>一台移动式</w:t>
                  </w:r>
                  <w:r>
                    <w:rPr>
                      <w:rFonts w:hint="eastAsia"/>
                      <w:sz w:val="21"/>
                      <w:szCs w:val="21"/>
                      <w:u w:val="single"/>
                      <w:lang w:val="en-US" w:eastAsia="zh-CN"/>
                    </w:rPr>
                    <w:t>VOCs处理设备</w:t>
                  </w:r>
                </w:p>
              </w:tc>
              <w:tc>
                <w:tcPr>
                  <w:tcW w:w="557" w:type="pct"/>
                  <w:tcBorders>
                    <w:tl2br w:val="nil"/>
                    <w:tr2bl w:val="nil"/>
                  </w:tcBorders>
                  <w:shd w:val="clear" w:color="auto" w:fill="auto"/>
                  <w:vAlign w:val="center"/>
                </w:tcPr>
                <w:p w14:paraId="33E91081">
                  <w:pPr>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10</w:t>
                  </w:r>
                </w:p>
              </w:tc>
              <w:tc>
                <w:tcPr>
                  <w:tcW w:w="449" w:type="pct"/>
                  <w:tcBorders>
                    <w:tl2br w:val="nil"/>
                    <w:tr2bl w:val="nil"/>
                  </w:tcBorders>
                  <w:vAlign w:val="center"/>
                </w:tcPr>
                <w:p w14:paraId="1B23C248">
                  <w:pPr>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eastAsia="zh-CN"/>
                    </w:rPr>
                    <w:t>新建</w:t>
                  </w:r>
                </w:p>
              </w:tc>
            </w:tr>
            <w:tr w14:paraId="43C720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 w:type="pct"/>
                  <w:tcBorders>
                    <w:tl2br w:val="nil"/>
                    <w:tr2bl w:val="nil"/>
                  </w:tcBorders>
                  <w:vAlign w:val="center"/>
                </w:tcPr>
                <w:p w14:paraId="0A4733D7">
                  <w:pPr>
                    <w:jc w:val="center"/>
                    <w:rPr>
                      <w:sz w:val="21"/>
                      <w:szCs w:val="21"/>
                      <w:u w:val="single"/>
                    </w:rPr>
                  </w:pPr>
                  <w:r>
                    <w:rPr>
                      <w:rFonts w:hint="eastAsia"/>
                      <w:sz w:val="21"/>
                      <w:szCs w:val="21"/>
                      <w:u w:val="single"/>
                    </w:rPr>
                    <w:t>废水</w:t>
                  </w:r>
                </w:p>
              </w:tc>
              <w:tc>
                <w:tcPr>
                  <w:tcW w:w="582" w:type="pct"/>
                  <w:tcBorders>
                    <w:tl2br w:val="nil"/>
                    <w:tr2bl w:val="nil"/>
                  </w:tcBorders>
                  <w:shd w:val="clear" w:color="auto" w:fill="auto"/>
                  <w:vAlign w:val="center"/>
                </w:tcPr>
                <w:p w14:paraId="62D8D35B">
                  <w:pPr>
                    <w:jc w:val="center"/>
                    <w:rPr>
                      <w:sz w:val="21"/>
                      <w:szCs w:val="21"/>
                      <w:u w:val="single"/>
                    </w:rPr>
                  </w:pPr>
                  <w:r>
                    <w:rPr>
                      <w:sz w:val="21"/>
                      <w:szCs w:val="21"/>
                      <w:u w:val="single"/>
                    </w:rPr>
                    <w:t>生活</w:t>
                  </w:r>
                  <w:r>
                    <w:rPr>
                      <w:rFonts w:hint="eastAsia"/>
                      <w:sz w:val="21"/>
                      <w:szCs w:val="21"/>
                      <w:u w:val="single"/>
                    </w:rPr>
                    <w:t>污</w:t>
                  </w:r>
                  <w:r>
                    <w:rPr>
                      <w:sz w:val="21"/>
                      <w:szCs w:val="21"/>
                      <w:u w:val="single"/>
                    </w:rPr>
                    <w:t>水</w:t>
                  </w:r>
                </w:p>
              </w:tc>
              <w:tc>
                <w:tcPr>
                  <w:tcW w:w="790" w:type="pct"/>
                  <w:tcBorders>
                    <w:tl2br w:val="nil"/>
                    <w:tr2bl w:val="nil"/>
                  </w:tcBorders>
                  <w:shd w:val="clear" w:color="auto" w:fill="auto"/>
                  <w:vAlign w:val="center"/>
                </w:tcPr>
                <w:p w14:paraId="70105AE0">
                  <w:pPr>
                    <w:jc w:val="center"/>
                    <w:rPr>
                      <w:sz w:val="21"/>
                      <w:szCs w:val="21"/>
                      <w:u w:val="single"/>
                    </w:rPr>
                  </w:pPr>
                  <w:r>
                    <w:rPr>
                      <w:sz w:val="21"/>
                      <w:szCs w:val="21"/>
                      <w:u w:val="single"/>
                    </w:rPr>
                    <w:t>COD、BOD、</w:t>
                  </w:r>
                  <w:r>
                    <w:rPr>
                      <w:rFonts w:hint="eastAsia"/>
                      <w:sz w:val="21"/>
                      <w:szCs w:val="21"/>
                      <w:u w:val="single"/>
                    </w:rPr>
                    <w:t>SS、</w:t>
                  </w:r>
                  <w:r>
                    <w:rPr>
                      <w:sz w:val="21"/>
                      <w:szCs w:val="21"/>
                      <w:u w:val="single"/>
                    </w:rPr>
                    <w:t>NH</w:t>
                  </w:r>
                  <w:r>
                    <w:rPr>
                      <w:sz w:val="21"/>
                      <w:szCs w:val="21"/>
                      <w:u w:val="single"/>
                      <w:vertAlign w:val="subscript"/>
                    </w:rPr>
                    <w:t>3</w:t>
                  </w:r>
                  <w:r>
                    <w:rPr>
                      <w:sz w:val="21"/>
                      <w:szCs w:val="21"/>
                      <w:u w:val="single"/>
                    </w:rPr>
                    <w:t>-N</w:t>
                  </w:r>
                </w:p>
              </w:tc>
              <w:tc>
                <w:tcPr>
                  <w:tcW w:w="2365" w:type="pct"/>
                  <w:tcBorders>
                    <w:tl2br w:val="nil"/>
                    <w:tr2bl w:val="nil"/>
                  </w:tcBorders>
                  <w:shd w:val="clear" w:color="auto" w:fill="auto"/>
                  <w:vAlign w:val="center"/>
                </w:tcPr>
                <w:p w14:paraId="270C33E7">
                  <w:pPr>
                    <w:jc w:val="center"/>
                    <w:rPr>
                      <w:sz w:val="21"/>
                      <w:szCs w:val="21"/>
                      <w:u w:val="single"/>
                    </w:rPr>
                  </w:pPr>
                  <w:r>
                    <w:rPr>
                      <w:rFonts w:hint="eastAsia"/>
                      <w:sz w:val="21"/>
                      <w:szCs w:val="21"/>
                      <w:u w:val="single"/>
                    </w:rPr>
                    <w:t>生活污水经化粪池处理后排入园区污水管网</w:t>
                  </w:r>
                </w:p>
              </w:tc>
              <w:tc>
                <w:tcPr>
                  <w:tcW w:w="557" w:type="pct"/>
                  <w:tcBorders>
                    <w:tl2br w:val="nil"/>
                    <w:tr2bl w:val="nil"/>
                  </w:tcBorders>
                  <w:shd w:val="clear" w:color="auto" w:fill="auto"/>
                  <w:vAlign w:val="center"/>
                </w:tcPr>
                <w:p w14:paraId="3B68E39F">
                  <w:pPr>
                    <w:jc w:val="center"/>
                    <w:rPr>
                      <w:sz w:val="21"/>
                      <w:szCs w:val="21"/>
                      <w:u w:val="single"/>
                      <w:lang w:val="zh-CN"/>
                    </w:rPr>
                  </w:pPr>
                  <w:r>
                    <w:rPr>
                      <w:rFonts w:hint="eastAsia"/>
                      <w:sz w:val="21"/>
                      <w:szCs w:val="21"/>
                      <w:u w:val="single"/>
                    </w:rPr>
                    <w:t>1</w:t>
                  </w:r>
                </w:p>
              </w:tc>
              <w:tc>
                <w:tcPr>
                  <w:tcW w:w="449" w:type="pct"/>
                  <w:tcBorders>
                    <w:tl2br w:val="nil"/>
                    <w:tr2bl w:val="nil"/>
                  </w:tcBorders>
                  <w:vAlign w:val="center"/>
                </w:tcPr>
                <w:p w14:paraId="4E7FC121">
                  <w:pPr>
                    <w:jc w:val="center"/>
                    <w:rPr>
                      <w:sz w:val="21"/>
                      <w:szCs w:val="21"/>
                      <w:u w:val="single"/>
                    </w:rPr>
                  </w:pPr>
                  <w:r>
                    <w:rPr>
                      <w:rFonts w:hint="eastAsia"/>
                      <w:sz w:val="21"/>
                      <w:szCs w:val="21"/>
                      <w:u w:val="single"/>
                    </w:rPr>
                    <w:t>依托园区</w:t>
                  </w:r>
                </w:p>
              </w:tc>
            </w:tr>
            <w:tr w14:paraId="59821B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 w:type="pct"/>
                  <w:vMerge w:val="restart"/>
                  <w:tcBorders>
                    <w:tl2br w:val="nil"/>
                    <w:tr2bl w:val="nil"/>
                  </w:tcBorders>
                  <w:vAlign w:val="center"/>
                </w:tcPr>
                <w:p w14:paraId="61872739">
                  <w:pPr>
                    <w:jc w:val="center"/>
                    <w:rPr>
                      <w:sz w:val="21"/>
                      <w:szCs w:val="21"/>
                      <w:u w:val="single"/>
                    </w:rPr>
                  </w:pPr>
                  <w:r>
                    <w:rPr>
                      <w:rFonts w:hint="eastAsia"/>
                      <w:sz w:val="21"/>
                      <w:szCs w:val="21"/>
                      <w:u w:val="single"/>
                    </w:rPr>
                    <w:t>固废</w:t>
                  </w:r>
                </w:p>
              </w:tc>
              <w:tc>
                <w:tcPr>
                  <w:tcW w:w="582" w:type="pct"/>
                  <w:tcBorders>
                    <w:tl2br w:val="nil"/>
                    <w:tr2bl w:val="nil"/>
                  </w:tcBorders>
                  <w:shd w:val="clear" w:color="auto" w:fill="auto"/>
                  <w:vAlign w:val="center"/>
                </w:tcPr>
                <w:p w14:paraId="393778B5">
                  <w:pPr>
                    <w:jc w:val="center"/>
                    <w:rPr>
                      <w:sz w:val="21"/>
                      <w:szCs w:val="21"/>
                      <w:u w:val="single"/>
                    </w:rPr>
                  </w:pPr>
                  <w:r>
                    <w:rPr>
                      <w:rFonts w:hint="eastAsia"/>
                      <w:sz w:val="21"/>
                      <w:szCs w:val="21"/>
                      <w:u w:val="single"/>
                    </w:rPr>
                    <w:t>生活垃圾</w:t>
                  </w:r>
                </w:p>
              </w:tc>
              <w:tc>
                <w:tcPr>
                  <w:tcW w:w="790" w:type="pct"/>
                  <w:tcBorders>
                    <w:tl2br w:val="nil"/>
                    <w:tr2bl w:val="nil"/>
                  </w:tcBorders>
                  <w:shd w:val="clear" w:color="auto" w:fill="auto"/>
                  <w:vAlign w:val="center"/>
                </w:tcPr>
                <w:p w14:paraId="1745FD1F">
                  <w:pPr>
                    <w:jc w:val="center"/>
                    <w:rPr>
                      <w:sz w:val="21"/>
                      <w:szCs w:val="21"/>
                      <w:u w:val="single"/>
                    </w:rPr>
                  </w:pPr>
                  <w:r>
                    <w:rPr>
                      <w:rFonts w:hint="eastAsia"/>
                      <w:sz w:val="21"/>
                      <w:szCs w:val="21"/>
                      <w:u w:val="single"/>
                    </w:rPr>
                    <w:t>日用品</w:t>
                  </w:r>
                </w:p>
              </w:tc>
              <w:tc>
                <w:tcPr>
                  <w:tcW w:w="2365" w:type="pct"/>
                  <w:tcBorders>
                    <w:tl2br w:val="nil"/>
                    <w:tr2bl w:val="nil"/>
                  </w:tcBorders>
                  <w:shd w:val="clear" w:color="auto" w:fill="auto"/>
                  <w:vAlign w:val="center"/>
                </w:tcPr>
                <w:p w14:paraId="126925A3">
                  <w:pPr>
                    <w:jc w:val="center"/>
                    <w:rPr>
                      <w:sz w:val="21"/>
                      <w:szCs w:val="21"/>
                      <w:u w:val="single"/>
                    </w:rPr>
                  </w:pPr>
                  <w:r>
                    <w:rPr>
                      <w:rFonts w:hint="eastAsia"/>
                      <w:sz w:val="21"/>
                      <w:szCs w:val="21"/>
                      <w:u w:val="single"/>
                    </w:rPr>
                    <w:t>用垃圾桶</w:t>
                  </w:r>
                  <w:r>
                    <w:rPr>
                      <w:sz w:val="21"/>
                      <w:szCs w:val="21"/>
                      <w:u w:val="single"/>
                    </w:rPr>
                    <w:t>收集后，由环卫部门及时清运处置</w:t>
                  </w:r>
                </w:p>
              </w:tc>
              <w:tc>
                <w:tcPr>
                  <w:tcW w:w="557" w:type="pct"/>
                  <w:tcBorders>
                    <w:tl2br w:val="nil"/>
                    <w:tr2bl w:val="nil"/>
                  </w:tcBorders>
                  <w:shd w:val="clear" w:color="auto" w:fill="auto"/>
                  <w:vAlign w:val="center"/>
                </w:tcPr>
                <w:p w14:paraId="7F137489">
                  <w:pPr>
                    <w:jc w:val="center"/>
                    <w:rPr>
                      <w:sz w:val="21"/>
                      <w:szCs w:val="21"/>
                      <w:u w:val="single"/>
                    </w:rPr>
                  </w:pPr>
                  <w:r>
                    <w:rPr>
                      <w:rFonts w:hint="eastAsia"/>
                      <w:sz w:val="21"/>
                      <w:szCs w:val="21"/>
                      <w:u w:val="single"/>
                    </w:rPr>
                    <w:t>0.5</w:t>
                  </w:r>
                </w:p>
              </w:tc>
              <w:tc>
                <w:tcPr>
                  <w:tcW w:w="449" w:type="pct"/>
                  <w:tcBorders>
                    <w:tl2br w:val="nil"/>
                    <w:tr2bl w:val="nil"/>
                  </w:tcBorders>
                  <w:vAlign w:val="center"/>
                </w:tcPr>
                <w:p w14:paraId="48D07271">
                  <w:pPr>
                    <w:jc w:val="center"/>
                    <w:rPr>
                      <w:sz w:val="21"/>
                      <w:szCs w:val="21"/>
                      <w:u w:val="single"/>
                    </w:rPr>
                  </w:pPr>
                  <w:r>
                    <w:rPr>
                      <w:rFonts w:hint="eastAsia"/>
                      <w:sz w:val="21"/>
                      <w:szCs w:val="21"/>
                      <w:u w:val="single"/>
                    </w:rPr>
                    <w:t>/</w:t>
                  </w:r>
                </w:p>
              </w:tc>
            </w:tr>
            <w:tr w14:paraId="1C83A9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 w:type="pct"/>
                  <w:vMerge w:val="continue"/>
                  <w:tcBorders>
                    <w:tl2br w:val="nil"/>
                    <w:tr2bl w:val="nil"/>
                  </w:tcBorders>
                  <w:vAlign w:val="center"/>
                </w:tcPr>
                <w:p w14:paraId="20FFD4E6">
                  <w:pPr>
                    <w:jc w:val="center"/>
                    <w:rPr>
                      <w:sz w:val="21"/>
                      <w:szCs w:val="21"/>
                      <w:u w:val="single"/>
                    </w:rPr>
                  </w:pPr>
                </w:p>
              </w:tc>
              <w:tc>
                <w:tcPr>
                  <w:tcW w:w="582" w:type="pct"/>
                  <w:tcBorders>
                    <w:tl2br w:val="nil"/>
                    <w:tr2bl w:val="nil"/>
                  </w:tcBorders>
                  <w:shd w:val="clear" w:color="auto" w:fill="auto"/>
                  <w:vAlign w:val="center"/>
                </w:tcPr>
                <w:p w14:paraId="7630F2C6">
                  <w:pPr>
                    <w:jc w:val="center"/>
                    <w:rPr>
                      <w:sz w:val="21"/>
                      <w:szCs w:val="21"/>
                      <w:u w:val="single"/>
                    </w:rPr>
                  </w:pPr>
                  <w:r>
                    <w:rPr>
                      <w:rFonts w:hint="eastAsia"/>
                      <w:sz w:val="21"/>
                      <w:szCs w:val="21"/>
                      <w:u w:val="single"/>
                    </w:rPr>
                    <w:t>危险废物</w:t>
                  </w:r>
                </w:p>
              </w:tc>
              <w:tc>
                <w:tcPr>
                  <w:tcW w:w="790" w:type="pct"/>
                  <w:tcBorders>
                    <w:tl2br w:val="nil"/>
                    <w:tr2bl w:val="nil"/>
                  </w:tcBorders>
                  <w:shd w:val="clear" w:color="auto" w:fill="auto"/>
                  <w:vAlign w:val="center"/>
                </w:tcPr>
                <w:p w14:paraId="26A2445F">
                  <w:pPr>
                    <w:jc w:val="center"/>
                    <w:rPr>
                      <w:sz w:val="21"/>
                      <w:szCs w:val="21"/>
                      <w:u w:val="single"/>
                    </w:rPr>
                  </w:pPr>
                  <w:r>
                    <w:rPr>
                      <w:rFonts w:hint="eastAsia"/>
                      <w:sz w:val="21"/>
                      <w:szCs w:val="21"/>
                      <w:u w:val="single"/>
                    </w:rPr>
                    <w:t>废抹布、手套</w:t>
                  </w:r>
                </w:p>
              </w:tc>
              <w:tc>
                <w:tcPr>
                  <w:tcW w:w="2365" w:type="pct"/>
                  <w:tcBorders>
                    <w:tl2br w:val="nil"/>
                    <w:tr2bl w:val="nil"/>
                  </w:tcBorders>
                  <w:shd w:val="clear" w:color="auto" w:fill="auto"/>
                  <w:vAlign w:val="center"/>
                </w:tcPr>
                <w:p w14:paraId="045EBC94">
                  <w:pPr>
                    <w:jc w:val="center"/>
                    <w:rPr>
                      <w:sz w:val="21"/>
                      <w:szCs w:val="21"/>
                      <w:u w:val="single"/>
                    </w:rPr>
                  </w:pPr>
                  <w:r>
                    <w:rPr>
                      <w:sz w:val="21"/>
                      <w:szCs w:val="21"/>
                      <w:u w:val="single"/>
                    </w:rPr>
                    <w:t>采用袋或桶装，暂存在</w:t>
                  </w:r>
                  <w:r>
                    <w:rPr>
                      <w:rFonts w:hint="eastAsia"/>
                      <w:sz w:val="21"/>
                      <w:szCs w:val="21"/>
                      <w:u w:val="single"/>
                    </w:rPr>
                    <w:t>相应</w:t>
                  </w:r>
                  <w:r>
                    <w:rPr>
                      <w:sz w:val="21"/>
                      <w:szCs w:val="21"/>
                      <w:u w:val="single"/>
                    </w:rPr>
                    <w:t>危险废物储存区内，定期交由资质单位处置</w:t>
                  </w:r>
                </w:p>
              </w:tc>
              <w:tc>
                <w:tcPr>
                  <w:tcW w:w="557" w:type="pct"/>
                  <w:tcBorders>
                    <w:tl2br w:val="nil"/>
                    <w:tr2bl w:val="nil"/>
                  </w:tcBorders>
                  <w:shd w:val="clear" w:color="auto" w:fill="auto"/>
                  <w:vAlign w:val="center"/>
                </w:tcPr>
                <w:p w14:paraId="347DCA88">
                  <w:pPr>
                    <w:jc w:val="center"/>
                    <w:rPr>
                      <w:sz w:val="21"/>
                      <w:szCs w:val="21"/>
                      <w:u w:val="single"/>
                    </w:rPr>
                  </w:pPr>
                  <w:r>
                    <w:rPr>
                      <w:rFonts w:hint="eastAsia"/>
                      <w:sz w:val="21"/>
                      <w:szCs w:val="21"/>
                      <w:u w:val="single"/>
                    </w:rPr>
                    <w:t>1</w:t>
                  </w:r>
                </w:p>
              </w:tc>
              <w:tc>
                <w:tcPr>
                  <w:tcW w:w="449" w:type="pct"/>
                  <w:tcBorders>
                    <w:tl2br w:val="nil"/>
                    <w:tr2bl w:val="nil"/>
                  </w:tcBorders>
                  <w:vAlign w:val="center"/>
                </w:tcPr>
                <w:p w14:paraId="0130A0D8">
                  <w:pPr>
                    <w:jc w:val="center"/>
                    <w:rPr>
                      <w:sz w:val="21"/>
                      <w:szCs w:val="21"/>
                      <w:u w:val="single"/>
                    </w:rPr>
                  </w:pPr>
                  <w:r>
                    <w:rPr>
                      <w:rFonts w:hint="eastAsia"/>
                      <w:sz w:val="21"/>
                      <w:szCs w:val="21"/>
                      <w:u w:val="single"/>
                    </w:rPr>
                    <w:t>/</w:t>
                  </w:r>
                </w:p>
              </w:tc>
            </w:tr>
            <w:tr w14:paraId="2EC66A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28" w:type="pct"/>
                  <w:gridSpan w:val="3"/>
                  <w:tcBorders>
                    <w:tl2br w:val="nil"/>
                    <w:tr2bl w:val="nil"/>
                  </w:tcBorders>
                  <w:vAlign w:val="center"/>
                </w:tcPr>
                <w:p w14:paraId="35413EC1">
                  <w:pPr>
                    <w:jc w:val="center"/>
                    <w:rPr>
                      <w:sz w:val="21"/>
                      <w:szCs w:val="21"/>
                      <w:u w:val="single"/>
                    </w:rPr>
                  </w:pPr>
                  <w:r>
                    <w:rPr>
                      <w:rFonts w:hint="eastAsia"/>
                      <w:sz w:val="21"/>
                      <w:szCs w:val="21"/>
                      <w:u w:val="single"/>
                    </w:rPr>
                    <w:t>噪声</w:t>
                  </w:r>
                </w:p>
              </w:tc>
              <w:tc>
                <w:tcPr>
                  <w:tcW w:w="2365" w:type="pct"/>
                  <w:tcBorders>
                    <w:tl2br w:val="nil"/>
                    <w:tr2bl w:val="nil"/>
                  </w:tcBorders>
                  <w:shd w:val="clear" w:color="auto" w:fill="auto"/>
                  <w:vAlign w:val="center"/>
                </w:tcPr>
                <w:p w14:paraId="2D31F1DA">
                  <w:pPr>
                    <w:jc w:val="center"/>
                    <w:rPr>
                      <w:sz w:val="21"/>
                      <w:szCs w:val="21"/>
                      <w:u w:val="single"/>
                    </w:rPr>
                  </w:pPr>
                  <w:r>
                    <w:rPr>
                      <w:rFonts w:hint="eastAsia"/>
                      <w:sz w:val="21"/>
                      <w:szCs w:val="21"/>
                      <w:u w:val="single"/>
                    </w:rPr>
                    <w:t>基础减振、厂房隔声、合理布局</w:t>
                  </w:r>
                </w:p>
              </w:tc>
              <w:tc>
                <w:tcPr>
                  <w:tcW w:w="557" w:type="pct"/>
                  <w:tcBorders>
                    <w:tl2br w:val="nil"/>
                    <w:tr2bl w:val="nil"/>
                  </w:tcBorders>
                  <w:shd w:val="clear" w:color="auto" w:fill="auto"/>
                  <w:vAlign w:val="center"/>
                </w:tcPr>
                <w:p w14:paraId="101AB2DE">
                  <w:pPr>
                    <w:jc w:val="center"/>
                    <w:rPr>
                      <w:sz w:val="21"/>
                      <w:szCs w:val="21"/>
                      <w:u w:val="single"/>
                    </w:rPr>
                  </w:pPr>
                  <w:r>
                    <w:rPr>
                      <w:rFonts w:hint="eastAsia"/>
                      <w:sz w:val="21"/>
                      <w:szCs w:val="21"/>
                      <w:u w:val="single"/>
                    </w:rPr>
                    <w:t>2</w:t>
                  </w:r>
                </w:p>
              </w:tc>
              <w:tc>
                <w:tcPr>
                  <w:tcW w:w="449" w:type="pct"/>
                  <w:tcBorders>
                    <w:tl2br w:val="nil"/>
                    <w:tr2bl w:val="nil"/>
                  </w:tcBorders>
                  <w:vAlign w:val="center"/>
                </w:tcPr>
                <w:p w14:paraId="149F5120">
                  <w:pPr>
                    <w:jc w:val="center"/>
                    <w:rPr>
                      <w:sz w:val="21"/>
                      <w:szCs w:val="21"/>
                      <w:u w:val="single"/>
                    </w:rPr>
                  </w:pPr>
                  <w:r>
                    <w:rPr>
                      <w:rFonts w:hint="eastAsia"/>
                      <w:sz w:val="21"/>
                      <w:szCs w:val="21"/>
                      <w:u w:val="single"/>
                    </w:rPr>
                    <w:t>/</w:t>
                  </w:r>
                </w:p>
              </w:tc>
            </w:tr>
            <w:tr w14:paraId="74F8A6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3" w:type="pct"/>
                  <w:gridSpan w:val="4"/>
                  <w:tcBorders>
                    <w:tl2br w:val="nil"/>
                    <w:tr2bl w:val="nil"/>
                  </w:tcBorders>
                  <w:vAlign w:val="center"/>
                </w:tcPr>
                <w:p w14:paraId="4DCA7C1B">
                  <w:pPr>
                    <w:jc w:val="center"/>
                    <w:rPr>
                      <w:sz w:val="21"/>
                      <w:szCs w:val="21"/>
                      <w:u w:val="single"/>
                    </w:rPr>
                  </w:pPr>
                  <w:r>
                    <w:rPr>
                      <w:sz w:val="21"/>
                      <w:szCs w:val="21"/>
                      <w:u w:val="single"/>
                    </w:rPr>
                    <w:t>合计</w:t>
                  </w:r>
                </w:p>
              </w:tc>
              <w:tc>
                <w:tcPr>
                  <w:tcW w:w="557" w:type="pct"/>
                  <w:tcBorders>
                    <w:tl2br w:val="nil"/>
                    <w:tr2bl w:val="nil"/>
                  </w:tcBorders>
                  <w:vAlign w:val="center"/>
                </w:tcPr>
                <w:p w14:paraId="005A0516">
                  <w:pPr>
                    <w:jc w:val="center"/>
                    <w:rPr>
                      <w:rFonts w:hint="default" w:eastAsia="宋体"/>
                      <w:sz w:val="21"/>
                      <w:szCs w:val="21"/>
                      <w:u w:val="single"/>
                      <w:lang w:val="en-US" w:eastAsia="zh-CN"/>
                    </w:rPr>
                  </w:pPr>
                  <w:r>
                    <w:rPr>
                      <w:rFonts w:hint="eastAsia"/>
                      <w:sz w:val="21"/>
                      <w:szCs w:val="21"/>
                      <w:u w:val="single"/>
                      <w:lang w:val="en-US" w:eastAsia="zh-CN"/>
                    </w:rPr>
                    <w:t>38.5</w:t>
                  </w:r>
                </w:p>
              </w:tc>
              <w:tc>
                <w:tcPr>
                  <w:tcW w:w="449" w:type="pct"/>
                  <w:tcBorders>
                    <w:tl2br w:val="nil"/>
                    <w:tr2bl w:val="nil"/>
                  </w:tcBorders>
                  <w:vAlign w:val="center"/>
                </w:tcPr>
                <w:p w14:paraId="3C7EBE26">
                  <w:pPr>
                    <w:jc w:val="center"/>
                    <w:rPr>
                      <w:sz w:val="21"/>
                      <w:szCs w:val="21"/>
                      <w:u w:val="single"/>
                    </w:rPr>
                  </w:pPr>
                  <w:r>
                    <w:rPr>
                      <w:rFonts w:hint="eastAsia"/>
                      <w:sz w:val="21"/>
                      <w:szCs w:val="21"/>
                      <w:u w:val="single"/>
                    </w:rPr>
                    <w:t>/</w:t>
                  </w:r>
                </w:p>
              </w:tc>
            </w:tr>
          </w:tbl>
          <w:p w14:paraId="2AB2526F">
            <w:pPr>
              <w:pStyle w:val="73"/>
              <w:wordWrap w:val="0"/>
              <w:topLinePunct/>
              <w:rPr>
                <w:rFonts w:ascii="Times New Roman" w:hAnsi="Times New Roman"/>
                <w:b/>
                <w:bCs/>
                <w:vertAlign w:val="baseline"/>
              </w:rPr>
            </w:pPr>
          </w:p>
          <w:p w14:paraId="28AAD580">
            <w:pPr>
              <w:pStyle w:val="73"/>
              <w:wordWrap w:val="0"/>
              <w:topLinePunct/>
              <w:rPr>
                <w:rFonts w:ascii="Times New Roman" w:hAnsi="Times New Roman"/>
                <w:b/>
                <w:bCs/>
                <w:vertAlign w:val="baseline"/>
              </w:rPr>
            </w:pPr>
          </w:p>
          <w:p w14:paraId="709EEECE">
            <w:pPr>
              <w:pStyle w:val="73"/>
              <w:wordWrap w:val="0"/>
              <w:topLinePunct/>
              <w:rPr>
                <w:rFonts w:ascii="Times New Roman" w:hAnsi="Times New Roman"/>
                <w:b/>
                <w:bCs/>
                <w:vertAlign w:val="baseline"/>
              </w:rPr>
            </w:pPr>
          </w:p>
          <w:p w14:paraId="444C7450">
            <w:pPr>
              <w:pStyle w:val="73"/>
              <w:wordWrap w:val="0"/>
              <w:topLinePunct/>
              <w:rPr>
                <w:rFonts w:ascii="Times New Roman" w:hAnsi="Times New Roman"/>
                <w:b/>
                <w:bCs/>
                <w:vertAlign w:val="baseline"/>
              </w:rPr>
            </w:pPr>
          </w:p>
          <w:p w14:paraId="4B2119C5">
            <w:pPr>
              <w:pStyle w:val="73"/>
              <w:wordWrap w:val="0"/>
              <w:topLinePunct/>
              <w:rPr>
                <w:rFonts w:ascii="Times New Roman" w:hAnsi="Times New Roman"/>
                <w:b/>
                <w:bCs/>
                <w:vertAlign w:val="baseline"/>
              </w:rPr>
            </w:pPr>
          </w:p>
          <w:p w14:paraId="45D6F704">
            <w:pPr>
              <w:pStyle w:val="73"/>
              <w:wordWrap w:val="0"/>
              <w:topLinePunct/>
              <w:rPr>
                <w:rFonts w:ascii="Times New Roman" w:hAnsi="Times New Roman"/>
                <w:b/>
                <w:bCs/>
                <w:vertAlign w:val="baseline"/>
              </w:rPr>
            </w:pPr>
          </w:p>
          <w:p w14:paraId="19B37CEC">
            <w:pPr>
              <w:pStyle w:val="73"/>
              <w:wordWrap w:val="0"/>
              <w:topLinePunct/>
              <w:rPr>
                <w:rFonts w:ascii="Times New Roman" w:hAnsi="Times New Roman"/>
                <w:b/>
                <w:bCs/>
                <w:vertAlign w:val="baseline"/>
              </w:rPr>
            </w:pPr>
          </w:p>
          <w:p w14:paraId="278D9CC6">
            <w:pPr>
              <w:pStyle w:val="73"/>
              <w:wordWrap w:val="0"/>
              <w:topLinePunct/>
              <w:rPr>
                <w:rFonts w:ascii="Times New Roman" w:hAnsi="Times New Roman"/>
                <w:b/>
                <w:bCs/>
                <w:vertAlign w:val="baseline"/>
              </w:rPr>
            </w:pPr>
          </w:p>
          <w:p w14:paraId="7174B23C">
            <w:pPr>
              <w:pStyle w:val="73"/>
              <w:wordWrap w:val="0"/>
              <w:topLinePunct/>
              <w:rPr>
                <w:rFonts w:ascii="Times New Roman" w:hAnsi="Times New Roman"/>
                <w:b/>
                <w:bCs/>
                <w:vertAlign w:val="baseline"/>
              </w:rPr>
            </w:pPr>
          </w:p>
          <w:p w14:paraId="7DF86EB3">
            <w:pPr>
              <w:pStyle w:val="73"/>
              <w:wordWrap w:val="0"/>
              <w:topLinePunct/>
              <w:rPr>
                <w:rFonts w:ascii="Times New Roman" w:hAnsi="Times New Roman"/>
                <w:b/>
                <w:bCs/>
                <w:vertAlign w:val="baseline"/>
              </w:rPr>
            </w:pPr>
          </w:p>
          <w:p w14:paraId="6FBBF0D2">
            <w:pPr>
              <w:pStyle w:val="73"/>
              <w:wordWrap w:val="0"/>
              <w:topLinePunct/>
              <w:rPr>
                <w:rFonts w:ascii="Times New Roman" w:hAnsi="Times New Roman"/>
                <w:b/>
                <w:bCs/>
                <w:vertAlign w:val="baseline"/>
              </w:rPr>
            </w:pPr>
          </w:p>
          <w:p w14:paraId="3931A594">
            <w:pPr>
              <w:pStyle w:val="73"/>
              <w:wordWrap w:val="0"/>
              <w:topLinePunct/>
              <w:rPr>
                <w:rFonts w:ascii="Times New Roman" w:hAnsi="Times New Roman"/>
                <w:b/>
                <w:bCs/>
                <w:vertAlign w:val="baseline"/>
              </w:rPr>
            </w:pPr>
          </w:p>
          <w:p w14:paraId="000F63CC">
            <w:pPr>
              <w:pStyle w:val="73"/>
              <w:wordWrap w:val="0"/>
              <w:topLinePunct/>
              <w:rPr>
                <w:rFonts w:ascii="Times New Roman" w:hAnsi="Times New Roman"/>
                <w:b/>
                <w:bCs/>
                <w:vertAlign w:val="baseline"/>
              </w:rPr>
            </w:pPr>
          </w:p>
          <w:p w14:paraId="4B0921A5">
            <w:pPr>
              <w:pStyle w:val="73"/>
              <w:wordWrap w:val="0"/>
              <w:topLinePunct/>
              <w:rPr>
                <w:rFonts w:ascii="Times New Roman" w:hAnsi="Times New Roman"/>
                <w:b/>
                <w:bCs/>
                <w:vertAlign w:val="baseline"/>
              </w:rPr>
            </w:pPr>
          </w:p>
          <w:p w14:paraId="7377E495">
            <w:pPr>
              <w:pStyle w:val="73"/>
              <w:wordWrap w:val="0"/>
              <w:topLinePunct/>
              <w:rPr>
                <w:rFonts w:ascii="Times New Roman" w:hAnsi="Times New Roman"/>
                <w:b/>
                <w:bCs/>
                <w:vertAlign w:val="baseline"/>
              </w:rPr>
            </w:pPr>
          </w:p>
          <w:p w14:paraId="29BB4579">
            <w:pPr>
              <w:pStyle w:val="73"/>
              <w:wordWrap w:val="0"/>
              <w:topLinePunct/>
              <w:rPr>
                <w:rFonts w:ascii="Times New Roman" w:hAnsi="Times New Roman"/>
                <w:b/>
                <w:bCs/>
                <w:vertAlign w:val="baseline"/>
              </w:rPr>
            </w:pPr>
          </w:p>
          <w:p w14:paraId="295594EE">
            <w:pPr>
              <w:pStyle w:val="73"/>
              <w:wordWrap w:val="0"/>
              <w:topLinePunct/>
              <w:rPr>
                <w:rFonts w:ascii="Times New Roman" w:hAnsi="Times New Roman"/>
                <w:b/>
                <w:bCs/>
                <w:vertAlign w:val="baseline"/>
              </w:rPr>
            </w:pPr>
          </w:p>
          <w:p w14:paraId="50DA4BB9">
            <w:pPr>
              <w:pStyle w:val="73"/>
              <w:wordWrap w:val="0"/>
              <w:topLinePunct/>
              <w:rPr>
                <w:rFonts w:ascii="Times New Roman" w:hAnsi="Times New Roman"/>
                <w:b/>
                <w:bCs/>
                <w:vertAlign w:val="baseline"/>
              </w:rPr>
            </w:pPr>
          </w:p>
          <w:p w14:paraId="6533933C">
            <w:pPr>
              <w:pStyle w:val="73"/>
              <w:wordWrap w:val="0"/>
              <w:topLinePunct/>
              <w:rPr>
                <w:rFonts w:ascii="Times New Roman" w:hAnsi="Times New Roman"/>
                <w:b/>
                <w:bCs/>
                <w:vertAlign w:val="baseline"/>
              </w:rPr>
            </w:pPr>
          </w:p>
          <w:p w14:paraId="738AA667">
            <w:pPr>
              <w:pStyle w:val="73"/>
              <w:wordWrap w:val="0"/>
              <w:topLinePunct/>
              <w:rPr>
                <w:rFonts w:ascii="Times New Roman" w:hAnsi="Times New Roman"/>
                <w:b/>
                <w:bCs/>
                <w:vertAlign w:val="baseline"/>
              </w:rPr>
            </w:pPr>
          </w:p>
          <w:p w14:paraId="0561893E">
            <w:pPr>
              <w:pStyle w:val="73"/>
              <w:wordWrap w:val="0"/>
              <w:topLinePunct/>
              <w:rPr>
                <w:rFonts w:ascii="Times New Roman" w:hAnsi="Times New Roman"/>
                <w:b/>
                <w:bCs/>
                <w:vertAlign w:val="baseline"/>
              </w:rPr>
            </w:pPr>
          </w:p>
          <w:p w14:paraId="658BAF45">
            <w:pPr>
              <w:pStyle w:val="73"/>
              <w:wordWrap w:val="0"/>
              <w:topLinePunct/>
              <w:rPr>
                <w:rFonts w:ascii="Times New Roman" w:hAnsi="Times New Roman"/>
                <w:b/>
                <w:bCs/>
                <w:vertAlign w:val="baseline"/>
              </w:rPr>
            </w:pPr>
          </w:p>
          <w:p w14:paraId="031A2423">
            <w:pPr>
              <w:pStyle w:val="73"/>
              <w:wordWrap w:val="0"/>
              <w:topLinePunct/>
              <w:rPr>
                <w:rFonts w:ascii="Times New Roman" w:hAnsi="Times New Roman"/>
                <w:b/>
                <w:bCs/>
                <w:vertAlign w:val="baseline"/>
              </w:rPr>
            </w:pPr>
          </w:p>
          <w:p w14:paraId="3F3482FA">
            <w:pPr>
              <w:pStyle w:val="73"/>
              <w:wordWrap w:val="0"/>
              <w:topLinePunct/>
              <w:rPr>
                <w:rFonts w:ascii="Times New Roman" w:hAnsi="Times New Roman"/>
                <w:b/>
                <w:bCs/>
                <w:vertAlign w:val="baseline"/>
              </w:rPr>
            </w:pPr>
          </w:p>
          <w:p w14:paraId="4A3FA93D">
            <w:pPr>
              <w:pStyle w:val="73"/>
              <w:wordWrap w:val="0"/>
              <w:topLinePunct/>
              <w:rPr>
                <w:rFonts w:ascii="Times New Roman" w:hAnsi="Times New Roman"/>
                <w:b/>
                <w:bCs/>
                <w:vertAlign w:val="baseline"/>
              </w:rPr>
            </w:pPr>
          </w:p>
        </w:tc>
      </w:tr>
    </w:tbl>
    <w:p w14:paraId="4F79270E">
      <w:pPr>
        <w:pStyle w:val="73"/>
        <w:wordWrap w:val="0"/>
        <w:topLinePunct/>
        <w:rPr>
          <w:rFonts w:ascii="Times New Roman" w:hAnsi="Times New Roman"/>
          <w:b/>
          <w:bCs/>
        </w:rPr>
        <w:sectPr>
          <w:pgSz w:w="11906" w:h="16838"/>
          <w:pgMar w:top="1417" w:right="1134" w:bottom="1417" w:left="1417" w:header="851" w:footer="851" w:gutter="0"/>
          <w:pgBorders>
            <w:top w:val="none" w:sz="0" w:space="0"/>
            <w:left w:val="none" w:sz="0" w:space="0"/>
            <w:bottom w:val="none" w:sz="0" w:space="0"/>
            <w:right w:val="none" w:sz="0" w:space="0"/>
          </w:pgBorders>
          <w:cols w:space="720" w:num="1"/>
          <w:docGrid w:linePitch="312" w:charSpace="0"/>
        </w:sectPr>
      </w:pPr>
    </w:p>
    <w:p w14:paraId="16EE8681">
      <w:pPr>
        <w:pStyle w:val="73"/>
        <w:wordWrap w:val="0"/>
        <w:topLinePunct/>
        <w:rPr>
          <w:rFonts w:ascii="Times New Roman" w:hAnsi="Times New Roman"/>
          <w:b/>
          <w:bCs/>
        </w:rPr>
      </w:pPr>
      <w:r>
        <w:rPr>
          <w:rFonts w:ascii="Times New Roman" w:hAnsi="Times New Roman"/>
          <w:b/>
          <w:bCs/>
        </w:rPr>
        <w:t>五、</w:t>
      </w:r>
      <w:bookmarkStart w:id="62" w:name="_Hlk54167917"/>
      <w:r>
        <w:rPr>
          <w:rFonts w:ascii="Times New Roman" w:hAnsi="Times New Roman"/>
          <w:b/>
          <w:bCs/>
        </w:rPr>
        <w:t>环境保护措施监督检查清单</w:t>
      </w:r>
      <w:bookmarkEnd w:id="61"/>
      <w:bookmarkEnd w:id="62"/>
    </w:p>
    <w:tbl>
      <w:tblPr>
        <w:tblStyle w:val="36"/>
        <w:tblW w:w="50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40"/>
        <w:gridCol w:w="1812"/>
        <w:gridCol w:w="1791"/>
        <w:gridCol w:w="2456"/>
        <w:gridCol w:w="1962"/>
      </w:tblGrid>
      <w:tr w14:paraId="42A21E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891" w:type="pct"/>
            <w:vAlign w:val="center"/>
          </w:tcPr>
          <w:p w14:paraId="0F8B0715">
            <w:pPr>
              <w:wordWrap w:val="0"/>
              <w:topLinePunct/>
              <w:adjustRightInd w:val="0"/>
              <w:snapToGrid w:val="0"/>
              <w:jc w:val="right"/>
              <w:rPr>
                <w:b/>
                <w:bCs/>
              </w:rPr>
            </w:pPr>
          </w:p>
          <w:p w14:paraId="66058964">
            <w:pPr>
              <w:wordWrap w:val="0"/>
              <w:topLinePunct/>
              <w:adjustRightInd w:val="0"/>
              <w:snapToGrid w:val="0"/>
              <w:jc w:val="left"/>
              <w:rPr>
                <w:b/>
                <w:bCs/>
              </w:rPr>
            </w:pPr>
            <w:r>
              <w:rPr>
                <w:b/>
                <w:bCs/>
              </w:rPr>
              <w:t>要素</w:t>
            </w:r>
          </w:p>
          <w:p w14:paraId="640E9AE7">
            <w:pPr>
              <w:wordWrap w:val="0"/>
              <w:topLinePunct/>
              <w:adjustRightInd w:val="0"/>
              <w:snapToGrid w:val="0"/>
              <w:jc w:val="left"/>
              <w:rPr>
                <w:b/>
                <w:bCs/>
              </w:rPr>
            </w:pPr>
            <w:r>
              <w:rPr>
                <w:b/>
                <w:bCs/>
              </w:rPr>
              <w:t>内容</w:t>
            </w:r>
          </w:p>
        </w:tc>
        <w:tc>
          <w:tcPr>
            <w:tcW w:w="928" w:type="pct"/>
            <w:vAlign w:val="center"/>
          </w:tcPr>
          <w:p w14:paraId="7A1D4605">
            <w:pPr>
              <w:wordWrap w:val="0"/>
              <w:topLinePunct/>
              <w:adjustRightInd w:val="0"/>
              <w:snapToGrid w:val="0"/>
              <w:jc w:val="center"/>
              <w:rPr>
                <w:b/>
                <w:bCs/>
              </w:rPr>
            </w:pPr>
            <w:r>
              <w:rPr>
                <w:b/>
                <w:bCs/>
              </w:rPr>
              <w:t>排放口（编号、名称）/污染源</w:t>
            </w:r>
          </w:p>
        </w:tc>
        <w:tc>
          <w:tcPr>
            <w:tcW w:w="917" w:type="pct"/>
            <w:vAlign w:val="center"/>
          </w:tcPr>
          <w:p w14:paraId="7C903EA3">
            <w:pPr>
              <w:wordWrap w:val="0"/>
              <w:topLinePunct/>
              <w:adjustRightInd w:val="0"/>
              <w:snapToGrid w:val="0"/>
              <w:jc w:val="center"/>
              <w:rPr>
                <w:b/>
                <w:bCs/>
              </w:rPr>
            </w:pPr>
            <w:r>
              <w:rPr>
                <w:b/>
                <w:bCs/>
              </w:rPr>
              <w:t>污染物项目</w:t>
            </w:r>
          </w:p>
        </w:tc>
        <w:tc>
          <w:tcPr>
            <w:tcW w:w="1258" w:type="pct"/>
            <w:vAlign w:val="center"/>
          </w:tcPr>
          <w:p w14:paraId="15BBBFB3">
            <w:pPr>
              <w:wordWrap w:val="0"/>
              <w:topLinePunct/>
              <w:adjustRightInd w:val="0"/>
              <w:snapToGrid w:val="0"/>
              <w:jc w:val="center"/>
              <w:rPr>
                <w:b/>
                <w:bCs/>
              </w:rPr>
            </w:pPr>
            <w:r>
              <w:rPr>
                <w:b/>
                <w:bCs/>
              </w:rPr>
              <w:t>环境保护措施</w:t>
            </w:r>
          </w:p>
        </w:tc>
        <w:tc>
          <w:tcPr>
            <w:tcW w:w="1005" w:type="pct"/>
            <w:vAlign w:val="center"/>
          </w:tcPr>
          <w:p w14:paraId="0826E06B">
            <w:pPr>
              <w:wordWrap w:val="0"/>
              <w:topLinePunct/>
              <w:adjustRightInd w:val="0"/>
              <w:snapToGrid w:val="0"/>
              <w:jc w:val="center"/>
              <w:rPr>
                <w:b/>
                <w:bCs/>
              </w:rPr>
            </w:pPr>
            <w:r>
              <w:rPr>
                <w:b/>
                <w:bCs/>
              </w:rPr>
              <w:t>执行标准</w:t>
            </w:r>
          </w:p>
        </w:tc>
      </w:tr>
      <w:tr w14:paraId="2E900C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pct"/>
            <w:vMerge w:val="restart"/>
            <w:vAlign w:val="center"/>
          </w:tcPr>
          <w:p w14:paraId="113E417C">
            <w:pPr>
              <w:wordWrap w:val="0"/>
              <w:topLinePunct/>
              <w:adjustRightInd w:val="0"/>
              <w:snapToGrid w:val="0"/>
              <w:jc w:val="center"/>
            </w:pPr>
            <w:r>
              <w:t>大气环境</w:t>
            </w:r>
          </w:p>
        </w:tc>
        <w:tc>
          <w:tcPr>
            <w:tcW w:w="928" w:type="pct"/>
            <w:vAlign w:val="center"/>
          </w:tcPr>
          <w:p w14:paraId="50800C67">
            <w:pPr>
              <w:wordWrap w:val="0"/>
              <w:topLinePunct/>
              <w:adjustRightInd w:val="0"/>
              <w:snapToGrid w:val="0"/>
              <w:jc w:val="center"/>
            </w:pPr>
            <w:r>
              <w:t>粉尘废气</w:t>
            </w:r>
          </w:p>
        </w:tc>
        <w:tc>
          <w:tcPr>
            <w:tcW w:w="917" w:type="pct"/>
            <w:vAlign w:val="center"/>
          </w:tcPr>
          <w:p w14:paraId="054150AD">
            <w:pPr>
              <w:jc w:val="center"/>
            </w:pPr>
            <w:r>
              <w:t>颗粒物</w:t>
            </w:r>
          </w:p>
        </w:tc>
        <w:tc>
          <w:tcPr>
            <w:tcW w:w="1258" w:type="pct"/>
            <w:vAlign w:val="center"/>
          </w:tcPr>
          <w:p w14:paraId="77417057">
            <w:pPr>
              <w:jc w:val="center"/>
            </w:pPr>
            <w:r>
              <w:t>1套管道收集+布袋除尘器+15m高排气筒（DA001）</w:t>
            </w:r>
          </w:p>
        </w:tc>
        <w:tc>
          <w:tcPr>
            <w:tcW w:w="1005" w:type="pct"/>
            <w:vAlign w:val="center"/>
          </w:tcPr>
          <w:p w14:paraId="68639651">
            <w:pPr>
              <w:wordWrap w:val="0"/>
              <w:topLinePunct/>
              <w:adjustRightInd w:val="0"/>
              <w:snapToGrid w:val="0"/>
              <w:jc w:val="center"/>
            </w:pPr>
            <w:r>
              <w:rPr>
                <w:color w:val="000000" w:themeColor="text1"/>
                <w:szCs w:val="22"/>
                <w14:textFill>
                  <w14:solidFill>
                    <w14:schemeClr w14:val="tx1"/>
                  </w14:solidFill>
                </w14:textFill>
              </w:rPr>
              <w:t>《大气污染物综合排放标准》（GB16297-1996）</w:t>
            </w:r>
            <w:r>
              <w:rPr>
                <w:color w:val="000000" w:themeColor="text1"/>
                <w:lang w:bidi="ar"/>
                <w14:textFill>
                  <w14:solidFill>
                    <w14:schemeClr w14:val="tx1"/>
                  </w14:solidFill>
                </w14:textFill>
              </w:rPr>
              <w:t>表2相应限值</w:t>
            </w:r>
          </w:p>
        </w:tc>
      </w:tr>
      <w:tr w14:paraId="6A6883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pct"/>
            <w:vMerge w:val="continue"/>
            <w:vAlign w:val="center"/>
          </w:tcPr>
          <w:p w14:paraId="7CE88301">
            <w:pPr>
              <w:wordWrap w:val="0"/>
              <w:topLinePunct/>
              <w:adjustRightInd w:val="0"/>
              <w:snapToGrid w:val="0"/>
              <w:jc w:val="center"/>
            </w:pPr>
          </w:p>
        </w:tc>
        <w:tc>
          <w:tcPr>
            <w:tcW w:w="928" w:type="pct"/>
            <w:vAlign w:val="center"/>
          </w:tcPr>
          <w:p w14:paraId="0B0BA183">
            <w:pPr>
              <w:wordWrap w:val="0"/>
              <w:topLinePunct/>
              <w:adjustRightInd w:val="0"/>
              <w:snapToGrid w:val="0"/>
              <w:jc w:val="center"/>
            </w:pPr>
            <w:r>
              <w:t>天然气燃烧废气</w:t>
            </w:r>
          </w:p>
        </w:tc>
        <w:tc>
          <w:tcPr>
            <w:tcW w:w="917" w:type="pct"/>
            <w:vAlign w:val="center"/>
          </w:tcPr>
          <w:p w14:paraId="15142598">
            <w:pPr>
              <w:jc w:val="center"/>
            </w:pPr>
            <w:r>
              <w:t>SO</w:t>
            </w:r>
            <w:r>
              <w:rPr>
                <w:vertAlign w:val="subscript"/>
              </w:rPr>
              <w:t>2</w:t>
            </w:r>
            <w:r>
              <w:t>、NO</w:t>
            </w:r>
            <w:r>
              <w:rPr>
                <w:vertAlign w:val="subscript"/>
              </w:rPr>
              <w:t>X</w:t>
            </w:r>
            <w:r>
              <w:t>、颗粒物</w:t>
            </w:r>
          </w:p>
        </w:tc>
        <w:tc>
          <w:tcPr>
            <w:tcW w:w="1258" w:type="pct"/>
            <w:vAlign w:val="center"/>
          </w:tcPr>
          <w:p w14:paraId="59C1DF43">
            <w:pPr>
              <w:jc w:val="center"/>
            </w:pPr>
            <w:r>
              <w:t>1套管道收集+15m高排气筒（DA003）</w:t>
            </w:r>
          </w:p>
        </w:tc>
        <w:tc>
          <w:tcPr>
            <w:tcW w:w="1005" w:type="pct"/>
            <w:vAlign w:val="center"/>
          </w:tcPr>
          <w:p w14:paraId="5662D776">
            <w:pPr>
              <w:wordWrap w:val="0"/>
              <w:topLinePunct/>
              <w:adjustRightInd w:val="0"/>
              <w:snapToGrid w:val="0"/>
              <w:jc w:val="center"/>
            </w:pPr>
            <w:r>
              <w:rPr>
                <w:color w:val="000000" w:themeColor="text1"/>
                <w:lang w:bidi="ar"/>
                <w14:textFill>
                  <w14:solidFill>
                    <w14:schemeClr w14:val="tx1"/>
                  </w14:solidFill>
                </w14:textFill>
              </w:rPr>
              <w:t>《锅炉大气污染物排放标准》（GB13271-2014）中表3限值</w:t>
            </w:r>
          </w:p>
        </w:tc>
      </w:tr>
      <w:tr w14:paraId="7D61CC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pct"/>
            <w:vMerge w:val="continue"/>
            <w:vAlign w:val="center"/>
          </w:tcPr>
          <w:p w14:paraId="56B3EF0F">
            <w:pPr>
              <w:wordWrap w:val="0"/>
              <w:topLinePunct/>
              <w:adjustRightInd w:val="0"/>
              <w:snapToGrid w:val="0"/>
              <w:jc w:val="center"/>
            </w:pPr>
          </w:p>
        </w:tc>
        <w:tc>
          <w:tcPr>
            <w:tcW w:w="928" w:type="pct"/>
            <w:vAlign w:val="center"/>
          </w:tcPr>
          <w:p w14:paraId="4DA60D34">
            <w:pPr>
              <w:wordWrap w:val="0"/>
              <w:topLinePunct/>
              <w:adjustRightInd w:val="0"/>
              <w:snapToGrid w:val="0"/>
              <w:jc w:val="center"/>
              <w:rPr>
                <w:rFonts w:hint="eastAsia" w:eastAsia="宋体"/>
                <w:lang w:eastAsia="zh-CN"/>
              </w:rPr>
            </w:pPr>
            <w:r>
              <w:rPr>
                <w:rFonts w:hint="eastAsia"/>
                <w:lang w:eastAsia="zh-CN"/>
              </w:rPr>
              <w:t>造粒挤出有机废气</w:t>
            </w:r>
          </w:p>
        </w:tc>
        <w:tc>
          <w:tcPr>
            <w:tcW w:w="917" w:type="pct"/>
            <w:vAlign w:val="center"/>
          </w:tcPr>
          <w:p w14:paraId="4EED3C5A">
            <w:pPr>
              <w:jc w:val="center"/>
              <w:rPr>
                <w:rFonts w:hint="default" w:eastAsia="宋体"/>
                <w:lang w:val="en-US" w:eastAsia="zh-CN"/>
              </w:rPr>
            </w:pPr>
            <w:r>
              <w:rPr>
                <w:rFonts w:hint="eastAsia"/>
                <w:lang w:val="en-US" w:eastAsia="zh-CN"/>
              </w:rPr>
              <w:t>VOCs</w:t>
            </w:r>
          </w:p>
        </w:tc>
        <w:tc>
          <w:tcPr>
            <w:tcW w:w="1258" w:type="pct"/>
            <w:vAlign w:val="center"/>
          </w:tcPr>
          <w:p w14:paraId="68C1CA2E">
            <w:pPr>
              <w:jc w:val="center"/>
            </w:pPr>
            <w:r>
              <w:rPr>
                <w:rFonts w:hint="eastAsia" w:ascii="Times New Roman" w:hAnsi="Times New Roman" w:cs="Times New Roman"/>
                <w:vertAlign w:val="baseline"/>
                <w:lang w:eastAsia="zh-CN"/>
              </w:rPr>
              <w:t>一台移动式</w:t>
            </w:r>
            <w:r>
              <w:rPr>
                <w:rFonts w:hint="eastAsia" w:ascii="Times New Roman" w:hAnsi="Times New Roman" w:cs="Times New Roman"/>
                <w:vertAlign w:val="baseline"/>
                <w:lang w:val="en-US" w:eastAsia="zh-CN"/>
              </w:rPr>
              <w:t>VOCs处理设备</w:t>
            </w:r>
          </w:p>
        </w:tc>
        <w:tc>
          <w:tcPr>
            <w:tcW w:w="1005" w:type="pct"/>
            <w:vMerge w:val="restart"/>
            <w:vAlign w:val="center"/>
          </w:tcPr>
          <w:p w14:paraId="5DAF28ED">
            <w:pPr>
              <w:wordWrap w:val="0"/>
              <w:topLinePunct/>
              <w:adjustRightInd w:val="0"/>
              <w:snapToGrid w:val="0"/>
              <w:jc w:val="center"/>
              <w:rPr>
                <w:color w:val="000000" w:themeColor="text1"/>
                <w:lang w:bidi="ar"/>
                <w14:textFill>
                  <w14:solidFill>
                    <w14:schemeClr w14:val="tx1"/>
                  </w14:solidFill>
                </w14:textFill>
              </w:rPr>
            </w:pPr>
            <w:r>
              <w:rPr>
                <w:color w:val="000000" w:themeColor="text1"/>
                <w:szCs w:val="22"/>
                <w14:textFill>
                  <w14:solidFill>
                    <w14:schemeClr w14:val="tx1"/>
                  </w14:solidFill>
                </w14:textFill>
              </w:rPr>
              <w:t>《大气污染物综合排放标准》（GB16297-1996）</w:t>
            </w:r>
            <w:r>
              <w:rPr>
                <w:color w:val="000000" w:themeColor="text1"/>
                <w:lang w:bidi="ar"/>
                <w14:textFill>
                  <w14:solidFill>
                    <w14:schemeClr w14:val="tx1"/>
                  </w14:solidFill>
                </w14:textFill>
              </w:rPr>
              <w:t>表2相应限值</w:t>
            </w:r>
          </w:p>
        </w:tc>
      </w:tr>
      <w:tr w14:paraId="41F0B7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pct"/>
            <w:vMerge w:val="continue"/>
            <w:vAlign w:val="center"/>
          </w:tcPr>
          <w:p w14:paraId="56688130">
            <w:pPr>
              <w:wordWrap w:val="0"/>
              <w:topLinePunct/>
              <w:adjustRightInd w:val="0"/>
              <w:snapToGrid w:val="0"/>
              <w:jc w:val="center"/>
            </w:pPr>
          </w:p>
        </w:tc>
        <w:tc>
          <w:tcPr>
            <w:tcW w:w="928" w:type="pct"/>
            <w:vAlign w:val="center"/>
          </w:tcPr>
          <w:p w14:paraId="3CD3A3AB">
            <w:pPr>
              <w:wordWrap w:val="0"/>
              <w:topLinePunct/>
              <w:adjustRightInd w:val="0"/>
              <w:snapToGrid w:val="0"/>
              <w:jc w:val="center"/>
            </w:pPr>
            <w:r>
              <w:t>包装工序无组织废气</w:t>
            </w:r>
          </w:p>
        </w:tc>
        <w:tc>
          <w:tcPr>
            <w:tcW w:w="917" w:type="pct"/>
            <w:vAlign w:val="center"/>
          </w:tcPr>
          <w:p w14:paraId="3F02521B">
            <w:pPr>
              <w:jc w:val="center"/>
              <w:rPr>
                <w:rFonts w:hint="default" w:eastAsia="宋体"/>
                <w:lang w:val="en-US" w:eastAsia="zh-CN"/>
              </w:rPr>
            </w:pPr>
            <w:r>
              <w:t>颗粒物</w:t>
            </w:r>
            <w:r>
              <w:rPr>
                <w:rFonts w:hint="eastAsia"/>
                <w:lang w:eastAsia="zh-CN"/>
              </w:rPr>
              <w:t>、</w:t>
            </w:r>
            <w:r>
              <w:rPr>
                <w:rFonts w:hint="eastAsia"/>
                <w:lang w:val="en-US" w:eastAsia="zh-CN"/>
              </w:rPr>
              <w:t>VOCs</w:t>
            </w:r>
          </w:p>
        </w:tc>
        <w:tc>
          <w:tcPr>
            <w:tcW w:w="1258" w:type="pct"/>
            <w:vAlign w:val="center"/>
          </w:tcPr>
          <w:p w14:paraId="1E60954F">
            <w:pPr>
              <w:jc w:val="center"/>
            </w:pPr>
            <w:r>
              <w:t>加强通风</w:t>
            </w:r>
          </w:p>
        </w:tc>
        <w:tc>
          <w:tcPr>
            <w:tcW w:w="1005" w:type="pct"/>
            <w:vMerge w:val="continue"/>
            <w:vAlign w:val="center"/>
          </w:tcPr>
          <w:p w14:paraId="4B97C4BA">
            <w:pPr>
              <w:wordWrap w:val="0"/>
              <w:topLinePunct/>
              <w:adjustRightInd w:val="0"/>
              <w:snapToGrid w:val="0"/>
              <w:jc w:val="center"/>
            </w:pPr>
          </w:p>
        </w:tc>
      </w:tr>
      <w:tr w14:paraId="7C9D6B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pct"/>
            <w:vMerge w:val="continue"/>
            <w:vAlign w:val="center"/>
          </w:tcPr>
          <w:p w14:paraId="724E8404">
            <w:pPr>
              <w:wordWrap w:val="0"/>
              <w:topLinePunct/>
              <w:adjustRightInd w:val="0"/>
              <w:snapToGrid w:val="0"/>
              <w:jc w:val="center"/>
            </w:pPr>
          </w:p>
        </w:tc>
        <w:tc>
          <w:tcPr>
            <w:tcW w:w="928" w:type="pct"/>
            <w:vAlign w:val="center"/>
          </w:tcPr>
          <w:p w14:paraId="242E03FE">
            <w:pPr>
              <w:wordWrap w:val="0"/>
              <w:topLinePunct/>
              <w:adjustRightInd w:val="0"/>
              <w:snapToGrid w:val="0"/>
              <w:jc w:val="center"/>
              <w:rPr>
                <w:rFonts w:hint="eastAsia" w:eastAsia="宋体"/>
                <w:u w:val="single"/>
                <w:lang w:eastAsia="zh-CN"/>
              </w:rPr>
            </w:pPr>
            <w:r>
              <w:rPr>
                <w:rFonts w:hint="eastAsia"/>
                <w:u w:val="single"/>
                <w:lang w:eastAsia="zh-CN"/>
              </w:rPr>
              <w:t>原辅料储存、生产过程臭气</w:t>
            </w:r>
          </w:p>
        </w:tc>
        <w:tc>
          <w:tcPr>
            <w:tcW w:w="917" w:type="pct"/>
            <w:vAlign w:val="center"/>
          </w:tcPr>
          <w:p w14:paraId="09E776E8">
            <w:pPr>
              <w:jc w:val="center"/>
              <w:rPr>
                <w:rFonts w:hint="eastAsia" w:eastAsia="宋体"/>
                <w:u w:val="single"/>
                <w:lang w:eastAsia="zh-CN"/>
              </w:rPr>
            </w:pPr>
            <w:r>
              <w:rPr>
                <w:rFonts w:hint="eastAsia"/>
                <w:u w:val="single"/>
                <w:lang w:eastAsia="zh-CN"/>
              </w:rPr>
              <w:t>臭气浓度</w:t>
            </w:r>
          </w:p>
        </w:tc>
        <w:tc>
          <w:tcPr>
            <w:tcW w:w="1258" w:type="pct"/>
            <w:vAlign w:val="center"/>
          </w:tcPr>
          <w:p w14:paraId="69E02909">
            <w:pPr>
              <w:jc w:val="center"/>
              <w:rPr>
                <w:rFonts w:hint="eastAsia" w:eastAsia="宋体"/>
                <w:u w:val="single"/>
                <w:lang w:val="en-US" w:eastAsia="zh-CN"/>
              </w:rPr>
            </w:pPr>
            <w:r>
              <w:rPr>
                <w:rFonts w:hint="eastAsia"/>
                <w:u w:val="single"/>
                <w:lang w:val="en-US" w:eastAsia="zh-CN"/>
              </w:rPr>
              <w:t>/</w:t>
            </w:r>
          </w:p>
        </w:tc>
        <w:tc>
          <w:tcPr>
            <w:tcW w:w="1005" w:type="pct"/>
            <w:vAlign w:val="center"/>
          </w:tcPr>
          <w:p w14:paraId="727580CE">
            <w:pPr>
              <w:wordWrap w:val="0"/>
              <w:topLinePunct/>
              <w:adjustRightInd w:val="0"/>
              <w:snapToGrid w:val="0"/>
              <w:jc w:val="center"/>
              <w:rPr>
                <w:u w:val="single"/>
              </w:rPr>
            </w:pPr>
            <w:r>
              <w:rPr>
                <w:rFonts w:hint="eastAsia"/>
                <w:u w:val="single"/>
              </w:rPr>
              <w:t>恶臭污染物排放标准》（GB14554-93）中表1标准</w:t>
            </w:r>
          </w:p>
        </w:tc>
      </w:tr>
      <w:tr w14:paraId="73C0D8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pct"/>
            <w:vAlign w:val="center"/>
          </w:tcPr>
          <w:p w14:paraId="3B158A29">
            <w:pPr>
              <w:wordWrap w:val="0"/>
              <w:topLinePunct/>
              <w:adjustRightInd w:val="0"/>
              <w:snapToGrid w:val="0"/>
              <w:jc w:val="center"/>
            </w:pPr>
            <w:r>
              <w:t>地表水环境</w:t>
            </w:r>
          </w:p>
        </w:tc>
        <w:tc>
          <w:tcPr>
            <w:tcW w:w="928" w:type="pct"/>
            <w:vAlign w:val="center"/>
          </w:tcPr>
          <w:p w14:paraId="05B0ADF2">
            <w:pPr>
              <w:wordWrap w:val="0"/>
              <w:topLinePunct/>
              <w:adjustRightInd w:val="0"/>
              <w:snapToGrid w:val="0"/>
              <w:jc w:val="center"/>
            </w:pPr>
            <w:r>
              <w:t>生活污水</w:t>
            </w:r>
          </w:p>
        </w:tc>
        <w:tc>
          <w:tcPr>
            <w:tcW w:w="917" w:type="pct"/>
            <w:vAlign w:val="center"/>
          </w:tcPr>
          <w:p w14:paraId="434F69F1">
            <w:pPr>
              <w:wordWrap w:val="0"/>
              <w:topLinePunct/>
              <w:adjustRightInd w:val="0"/>
              <w:snapToGrid w:val="0"/>
              <w:jc w:val="center"/>
            </w:pPr>
            <w:r>
              <w:t>COD</w:t>
            </w:r>
            <w:r>
              <w:rPr>
                <w:vertAlign w:val="subscript"/>
              </w:rPr>
              <w:t>cr</w:t>
            </w:r>
            <w:r>
              <w:rPr>
                <w:kern w:val="0"/>
              </w:rPr>
              <w:t>、氨氮、BOD</w:t>
            </w:r>
            <w:r>
              <w:rPr>
                <w:kern w:val="0"/>
                <w:vertAlign w:val="subscript"/>
              </w:rPr>
              <w:t>5</w:t>
            </w:r>
            <w:r>
              <w:rPr>
                <w:kern w:val="0"/>
              </w:rPr>
              <w:t>、SS</w:t>
            </w:r>
          </w:p>
        </w:tc>
        <w:tc>
          <w:tcPr>
            <w:tcW w:w="1258" w:type="pct"/>
            <w:vAlign w:val="center"/>
          </w:tcPr>
          <w:p w14:paraId="471ADB42">
            <w:pPr>
              <w:wordWrap w:val="0"/>
              <w:topLinePunct/>
              <w:adjustRightInd w:val="0"/>
              <w:snapToGrid w:val="0"/>
              <w:jc w:val="center"/>
            </w:pPr>
            <w:r>
              <w:t>化粪池</w:t>
            </w:r>
          </w:p>
        </w:tc>
        <w:tc>
          <w:tcPr>
            <w:tcW w:w="1005" w:type="pct"/>
            <w:vAlign w:val="center"/>
          </w:tcPr>
          <w:p w14:paraId="539AEBB1">
            <w:pPr>
              <w:wordWrap w:val="0"/>
              <w:topLinePunct/>
              <w:adjustRightInd w:val="0"/>
              <w:snapToGrid w:val="0"/>
              <w:jc w:val="center"/>
            </w:pPr>
            <w:r>
              <w:t>/</w:t>
            </w:r>
          </w:p>
        </w:tc>
      </w:tr>
      <w:tr w14:paraId="20B80C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pct"/>
            <w:vAlign w:val="center"/>
          </w:tcPr>
          <w:p w14:paraId="558D00F8">
            <w:pPr>
              <w:wordWrap w:val="0"/>
              <w:topLinePunct/>
              <w:adjustRightInd w:val="0"/>
              <w:snapToGrid w:val="0"/>
              <w:jc w:val="center"/>
            </w:pPr>
            <w:r>
              <w:t>声环境</w:t>
            </w:r>
          </w:p>
        </w:tc>
        <w:tc>
          <w:tcPr>
            <w:tcW w:w="928" w:type="pct"/>
            <w:vAlign w:val="center"/>
          </w:tcPr>
          <w:p w14:paraId="701C0872">
            <w:pPr>
              <w:wordWrap w:val="0"/>
              <w:topLinePunct/>
              <w:adjustRightInd w:val="0"/>
              <w:snapToGrid w:val="0"/>
              <w:jc w:val="center"/>
            </w:pPr>
            <w:r>
              <w:t>生产过程</w:t>
            </w:r>
          </w:p>
        </w:tc>
        <w:tc>
          <w:tcPr>
            <w:tcW w:w="917" w:type="pct"/>
            <w:vAlign w:val="center"/>
          </w:tcPr>
          <w:p w14:paraId="0432C6A1">
            <w:pPr>
              <w:wordWrap w:val="0"/>
              <w:topLinePunct/>
              <w:adjustRightInd w:val="0"/>
              <w:snapToGrid w:val="0"/>
              <w:jc w:val="center"/>
            </w:pPr>
            <w:r>
              <w:rPr>
                <w:bCs/>
              </w:rPr>
              <w:t>生产设备噪声</w:t>
            </w:r>
          </w:p>
        </w:tc>
        <w:tc>
          <w:tcPr>
            <w:tcW w:w="1258" w:type="pct"/>
            <w:vAlign w:val="center"/>
          </w:tcPr>
          <w:p w14:paraId="714E4B71">
            <w:pPr>
              <w:wordWrap w:val="0"/>
              <w:topLinePunct/>
              <w:adjustRightInd w:val="0"/>
              <w:snapToGrid w:val="0"/>
              <w:jc w:val="center"/>
            </w:pPr>
            <w:r>
              <w:rPr>
                <w:bCs/>
              </w:rPr>
              <w:t>合理布局、厂房隔声、基础减振</w:t>
            </w:r>
            <w:r>
              <w:t>等。</w:t>
            </w:r>
          </w:p>
        </w:tc>
        <w:tc>
          <w:tcPr>
            <w:tcW w:w="1005" w:type="pct"/>
            <w:vAlign w:val="center"/>
          </w:tcPr>
          <w:p w14:paraId="7A994FD8">
            <w:pPr>
              <w:wordWrap w:val="0"/>
              <w:topLinePunct/>
              <w:adjustRightInd w:val="0"/>
              <w:snapToGrid w:val="0"/>
              <w:jc w:val="center"/>
            </w:pPr>
            <w:r>
              <w:t>执行《工业企业厂界环境噪声排放标准》（GB12348-2008）中3类标准</w:t>
            </w:r>
          </w:p>
        </w:tc>
      </w:tr>
      <w:tr w14:paraId="39C650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pct"/>
            <w:vAlign w:val="center"/>
          </w:tcPr>
          <w:p w14:paraId="26428A81">
            <w:pPr>
              <w:wordWrap w:val="0"/>
              <w:topLinePunct/>
              <w:adjustRightInd w:val="0"/>
              <w:snapToGrid w:val="0"/>
              <w:jc w:val="center"/>
            </w:pPr>
            <w:r>
              <w:t>固体废物</w:t>
            </w:r>
          </w:p>
        </w:tc>
        <w:tc>
          <w:tcPr>
            <w:tcW w:w="4108" w:type="pct"/>
            <w:gridSpan w:val="4"/>
            <w:vAlign w:val="center"/>
          </w:tcPr>
          <w:p w14:paraId="4459110D">
            <w:pPr>
              <w:spacing w:line="360" w:lineRule="auto"/>
              <w:ind w:firstLine="480" w:firstLineChars="200"/>
            </w:pPr>
            <w:r>
              <w:t>布袋除尘器滤尘收集后回用于生产</w:t>
            </w:r>
            <w:r>
              <w:rPr>
                <w:highlight w:val="none"/>
              </w:rPr>
              <w:t>；</w:t>
            </w:r>
            <w:r>
              <w:rPr>
                <w:rFonts w:hint="eastAsia"/>
                <w:highlight w:val="none"/>
                <w:lang w:eastAsia="zh-CN"/>
              </w:rPr>
              <w:t>废活性炭、</w:t>
            </w:r>
            <w:r>
              <w:rPr>
                <w:highlight w:val="none"/>
              </w:rPr>
              <w:t>废矿物油、</w:t>
            </w:r>
            <w:r>
              <w:rPr>
                <w:rFonts w:hint="eastAsia"/>
                <w:highlight w:val="none"/>
                <w:lang w:eastAsia="zh-CN"/>
              </w:rPr>
              <w:t>废导热油、</w:t>
            </w:r>
            <w:r>
              <w:rPr>
                <w:highlight w:val="none"/>
              </w:rPr>
              <w:t>废矿物油桶、废含油抹布及手套分类收集后暂存于危废间，定期</w:t>
            </w:r>
            <w:r>
              <w:t>交由有资质单位拉运处理；生活垃圾收集后交由园区环卫部门清运。</w:t>
            </w:r>
          </w:p>
        </w:tc>
      </w:tr>
      <w:tr w14:paraId="22C620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pct"/>
            <w:vAlign w:val="center"/>
          </w:tcPr>
          <w:p w14:paraId="00BFF369">
            <w:pPr>
              <w:wordWrap w:val="0"/>
              <w:topLinePunct/>
              <w:adjustRightInd w:val="0"/>
              <w:snapToGrid w:val="0"/>
              <w:jc w:val="center"/>
            </w:pPr>
            <w:r>
              <w:t>土壤及地下水</w:t>
            </w:r>
          </w:p>
          <w:p w14:paraId="422AEEC2">
            <w:pPr>
              <w:wordWrap w:val="0"/>
              <w:topLinePunct/>
              <w:adjustRightInd w:val="0"/>
              <w:snapToGrid w:val="0"/>
              <w:jc w:val="center"/>
            </w:pPr>
            <w:r>
              <w:t>污染防治措施</w:t>
            </w:r>
          </w:p>
        </w:tc>
        <w:tc>
          <w:tcPr>
            <w:tcW w:w="4108" w:type="pct"/>
            <w:gridSpan w:val="4"/>
            <w:vAlign w:val="center"/>
          </w:tcPr>
          <w:p w14:paraId="6A41BF9E">
            <w:pPr>
              <w:spacing w:line="360" w:lineRule="auto"/>
              <w:jc w:val="center"/>
            </w:pPr>
            <w:r>
              <w:t>地面、路面硬化等措施</w:t>
            </w:r>
          </w:p>
        </w:tc>
      </w:tr>
      <w:tr w14:paraId="01F4E0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pct"/>
            <w:vAlign w:val="center"/>
          </w:tcPr>
          <w:p w14:paraId="41BB8C3E">
            <w:pPr>
              <w:wordWrap w:val="0"/>
              <w:topLinePunct/>
              <w:adjustRightInd w:val="0"/>
              <w:snapToGrid w:val="0"/>
              <w:jc w:val="center"/>
            </w:pPr>
            <w:r>
              <w:t>生态保护措施</w:t>
            </w:r>
          </w:p>
        </w:tc>
        <w:tc>
          <w:tcPr>
            <w:tcW w:w="4108" w:type="pct"/>
            <w:gridSpan w:val="4"/>
            <w:vAlign w:val="center"/>
          </w:tcPr>
          <w:p w14:paraId="3E9D4C48">
            <w:pPr>
              <w:jc w:val="center"/>
            </w:pPr>
            <w:r>
              <w:t>不涉及</w:t>
            </w:r>
          </w:p>
        </w:tc>
      </w:tr>
      <w:tr w14:paraId="209ADC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pct"/>
            <w:vAlign w:val="center"/>
          </w:tcPr>
          <w:p w14:paraId="39242158">
            <w:pPr>
              <w:wordWrap w:val="0"/>
              <w:topLinePunct/>
              <w:adjustRightInd w:val="0"/>
              <w:snapToGrid w:val="0"/>
              <w:jc w:val="center"/>
              <w:rPr>
                <w:spacing w:val="-8"/>
              </w:rPr>
            </w:pPr>
            <w:r>
              <w:rPr>
                <w:spacing w:val="-8"/>
              </w:rPr>
              <w:t>环境风险</w:t>
            </w:r>
          </w:p>
          <w:p w14:paraId="34764598">
            <w:pPr>
              <w:wordWrap w:val="0"/>
              <w:topLinePunct/>
              <w:adjustRightInd w:val="0"/>
              <w:snapToGrid w:val="0"/>
              <w:jc w:val="center"/>
              <w:rPr>
                <w:spacing w:val="-8"/>
              </w:rPr>
            </w:pPr>
            <w:r>
              <w:rPr>
                <w:spacing w:val="-8"/>
              </w:rPr>
              <w:t>防范措施</w:t>
            </w:r>
          </w:p>
        </w:tc>
        <w:tc>
          <w:tcPr>
            <w:tcW w:w="4108" w:type="pct"/>
            <w:gridSpan w:val="4"/>
            <w:vAlign w:val="center"/>
          </w:tcPr>
          <w:p w14:paraId="74641DDF">
            <w:pPr>
              <w:spacing w:line="360" w:lineRule="auto"/>
              <w:ind w:firstLine="480" w:firstLineChars="200"/>
              <w:rPr>
                <w:u w:val="single"/>
              </w:rPr>
            </w:pPr>
            <w:r>
              <w:t>加强安全管理工作，建立安全加工岗位责任制，制定切实可行的安全加工规范、安全操作规程等，定期检查与维护废气处理设施：突发事故时及时采取应急措施，切断泄漏源，控制重故扩大</w:t>
            </w:r>
          </w:p>
        </w:tc>
      </w:tr>
      <w:tr w14:paraId="09F8C1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pct"/>
            <w:vAlign w:val="center"/>
          </w:tcPr>
          <w:p w14:paraId="65941ACF">
            <w:pPr>
              <w:wordWrap w:val="0"/>
              <w:topLinePunct/>
              <w:adjustRightInd w:val="0"/>
              <w:snapToGrid w:val="0"/>
              <w:jc w:val="center"/>
              <w:rPr>
                <w:spacing w:val="-8"/>
              </w:rPr>
            </w:pPr>
            <w:r>
              <w:rPr>
                <w:spacing w:val="-8"/>
              </w:rPr>
              <w:t>其他环境</w:t>
            </w:r>
          </w:p>
          <w:p w14:paraId="5B908497">
            <w:pPr>
              <w:wordWrap w:val="0"/>
              <w:topLinePunct/>
              <w:adjustRightInd w:val="0"/>
              <w:snapToGrid w:val="0"/>
              <w:jc w:val="center"/>
              <w:rPr>
                <w:spacing w:val="-8"/>
              </w:rPr>
            </w:pPr>
            <w:r>
              <w:rPr>
                <w:spacing w:val="-8"/>
              </w:rPr>
              <w:t>管理要求</w:t>
            </w:r>
          </w:p>
        </w:tc>
        <w:tc>
          <w:tcPr>
            <w:tcW w:w="4108" w:type="pct"/>
            <w:gridSpan w:val="4"/>
            <w:vAlign w:val="center"/>
          </w:tcPr>
          <w:p w14:paraId="2BD38442">
            <w:pPr>
              <w:widowControl/>
              <w:spacing w:line="360" w:lineRule="auto"/>
              <w:ind w:firstLine="482" w:firstLineChars="200"/>
              <w:jc w:val="left"/>
              <w:rPr>
                <w:b/>
                <w:bCs/>
                <w:kern w:val="44"/>
              </w:rPr>
            </w:pPr>
            <w:r>
              <w:rPr>
                <w:b/>
                <w:bCs/>
                <w:kern w:val="44"/>
              </w:rPr>
              <w:t>1、环境管理</w:t>
            </w:r>
          </w:p>
          <w:p w14:paraId="2E1D8F02">
            <w:pPr>
              <w:spacing w:line="360" w:lineRule="auto"/>
              <w:ind w:firstLine="480" w:firstLineChars="200"/>
            </w:pPr>
            <w:r>
              <w:t>（1）三同时管理</w:t>
            </w:r>
          </w:p>
          <w:p w14:paraId="60EA8D19">
            <w:pPr>
              <w:spacing w:line="360" w:lineRule="auto"/>
              <w:ind w:firstLine="480" w:firstLineChars="200"/>
            </w:pPr>
            <w:r>
              <w:t>根据国家新修订的《建设项目环境保护管理条例》，己取消建设项目竣工验收环境保护验收行政许可，改为建设单位自主验收，进一步强化建设单位的环境保护“三同时”主体责任，各级环境保护部门主要是加强对建设单位的指导和监督检查，确保验收内容不缺项，验收标准不隆低，验收结果全公开。建设项目竣工后，建设单位应区时委托有能力的技术机构编制验收监测 （调查）报告，如实查验、监测、记载建设项目环境保护设施的建设和调试情况。</w:t>
            </w:r>
          </w:p>
          <w:p w14:paraId="0FB893C5">
            <w:pPr>
              <w:spacing w:line="360" w:lineRule="auto"/>
              <w:ind w:firstLine="480" w:firstLineChars="200"/>
            </w:pPr>
            <w:r>
              <w:t>（2）环境保护竣工验收</w:t>
            </w:r>
          </w:p>
          <w:p w14:paraId="6BFA639B">
            <w:pPr>
              <w:spacing w:line="360" w:lineRule="auto"/>
              <w:ind w:firstLine="480" w:firstLineChars="200"/>
            </w:pPr>
            <w:r>
              <w:t>① 建设项目竣工后，建设单位或者其委托的技术机构应当依照国家有关法律法建设项且竣工环境保护验收技术规范、建设项目环境影响报告书 （表）和审批决定等要求，如实查验、监测、记载建设项且环境保护设施的建设和调试情况，同时还应如实记载其他环境保护对策措施 “三同时”落实情况，编制竣工环境保护验收报告。</w:t>
            </w:r>
          </w:p>
          <w:p w14:paraId="3909DFB2">
            <w:pPr>
              <w:spacing w:line="360" w:lineRule="auto"/>
              <w:ind w:firstLine="480" w:firstLineChars="200"/>
            </w:pPr>
            <w:r>
              <w:t>②验收报告编制完成后，建设单位应组织成立验收工作组，对建项目进行自主验收。</w:t>
            </w:r>
          </w:p>
          <w:p w14:paraId="432E9AD3">
            <w:pPr>
              <w:spacing w:line="360" w:lineRule="auto"/>
              <w:ind w:firstLine="480" w:firstLineChars="200"/>
            </w:pPr>
            <w:r>
              <w:t>建设项目配套建设的环境保护设施经验收合格后，其主体工程才可以投入生产或者使用。</w:t>
            </w:r>
          </w:p>
          <w:p w14:paraId="4BC9B009">
            <w:pPr>
              <w:spacing w:line="360" w:lineRule="auto"/>
              <w:ind w:firstLine="480" w:firstLineChars="200"/>
            </w:pPr>
            <w:r>
              <w:t>(3）排污许可证</w:t>
            </w:r>
          </w:p>
          <w:p w14:paraId="1FD0681A">
            <w:pPr>
              <w:spacing w:line="360" w:lineRule="auto"/>
              <w:ind w:firstLine="480" w:firstLineChars="200"/>
            </w:pPr>
            <w:r>
              <w:t>经查《固定污染源排污许可分类管理名录 （2019 年版）》，本项目属于名录中“二十一、化学原料和化学制品制造业 26-专用化学品制造266 单纯混合或着分装的”，为登记管理。</w:t>
            </w:r>
          </w:p>
          <w:p w14:paraId="25A35DCC">
            <w:pPr>
              <w:pStyle w:val="124"/>
              <w:spacing w:line="360" w:lineRule="auto"/>
              <w:ind w:firstLine="480"/>
              <w:rPr>
                <w:rFonts w:ascii="Times New Roman" w:hAnsi="Times New Roman"/>
                <w:szCs w:val="24"/>
              </w:rPr>
            </w:pPr>
            <w:r>
              <w:rPr>
                <w:rFonts w:ascii="Times New Roman" w:hAnsi="Times New Roman"/>
                <w:szCs w:val="24"/>
              </w:rPr>
              <w:t>环评要求本项目建成投产前，建设单位应按照《排污许可管理条例》等相关规定完成排污许可证的申报</w:t>
            </w:r>
          </w:p>
          <w:p w14:paraId="471F331B">
            <w:pPr>
              <w:spacing w:line="360" w:lineRule="auto"/>
              <w:ind w:firstLine="480" w:firstLineChars="200"/>
            </w:pPr>
            <w:r>
              <w:t>（4）环境管理机构职责</w:t>
            </w:r>
          </w:p>
          <w:p w14:paraId="5C5A6E31">
            <w:pPr>
              <w:spacing w:line="360" w:lineRule="auto"/>
              <w:ind w:firstLine="480" w:firstLineChars="200"/>
            </w:pPr>
            <w:r>
              <w:t>项目环境管理机构为建设单位，已设置专人进行环境管理，环境监测可委托第三方检测机构进行。</w:t>
            </w:r>
          </w:p>
          <w:p w14:paraId="08421201">
            <w:pPr>
              <w:spacing w:line="360" w:lineRule="auto"/>
              <w:ind w:firstLine="480" w:firstLineChars="200"/>
            </w:pPr>
            <w:r>
              <w:t>环境管理机构负责项目营运期的环境管理与监测工作，主要职责：</w:t>
            </w:r>
          </w:p>
          <w:p w14:paraId="563C63F2">
            <w:pPr>
              <w:spacing w:line="360" w:lineRule="auto"/>
              <w:ind w:firstLine="480" w:firstLineChars="200"/>
            </w:pPr>
            <w:r>
              <w:t>①编制、提出该项目营运期的短期环境保护计划及长远环境保护规划。</w:t>
            </w:r>
          </w:p>
          <w:p w14:paraId="315801DB">
            <w:pPr>
              <w:spacing w:line="360" w:lineRule="auto"/>
              <w:ind w:firstLine="480" w:firstLineChars="200"/>
            </w:pPr>
            <w:r>
              <w:t>②贯彻落实国家和地方的环境保护法律、法规、政策和标准，直接接受环保主管部门的监督、领导，配合环境保护主管部门作好环保工作。</w:t>
            </w:r>
          </w:p>
          <w:p w14:paraId="6D87858F">
            <w:pPr>
              <w:spacing w:line="360" w:lineRule="auto"/>
              <w:ind w:firstLine="480" w:firstLineChars="200"/>
            </w:pPr>
            <w:r>
              <w:t>③领导并组织环境监测工作，制定和实施监测方案，定期向环境保护主管部门上报。</w:t>
            </w:r>
          </w:p>
          <w:p w14:paraId="75B0FF67">
            <w:pPr>
              <w:spacing w:line="360" w:lineRule="auto"/>
              <w:ind w:firstLine="480" w:firstLineChars="200"/>
            </w:pPr>
            <w:r>
              <w:t>④负责监督环保设施的施工、安装、调试等，落实项目的“三同时”制度。</w:t>
            </w:r>
          </w:p>
          <w:p w14:paraId="4B7342B2">
            <w:pPr>
              <w:spacing w:line="360" w:lineRule="auto"/>
              <w:ind w:firstLine="480" w:firstLineChars="200"/>
            </w:pPr>
            <w:r>
              <w:t>⑤监督项目各污染物处置情况及去向，确保污染物达到国家排放标准。</w:t>
            </w:r>
          </w:p>
          <w:p w14:paraId="2A6D8E24">
            <w:pPr>
              <w:spacing w:line="360" w:lineRule="auto"/>
              <w:ind w:firstLine="480" w:firstLineChars="200"/>
            </w:pPr>
            <w:r>
              <w:t>（5）环境管理</w:t>
            </w:r>
          </w:p>
          <w:p w14:paraId="3235380E">
            <w:pPr>
              <w:spacing w:line="360" w:lineRule="auto"/>
              <w:ind w:firstLine="480" w:firstLineChars="200"/>
            </w:pPr>
            <w:r>
              <w:t>①固体废物按照《中华人民共和国固体废物污染环境防治法》进行收集、处置。根据国家环保政策、标准及环境监测要求，制定该项目营运期环保管理规章制度、各种污染物排放控制指标；</w:t>
            </w:r>
          </w:p>
          <w:p w14:paraId="3B455CE5">
            <w:pPr>
              <w:spacing w:line="360" w:lineRule="auto"/>
              <w:ind w:firstLine="480" w:firstLineChars="200"/>
            </w:pPr>
            <w:r>
              <w:t>②负责该项目内所有环保设施的日常运行管理，保障各环保设施的正常运行，并对环保设施的改进提出积极的建议；</w:t>
            </w:r>
          </w:p>
          <w:p w14:paraId="115DF665">
            <w:pPr>
              <w:spacing w:line="360" w:lineRule="auto"/>
              <w:ind w:firstLine="480" w:firstLineChars="200"/>
            </w:pPr>
            <w:r>
              <w:t>③负责该项目营运期环境监测工作，及时掌握该项目污染状况，整理监测数据，建立污染源档案；</w:t>
            </w:r>
          </w:p>
          <w:p w14:paraId="19D304D2">
            <w:pPr>
              <w:spacing w:line="360" w:lineRule="auto"/>
              <w:ind w:firstLine="480" w:firstLineChars="200"/>
            </w:pPr>
            <w:r>
              <w:t>④该项目营运期的环境管理由厂方管理人员承担，并接受环境保护主管部门的指导和监督。</w:t>
            </w:r>
          </w:p>
          <w:p w14:paraId="429AE3EF">
            <w:pPr>
              <w:widowControl/>
              <w:spacing w:line="360" w:lineRule="auto"/>
              <w:ind w:firstLine="480" w:firstLineChars="200"/>
              <w:jc w:val="left"/>
              <w:rPr>
                <w:kern w:val="44"/>
              </w:rPr>
            </w:pPr>
            <w:r>
              <w:rPr>
                <w:kern w:val="44"/>
              </w:rPr>
              <w:t>（6）环境监测</w:t>
            </w:r>
          </w:p>
          <w:p w14:paraId="3CF0A133">
            <w:pPr>
              <w:spacing w:line="360" w:lineRule="auto"/>
              <w:ind w:firstLine="480" w:firstLineChars="200"/>
            </w:pPr>
            <w:r>
              <w:t>根据本项目的实际情况，项目投入运营后，环境管理机构由后勤管理部门负责，下设环境管理小组对该项目环境管理和环境监控负责，并受项目主管单位及环保行政管理部门的监督和指导。设环保管理人员1名，负责场内的废气、废水、固废、噪声措施及清理处置等各类环保工作。</w:t>
            </w:r>
          </w:p>
          <w:p w14:paraId="4BFF597B">
            <w:pPr>
              <w:spacing w:line="360" w:lineRule="auto"/>
              <w:ind w:firstLine="480" w:firstLineChars="200"/>
            </w:pPr>
            <w:r>
              <w:t>为了加强本项目运行后的环境管理，较为准确客观地掌握其污染物的排放情况，建设单位可委托有第三方公司进行监测。</w:t>
            </w:r>
          </w:p>
          <w:p w14:paraId="41C29156">
            <w:pPr>
              <w:spacing w:line="360" w:lineRule="auto"/>
              <w:ind w:firstLine="480" w:firstLineChars="200"/>
            </w:pPr>
          </w:p>
          <w:p w14:paraId="1D31F8D9">
            <w:pPr>
              <w:spacing w:line="360" w:lineRule="auto"/>
              <w:ind w:firstLine="480" w:firstLineChars="200"/>
            </w:pPr>
          </w:p>
          <w:p w14:paraId="6DD8045B">
            <w:pPr>
              <w:spacing w:line="360" w:lineRule="auto"/>
              <w:ind w:firstLine="480" w:firstLineChars="200"/>
            </w:pPr>
          </w:p>
          <w:p w14:paraId="3326EBCA">
            <w:pPr>
              <w:spacing w:line="360" w:lineRule="auto"/>
              <w:ind w:firstLine="480" w:firstLineChars="200"/>
            </w:pPr>
          </w:p>
          <w:p w14:paraId="74CF7F9A">
            <w:pPr>
              <w:spacing w:line="360" w:lineRule="auto"/>
              <w:ind w:firstLine="480" w:firstLineChars="200"/>
            </w:pPr>
          </w:p>
          <w:p w14:paraId="4E68C069">
            <w:pPr>
              <w:spacing w:line="360" w:lineRule="auto"/>
              <w:ind w:firstLine="480" w:firstLineChars="200"/>
            </w:pPr>
          </w:p>
          <w:p w14:paraId="3B56C968">
            <w:pPr>
              <w:spacing w:line="360" w:lineRule="auto"/>
              <w:ind w:firstLine="480" w:firstLineChars="200"/>
            </w:pPr>
          </w:p>
          <w:p w14:paraId="327F72E5">
            <w:pPr>
              <w:spacing w:line="360" w:lineRule="auto"/>
              <w:ind w:firstLine="480" w:firstLineChars="200"/>
            </w:pPr>
          </w:p>
        </w:tc>
      </w:tr>
    </w:tbl>
    <w:p w14:paraId="061A3A85">
      <w:pPr>
        <w:pStyle w:val="73"/>
        <w:wordWrap w:val="0"/>
        <w:topLinePunct/>
        <w:rPr>
          <w:rFonts w:ascii="Times New Roman" w:hAnsi="Times New Roman"/>
          <w:color w:val="2F5496"/>
        </w:rPr>
        <w:sectPr>
          <w:pgSz w:w="11906" w:h="16838"/>
          <w:pgMar w:top="1417" w:right="1134" w:bottom="1417" w:left="1417" w:header="851" w:footer="851" w:gutter="0"/>
          <w:pgBorders>
            <w:top w:val="none" w:sz="0" w:space="0"/>
            <w:left w:val="none" w:sz="0" w:space="0"/>
            <w:bottom w:val="none" w:sz="0" w:space="0"/>
            <w:right w:val="none" w:sz="0" w:space="0"/>
          </w:pgBorders>
          <w:cols w:space="720" w:num="1"/>
          <w:docGrid w:linePitch="312" w:charSpace="0"/>
        </w:sectPr>
      </w:pPr>
    </w:p>
    <w:p w14:paraId="409CEE50">
      <w:pPr>
        <w:pStyle w:val="73"/>
        <w:wordWrap w:val="0"/>
        <w:topLinePunct/>
        <w:jc w:val="both"/>
        <w:rPr>
          <w:rFonts w:ascii="Times New Roman" w:hAnsi="Times New Roman"/>
          <w:color w:val="2F5496"/>
        </w:rPr>
        <w:sectPr>
          <w:type w:val="continuous"/>
          <w:pgSz w:w="11906" w:h="16838"/>
          <w:pgMar w:top="1701" w:right="1531" w:bottom="1701" w:left="1531" w:header="851" w:footer="1370" w:gutter="0"/>
          <w:pgBorders>
            <w:top w:val="none" w:sz="0" w:space="0"/>
            <w:left w:val="none" w:sz="0" w:space="0"/>
            <w:bottom w:val="none" w:sz="0" w:space="0"/>
            <w:right w:val="none" w:sz="0" w:space="0"/>
          </w:pgBorders>
          <w:cols w:space="720" w:num="1"/>
          <w:docGrid w:linePitch="312" w:charSpace="0"/>
        </w:sectPr>
      </w:pPr>
    </w:p>
    <w:p w14:paraId="742D304B">
      <w:pPr>
        <w:pStyle w:val="73"/>
        <w:wordWrap w:val="0"/>
        <w:topLinePunct/>
        <w:rPr>
          <w:rFonts w:ascii="Times New Roman" w:hAnsi="Times New Roman"/>
          <w:b/>
          <w:bCs/>
        </w:rPr>
      </w:pPr>
      <w:bookmarkStart w:id="63" w:name="_Toc3445"/>
      <w:r>
        <w:rPr>
          <w:rFonts w:ascii="Times New Roman" w:hAnsi="Times New Roman"/>
          <w:b/>
          <w:bCs/>
        </w:rPr>
        <w:t>六、结论</w:t>
      </w:r>
      <w:bookmarkEnd w:id="63"/>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14:paraId="1AB64A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356" w:hRule="atLeast"/>
          <w:jc w:val="center"/>
        </w:trPr>
        <w:tc>
          <w:tcPr>
            <w:tcW w:w="5000" w:type="pct"/>
          </w:tcPr>
          <w:p w14:paraId="40E879FC">
            <w:pPr>
              <w:wordWrap w:val="0"/>
              <w:topLinePunct/>
              <w:adjustRightInd w:val="0"/>
              <w:snapToGrid w:val="0"/>
              <w:spacing w:line="360" w:lineRule="auto"/>
              <w:ind w:firstLine="480"/>
              <w:rPr>
                <w:color w:val="2F5496"/>
                <w:szCs w:val="21"/>
              </w:rPr>
            </w:pPr>
            <w:r>
              <w:rPr>
                <w:szCs w:val="21"/>
              </w:rPr>
              <w:t>“</w:t>
            </w:r>
            <w:r>
              <w:rPr>
                <w:rFonts w:hint="eastAsia"/>
                <w:szCs w:val="21"/>
              </w:rPr>
              <w:t>衡阳丰联精细化工有限公司</w:t>
            </w:r>
            <w:r>
              <w:rPr>
                <w:rFonts w:hint="eastAsia"/>
                <w:szCs w:val="21"/>
                <w:lang w:eastAsia="zh-CN"/>
              </w:rPr>
              <w:t>年产1.5万吨无卤阻燃材料及功能母粒</w:t>
            </w:r>
            <w:r>
              <w:rPr>
                <w:rFonts w:hint="eastAsia"/>
                <w:szCs w:val="21"/>
              </w:rPr>
              <w:t>项目</w:t>
            </w:r>
            <w:r>
              <w:rPr>
                <w:szCs w:val="21"/>
              </w:rPr>
              <w:t>”符合国家产业政策；项目选址符合相关规划要求，通过采取有效的环保措施可实现达标排放，对周边环境的影响也能控制在可接受程度。建设单位在严格执行环保“三同时”制度，严格落实本报告提出的各项环保措施后，项目建设对环境的影响是可接受的。从环保的角度分析，本项目的建设是可行的。</w:t>
            </w:r>
          </w:p>
        </w:tc>
      </w:tr>
    </w:tbl>
    <w:p w14:paraId="5387EE2E">
      <w:pPr>
        <w:wordWrap w:val="0"/>
        <w:topLinePunct/>
        <w:adjustRightInd w:val="0"/>
        <w:snapToGrid w:val="0"/>
        <w:rPr>
          <w:color w:val="2F5496"/>
          <w:szCs w:val="21"/>
        </w:rPr>
      </w:pPr>
    </w:p>
    <w:p w14:paraId="31E326BD">
      <w:pPr>
        <w:pStyle w:val="32"/>
        <w:adjustRightInd w:val="0"/>
        <w:snapToGrid w:val="0"/>
        <w:spacing w:before="0" w:beforeAutospacing="0" w:after="0" w:afterAutospacing="0" w:line="648" w:lineRule="auto"/>
        <w:outlineLvl w:val="0"/>
        <w:rPr>
          <w:rFonts w:ascii="Times New Roman" w:hAnsi="Times New Roman" w:eastAsia="黑体"/>
          <w:snapToGrid w:val="0"/>
          <w:sz w:val="32"/>
          <w:szCs w:val="32"/>
        </w:rPr>
        <w:sectPr>
          <w:footerReference r:id="rId6" w:type="default"/>
          <w:pgSz w:w="11906" w:h="16838"/>
          <w:pgMar w:top="1417" w:right="1134" w:bottom="1417" w:left="1417" w:header="850" w:footer="1134" w:gutter="0"/>
          <w:pgBorders>
            <w:top w:val="none" w:sz="0" w:space="0"/>
            <w:left w:val="none" w:sz="0" w:space="0"/>
            <w:bottom w:val="none" w:sz="0" w:space="0"/>
            <w:right w:val="none" w:sz="0" w:space="0"/>
          </w:pgBorders>
          <w:cols w:space="720" w:num="1"/>
          <w:docGrid w:linePitch="312" w:charSpace="0"/>
        </w:sectPr>
      </w:pPr>
    </w:p>
    <w:p w14:paraId="002AEF0A">
      <w:pPr>
        <w:pStyle w:val="35"/>
        <w:ind w:left="0" w:leftChars="0" w:firstLine="0" w:firstLineChars="0"/>
        <w:jc w:val="center"/>
        <w:outlineLvl w:val="0"/>
      </w:pPr>
    </w:p>
    <w:sectPr>
      <w:footerReference r:id="rId7" w:type="default"/>
      <w:pgSz w:w="11906" w:h="16838"/>
      <w:pgMar w:top="1417" w:right="1134" w:bottom="1417" w:left="1417"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新宋体-18030">
    <w:altName w:val="宋体"/>
    <w:panose1 w:val="00000000000000000000"/>
    <w:charset w:val="00"/>
    <w:family w:val="auto"/>
    <w:pitch w:val="default"/>
    <w:sig w:usb0="00000000" w:usb1="00000000" w:usb2="00000000"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华文仿宋">
    <w:altName w:val="仿宋"/>
    <w:panose1 w:val="02010600040101010101"/>
    <w:charset w:val="86"/>
    <w:family w:val="auto"/>
    <w:pitch w:val="default"/>
    <w:sig w:usb0="00000000" w:usb1="00000000" w:usb2="00000000" w:usb3="00000000" w:csb0="0004009F" w:csb1="DFD70000"/>
  </w:font>
  <w:font w:name="楷体">
    <w:panose1 w:val="02010609060101010101"/>
    <w:charset w:val="86"/>
    <w:family w:val="modern"/>
    <w:pitch w:val="default"/>
    <w:sig w:usb0="800002BF" w:usb1="38CF7CFA" w:usb2="00000016" w:usb3="00000000" w:csb0="00040001" w:csb1="00000000"/>
  </w:font>
  <w:font w:name="仿宋体">
    <w:altName w:val="宋体"/>
    <w:panose1 w:val="00000000000000000000"/>
    <w:charset w:val="86"/>
    <w:family w:val="roma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方正小标宋_GBK">
    <w:altName w:val="微软雅黑"/>
    <w:panose1 w:val="00000000000000000000"/>
    <w:charset w:val="86"/>
    <w:family w:val="script"/>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Segoe UI">
    <w:panose1 w:val="020B0502040204020203"/>
    <w:charset w:val="00"/>
    <w:family w:val="swiss"/>
    <w:pitch w:val="default"/>
    <w:sig w:usb0="E4002EFF" w:usb1="C000E47F"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1E57B">
    <w:pPr>
      <w:pStyle w:val="2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C5810">
    <w:pPr>
      <w:pStyle w:val="23"/>
      <w:framePr w:wrap="around" w:vAnchor="text" w:hAnchor="margin" w:xAlign="center" w:y="1"/>
      <w:rPr>
        <w:rStyle w:val="40"/>
      </w:rPr>
    </w:pPr>
    <w:r>
      <w:fldChar w:fldCharType="begin"/>
    </w:r>
    <w:r>
      <w:rPr>
        <w:rStyle w:val="40"/>
      </w:rPr>
      <w:instrText xml:space="preserve">PAGE  </w:instrText>
    </w:r>
    <w:r>
      <w:fldChar w:fldCharType="end"/>
    </w:r>
  </w:p>
  <w:p w14:paraId="025FC424">
    <w:pPr>
      <w:pStyle w:val="2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DE955">
    <w:pPr>
      <w:pStyle w:val="23"/>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604BDD">
                          <w:pPr>
                            <w:pStyle w:val="23"/>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w:t>
                          </w:r>
                          <w:r>
                            <w:rPr>
                              <w:sz w:val="21"/>
                              <w:szCs w:val="21"/>
                            </w:rP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2sFa8IBAACO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cROuKXHc4sTPP3+cf/05//5O&#10;rrM+fYAa0+4DJqbhnR8wd/YDOjPtQUWbv0iIYBzVPV3UlUMiIj9aLVerCkMCY/MF8dnD8xAhvZfe&#10;kmw0NOL4iqr8+BHSmDqn5GrO32ljygiN+8eBmNnDcu9jj9lKw26YCO18e0I+PU6+oQ4XnRLzwaGw&#10;eUlmI87GbjJyDQi3h4SFSz8ZdYSaiuGYCqNppfIePL6XrIffaPM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H9rBWvCAQAAjgMAAA4AAAAAAAAAAQAgAAAAHgEAAGRycy9lMm9Eb2MueG1sUEsF&#10;BgAAAAAGAAYAWQEAAFIFAAAAAA==&#10;">
              <v:fill on="f" focussize="0,0"/>
              <v:stroke on="f"/>
              <v:imagedata o:title=""/>
              <o:lock v:ext="edit" aspectratio="f"/>
              <v:textbox inset="0mm,0mm,0mm,0mm" style="mso-fit-shape-to-text:t;">
                <w:txbxContent>
                  <w:p w14:paraId="29604BDD">
                    <w:pPr>
                      <w:pStyle w:val="23"/>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w:t>
                    </w:r>
                    <w:r>
                      <w:rPr>
                        <w:sz w:val="21"/>
                        <w:szCs w:val="21"/>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7E40B">
    <w:pPr>
      <w:pStyle w:val="23"/>
      <w:ind w:right="360" w:firstLine="360"/>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0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89CADD1">
                          <w:pPr>
                            <w:pStyle w:val="23"/>
                          </w:pPr>
                          <w:r>
                            <w:fldChar w:fldCharType="begin"/>
                          </w:r>
                          <w:r>
                            <w:instrText xml:space="preserve"> PAGE  \* MERGEFORMAT </w:instrText>
                          </w:r>
                          <w:r>
                            <w:fldChar w:fldCharType="separate"/>
                          </w:r>
                          <w:r>
                            <w:t>59</w:t>
                          </w:r>
                          <w:r>
                            <w:fldChar w:fldCharType="end"/>
                          </w:r>
                        </w:p>
                      </w:txbxContent>
                    </wps:txbx>
                    <wps:bodyPr wrap="none" lIns="0" tIns="0" rIns="0" bIns="0">
                      <a:spAutoFit/>
                    </wps:bodyPr>
                  </wps:wsp>
                </a:graphicData>
              </a:graphic>
            </wp:anchor>
          </w:drawing>
        </mc:Choice>
        <mc:Fallback>
          <w:pict>
            <v:shape id="文本框 103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ebN+8QBAACRAwAADgAAAGRycy9lMm9Eb2MueG1srVPNjtMwEL4j8Q6W&#10;79Rpk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3iJqwocdzixC8/vl9+/r78+kaW&#10;1eubLFEfoMbM+4C5aXjrB0yf/YDOzHxQ0eYvciIYR4HPV4HlkIjIj9ar9brCkMDYfEF89vA8REjv&#10;pLckGw2NOMEiLD99gDSmzim5mvN32pgyReP+ciBm9rDc+9hjttKwHyZCe9+ekU+Pw2+ow12nxLx3&#10;qG3ek9mIs7GfjFwDwptjwsKln4w6Qk3FcFKF0bRVeRUe30vWw5+0/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nebN+8QBAACRAwAADgAAAAAAAAABACAAAAAeAQAAZHJzL2Uyb0RvYy54bWxQ&#10;SwUGAAAAAAYABgBZAQAAVAUAAAAA&#10;">
              <v:fill on="f" focussize="0,0"/>
              <v:stroke on="f"/>
              <v:imagedata o:title=""/>
              <o:lock v:ext="edit" aspectratio="f"/>
              <v:textbox inset="0mm,0mm,0mm,0mm" style="mso-fit-shape-to-text:t;">
                <w:txbxContent>
                  <w:p w14:paraId="489CADD1">
                    <w:pPr>
                      <w:pStyle w:val="23"/>
                    </w:pPr>
                    <w:r>
                      <w:fldChar w:fldCharType="begin"/>
                    </w:r>
                    <w:r>
                      <w:instrText xml:space="preserve"> PAGE  \* MERGEFORMAT </w:instrText>
                    </w:r>
                    <w:r>
                      <w:fldChar w:fldCharType="separate"/>
                    </w:r>
                    <w:r>
                      <w:t>59</w:t>
                    </w:r>
                    <w:r>
                      <w:fldChar w:fldCharType="end"/>
                    </w:r>
                  </w:p>
                </w:txbxContent>
              </v:textbox>
            </v:shape>
          </w:pict>
        </mc:Fallback>
      </mc:AlternateContent>
    </w: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5A76DDE"/>
                      </w:txbxContent>
                    </wps:txbx>
                    <wps:bodyPr wrap="none" lIns="0" tIns="0" rIns="0" bIns="0">
                      <a:spAutoFit/>
                    </wps:bodyPr>
                  </wps:wsp>
                </a:graphicData>
              </a:graphic>
            </wp:anchor>
          </w:drawing>
        </mc:Choice>
        <mc:Fallback>
          <w:pict>
            <v:shape id="文本框 103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MKKNMPFAQAAkQMAAA4AAAAAAAAAAQAgAAAAHgEAAGRycy9lMm9Eb2MueG1s&#10;UEsFBgAAAAAGAAYAWQEAAFUFAAAAAA==&#10;">
              <v:fill on="f" focussize="0,0"/>
              <v:stroke on="f"/>
              <v:imagedata o:title=""/>
              <o:lock v:ext="edit" aspectratio="f"/>
              <v:textbox inset="0mm,0mm,0mm,0mm" style="mso-fit-shape-to-text:t;">
                <w:txbxContent>
                  <w:p w14:paraId="75A76DDE"/>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D9F2A">
    <w:pPr>
      <w:pStyle w:val="23"/>
      <w:ind w:right="360"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821A30">
                          <w:pPr>
                            <w:pStyle w:val="23"/>
                          </w:pPr>
                          <w:r>
                            <w:fldChar w:fldCharType="begin"/>
                          </w:r>
                          <w:r>
                            <w:instrText xml:space="preserve"> PAGE  \* MERGEFORMAT </w:instrText>
                          </w:r>
                          <w:r>
                            <w:fldChar w:fldCharType="separate"/>
                          </w:r>
                          <w:r>
                            <w:t>60</w:t>
                          </w:r>
                          <w:r>
                            <w:fldChar w:fldCharType="end"/>
                          </w:r>
                        </w:p>
                      </w:txbxContent>
                    </wps:txbx>
                    <wps:bodyPr wrap="none" lIns="0" tIns="0" rIns="0" bIns="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1Nv+cIBAACOAwAADgAAAGRycy9lMm9Eb2MueG1srVPNjtMwEL4j8Q6W&#10;79TZC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SLm/CaEsctTvz888f515/z7+/k&#10;TdanD1Bj2m3AxDS89wPmzn5AZ6Y9qGjzFwkRjKO6p4u6ckhE5Eer5WpVYUhgbL4gPrt/HiKkD9Jb&#10;ko2GRhxfUZUfP0EaU+eUXM35G21MGaFx/zkQM3tY7n3sMVtp2A0ToZ1vT8inx8k31OGiU2I+OhQ2&#10;L8lsxNnYTUauAeHdIWHh0k9GHaGmYjimwmhaqbwH/95L1v1v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NTb/nCAQAAjgMAAA4AAAAAAAAAAQAgAAAAHgEAAGRycy9lMm9Eb2MueG1sUEsF&#10;BgAAAAAGAAYAWQEAAFIFAAAAAA==&#10;">
              <v:fill on="f" focussize="0,0"/>
              <v:stroke on="f"/>
              <v:imagedata o:title=""/>
              <o:lock v:ext="edit" aspectratio="f"/>
              <v:textbox inset="0mm,0mm,0mm,0mm" style="mso-fit-shape-to-text:t;">
                <w:txbxContent>
                  <w:p w14:paraId="6F821A30">
                    <w:pPr>
                      <w:pStyle w:val="23"/>
                    </w:pPr>
                    <w:r>
                      <w:fldChar w:fldCharType="begin"/>
                    </w:r>
                    <w:r>
                      <w:instrText xml:space="preserve"> PAGE  \* MERGEFORMAT </w:instrText>
                    </w:r>
                    <w:r>
                      <w:fldChar w:fldCharType="separate"/>
                    </w:r>
                    <w:r>
                      <w:t>60</w:t>
                    </w:r>
                    <w:r>
                      <w:fldChar w:fldCharType="end"/>
                    </w:r>
                  </w:p>
                </w:txbxContent>
              </v:textbox>
            </v:shape>
          </w:pict>
        </mc:Fallback>
      </mc:AlternateContent>
    </w:r>
  </w:p>
  <w:p w14:paraId="2F42207E"/>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D9B69FD"/>
    <w:multiLevelType w:val="multilevel"/>
    <w:tmpl w:val="4D9B69FD"/>
    <w:lvl w:ilvl="0" w:tentative="0">
      <w:start w:val="1"/>
      <w:numFmt w:val="decimal"/>
      <w:pStyle w:val="11"/>
      <w:lvlText w:val="%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1.%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ZlNGIwZmI4ZTFmN2U2MzBlYTUxMzQyY2VkMWEwOWQifQ=="/>
  </w:docVars>
  <w:rsids>
    <w:rsidRoot w:val="00172A27"/>
    <w:rsid w:val="00000172"/>
    <w:rsid w:val="0000044D"/>
    <w:rsid w:val="000004A6"/>
    <w:rsid w:val="00002379"/>
    <w:rsid w:val="00002536"/>
    <w:rsid w:val="0000285A"/>
    <w:rsid w:val="00002960"/>
    <w:rsid w:val="000044E3"/>
    <w:rsid w:val="00004903"/>
    <w:rsid w:val="00004C4C"/>
    <w:rsid w:val="00004ECB"/>
    <w:rsid w:val="000055FD"/>
    <w:rsid w:val="000060B3"/>
    <w:rsid w:val="00006273"/>
    <w:rsid w:val="000068B3"/>
    <w:rsid w:val="00006CE7"/>
    <w:rsid w:val="00006E51"/>
    <w:rsid w:val="000077C2"/>
    <w:rsid w:val="00007A87"/>
    <w:rsid w:val="00007E2A"/>
    <w:rsid w:val="00007E2B"/>
    <w:rsid w:val="00007EC9"/>
    <w:rsid w:val="0001083B"/>
    <w:rsid w:val="00010B9D"/>
    <w:rsid w:val="00011087"/>
    <w:rsid w:val="00011423"/>
    <w:rsid w:val="00011F73"/>
    <w:rsid w:val="00012912"/>
    <w:rsid w:val="00012A01"/>
    <w:rsid w:val="00012C6D"/>
    <w:rsid w:val="00013654"/>
    <w:rsid w:val="000136A4"/>
    <w:rsid w:val="00013C3A"/>
    <w:rsid w:val="00013D7B"/>
    <w:rsid w:val="00015D90"/>
    <w:rsid w:val="000170F7"/>
    <w:rsid w:val="000172F7"/>
    <w:rsid w:val="00017435"/>
    <w:rsid w:val="000177FE"/>
    <w:rsid w:val="00020349"/>
    <w:rsid w:val="00020482"/>
    <w:rsid w:val="00020F5E"/>
    <w:rsid w:val="000213F3"/>
    <w:rsid w:val="00021742"/>
    <w:rsid w:val="00021EC9"/>
    <w:rsid w:val="00022C42"/>
    <w:rsid w:val="00022E77"/>
    <w:rsid w:val="000234C7"/>
    <w:rsid w:val="00023760"/>
    <w:rsid w:val="00023B7F"/>
    <w:rsid w:val="00023D3A"/>
    <w:rsid w:val="00023DF9"/>
    <w:rsid w:val="00023EE7"/>
    <w:rsid w:val="0002445C"/>
    <w:rsid w:val="00025599"/>
    <w:rsid w:val="000263F2"/>
    <w:rsid w:val="00027404"/>
    <w:rsid w:val="0002771E"/>
    <w:rsid w:val="00027EEC"/>
    <w:rsid w:val="0003009A"/>
    <w:rsid w:val="00030921"/>
    <w:rsid w:val="00030A4D"/>
    <w:rsid w:val="00030B5D"/>
    <w:rsid w:val="000324FC"/>
    <w:rsid w:val="00032EC7"/>
    <w:rsid w:val="0003382A"/>
    <w:rsid w:val="00033D39"/>
    <w:rsid w:val="000349A7"/>
    <w:rsid w:val="00034B26"/>
    <w:rsid w:val="00035138"/>
    <w:rsid w:val="000362E9"/>
    <w:rsid w:val="0003635D"/>
    <w:rsid w:val="0003782F"/>
    <w:rsid w:val="0004029D"/>
    <w:rsid w:val="00040C37"/>
    <w:rsid w:val="00040CA5"/>
    <w:rsid w:val="00040E8D"/>
    <w:rsid w:val="00041AF7"/>
    <w:rsid w:val="00041F50"/>
    <w:rsid w:val="0004262D"/>
    <w:rsid w:val="00042658"/>
    <w:rsid w:val="000431DE"/>
    <w:rsid w:val="000434A3"/>
    <w:rsid w:val="0004364B"/>
    <w:rsid w:val="00043F31"/>
    <w:rsid w:val="000440CE"/>
    <w:rsid w:val="00044F15"/>
    <w:rsid w:val="0004525D"/>
    <w:rsid w:val="000455AC"/>
    <w:rsid w:val="00045AA9"/>
    <w:rsid w:val="00045D58"/>
    <w:rsid w:val="00046495"/>
    <w:rsid w:val="00046C48"/>
    <w:rsid w:val="0004768F"/>
    <w:rsid w:val="00051B34"/>
    <w:rsid w:val="00051D77"/>
    <w:rsid w:val="00052BEA"/>
    <w:rsid w:val="00053789"/>
    <w:rsid w:val="000540AD"/>
    <w:rsid w:val="00054D02"/>
    <w:rsid w:val="0005503E"/>
    <w:rsid w:val="00055D66"/>
    <w:rsid w:val="00055D94"/>
    <w:rsid w:val="0005613D"/>
    <w:rsid w:val="00056F79"/>
    <w:rsid w:val="00057AEE"/>
    <w:rsid w:val="00060112"/>
    <w:rsid w:val="000603DB"/>
    <w:rsid w:val="000610AA"/>
    <w:rsid w:val="00061B1F"/>
    <w:rsid w:val="00061B8A"/>
    <w:rsid w:val="000625A9"/>
    <w:rsid w:val="00063112"/>
    <w:rsid w:val="00063589"/>
    <w:rsid w:val="000635E7"/>
    <w:rsid w:val="0006386F"/>
    <w:rsid w:val="000639D0"/>
    <w:rsid w:val="00064CF6"/>
    <w:rsid w:val="00065208"/>
    <w:rsid w:val="00065884"/>
    <w:rsid w:val="00065A0D"/>
    <w:rsid w:val="0006688C"/>
    <w:rsid w:val="00066EBC"/>
    <w:rsid w:val="00067437"/>
    <w:rsid w:val="0006761F"/>
    <w:rsid w:val="00070003"/>
    <w:rsid w:val="00070848"/>
    <w:rsid w:val="00070980"/>
    <w:rsid w:val="00070D16"/>
    <w:rsid w:val="00071477"/>
    <w:rsid w:val="00071632"/>
    <w:rsid w:val="00072056"/>
    <w:rsid w:val="000733C4"/>
    <w:rsid w:val="00073A1D"/>
    <w:rsid w:val="000746CA"/>
    <w:rsid w:val="00074783"/>
    <w:rsid w:val="00075428"/>
    <w:rsid w:val="00075B3F"/>
    <w:rsid w:val="00075C4D"/>
    <w:rsid w:val="00075C7E"/>
    <w:rsid w:val="00075E3D"/>
    <w:rsid w:val="0007621A"/>
    <w:rsid w:val="00076791"/>
    <w:rsid w:val="00077797"/>
    <w:rsid w:val="00080126"/>
    <w:rsid w:val="0008070B"/>
    <w:rsid w:val="00080A9B"/>
    <w:rsid w:val="000810AC"/>
    <w:rsid w:val="0008174A"/>
    <w:rsid w:val="00081998"/>
    <w:rsid w:val="00081A02"/>
    <w:rsid w:val="00081C94"/>
    <w:rsid w:val="00082231"/>
    <w:rsid w:val="00082D76"/>
    <w:rsid w:val="00082D90"/>
    <w:rsid w:val="00083BD7"/>
    <w:rsid w:val="000856C9"/>
    <w:rsid w:val="00086ADF"/>
    <w:rsid w:val="00087AB4"/>
    <w:rsid w:val="00090C21"/>
    <w:rsid w:val="0009197D"/>
    <w:rsid w:val="00091C78"/>
    <w:rsid w:val="00091CE0"/>
    <w:rsid w:val="000929BE"/>
    <w:rsid w:val="00092CB1"/>
    <w:rsid w:val="00092D38"/>
    <w:rsid w:val="0009328D"/>
    <w:rsid w:val="0009377B"/>
    <w:rsid w:val="00094181"/>
    <w:rsid w:val="0009461B"/>
    <w:rsid w:val="00095348"/>
    <w:rsid w:val="00096541"/>
    <w:rsid w:val="000965F5"/>
    <w:rsid w:val="00097156"/>
    <w:rsid w:val="0009721D"/>
    <w:rsid w:val="00097287"/>
    <w:rsid w:val="000A07D6"/>
    <w:rsid w:val="000A1E52"/>
    <w:rsid w:val="000A20C9"/>
    <w:rsid w:val="000A26C1"/>
    <w:rsid w:val="000A3164"/>
    <w:rsid w:val="000A3882"/>
    <w:rsid w:val="000A38F5"/>
    <w:rsid w:val="000A3F85"/>
    <w:rsid w:val="000A454C"/>
    <w:rsid w:val="000A46FE"/>
    <w:rsid w:val="000A4B03"/>
    <w:rsid w:val="000A53E1"/>
    <w:rsid w:val="000A5C9D"/>
    <w:rsid w:val="000A64BE"/>
    <w:rsid w:val="000A6A16"/>
    <w:rsid w:val="000A6CCB"/>
    <w:rsid w:val="000A7218"/>
    <w:rsid w:val="000A7A93"/>
    <w:rsid w:val="000B058F"/>
    <w:rsid w:val="000B10A5"/>
    <w:rsid w:val="000B1EB4"/>
    <w:rsid w:val="000B22D9"/>
    <w:rsid w:val="000B2947"/>
    <w:rsid w:val="000B2B89"/>
    <w:rsid w:val="000B39BF"/>
    <w:rsid w:val="000B4467"/>
    <w:rsid w:val="000B44D3"/>
    <w:rsid w:val="000B4DB9"/>
    <w:rsid w:val="000B605E"/>
    <w:rsid w:val="000B74BE"/>
    <w:rsid w:val="000B7CE1"/>
    <w:rsid w:val="000B7FB3"/>
    <w:rsid w:val="000C09AC"/>
    <w:rsid w:val="000C1472"/>
    <w:rsid w:val="000C21AA"/>
    <w:rsid w:val="000C2C01"/>
    <w:rsid w:val="000C3B7E"/>
    <w:rsid w:val="000C3D78"/>
    <w:rsid w:val="000C3FB6"/>
    <w:rsid w:val="000C40B1"/>
    <w:rsid w:val="000C429B"/>
    <w:rsid w:val="000C42A4"/>
    <w:rsid w:val="000C4B83"/>
    <w:rsid w:val="000C4D0E"/>
    <w:rsid w:val="000C59C2"/>
    <w:rsid w:val="000C5CF0"/>
    <w:rsid w:val="000C609B"/>
    <w:rsid w:val="000C6304"/>
    <w:rsid w:val="000C64B7"/>
    <w:rsid w:val="000C6F65"/>
    <w:rsid w:val="000C767F"/>
    <w:rsid w:val="000D0AA1"/>
    <w:rsid w:val="000D0F98"/>
    <w:rsid w:val="000D16C2"/>
    <w:rsid w:val="000D1992"/>
    <w:rsid w:val="000D1E2A"/>
    <w:rsid w:val="000D2FA8"/>
    <w:rsid w:val="000D31CF"/>
    <w:rsid w:val="000D3653"/>
    <w:rsid w:val="000D4872"/>
    <w:rsid w:val="000D4D74"/>
    <w:rsid w:val="000D542F"/>
    <w:rsid w:val="000D5909"/>
    <w:rsid w:val="000D5A44"/>
    <w:rsid w:val="000D5C1A"/>
    <w:rsid w:val="000D5D70"/>
    <w:rsid w:val="000D5E9F"/>
    <w:rsid w:val="000D61E7"/>
    <w:rsid w:val="000D62EF"/>
    <w:rsid w:val="000D659D"/>
    <w:rsid w:val="000D6916"/>
    <w:rsid w:val="000D6A29"/>
    <w:rsid w:val="000D7F5B"/>
    <w:rsid w:val="000E01D7"/>
    <w:rsid w:val="000E0238"/>
    <w:rsid w:val="000E04B6"/>
    <w:rsid w:val="000E155C"/>
    <w:rsid w:val="000E2421"/>
    <w:rsid w:val="000E284B"/>
    <w:rsid w:val="000E284F"/>
    <w:rsid w:val="000E323F"/>
    <w:rsid w:val="000E33B7"/>
    <w:rsid w:val="000E3797"/>
    <w:rsid w:val="000E3ED2"/>
    <w:rsid w:val="000E3FAF"/>
    <w:rsid w:val="000E4BC6"/>
    <w:rsid w:val="000E5C80"/>
    <w:rsid w:val="000E6313"/>
    <w:rsid w:val="000E6392"/>
    <w:rsid w:val="000E6702"/>
    <w:rsid w:val="000E70F0"/>
    <w:rsid w:val="000E70FC"/>
    <w:rsid w:val="000E7504"/>
    <w:rsid w:val="000E7656"/>
    <w:rsid w:val="000E77C3"/>
    <w:rsid w:val="000E7A90"/>
    <w:rsid w:val="000F08E3"/>
    <w:rsid w:val="000F28C1"/>
    <w:rsid w:val="000F2B7E"/>
    <w:rsid w:val="000F34E8"/>
    <w:rsid w:val="000F377E"/>
    <w:rsid w:val="000F3A21"/>
    <w:rsid w:val="000F3E2F"/>
    <w:rsid w:val="000F4BB3"/>
    <w:rsid w:val="000F4DB9"/>
    <w:rsid w:val="000F62EC"/>
    <w:rsid w:val="000F67D0"/>
    <w:rsid w:val="000F78D8"/>
    <w:rsid w:val="0010066C"/>
    <w:rsid w:val="001006E9"/>
    <w:rsid w:val="001009D7"/>
    <w:rsid w:val="00100D7A"/>
    <w:rsid w:val="00101142"/>
    <w:rsid w:val="0010168C"/>
    <w:rsid w:val="001019A1"/>
    <w:rsid w:val="00101E4B"/>
    <w:rsid w:val="0010266B"/>
    <w:rsid w:val="00102FA6"/>
    <w:rsid w:val="00103404"/>
    <w:rsid w:val="00103897"/>
    <w:rsid w:val="00103BCB"/>
    <w:rsid w:val="00104ED7"/>
    <w:rsid w:val="00105E0E"/>
    <w:rsid w:val="00105F16"/>
    <w:rsid w:val="00105F5B"/>
    <w:rsid w:val="0010793D"/>
    <w:rsid w:val="00111466"/>
    <w:rsid w:val="00111E23"/>
    <w:rsid w:val="00111F87"/>
    <w:rsid w:val="00112116"/>
    <w:rsid w:val="00112953"/>
    <w:rsid w:val="00112975"/>
    <w:rsid w:val="00112A17"/>
    <w:rsid w:val="00112F78"/>
    <w:rsid w:val="00113953"/>
    <w:rsid w:val="001140A5"/>
    <w:rsid w:val="001155F9"/>
    <w:rsid w:val="001158A4"/>
    <w:rsid w:val="00115917"/>
    <w:rsid w:val="00116E48"/>
    <w:rsid w:val="00117027"/>
    <w:rsid w:val="001176AA"/>
    <w:rsid w:val="001203A1"/>
    <w:rsid w:val="001209AA"/>
    <w:rsid w:val="00122888"/>
    <w:rsid w:val="001231F0"/>
    <w:rsid w:val="00124152"/>
    <w:rsid w:val="0012467E"/>
    <w:rsid w:val="0012471F"/>
    <w:rsid w:val="001265CB"/>
    <w:rsid w:val="001271D3"/>
    <w:rsid w:val="001274F4"/>
    <w:rsid w:val="0013006A"/>
    <w:rsid w:val="00130FC1"/>
    <w:rsid w:val="00131F42"/>
    <w:rsid w:val="001322B0"/>
    <w:rsid w:val="001323C1"/>
    <w:rsid w:val="00132D1E"/>
    <w:rsid w:val="00132E80"/>
    <w:rsid w:val="00132EDD"/>
    <w:rsid w:val="00133DF3"/>
    <w:rsid w:val="00134026"/>
    <w:rsid w:val="0013420C"/>
    <w:rsid w:val="00134431"/>
    <w:rsid w:val="001357F1"/>
    <w:rsid w:val="001357FB"/>
    <w:rsid w:val="00135B6A"/>
    <w:rsid w:val="00135E89"/>
    <w:rsid w:val="00136547"/>
    <w:rsid w:val="00137AAF"/>
    <w:rsid w:val="00137AC5"/>
    <w:rsid w:val="00137C53"/>
    <w:rsid w:val="00140EFE"/>
    <w:rsid w:val="00140FA8"/>
    <w:rsid w:val="001412AD"/>
    <w:rsid w:val="00141319"/>
    <w:rsid w:val="0014188B"/>
    <w:rsid w:val="001418C4"/>
    <w:rsid w:val="00141B36"/>
    <w:rsid w:val="00142631"/>
    <w:rsid w:val="00142788"/>
    <w:rsid w:val="00142FEB"/>
    <w:rsid w:val="0014304D"/>
    <w:rsid w:val="001432AD"/>
    <w:rsid w:val="00143758"/>
    <w:rsid w:val="00143A2D"/>
    <w:rsid w:val="0014473D"/>
    <w:rsid w:val="0014512E"/>
    <w:rsid w:val="001456A2"/>
    <w:rsid w:val="0014577A"/>
    <w:rsid w:val="00145A41"/>
    <w:rsid w:val="00145C4F"/>
    <w:rsid w:val="00145E99"/>
    <w:rsid w:val="00146345"/>
    <w:rsid w:val="00146B55"/>
    <w:rsid w:val="001470E8"/>
    <w:rsid w:val="00147B77"/>
    <w:rsid w:val="00147DCE"/>
    <w:rsid w:val="0015012C"/>
    <w:rsid w:val="0015049B"/>
    <w:rsid w:val="00150F8F"/>
    <w:rsid w:val="00150FBC"/>
    <w:rsid w:val="0015157A"/>
    <w:rsid w:val="00151675"/>
    <w:rsid w:val="001525E9"/>
    <w:rsid w:val="00153221"/>
    <w:rsid w:val="00153B74"/>
    <w:rsid w:val="00153E2B"/>
    <w:rsid w:val="0015469C"/>
    <w:rsid w:val="00154988"/>
    <w:rsid w:val="001549D3"/>
    <w:rsid w:val="00154B36"/>
    <w:rsid w:val="00155012"/>
    <w:rsid w:val="0015554A"/>
    <w:rsid w:val="0015625F"/>
    <w:rsid w:val="001563D2"/>
    <w:rsid w:val="00156828"/>
    <w:rsid w:val="001569DE"/>
    <w:rsid w:val="0015733C"/>
    <w:rsid w:val="00157435"/>
    <w:rsid w:val="00157875"/>
    <w:rsid w:val="0016019E"/>
    <w:rsid w:val="001601B1"/>
    <w:rsid w:val="0016066A"/>
    <w:rsid w:val="001608EA"/>
    <w:rsid w:val="00160B20"/>
    <w:rsid w:val="00161212"/>
    <w:rsid w:val="001617B9"/>
    <w:rsid w:val="00161ED3"/>
    <w:rsid w:val="00162232"/>
    <w:rsid w:val="00162AE9"/>
    <w:rsid w:val="00162D73"/>
    <w:rsid w:val="00162FD7"/>
    <w:rsid w:val="00163267"/>
    <w:rsid w:val="001645C0"/>
    <w:rsid w:val="001649DF"/>
    <w:rsid w:val="0016571A"/>
    <w:rsid w:val="0016691D"/>
    <w:rsid w:val="00166C11"/>
    <w:rsid w:val="00167112"/>
    <w:rsid w:val="00170554"/>
    <w:rsid w:val="0017080C"/>
    <w:rsid w:val="00170822"/>
    <w:rsid w:val="00170E8A"/>
    <w:rsid w:val="0017106A"/>
    <w:rsid w:val="00171227"/>
    <w:rsid w:val="001714F4"/>
    <w:rsid w:val="00171D12"/>
    <w:rsid w:val="00172A27"/>
    <w:rsid w:val="00173205"/>
    <w:rsid w:val="001735F5"/>
    <w:rsid w:val="00174A38"/>
    <w:rsid w:val="00174A4A"/>
    <w:rsid w:val="00174F84"/>
    <w:rsid w:val="0017504D"/>
    <w:rsid w:val="00175122"/>
    <w:rsid w:val="0017547C"/>
    <w:rsid w:val="00175C62"/>
    <w:rsid w:val="0017671A"/>
    <w:rsid w:val="00176FCC"/>
    <w:rsid w:val="00177422"/>
    <w:rsid w:val="00180B05"/>
    <w:rsid w:val="00181050"/>
    <w:rsid w:val="001815D9"/>
    <w:rsid w:val="00181875"/>
    <w:rsid w:val="00181C5A"/>
    <w:rsid w:val="00181E6B"/>
    <w:rsid w:val="00183241"/>
    <w:rsid w:val="001836A0"/>
    <w:rsid w:val="0018371C"/>
    <w:rsid w:val="00183B71"/>
    <w:rsid w:val="00184407"/>
    <w:rsid w:val="00184590"/>
    <w:rsid w:val="0018483F"/>
    <w:rsid w:val="001851DC"/>
    <w:rsid w:val="00185995"/>
    <w:rsid w:val="001859E1"/>
    <w:rsid w:val="00186C52"/>
    <w:rsid w:val="00186F03"/>
    <w:rsid w:val="001870D1"/>
    <w:rsid w:val="0018781E"/>
    <w:rsid w:val="001878B4"/>
    <w:rsid w:val="00187A5C"/>
    <w:rsid w:val="00190127"/>
    <w:rsid w:val="00190D5D"/>
    <w:rsid w:val="00190D8F"/>
    <w:rsid w:val="0019262D"/>
    <w:rsid w:val="00193E88"/>
    <w:rsid w:val="00194255"/>
    <w:rsid w:val="00194380"/>
    <w:rsid w:val="00194ACB"/>
    <w:rsid w:val="00194D89"/>
    <w:rsid w:val="00194DE4"/>
    <w:rsid w:val="001950B5"/>
    <w:rsid w:val="00196493"/>
    <w:rsid w:val="00197929"/>
    <w:rsid w:val="00197F11"/>
    <w:rsid w:val="00197FB2"/>
    <w:rsid w:val="001A01E6"/>
    <w:rsid w:val="001A0721"/>
    <w:rsid w:val="001A0E45"/>
    <w:rsid w:val="001A197B"/>
    <w:rsid w:val="001A1B35"/>
    <w:rsid w:val="001A1BE7"/>
    <w:rsid w:val="001A35E6"/>
    <w:rsid w:val="001A48A2"/>
    <w:rsid w:val="001A4D7E"/>
    <w:rsid w:val="001A5940"/>
    <w:rsid w:val="001A6AA8"/>
    <w:rsid w:val="001A6F46"/>
    <w:rsid w:val="001A6F61"/>
    <w:rsid w:val="001A7814"/>
    <w:rsid w:val="001A7CE2"/>
    <w:rsid w:val="001A7E40"/>
    <w:rsid w:val="001B035B"/>
    <w:rsid w:val="001B0CF4"/>
    <w:rsid w:val="001B17AB"/>
    <w:rsid w:val="001B2413"/>
    <w:rsid w:val="001B2543"/>
    <w:rsid w:val="001B319B"/>
    <w:rsid w:val="001B3292"/>
    <w:rsid w:val="001B4301"/>
    <w:rsid w:val="001B46C5"/>
    <w:rsid w:val="001B50BE"/>
    <w:rsid w:val="001B5701"/>
    <w:rsid w:val="001B58B3"/>
    <w:rsid w:val="001B58CD"/>
    <w:rsid w:val="001B668B"/>
    <w:rsid w:val="001B713D"/>
    <w:rsid w:val="001B713E"/>
    <w:rsid w:val="001B72B8"/>
    <w:rsid w:val="001B74DB"/>
    <w:rsid w:val="001B7700"/>
    <w:rsid w:val="001B7B8A"/>
    <w:rsid w:val="001C0028"/>
    <w:rsid w:val="001C081A"/>
    <w:rsid w:val="001C0913"/>
    <w:rsid w:val="001C0DE0"/>
    <w:rsid w:val="001C173E"/>
    <w:rsid w:val="001C1BA1"/>
    <w:rsid w:val="001C1D3B"/>
    <w:rsid w:val="001C1E1E"/>
    <w:rsid w:val="001C2626"/>
    <w:rsid w:val="001C283D"/>
    <w:rsid w:val="001C2E63"/>
    <w:rsid w:val="001C300F"/>
    <w:rsid w:val="001C4098"/>
    <w:rsid w:val="001C5477"/>
    <w:rsid w:val="001C56A6"/>
    <w:rsid w:val="001C58E7"/>
    <w:rsid w:val="001C61BE"/>
    <w:rsid w:val="001C6404"/>
    <w:rsid w:val="001C69B3"/>
    <w:rsid w:val="001D1187"/>
    <w:rsid w:val="001D18DD"/>
    <w:rsid w:val="001D19D2"/>
    <w:rsid w:val="001D2C71"/>
    <w:rsid w:val="001D40EF"/>
    <w:rsid w:val="001D486F"/>
    <w:rsid w:val="001D497D"/>
    <w:rsid w:val="001D4AD5"/>
    <w:rsid w:val="001D4BA0"/>
    <w:rsid w:val="001D5520"/>
    <w:rsid w:val="001D5595"/>
    <w:rsid w:val="001D5A50"/>
    <w:rsid w:val="001D5BF9"/>
    <w:rsid w:val="001D6229"/>
    <w:rsid w:val="001D635A"/>
    <w:rsid w:val="001D7250"/>
    <w:rsid w:val="001D7485"/>
    <w:rsid w:val="001D7874"/>
    <w:rsid w:val="001D7924"/>
    <w:rsid w:val="001D7F22"/>
    <w:rsid w:val="001E055E"/>
    <w:rsid w:val="001E0B66"/>
    <w:rsid w:val="001E0E96"/>
    <w:rsid w:val="001E0FFF"/>
    <w:rsid w:val="001E33E4"/>
    <w:rsid w:val="001E4780"/>
    <w:rsid w:val="001E5BC3"/>
    <w:rsid w:val="001E6CD5"/>
    <w:rsid w:val="001E6FF0"/>
    <w:rsid w:val="001E7157"/>
    <w:rsid w:val="001E72B0"/>
    <w:rsid w:val="001E7E1E"/>
    <w:rsid w:val="001F0018"/>
    <w:rsid w:val="001F0291"/>
    <w:rsid w:val="001F0F17"/>
    <w:rsid w:val="001F2936"/>
    <w:rsid w:val="001F313E"/>
    <w:rsid w:val="001F3242"/>
    <w:rsid w:val="001F3347"/>
    <w:rsid w:val="001F4343"/>
    <w:rsid w:val="001F468C"/>
    <w:rsid w:val="001F46B0"/>
    <w:rsid w:val="001F488D"/>
    <w:rsid w:val="001F4DD7"/>
    <w:rsid w:val="001F5A8D"/>
    <w:rsid w:val="001F641F"/>
    <w:rsid w:val="001F69E4"/>
    <w:rsid w:val="001F71F7"/>
    <w:rsid w:val="001F72AA"/>
    <w:rsid w:val="001F754E"/>
    <w:rsid w:val="00200190"/>
    <w:rsid w:val="00200571"/>
    <w:rsid w:val="00201397"/>
    <w:rsid w:val="00203BC6"/>
    <w:rsid w:val="00204457"/>
    <w:rsid w:val="00204E82"/>
    <w:rsid w:val="00205451"/>
    <w:rsid w:val="00205BAF"/>
    <w:rsid w:val="002060C5"/>
    <w:rsid w:val="002063CA"/>
    <w:rsid w:val="00206D9A"/>
    <w:rsid w:val="00206FA9"/>
    <w:rsid w:val="002070A5"/>
    <w:rsid w:val="002114F7"/>
    <w:rsid w:val="00211906"/>
    <w:rsid w:val="002125B1"/>
    <w:rsid w:val="002125B4"/>
    <w:rsid w:val="00212CFC"/>
    <w:rsid w:val="002131F8"/>
    <w:rsid w:val="002133FF"/>
    <w:rsid w:val="00213438"/>
    <w:rsid w:val="0021375A"/>
    <w:rsid w:val="002138BF"/>
    <w:rsid w:val="00213CF6"/>
    <w:rsid w:val="002141AC"/>
    <w:rsid w:val="00214E0F"/>
    <w:rsid w:val="002155B8"/>
    <w:rsid w:val="002157CD"/>
    <w:rsid w:val="002167CB"/>
    <w:rsid w:val="002169CA"/>
    <w:rsid w:val="00216A8B"/>
    <w:rsid w:val="002170CF"/>
    <w:rsid w:val="002171DA"/>
    <w:rsid w:val="0021725F"/>
    <w:rsid w:val="002176D9"/>
    <w:rsid w:val="00217F7A"/>
    <w:rsid w:val="00221400"/>
    <w:rsid w:val="0022169C"/>
    <w:rsid w:val="00223D54"/>
    <w:rsid w:val="0022432D"/>
    <w:rsid w:val="00224839"/>
    <w:rsid w:val="002249B2"/>
    <w:rsid w:val="00224DDD"/>
    <w:rsid w:val="00224FEE"/>
    <w:rsid w:val="002254DD"/>
    <w:rsid w:val="00225E86"/>
    <w:rsid w:val="00226574"/>
    <w:rsid w:val="002278EC"/>
    <w:rsid w:val="00227BEB"/>
    <w:rsid w:val="00230DE9"/>
    <w:rsid w:val="00231674"/>
    <w:rsid w:val="0023280E"/>
    <w:rsid w:val="00233466"/>
    <w:rsid w:val="00233FF7"/>
    <w:rsid w:val="00235583"/>
    <w:rsid w:val="0023666A"/>
    <w:rsid w:val="00236B61"/>
    <w:rsid w:val="002375FE"/>
    <w:rsid w:val="002377D1"/>
    <w:rsid w:val="00240247"/>
    <w:rsid w:val="00240663"/>
    <w:rsid w:val="00240952"/>
    <w:rsid w:val="00241AD8"/>
    <w:rsid w:val="002420DC"/>
    <w:rsid w:val="00242D68"/>
    <w:rsid w:val="00242D8A"/>
    <w:rsid w:val="002432FA"/>
    <w:rsid w:val="00243F99"/>
    <w:rsid w:val="00244045"/>
    <w:rsid w:val="00244A0A"/>
    <w:rsid w:val="0024618F"/>
    <w:rsid w:val="002463E0"/>
    <w:rsid w:val="00246488"/>
    <w:rsid w:val="0024677B"/>
    <w:rsid w:val="00246A85"/>
    <w:rsid w:val="002506BC"/>
    <w:rsid w:val="00250A57"/>
    <w:rsid w:val="00250B9E"/>
    <w:rsid w:val="00252408"/>
    <w:rsid w:val="00252A4F"/>
    <w:rsid w:val="00252FC9"/>
    <w:rsid w:val="002536B0"/>
    <w:rsid w:val="00253F84"/>
    <w:rsid w:val="00254125"/>
    <w:rsid w:val="00254345"/>
    <w:rsid w:val="002548AD"/>
    <w:rsid w:val="0025615D"/>
    <w:rsid w:val="00256376"/>
    <w:rsid w:val="00256382"/>
    <w:rsid w:val="0025682D"/>
    <w:rsid w:val="00257AA9"/>
    <w:rsid w:val="002604E1"/>
    <w:rsid w:val="002608B4"/>
    <w:rsid w:val="00260FF6"/>
    <w:rsid w:val="00261D44"/>
    <w:rsid w:val="002635BD"/>
    <w:rsid w:val="002644F7"/>
    <w:rsid w:val="00264557"/>
    <w:rsid w:val="002646F2"/>
    <w:rsid w:val="00264E69"/>
    <w:rsid w:val="00265213"/>
    <w:rsid w:val="00265E00"/>
    <w:rsid w:val="00266AAD"/>
    <w:rsid w:val="00266CCF"/>
    <w:rsid w:val="00267332"/>
    <w:rsid w:val="00267798"/>
    <w:rsid w:val="0027022C"/>
    <w:rsid w:val="00270F2B"/>
    <w:rsid w:val="0027124C"/>
    <w:rsid w:val="002720FD"/>
    <w:rsid w:val="002721A6"/>
    <w:rsid w:val="00272AB2"/>
    <w:rsid w:val="00274967"/>
    <w:rsid w:val="00274F7F"/>
    <w:rsid w:val="00275339"/>
    <w:rsid w:val="0027587C"/>
    <w:rsid w:val="00275BBC"/>
    <w:rsid w:val="00277CE2"/>
    <w:rsid w:val="00280034"/>
    <w:rsid w:val="002802A6"/>
    <w:rsid w:val="002805AB"/>
    <w:rsid w:val="0028067C"/>
    <w:rsid w:val="00280788"/>
    <w:rsid w:val="00280D49"/>
    <w:rsid w:val="002811EA"/>
    <w:rsid w:val="0028170B"/>
    <w:rsid w:val="0028238F"/>
    <w:rsid w:val="00282901"/>
    <w:rsid w:val="002834EB"/>
    <w:rsid w:val="00284204"/>
    <w:rsid w:val="002847E5"/>
    <w:rsid w:val="0028502F"/>
    <w:rsid w:val="00285078"/>
    <w:rsid w:val="00285AA9"/>
    <w:rsid w:val="00286578"/>
    <w:rsid w:val="002865DD"/>
    <w:rsid w:val="002867DC"/>
    <w:rsid w:val="0028688F"/>
    <w:rsid w:val="002868B4"/>
    <w:rsid w:val="00286C42"/>
    <w:rsid w:val="0028773B"/>
    <w:rsid w:val="00290539"/>
    <w:rsid w:val="00290D69"/>
    <w:rsid w:val="00291085"/>
    <w:rsid w:val="002911EC"/>
    <w:rsid w:val="00291682"/>
    <w:rsid w:val="00291773"/>
    <w:rsid w:val="002920FA"/>
    <w:rsid w:val="00292BAB"/>
    <w:rsid w:val="00292DAD"/>
    <w:rsid w:val="00292EFC"/>
    <w:rsid w:val="0029422A"/>
    <w:rsid w:val="0029422F"/>
    <w:rsid w:val="002946E0"/>
    <w:rsid w:val="0029471D"/>
    <w:rsid w:val="00295005"/>
    <w:rsid w:val="00295C9B"/>
    <w:rsid w:val="00295E48"/>
    <w:rsid w:val="002A168C"/>
    <w:rsid w:val="002A19B5"/>
    <w:rsid w:val="002A239F"/>
    <w:rsid w:val="002A3DC7"/>
    <w:rsid w:val="002A4D05"/>
    <w:rsid w:val="002A52F4"/>
    <w:rsid w:val="002A5ADF"/>
    <w:rsid w:val="002A69B7"/>
    <w:rsid w:val="002A6D35"/>
    <w:rsid w:val="002A728A"/>
    <w:rsid w:val="002B0781"/>
    <w:rsid w:val="002B0ED7"/>
    <w:rsid w:val="002B1493"/>
    <w:rsid w:val="002B2306"/>
    <w:rsid w:val="002B2764"/>
    <w:rsid w:val="002B2E08"/>
    <w:rsid w:val="002B2F50"/>
    <w:rsid w:val="002B3168"/>
    <w:rsid w:val="002B3FD6"/>
    <w:rsid w:val="002B41F1"/>
    <w:rsid w:val="002B49E2"/>
    <w:rsid w:val="002B5369"/>
    <w:rsid w:val="002B56C6"/>
    <w:rsid w:val="002B5D84"/>
    <w:rsid w:val="002B5E9D"/>
    <w:rsid w:val="002B63C9"/>
    <w:rsid w:val="002B68E9"/>
    <w:rsid w:val="002B7023"/>
    <w:rsid w:val="002B74D1"/>
    <w:rsid w:val="002B7B00"/>
    <w:rsid w:val="002B7BA9"/>
    <w:rsid w:val="002B7C44"/>
    <w:rsid w:val="002C04A2"/>
    <w:rsid w:val="002C055B"/>
    <w:rsid w:val="002C06D2"/>
    <w:rsid w:val="002C07D5"/>
    <w:rsid w:val="002C0858"/>
    <w:rsid w:val="002C099A"/>
    <w:rsid w:val="002C1067"/>
    <w:rsid w:val="002C2276"/>
    <w:rsid w:val="002C299D"/>
    <w:rsid w:val="002C2B17"/>
    <w:rsid w:val="002C2CF9"/>
    <w:rsid w:val="002C2D46"/>
    <w:rsid w:val="002C358D"/>
    <w:rsid w:val="002C3692"/>
    <w:rsid w:val="002C405D"/>
    <w:rsid w:val="002C41AB"/>
    <w:rsid w:val="002C4EC9"/>
    <w:rsid w:val="002C5EAA"/>
    <w:rsid w:val="002C5F85"/>
    <w:rsid w:val="002C604A"/>
    <w:rsid w:val="002C6080"/>
    <w:rsid w:val="002C6B2F"/>
    <w:rsid w:val="002C7EF1"/>
    <w:rsid w:val="002D0B87"/>
    <w:rsid w:val="002D0E4B"/>
    <w:rsid w:val="002D0EE0"/>
    <w:rsid w:val="002D159C"/>
    <w:rsid w:val="002D1955"/>
    <w:rsid w:val="002D26ED"/>
    <w:rsid w:val="002D2BF8"/>
    <w:rsid w:val="002D2C51"/>
    <w:rsid w:val="002D2E44"/>
    <w:rsid w:val="002D37BC"/>
    <w:rsid w:val="002D3DD0"/>
    <w:rsid w:val="002D5332"/>
    <w:rsid w:val="002D5C6B"/>
    <w:rsid w:val="002D65BF"/>
    <w:rsid w:val="002D6D50"/>
    <w:rsid w:val="002D72C9"/>
    <w:rsid w:val="002D7334"/>
    <w:rsid w:val="002D73C3"/>
    <w:rsid w:val="002D7CFA"/>
    <w:rsid w:val="002E0032"/>
    <w:rsid w:val="002E0894"/>
    <w:rsid w:val="002E0B5B"/>
    <w:rsid w:val="002E11BA"/>
    <w:rsid w:val="002E1F3A"/>
    <w:rsid w:val="002E298A"/>
    <w:rsid w:val="002E3708"/>
    <w:rsid w:val="002E4547"/>
    <w:rsid w:val="002E4A7D"/>
    <w:rsid w:val="002E4CFB"/>
    <w:rsid w:val="002E51B6"/>
    <w:rsid w:val="002E550F"/>
    <w:rsid w:val="002E5E54"/>
    <w:rsid w:val="002E6E84"/>
    <w:rsid w:val="002E6FB1"/>
    <w:rsid w:val="002E70A4"/>
    <w:rsid w:val="002E715C"/>
    <w:rsid w:val="002E7569"/>
    <w:rsid w:val="002F034C"/>
    <w:rsid w:val="002F060F"/>
    <w:rsid w:val="002F0858"/>
    <w:rsid w:val="002F0C64"/>
    <w:rsid w:val="002F17F3"/>
    <w:rsid w:val="002F1ACB"/>
    <w:rsid w:val="002F3301"/>
    <w:rsid w:val="002F38CB"/>
    <w:rsid w:val="002F39E0"/>
    <w:rsid w:val="002F3D1E"/>
    <w:rsid w:val="002F448E"/>
    <w:rsid w:val="002F4C9B"/>
    <w:rsid w:val="002F5070"/>
    <w:rsid w:val="002F5515"/>
    <w:rsid w:val="002F5677"/>
    <w:rsid w:val="002F594A"/>
    <w:rsid w:val="002F5F53"/>
    <w:rsid w:val="002F686E"/>
    <w:rsid w:val="002F6DA0"/>
    <w:rsid w:val="00300AE8"/>
    <w:rsid w:val="003014A9"/>
    <w:rsid w:val="003015EB"/>
    <w:rsid w:val="00301978"/>
    <w:rsid w:val="00301C93"/>
    <w:rsid w:val="00302AAC"/>
    <w:rsid w:val="00302BF0"/>
    <w:rsid w:val="00303295"/>
    <w:rsid w:val="0030332C"/>
    <w:rsid w:val="00303CEA"/>
    <w:rsid w:val="00303F39"/>
    <w:rsid w:val="00304958"/>
    <w:rsid w:val="003051C2"/>
    <w:rsid w:val="003051E0"/>
    <w:rsid w:val="003060BD"/>
    <w:rsid w:val="00306A2C"/>
    <w:rsid w:val="00307312"/>
    <w:rsid w:val="00307745"/>
    <w:rsid w:val="0030780D"/>
    <w:rsid w:val="00307BF1"/>
    <w:rsid w:val="00307D23"/>
    <w:rsid w:val="00311F29"/>
    <w:rsid w:val="00311FC0"/>
    <w:rsid w:val="00312296"/>
    <w:rsid w:val="00312BCB"/>
    <w:rsid w:val="00312D66"/>
    <w:rsid w:val="00313A67"/>
    <w:rsid w:val="0031407B"/>
    <w:rsid w:val="00314F0E"/>
    <w:rsid w:val="00315BCE"/>
    <w:rsid w:val="0031639C"/>
    <w:rsid w:val="00317D36"/>
    <w:rsid w:val="00321A33"/>
    <w:rsid w:val="00321D4F"/>
    <w:rsid w:val="00321D8E"/>
    <w:rsid w:val="00321F80"/>
    <w:rsid w:val="00322BB0"/>
    <w:rsid w:val="003231F5"/>
    <w:rsid w:val="00323434"/>
    <w:rsid w:val="00323930"/>
    <w:rsid w:val="00323971"/>
    <w:rsid w:val="00324A84"/>
    <w:rsid w:val="00325928"/>
    <w:rsid w:val="00325B14"/>
    <w:rsid w:val="00325DF9"/>
    <w:rsid w:val="00325E9D"/>
    <w:rsid w:val="003262D5"/>
    <w:rsid w:val="00326AD0"/>
    <w:rsid w:val="00326C1C"/>
    <w:rsid w:val="00326DAE"/>
    <w:rsid w:val="00326DD3"/>
    <w:rsid w:val="003270C9"/>
    <w:rsid w:val="003271D2"/>
    <w:rsid w:val="003301D7"/>
    <w:rsid w:val="0033071D"/>
    <w:rsid w:val="003309BA"/>
    <w:rsid w:val="00330A84"/>
    <w:rsid w:val="00330C07"/>
    <w:rsid w:val="00330C58"/>
    <w:rsid w:val="00330EB3"/>
    <w:rsid w:val="0033131A"/>
    <w:rsid w:val="00331698"/>
    <w:rsid w:val="00331D91"/>
    <w:rsid w:val="003324DA"/>
    <w:rsid w:val="00332863"/>
    <w:rsid w:val="0033298C"/>
    <w:rsid w:val="00333074"/>
    <w:rsid w:val="003331DD"/>
    <w:rsid w:val="00333232"/>
    <w:rsid w:val="003339EA"/>
    <w:rsid w:val="00334075"/>
    <w:rsid w:val="0033420B"/>
    <w:rsid w:val="003346C9"/>
    <w:rsid w:val="0033486F"/>
    <w:rsid w:val="00334DA1"/>
    <w:rsid w:val="00335078"/>
    <w:rsid w:val="003351EE"/>
    <w:rsid w:val="0033553D"/>
    <w:rsid w:val="003355C9"/>
    <w:rsid w:val="0033564A"/>
    <w:rsid w:val="003357AF"/>
    <w:rsid w:val="00335B52"/>
    <w:rsid w:val="00335EE8"/>
    <w:rsid w:val="00335FE1"/>
    <w:rsid w:val="003367C5"/>
    <w:rsid w:val="0033684D"/>
    <w:rsid w:val="00336AFD"/>
    <w:rsid w:val="003372D8"/>
    <w:rsid w:val="003376AA"/>
    <w:rsid w:val="00337B42"/>
    <w:rsid w:val="00340552"/>
    <w:rsid w:val="00340713"/>
    <w:rsid w:val="00341B42"/>
    <w:rsid w:val="00341B9D"/>
    <w:rsid w:val="0034348F"/>
    <w:rsid w:val="00343A48"/>
    <w:rsid w:val="00343D67"/>
    <w:rsid w:val="00344281"/>
    <w:rsid w:val="0034473F"/>
    <w:rsid w:val="003452F3"/>
    <w:rsid w:val="0034567A"/>
    <w:rsid w:val="00345ADC"/>
    <w:rsid w:val="003461B7"/>
    <w:rsid w:val="00346527"/>
    <w:rsid w:val="0034663C"/>
    <w:rsid w:val="00346F1F"/>
    <w:rsid w:val="0034725A"/>
    <w:rsid w:val="0034728D"/>
    <w:rsid w:val="003478C8"/>
    <w:rsid w:val="00350A72"/>
    <w:rsid w:val="003512E6"/>
    <w:rsid w:val="00351506"/>
    <w:rsid w:val="0035297B"/>
    <w:rsid w:val="003530C7"/>
    <w:rsid w:val="003543F4"/>
    <w:rsid w:val="00354618"/>
    <w:rsid w:val="00354656"/>
    <w:rsid w:val="00354845"/>
    <w:rsid w:val="00355A16"/>
    <w:rsid w:val="00355E15"/>
    <w:rsid w:val="00356653"/>
    <w:rsid w:val="0035743F"/>
    <w:rsid w:val="00357BE2"/>
    <w:rsid w:val="00357FE6"/>
    <w:rsid w:val="00360A9D"/>
    <w:rsid w:val="0036150C"/>
    <w:rsid w:val="0036170C"/>
    <w:rsid w:val="00361714"/>
    <w:rsid w:val="00361FA2"/>
    <w:rsid w:val="00362B5E"/>
    <w:rsid w:val="00362DBB"/>
    <w:rsid w:val="00362FB1"/>
    <w:rsid w:val="00362FD2"/>
    <w:rsid w:val="00363030"/>
    <w:rsid w:val="00364618"/>
    <w:rsid w:val="0036462B"/>
    <w:rsid w:val="00364651"/>
    <w:rsid w:val="003649E0"/>
    <w:rsid w:val="00364E26"/>
    <w:rsid w:val="00365A7E"/>
    <w:rsid w:val="00365E1C"/>
    <w:rsid w:val="00366AA1"/>
    <w:rsid w:val="00366AD6"/>
    <w:rsid w:val="00366B58"/>
    <w:rsid w:val="00366E0F"/>
    <w:rsid w:val="0036787C"/>
    <w:rsid w:val="003703BE"/>
    <w:rsid w:val="003708AA"/>
    <w:rsid w:val="00370F6E"/>
    <w:rsid w:val="00370FDC"/>
    <w:rsid w:val="00371359"/>
    <w:rsid w:val="00371A09"/>
    <w:rsid w:val="003724E7"/>
    <w:rsid w:val="00372A1E"/>
    <w:rsid w:val="003736A1"/>
    <w:rsid w:val="00373746"/>
    <w:rsid w:val="00375101"/>
    <w:rsid w:val="00375407"/>
    <w:rsid w:val="00376FD4"/>
    <w:rsid w:val="00376FF8"/>
    <w:rsid w:val="00377643"/>
    <w:rsid w:val="00380290"/>
    <w:rsid w:val="0038035B"/>
    <w:rsid w:val="00380B94"/>
    <w:rsid w:val="0038139A"/>
    <w:rsid w:val="00381A72"/>
    <w:rsid w:val="003821FB"/>
    <w:rsid w:val="00382569"/>
    <w:rsid w:val="00382892"/>
    <w:rsid w:val="00382C37"/>
    <w:rsid w:val="003830C2"/>
    <w:rsid w:val="00384676"/>
    <w:rsid w:val="003851F2"/>
    <w:rsid w:val="00386300"/>
    <w:rsid w:val="00386EFE"/>
    <w:rsid w:val="00387638"/>
    <w:rsid w:val="003876E6"/>
    <w:rsid w:val="0038795D"/>
    <w:rsid w:val="00390114"/>
    <w:rsid w:val="00390556"/>
    <w:rsid w:val="00390857"/>
    <w:rsid w:val="00390C10"/>
    <w:rsid w:val="003917A7"/>
    <w:rsid w:val="003917E5"/>
    <w:rsid w:val="00392EE9"/>
    <w:rsid w:val="0039574E"/>
    <w:rsid w:val="003958EB"/>
    <w:rsid w:val="00395E46"/>
    <w:rsid w:val="00396AA5"/>
    <w:rsid w:val="00397033"/>
    <w:rsid w:val="003A145E"/>
    <w:rsid w:val="003A1461"/>
    <w:rsid w:val="003A1962"/>
    <w:rsid w:val="003A390C"/>
    <w:rsid w:val="003A4774"/>
    <w:rsid w:val="003A4BF3"/>
    <w:rsid w:val="003A4C73"/>
    <w:rsid w:val="003A507F"/>
    <w:rsid w:val="003A6D30"/>
    <w:rsid w:val="003A7193"/>
    <w:rsid w:val="003B1425"/>
    <w:rsid w:val="003B22AA"/>
    <w:rsid w:val="003B2B38"/>
    <w:rsid w:val="003B3356"/>
    <w:rsid w:val="003B36B3"/>
    <w:rsid w:val="003B3889"/>
    <w:rsid w:val="003B420D"/>
    <w:rsid w:val="003B4989"/>
    <w:rsid w:val="003B4E57"/>
    <w:rsid w:val="003B5274"/>
    <w:rsid w:val="003B5434"/>
    <w:rsid w:val="003B548A"/>
    <w:rsid w:val="003B5A3D"/>
    <w:rsid w:val="003B5F45"/>
    <w:rsid w:val="003B6811"/>
    <w:rsid w:val="003B750A"/>
    <w:rsid w:val="003B7577"/>
    <w:rsid w:val="003B775C"/>
    <w:rsid w:val="003B7D7D"/>
    <w:rsid w:val="003C01E9"/>
    <w:rsid w:val="003C0708"/>
    <w:rsid w:val="003C0C33"/>
    <w:rsid w:val="003C135A"/>
    <w:rsid w:val="003C1B3B"/>
    <w:rsid w:val="003C1C44"/>
    <w:rsid w:val="003C23DE"/>
    <w:rsid w:val="003C2DC5"/>
    <w:rsid w:val="003C3147"/>
    <w:rsid w:val="003C3554"/>
    <w:rsid w:val="003C4023"/>
    <w:rsid w:val="003C41DE"/>
    <w:rsid w:val="003C488C"/>
    <w:rsid w:val="003C4A12"/>
    <w:rsid w:val="003C4F0B"/>
    <w:rsid w:val="003C55F8"/>
    <w:rsid w:val="003C5A9D"/>
    <w:rsid w:val="003C6138"/>
    <w:rsid w:val="003C6C16"/>
    <w:rsid w:val="003C6C4F"/>
    <w:rsid w:val="003C6E46"/>
    <w:rsid w:val="003C7B60"/>
    <w:rsid w:val="003C7C44"/>
    <w:rsid w:val="003D151C"/>
    <w:rsid w:val="003D1B0B"/>
    <w:rsid w:val="003D1B35"/>
    <w:rsid w:val="003D1B8A"/>
    <w:rsid w:val="003D1C1F"/>
    <w:rsid w:val="003D2C2B"/>
    <w:rsid w:val="003D34D8"/>
    <w:rsid w:val="003D3DD3"/>
    <w:rsid w:val="003D4809"/>
    <w:rsid w:val="003D4CCF"/>
    <w:rsid w:val="003D5020"/>
    <w:rsid w:val="003D520E"/>
    <w:rsid w:val="003D5681"/>
    <w:rsid w:val="003D5915"/>
    <w:rsid w:val="003D596A"/>
    <w:rsid w:val="003D739B"/>
    <w:rsid w:val="003D78EC"/>
    <w:rsid w:val="003D794D"/>
    <w:rsid w:val="003E11AD"/>
    <w:rsid w:val="003E1712"/>
    <w:rsid w:val="003E1CF4"/>
    <w:rsid w:val="003E2239"/>
    <w:rsid w:val="003E26FF"/>
    <w:rsid w:val="003E2BC9"/>
    <w:rsid w:val="003E3058"/>
    <w:rsid w:val="003E37F0"/>
    <w:rsid w:val="003E3990"/>
    <w:rsid w:val="003E4434"/>
    <w:rsid w:val="003E44F1"/>
    <w:rsid w:val="003E4C0E"/>
    <w:rsid w:val="003E55C6"/>
    <w:rsid w:val="003E572C"/>
    <w:rsid w:val="003E598D"/>
    <w:rsid w:val="003E695B"/>
    <w:rsid w:val="003E6DEC"/>
    <w:rsid w:val="003E76A9"/>
    <w:rsid w:val="003E7EAE"/>
    <w:rsid w:val="003E7F1A"/>
    <w:rsid w:val="003E7F40"/>
    <w:rsid w:val="003F018D"/>
    <w:rsid w:val="003F034A"/>
    <w:rsid w:val="003F0644"/>
    <w:rsid w:val="003F0809"/>
    <w:rsid w:val="003F1431"/>
    <w:rsid w:val="003F197C"/>
    <w:rsid w:val="003F1B84"/>
    <w:rsid w:val="003F23CE"/>
    <w:rsid w:val="003F34C9"/>
    <w:rsid w:val="003F39CA"/>
    <w:rsid w:val="003F417C"/>
    <w:rsid w:val="003F43F8"/>
    <w:rsid w:val="003F508B"/>
    <w:rsid w:val="003F5F2A"/>
    <w:rsid w:val="003F5F85"/>
    <w:rsid w:val="003F6A8C"/>
    <w:rsid w:val="003F6B42"/>
    <w:rsid w:val="003F6C6C"/>
    <w:rsid w:val="003F755C"/>
    <w:rsid w:val="003F76D4"/>
    <w:rsid w:val="004001C2"/>
    <w:rsid w:val="004001DA"/>
    <w:rsid w:val="004005DB"/>
    <w:rsid w:val="00401E9C"/>
    <w:rsid w:val="004021F6"/>
    <w:rsid w:val="004027E4"/>
    <w:rsid w:val="0040291B"/>
    <w:rsid w:val="00402B1B"/>
    <w:rsid w:val="00403173"/>
    <w:rsid w:val="004038CB"/>
    <w:rsid w:val="00403BB5"/>
    <w:rsid w:val="0040402D"/>
    <w:rsid w:val="004052BE"/>
    <w:rsid w:val="00405803"/>
    <w:rsid w:val="00405888"/>
    <w:rsid w:val="00406039"/>
    <w:rsid w:val="00406658"/>
    <w:rsid w:val="00406F01"/>
    <w:rsid w:val="00407907"/>
    <w:rsid w:val="00407A46"/>
    <w:rsid w:val="00410A2E"/>
    <w:rsid w:val="00410CE0"/>
    <w:rsid w:val="004112F1"/>
    <w:rsid w:val="00411859"/>
    <w:rsid w:val="0041287F"/>
    <w:rsid w:val="00412FAD"/>
    <w:rsid w:val="0041399F"/>
    <w:rsid w:val="00413D94"/>
    <w:rsid w:val="00415086"/>
    <w:rsid w:val="00416D50"/>
    <w:rsid w:val="00416FD5"/>
    <w:rsid w:val="00417772"/>
    <w:rsid w:val="00417FA6"/>
    <w:rsid w:val="00420E2F"/>
    <w:rsid w:val="00420E6A"/>
    <w:rsid w:val="004210C6"/>
    <w:rsid w:val="00423E16"/>
    <w:rsid w:val="00424042"/>
    <w:rsid w:val="00424998"/>
    <w:rsid w:val="00424C91"/>
    <w:rsid w:val="004256C9"/>
    <w:rsid w:val="00425A9E"/>
    <w:rsid w:val="00426235"/>
    <w:rsid w:val="0042630F"/>
    <w:rsid w:val="0042671C"/>
    <w:rsid w:val="00426BD0"/>
    <w:rsid w:val="00426D6B"/>
    <w:rsid w:val="00426F91"/>
    <w:rsid w:val="00426FF3"/>
    <w:rsid w:val="00427122"/>
    <w:rsid w:val="004271B9"/>
    <w:rsid w:val="00427E68"/>
    <w:rsid w:val="004305E9"/>
    <w:rsid w:val="004313F5"/>
    <w:rsid w:val="00431DBB"/>
    <w:rsid w:val="00431E6C"/>
    <w:rsid w:val="00431F6E"/>
    <w:rsid w:val="004322E4"/>
    <w:rsid w:val="004329A6"/>
    <w:rsid w:val="00433521"/>
    <w:rsid w:val="0043374B"/>
    <w:rsid w:val="00433A44"/>
    <w:rsid w:val="00433CE7"/>
    <w:rsid w:val="004347CB"/>
    <w:rsid w:val="0043498C"/>
    <w:rsid w:val="00434F71"/>
    <w:rsid w:val="0043524F"/>
    <w:rsid w:val="0043555D"/>
    <w:rsid w:val="004367A6"/>
    <w:rsid w:val="00436E03"/>
    <w:rsid w:val="0044002E"/>
    <w:rsid w:val="00440A5F"/>
    <w:rsid w:val="00441B1F"/>
    <w:rsid w:val="00441DCF"/>
    <w:rsid w:val="00442755"/>
    <w:rsid w:val="0044298B"/>
    <w:rsid w:val="00444421"/>
    <w:rsid w:val="0044450A"/>
    <w:rsid w:val="00444688"/>
    <w:rsid w:val="004447B9"/>
    <w:rsid w:val="00444810"/>
    <w:rsid w:val="00444A96"/>
    <w:rsid w:val="00444CFA"/>
    <w:rsid w:val="0044582E"/>
    <w:rsid w:val="00446814"/>
    <w:rsid w:val="004477C6"/>
    <w:rsid w:val="004500CF"/>
    <w:rsid w:val="0045045C"/>
    <w:rsid w:val="004507F3"/>
    <w:rsid w:val="00450F4E"/>
    <w:rsid w:val="004521DD"/>
    <w:rsid w:val="00452738"/>
    <w:rsid w:val="00452FFA"/>
    <w:rsid w:val="00453220"/>
    <w:rsid w:val="004547B2"/>
    <w:rsid w:val="004549FA"/>
    <w:rsid w:val="00454DBC"/>
    <w:rsid w:val="00455B1F"/>
    <w:rsid w:val="00456091"/>
    <w:rsid w:val="004566B2"/>
    <w:rsid w:val="00457420"/>
    <w:rsid w:val="00457461"/>
    <w:rsid w:val="00457E2E"/>
    <w:rsid w:val="004613D3"/>
    <w:rsid w:val="00461625"/>
    <w:rsid w:val="004617AB"/>
    <w:rsid w:val="00461BDD"/>
    <w:rsid w:val="00462CFE"/>
    <w:rsid w:val="00463339"/>
    <w:rsid w:val="004634BE"/>
    <w:rsid w:val="00463875"/>
    <w:rsid w:val="00464A30"/>
    <w:rsid w:val="00465C67"/>
    <w:rsid w:val="00466293"/>
    <w:rsid w:val="00466321"/>
    <w:rsid w:val="00467C34"/>
    <w:rsid w:val="00467F68"/>
    <w:rsid w:val="004706E2"/>
    <w:rsid w:val="004719B9"/>
    <w:rsid w:val="00472136"/>
    <w:rsid w:val="00472465"/>
    <w:rsid w:val="004724D6"/>
    <w:rsid w:val="00472E44"/>
    <w:rsid w:val="004734FD"/>
    <w:rsid w:val="004738B0"/>
    <w:rsid w:val="00473BC6"/>
    <w:rsid w:val="00473C91"/>
    <w:rsid w:val="00473CC8"/>
    <w:rsid w:val="00474712"/>
    <w:rsid w:val="00474B1F"/>
    <w:rsid w:val="00474E1E"/>
    <w:rsid w:val="004758D9"/>
    <w:rsid w:val="00475FDF"/>
    <w:rsid w:val="004761A9"/>
    <w:rsid w:val="00476D74"/>
    <w:rsid w:val="0047759B"/>
    <w:rsid w:val="0048093A"/>
    <w:rsid w:val="00480ACF"/>
    <w:rsid w:val="00481645"/>
    <w:rsid w:val="0048259B"/>
    <w:rsid w:val="00482E56"/>
    <w:rsid w:val="00483452"/>
    <w:rsid w:val="00483DA4"/>
    <w:rsid w:val="00484B9B"/>
    <w:rsid w:val="00485424"/>
    <w:rsid w:val="004855F6"/>
    <w:rsid w:val="00486601"/>
    <w:rsid w:val="0048661E"/>
    <w:rsid w:val="00487457"/>
    <w:rsid w:val="00487840"/>
    <w:rsid w:val="00491257"/>
    <w:rsid w:val="004916A9"/>
    <w:rsid w:val="00491F21"/>
    <w:rsid w:val="004927CA"/>
    <w:rsid w:val="00492A19"/>
    <w:rsid w:val="004932D5"/>
    <w:rsid w:val="004935D9"/>
    <w:rsid w:val="0049364D"/>
    <w:rsid w:val="00494670"/>
    <w:rsid w:val="004948C7"/>
    <w:rsid w:val="00494BDD"/>
    <w:rsid w:val="00494BE7"/>
    <w:rsid w:val="0049508E"/>
    <w:rsid w:val="004954FE"/>
    <w:rsid w:val="00497432"/>
    <w:rsid w:val="00497974"/>
    <w:rsid w:val="00497F28"/>
    <w:rsid w:val="004A06F2"/>
    <w:rsid w:val="004A3509"/>
    <w:rsid w:val="004A3823"/>
    <w:rsid w:val="004A3C92"/>
    <w:rsid w:val="004A4CFC"/>
    <w:rsid w:val="004A5187"/>
    <w:rsid w:val="004A53B7"/>
    <w:rsid w:val="004A5C96"/>
    <w:rsid w:val="004A625D"/>
    <w:rsid w:val="004A6C35"/>
    <w:rsid w:val="004A6F24"/>
    <w:rsid w:val="004A7059"/>
    <w:rsid w:val="004A71A0"/>
    <w:rsid w:val="004B074F"/>
    <w:rsid w:val="004B0B62"/>
    <w:rsid w:val="004B0BC8"/>
    <w:rsid w:val="004B0D9D"/>
    <w:rsid w:val="004B1553"/>
    <w:rsid w:val="004B2632"/>
    <w:rsid w:val="004B2810"/>
    <w:rsid w:val="004B2B21"/>
    <w:rsid w:val="004B360B"/>
    <w:rsid w:val="004B3AEA"/>
    <w:rsid w:val="004B53C5"/>
    <w:rsid w:val="004B5403"/>
    <w:rsid w:val="004B54E6"/>
    <w:rsid w:val="004B6475"/>
    <w:rsid w:val="004B69FD"/>
    <w:rsid w:val="004B6ADE"/>
    <w:rsid w:val="004B6B27"/>
    <w:rsid w:val="004B723C"/>
    <w:rsid w:val="004C0DAE"/>
    <w:rsid w:val="004C2993"/>
    <w:rsid w:val="004C2B57"/>
    <w:rsid w:val="004C309C"/>
    <w:rsid w:val="004C3487"/>
    <w:rsid w:val="004C3754"/>
    <w:rsid w:val="004C3AA0"/>
    <w:rsid w:val="004C3AF4"/>
    <w:rsid w:val="004C3EC0"/>
    <w:rsid w:val="004C53B0"/>
    <w:rsid w:val="004C70F1"/>
    <w:rsid w:val="004D0761"/>
    <w:rsid w:val="004D1809"/>
    <w:rsid w:val="004D1D12"/>
    <w:rsid w:val="004D1E6C"/>
    <w:rsid w:val="004D21A1"/>
    <w:rsid w:val="004D2CE2"/>
    <w:rsid w:val="004D2DAC"/>
    <w:rsid w:val="004D301B"/>
    <w:rsid w:val="004D4690"/>
    <w:rsid w:val="004D4882"/>
    <w:rsid w:val="004D4A12"/>
    <w:rsid w:val="004D5186"/>
    <w:rsid w:val="004D551F"/>
    <w:rsid w:val="004D6794"/>
    <w:rsid w:val="004D6899"/>
    <w:rsid w:val="004D7804"/>
    <w:rsid w:val="004D78A7"/>
    <w:rsid w:val="004E03C6"/>
    <w:rsid w:val="004E0723"/>
    <w:rsid w:val="004E0863"/>
    <w:rsid w:val="004E2000"/>
    <w:rsid w:val="004E272A"/>
    <w:rsid w:val="004E2850"/>
    <w:rsid w:val="004E2882"/>
    <w:rsid w:val="004E2D79"/>
    <w:rsid w:val="004E3252"/>
    <w:rsid w:val="004E5810"/>
    <w:rsid w:val="004E5DAD"/>
    <w:rsid w:val="004E616D"/>
    <w:rsid w:val="004E6313"/>
    <w:rsid w:val="004E6946"/>
    <w:rsid w:val="004E7452"/>
    <w:rsid w:val="004E787C"/>
    <w:rsid w:val="004E7F69"/>
    <w:rsid w:val="004F0273"/>
    <w:rsid w:val="004F12F4"/>
    <w:rsid w:val="004F1AB7"/>
    <w:rsid w:val="004F1AD8"/>
    <w:rsid w:val="004F27E7"/>
    <w:rsid w:val="004F343F"/>
    <w:rsid w:val="004F40D1"/>
    <w:rsid w:val="004F51E1"/>
    <w:rsid w:val="004F5343"/>
    <w:rsid w:val="004F56AA"/>
    <w:rsid w:val="004F5A98"/>
    <w:rsid w:val="004F5E2F"/>
    <w:rsid w:val="004F674B"/>
    <w:rsid w:val="004F6FB3"/>
    <w:rsid w:val="004F70BD"/>
    <w:rsid w:val="004F7F13"/>
    <w:rsid w:val="0050012F"/>
    <w:rsid w:val="00500C16"/>
    <w:rsid w:val="0050106A"/>
    <w:rsid w:val="005012BB"/>
    <w:rsid w:val="005024BA"/>
    <w:rsid w:val="005029D4"/>
    <w:rsid w:val="00503855"/>
    <w:rsid w:val="005039CB"/>
    <w:rsid w:val="00503B06"/>
    <w:rsid w:val="00504852"/>
    <w:rsid w:val="0050512E"/>
    <w:rsid w:val="005053D5"/>
    <w:rsid w:val="0050558F"/>
    <w:rsid w:val="00506286"/>
    <w:rsid w:val="005064E1"/>
    <w:rsid w:val="0050691C"/>
    <w:rsid w:val="00506B33"/>
    <w:rsid w:val="00506F7A"/>
    <w:rsid w:val="005074B0"/>
    <w:rsid w:val="00507C5A"/>
    <w:rsid w:val="00510813"/>
    <w:rsid w:val="00510C5C"/>
    <w:rsid w:val="00511898"/>
    <w:rsid w:val="0051198F"/>
    <w:rsid w:val="00511990"/>
    <w:rsid w:val="00511DE0"/>
    <w:rsid w:val="005123BE"/>
    <w:rsid w:val="0051298C"/>
    <w:rsid w:val="00514870"/>
    <w:rsid w:val="005148BF"/>
    <w:rsid w:val="00514B9B"/>
    <w:rsid w:val="005152AC"/>
    <w:rsid w:val="005154A2"/>
    <w:rsid w:val="005157CE"/>
    <w:rsid w:val="00516996"/>
    <w:rsid w:val="00516F42"/>
    <w:rsid w:val="00517F02"/>
    <w:rsid w:val="00520B39"/>
    <w:rsid w:val="00521020"/>
    <w:rsid w:val="00521A80"/>
    <w:rsid w:val="00521B99"/>
    <w:rsid w:val="00521F2E"/>
    <w:rsid w:val="00522680"/>
    <w:rsid w:val="00522D5B"/>
    <w:rsid w:val="00523AA3"/>
    <w:rsid w:val="00524303"/>
    <w:rsid w:val="005243E5"/>
    <w:rsid w:val="0052460E"/>
    <w:rsid w:val="0052477C"/>
    <w:rsid w:val="00524D02"/>
    <w:rsid w:val="005258A2"/>
    <w:rsid w:val="00525DFB"/>
    <w:rsid w:val="00526458"/>
    <w:rsid w:val="0053074F"/>
    <w:rsid w:val="00533145"/>
    <w:rsid w:val="00534A20"/>
    <w:rsid w:val="0053546B"/>
    <w:rsid w:val="005362E1"/>
    <w:rsid w:val="005367B5"/>
    <w:rsid w:val="005377CF"/>
    <w:rsid w:val="00537A76"/>
    <w:rsid w:val="00537B2C"/>
    <w:rsid w:val="00537FFD"/>
    <w:rsid w:val="005401AE"/>
    <w:rsid w:val="00540B0B"/>
    <w:rsid w:val="00540B8E"/>
    <w:rsid w:val="00540E2E"/>
    <w:rsid w:val="00541400"/>
    <w:rsid w:val="005418DB"/>
    <w:rsid w:val="00541997"/>
    <w:rsid w:val="00541A5C"/>
    <w:rsid w:val="00542267"/>
    <w:rsid w:val="00542BFE"/>
    <w:rsid w:val="00542E07"/>
    <w:rsid w:val="0054388A"/>
    <w:rsid w:val="00545424"/>
    <w:rsid w:val="005457A2"/>
    <w:rsid w:val="00545C48"/>
    <w:rsid w:val="00546366"/>
    <w:rsid w:val="005475DE"/>
    <w:rsid w:val="00547B36"/>
    <w:rsid w:val="0055057D"/>
    <w:rsid w:val="005510A7"/>
    <w:rsid w:val="005521DB"/>
    <w:rsid w:val="00552399"/>
    <w:rsid w:val="005526D2"/>
    <w:rsid w:val="00552E39"/>
    <w:rsid w:val="00553C78"/>
    <w:rsid w:val="0055463E"/>
    <w:rsid w:val="0055489C"/>
    <w:rsid w:val="00554A7B"/>
    <w:rsid w:val="00555617"/>
    <w:rsid w:val="0055572C"/>
    <w:rsid w:val="00555A15"/>
    <w:rsid w:val="0055645A"/>
    <w:rsid w:val="00556870"/>
    <w:rsid w:val="00556D77"/>
    <w:rsid w:val="00557387"/>
    <w:rsid w:val="00557B0C"/>
    <w:rsid w:val="00560A7A"/>
    <w:rsid w:val="0056106A"/>
    <w:rsid w:val="00561376"/>
    <w:rsid w:val="00561993"/>
    <w:rsid w:val="00561AB3"/>
    <w:rsid w:val="00561B97"/>
    <w:rsid w:val="00561D92"/>
    <w:rsid w:val="00562F0F"/>
    <w:rsid w:val="00562F88"/>
    <w:rsid w:val="005644E7"/>
    <w:rsid w:val="00564B6B"/>
    <w:rsid w:val="00564BBC"/>
    <w:rsid w:val="0056553E"/>
    <w:rsid w:val="00565E51"/>
    <w:rsid w:val="00566690"/>
    <w:rsid w:val="005666B0"/>
    <w:rsid w:val="005666EC"/>
    <w:rsid w:val="00566C95"/>
    <w:rsid w:val="00566E94"/>
    <w:rsid w:val="005679F9"/>
    <w:rsid w:val="00571DED"/>
    <w:rsid w:val="005720AE"/>
    <w:rsid w:val="0057231B"/>
    <w:rsid w:val="00572FFC"/>
    <w:rsid w:val="00573750"/>
    <w:rsid w:val="00573B25"/>
    <w:rsid w:val="005741EE"/>
    <w:rsid w:val="005757C4"/>
    <w:rsid w:val="00575FA5"/>
    <w:rsid w:val="005765A1"/>
    <w:rsid w:val="0057736C"/>
    <w:rsid w:val="005773FB"/>
    <w:rsid w:val="0057767A"/>
    <w:rsid w:val="00577847"/>
    <w:rsid w:val="00577EB0"/>
    <w:rsid w:val="00577EE1"/>
    <w:rsid w:val="005802B7"/>
    <w:rsid w:val="00580F1B"/>
    <w:rsid w:val="00580F3B"/>
    <w:rsid w:val="005811FE"/>
    <w:rsid w:val="00581BA7"/>
    <w:rsid w:val="00583C56"/>
    <w:rsid w:val="00583C5D"/>
    <w:rsid w:val="00584DAC"/>
    <w:rsid w:val="00584E2F"/>
    <w:rsid w:val="00585431"/>
    <w:rsid w:val="005854AC"/>
    <w:rsid w:val="00586FEC"/>
    <w:rsid w:val="005873BF"/>
    <w:rsid w:val="00587CDA"/>
    <w:rsid w:val="00590B96"/>
    <w:rsid w:val="00592A1B"/>
    <w:rsid w:val="00593E7B"/>
    <w:rsid w:val="0059405E"/>
    <w:rsid w:val="005940AF"/>
    <w:rsid w:val="00594D77"/>
    <w:rsid w:val="00594E21"/>
    <w:rsid w:val="00595FE3"/>
    <w:rsid w:val="00596919"/>
    <w:rsid w:val="0059696E"/>
    <w:rsid w:val="005969E4"/>
    <w:rsid w:val="00596F11"/>
    <w:rsid w:val="005977EF"/>
    <w:rsid w:val="00597ABE"/>
    <w:rsid w:val="005A027C"/>
    <w:rsid w:val="005A04C8"/>
    <w:rsid w:val="005A06B7"/>
    <w:rsid w:val="005A0C5A"/>
    <w:rsid w:val="005A1410"/>
    <w:rsid w:val="005A1759"/>
    <w:rsid w:val="005A17E0"/>
    <w:rsid w:val="005A186B"/>
    <w:rsid w:val="005A2F02"/>
    <w:rsid w:val="005A2FFA"/>
    <w:rsid w:val="005A38D2"/>
    <w:rsid w:val="005A3C46"/>
    <w:rsid w:val="005A4000"/>
    <w:rsid w:val="005A505C"/>
    <w:rsid w:val="005A51CD"/>
    <w:rsid w:val="005A6808"/>
    <w:rsid w:val="005A68A7"/>
    <w:rsid w:val="005A6DB5"/>
    <w:rsid w:val="005A76CE"/>
    <w:rsid w:val="005B02B7"/>
    <w:rsid w:val="005B06C1"/>
    <w:rsid w:val="005B0AFD"/>
    <w:rsid w:val="005B0B05"/>
    <w:rsid w:val="005B1355"/>
    <w:rsid w:val="005B2971"/>
    <w:rsid w:val="005B2B18"/>
    <w:rsid w:val="005B2E75"/>
    <w:rsid w:val="005B2FD4"/>
    <w:rsid w:val="005B36B9"/>
    <w:rsid w:val="005B4F23"/>
    <w:rsid w:val="005B58FF"/>
    <w:rsid w:val="005B5EF5"/>
    <w:rsid w:val="005B63A1"/>
    <w:rsid w:val="005B64BA"/>
    <w:rsid w:val="005B7138"/>
    <w:rsid w:val="005B7155"/>
    <w:rsid w:val="005B7276"/>
    <w:rsid w:val="005B7300"/>
    <w:rsid w:val="005B74A2"/>
    <w:rsid w:val="005B74DA"/>
    <w:rsid w:val="005B7B1D"/>
    <w:rsid w:val="005B7D8B"/>
    <w:rsid w:val="005C0469"/>
    <w:rsid w:val="005C06EA"/>
    <w:rsid w:val="005C0CDA"/>
    <w:rsid w:val="005C179E"/>
    <w:rsid w:val="005C1888"/>
    <w:rsid w:val="005C1DB7"/>
    <w:rsid w:val="005C2548"/>
    <w:rsid w:val="005C25D9"/>
    <w:rsid w:val="005C29C8"/>
    <w:rsid w:val="005C2BBC"/>
    <w:rsid w:val="005C3717"/>
    <w:rsid w:val="005C4A39"/>
    <w:rsid w:val="005C4E3F"/>
    <w:rsid w:val="005C55E7"/>
    <w:rsid w:val="005C57E3"/>
    <w:rsid w:val="005C5D92"/>
    <w:rsid w:val="005C68CE"/>
    <w:rsid w:val="005C71B6"/>
    <w:rsid w:val="005D05B1"/>
    <w:rsid w:val="005D07C6"/>
    <w:rsid w:val="005D0A9B"/>
    <w:rsid w:val="005D0B8E"/>
    <w:rsid w:val="005D25FD"/>
    <w:rsid w:val="005D36AB"/>
    <w:rsid w:val="005D37A0"/>
    <w:rsid w:val="005D3805"/>
    <w:rsid w:val="005D4DCB"/>
    <w:rsid w:val="005D4FA1"/>
    <w:rsid w:val="005D57F8"/>
    <w:rsid w:val="005D5958"/>
    <w:rsid w:val="005D5C2A"/>
    <w:rsid w:val="005D61E8"/>
    <w:rsid w:val="005D7043"/>
    <w:rsid w:val="005D7057"/>
    <w:rsid w:val="005D791A"/>
    <w:rsid w:val="005D7F32"/>
    <w:rsid w:val="005E0AC6"/>
    <w:rsid w:val="005E0FAA"/>
    <w:rsid w:val="005E10FC"/>
    <w:rsid w:val="005E1129"/>
    <w:rsid w:val="005E1282"/>
    <w:rsid w:val="005E284F"/>
    <w:rsid w:val="005E2A3D"/>
    <w:rsid w:val="005E4016"/>
    <w:rsid w:val="005E40D6"/>
    <w:rsid w:val="005E6849"/>
    <w:rsid w:val="005E6F73"/>
    <w:rsid w:val="005E7C9F"/>
    <w:rsid w:val="005E7D42"/>
    <w:rsid w:val="005E7F4B"/>
    <w:rsid w:val="005F14C8"/>
    <w:rsid w:val="005F1BFE"/>
    <w:rsid w:val="005F2CA8"/>
    <w:rsid w:val="005F2F93"/>
    <w:rsid w:val="005F3896"/>
    <w:rsid w:val="005F3A70"/>
    <w:rsid w:val="005F4ACB"/>
    <w:rsid w:val="005F5814"/>
    <w:rsid w:val="005F59A7"/>
    <w:rsid w:val="005F610D"/>
    <w:rsid w:val="005F650C"/>
    <w:rsid w:val="005F67DE"/>
    <w:rsid w:val="005F6841"/>
    <w:rsid w:val="005F73D7"/>
    <w:rsid w:val="005F7DF8"/>
    <w:rsid w:val="006008F1"/>
    <w:rsid w:val="00600CFA"/>
    <w:rsid w:val="00601196"/>
    <w:rsid w:val="00602071"/>
    <w:rsid w:val="00602442"/>
    <w:rsid w:val="0060265E"/>
    <w:rsid w:val="00602907"/>
    <w:rsid w:val="0060344B"/>
    <w:rsid w:val="0060468A"/>
    <w:rsid w:val="00604A34"/>
    <w:rsid w:val="0060588E"/>
    <w:rsid w:val="00605CD1"/>
    <w:rsid w:val="00606052"/>
    <w:rsid w:val="0060642F"/>
    <w:rsid w:val="006070FE"/>
    <w:rsid w:val="0060746E"/>
    <w:rsid w:val="006075BA"/>
    <w:rsid w:val="006079DA"/>
    <w:rsid w:val="00610228"/>
    <w:rsid w:val="00610F9B"/>
    <w:rsid w:val="00612CC6"/>
    <w:rsid w:val="006139CE"/>
    <w:rsid w:val="00615A0B"/>
    <w:rsid w:val="00616A6B"/>
    <w:rsid w:val="00616F70"/>
    <w:rsid w:val="00617733"/>
    <w:rsid w:val="006179F2"/>
    <w:rsid w:val="00617C30"/>
    <w:rsid w:val="00617CC3"/>
    <w:rsid w:val="00620428"/>
    <w:rsid w:val="00620434"/>
    <w:rsid w:val="00620FF2"/>
    <w:rsid w:val="006217CC"/>
    <w:rsid w:val="00621DC1"/>
    <w:rsid w:val="0062215A"/>
    <w:rsid w:val="00622466"/>
    <w:rsid w:val="00622916"/>
    <w:rsid w:val="00623556"/>
    <w:rsid w:val="00623949"/>
    <w:rsid w:val="00623BF8"/>
    <w:rsid w:val="00625DEA"/>
    <w:rsid w:val="00626606"/>
    <w:rsid w:val="00626772"/>
    <w:rsid w:val="006269F5"/>
    <w:rsid w:val="006305FA"/>
    <w:rsid w:val="0063066F"/>
    <w:rsid w:val="00630786"/>
    <w:rsid w:val="00630B7F"/>
    <w:rsid w:val="00630E92"/>
    <w:rsid w:val="00631610"/>
    <w:rsid w:val="00633427"/>
    <w:rsid w:val="00633BA1"/>
    <w:rsid w:val="00633C88"/>
    <w:rsid w:val="0063408D"/>
    <w:rsid w:val="0063439F"/>
    <w:rsid w:val="0063444E"/>
    <w:rsid w:val="006346B7"/>
    <w:rsid w:val="00634B14"/>
    <w:rsid w:val="00635297"/>
    <w:rsid w:val="006354D7"/>
    <w:rsid w:val="00635A89"/>
    <w:rsid w:val="00636F91"/>
    <w:rsid w:val="006377A6"/>
    <w:rsid w:val="00637825"/>
    <w:rsid w:val="00637A3D"/>
    <w:rsid w:val="0064041C"/>
    <w:rsid w:val="006411EF"/>
    <w:rsid w:val="00641290"/>
    <w:rsid w:val="00641591"/>
    <w:rsid w:val="006417B0"/>
    <w:rsid w:val="00642B76"/>
    <w:rsid w:val="00642C52"/>
    <w:rsid w:val="00643069"/>
    <w:rsid w:val="00643226"/>
    <w:rsid w:val="006435EC"/>
    <w:rsid w:val="00644109"/>
    <w:rsid w:val="0064467E"/>
    <w:rsid w:val="00644C2B"/>
    <w:rsid w:val="00644E31"/>
    <w:rsid w:val="00644F0B"/>
    <w:rsid w:val="006462C8"/>
    <w:rsid w:val="00647EF0"/>
    <w:rsid w:val="00650880"/>
    <w:rsid w:val="00650910"/>
    <w:rsid w:val="006516CE"/>
    <w:rsid w:val="00651AA1"/>
    <w:rsid w:val="00652547"/>
    <w:rsid w:val="00652C21"/>
    <w:rsid w:val="00652DE7"/>
    <w:rsid w:val="0065346D"/>
    <w:rsid w:val="006544F3"/>
    <w:rsid w:val="00654977"/>
    <w:rsid w:val="00654E08"/>
    <w:rsid w:val="006553D5"/>
    <w:rsid w:val="0065603D"/>
    <w:rsid w:val="00656465"/>
    <w:rsid w:val="00656E0F"/>
    <w:rsid w:val="00660E4F"/>
    <w:rsid w:val="00661555"/>
    <w:rsid w:val="006618C2"/>
    <w:rsid w:val="00662675"/>
    <w:rsid w:val="00662700"/>
    <w:rsid w:val="00662A6F"/>
    <w:rsid w:val="00662E9F"/>
    <w:rsid w:val="0066364D"/>
    <w:rsid w:val="006636AD"/>
    <w:rsid w:val="00664401"/>
    <w:rsid w:val="006645E3"/>
    <w:rsid w:val="006655C6"/>
    <w:rsid w:val="00665BAD"/>
    <w:rsid w:val="00666DE7"/>
    <w:rsid w:val="0066708E"/>
    <w:rsid w:val="006675C1"/>
    <w:rsid w:val="00667E1B"/>
    <w:rsid w:val="00667ED6"/>
    <w:rsid w:val="00670312"/>
    <w:rsid w:val="00670479"/>
    <w:rsid w:val="00670F44"/>
    <w:rsid w:val="006728BA"/>
    <w:rsid w:val="00672B88"/>
    <w:rsid w:val="006736CB"/>
    <w:rsid w:val="00673AC9"/>
    <w:rsid w:val="0067451E"/>
    <w:rsid w:val="006748B8"/>
    <w:rsid w:val="00674BC1"/>
    <w:rsid w:val="00674FE5"/>
    <w:rsid w:val="00675584"/>
    <w:rsid w:val="006760A4"/>
    <w:rsid w:val="00676867"/>
    <w:rsid w:val="006775C3"/>
    <w:rsid w:val="00677EE3"/>
    <w:rsid w:val="006804C7"/>
    <w:rsid w:val="006805B2"/>
    <w:rsid w:val="00680694"/>
    <w:rsid w:val="00681A97"/>
    <w:rsid w:val="00682861"/>
    <w:rsid w:val="00684E3A"/>
    <w:rsid w:val="00685C80"/>
    <w:rsid w:val="00685D2B"/>
    <w:rsid w:val="00686767"/>
    <w:rsid w:val="006870D4"/>
    <w:rsid w:val="00687A2D"/>
    <w:rsid w:val="00687F06"/>
    <w:rsid w:val="00690977"/>
    <w:rsid w:val="006910C8"/>
    <w:rsid w:val="006916BB"/>
    <w:rsid w:val="00691DF2"/>
    <w:rsid w:val="0069290A"/>
    <w:rsid w:val="00693811"/>
    <w:rsid w:val="00693F43"/>
    <w:rsid w:val="006945E1"/>
    <w:rsid w:val="00695BAD"/>
    <w:rsid w:val="00696729"/>
    <w:rsid w:val="0069775A"/>
    <w:rsid w:val="00697813"/>
    <w:rsid w:val="006A0368"/>
    <w:rsid w:val="006A0B31"/>
    <w:rsid w:val="006A1E26"/>
    <w:rsid w:val="006A2064"/>
    <w:rsid w:val="006A374D"/>
    <w:rsid w:val="006A3EE8"/>
    <w:rsid w:val="006A4770"/>
    <w:rsid w:val="006A4B63"/>
    <w:rsid w:val="006A4E0F"/>
    <w:rsid w:val="006A5431"/>
    <w:rsid w:val="006A5B03"/>
    <w:rsid w:val="006A5F22"/>
    <w:rsid w:val="006A72BF"/>
    <w:rsid w:val="006A7ADA"/>
    <w:rsid w:val="006B007A"/>
    <w:rsid w:val="006B03F2"/>
    <w:rsid w:val="006B0DCE"/>
    <w:rsid w:val="006B1ACA"/>
    <w:rsid w:val="006B2470"/>
    <w:rsid w:val="006B292A"/>
    <w:rsid w:val="006B3071"/>
    <w:rsid w:val="006B30C9"/>
    <w:rsid w:val="006B37DC"/>
    <w:rsid w:val="006B3A43"/>
    <w:rsid w:val="006B3C28"/>
    <w:rsid w:val="006B486D"/>
    <w:rsid w:val="006B4ED3"/>
    <w:rsid w:val="006B4F2F"/>
    <w:rsid w:val="006B4F68"/>
    <w:rsid w:val="006B5B2E"/>
    <w:rsid w:val="006B6441"/>
    <w:rsid w:val="006B65DC"/>
    <w:rsid w:val="006B7745"/>
    <w:rsid w:val="006C0592"/>
    <w:rsid w:val="006C08A3"/>
    <w:rsid w:val="006C0B4C"/>
    <w:rsid w:val="006C1AAE"/>
    <w:rsid w:val="006C2131"/>
    <w:rsid w:val="006C272E"/>
    <w:rsid w:val="006C4094"/>
    <w:rsid w:val="006C4B95"/>
    <w:rsid w:val="006C5009"/>
    <w:rsid w:val="006C5117"/>
    <w:rsid w:val="006C5479"/>
    <w:rsid w:val="006C6221"/>
    <w:rsid w:val="006C769E"/>
    <w:rsid w:val="006D13B5"/>
    <w:rsid w:val="006D1C1E"/>
    <w:rsid w:val="006D282E"/>
    <w:rsid w:val="006D3E98"/>
    <w:rsid w:val="006D5912"/>
    <w:rsid w:val="006D5B85"/>
    <w:rsid w:val="006D676F"/>
    <w:rsid w:val="006D68E2"/>
    <w:rsid w:val="006D7434"/>
    <w:rsid w:val="006E011B"/>
    <w:rsid w:val="006E0ACF"/>
    <w:rsid w:val="006E0E3B"/>
    <w:rsid w:val="006E12FF"/>
    <w:rsid w:val="006E14E3"/>
    <w:rsid w:val="006E16B3"/>
    <w:rsid w:val="006E1B58"/>
    <w:rsid w:val="006E24B2"/>
    <w:rsid w:val="006E26F1"/>
    <w:rsid w:val="006E3369"/>
    <w:rsid w:val="006E365E"/>
    <w:rsid w:val="006E5666"/>
    <w:rsid w:val="006E5869"/>
    <w:rsid w:val="006E59EE"/>
    <w:rsid w:val="006E607E"/>
    <w:rsid w:val="006E6383"/>
    <w:rsid w:val="006E63E5"/>
    <w:rsid w:val="006E7A17"/>
    <w:rsid w:val="006E7BB5"/>
    <w:rsid w:val="006F00D5"/>
    <w:rsid w:val="006F0100"/>
    <w:rsid w:val="006F0F30"/>
    <w:rsid w:val="006F13EF"/>
    <w:rsid w:val="006F1A19"/>
    <w:rsid w:val="006F2095"/>
    <w:rsid w:val="006F255D"/>
    <w:rsid w:val="006F27D5"/>
    <w:rsid w:val="006F2C1D"/>
    <w:rsid w:val="006F353B"/>
    <w:rsid w:val="006F3B98"/>
    <w:rsid w:val="006F4D9E"/>
    <w:rsid w:val="006F5874"/>
    <w:rsid w:val="006F67D7"/>
    <w:rsid w:val="006F6953"/>
    <w:rsid w:val="006F6FE1"/>
    <w:rsid w:val="006F7794"/>
    <w:rsid w:val="00700482"/>
    <w:rsid w:val="00700587"/>
    <w:rsid w:val="00700607"/>
    <w:rsid w:val="00701332"/>
    <w:rsid w:val="007015B5"/>
    <w:rsid w:val="007017FE"/>
    <w:rsid w:val="00701D51"/>
    <w:rsid w:val="00701FE7"/>
    <w:rsid w:val="007023FC"/>
    <w:rsid w:val="00702588"/>
    <w:rsid w:val="0070275E"/>
    <w:rsid w:val="0070317D"/>
    <w:rsid w:val="007031F4"/>
    <w:rsid w:val="0070362D"/>
    <w:rsid w:val="00706910"/>
    <w:rsid w:val="00706C5D"/>
    <w:rsid w:val="00707192"/>
    <w:rsid w:val="007075CA"/>
    <w:rsid w:val="00707E57"/>
    <w:rsid w:val="00707F04"/>
    <w:rsid w:val="00710877"/>
    <w:rsid w:val="00711100"/>
    <w:rsid w:val="00711275"/>
    <w:rsid w:val="007119E9"/>
    <w:rsid w:val="007129A9"/>
    <w:rsid w:val="00712A6C"/>
    <w:rsid w:val="007131D1"/>
    <w:rsid w:val="0071393A"/>
    <w:rsid w:val="0071409C"/>
    <w:rsid w:val="00716536"/>
    <w:rsid w:val="0071688A"/>
    <w:rsid w:val="00716C46"/>
    <w:rsid w:val="00716F34"/>
    <w:rsid w:val="00717012"/>
    <w:rsid w:val="0071729D"/>
    <w:rsid w:val="00717FAE"/>
    <w:rsid w:val="0072021D"/>
    <w:rsid w:val="0072039C"/>
    <w:rsid w:val="00721541"/>
    <w:rsid w:val="00721E08"/>
    <w:rsid w:val="00721EE2"/>
    <w:rsid w:val="00722889"/>
    <w:rsid w:val="007228E8"/>
    <w:rsid w:val="00724528"/>
    <w:rsid w:val="00724552"/>
    <w:rsid w:val="0072477D"/>
    <w:rsid w:val="007250A0"/>
    <w:rsid w:val="0072554A"/>
    <w:rsid w:val="00726280"/>
    <w:rsid w:val="00726539"/>
    <w:rsid w:val="00726603"/>
    <w:rsid w:val="0072698C"/>
    <w:rsid w:val="0072774B"/>
    <w:rsid w:val="0072789B"/>
    <w:rsid w:val="00727917"/>
    <w:rsid w:val="00727E2C"/>
    <w:rsid w:val="00730B23"/>
    <w:rsid w:val="00732922"/>
    <w:rsid w:val="00732BBD"/>
    <w:rsid w:val="00733710"/>
    <w:rsid w:val="00734A99"/>
    <w:rsid w:val="00734BA3"/>
    <w:rsid w:val="007357D5"/>
    <w:rsid w:val="007359E2"/>
    <w:rsid w:val="00735BAD"/>
    <w:rsid w:val="007362CE"/>
    <w:rsid w:val="00737384"/>
    <w:rsid w:val="007376AD"/>
    <w:rsid w:val="0073797E"/>
    <w:rsid w:val="0074005B"/>
    <w:rsid w:val="007402D9"/>
    <w:rsid w:val="00742263"/>
    <w:rsid w:val="007422CE"/>
    <w:rsid w:val="0074259E"/>
    <w:rsid w:val="00742C45"/>
    <w:rsid w:val="00742EFD"/>
    <w:rsid w:val="007432E2"/>
    <w:rsid w:val="007439B1"/>
    <w:rsid w:val="00743C1A"/>
    <w:rsid w:val="00744081"/>
    <w:rsid w:val="00744DA8"/>
    <w:rsid w:val="00746363"/>
    <w:rsid w:val="00747216"/>
    <w:rsid w:val="00747945"/>
    <w:rsid w:val="00747DFE"/>
    <w:rsid w:val="00747E27"/>
    <w:rsid w:val="00750061"/>
    <w:rsid w:val="00750C80"/>
    <w:rsid w:val="0075100F"/>
    <w:rsid w:val="00751555"/>
    <w:rsid w:val="0075162E"/>
    <w:rsid w:val="00751955"/>
    <w:rsid w:val="00751BCE"/>
    <w:rsid w:val="00752557"/>
    <w:rsid w:val="00753267"/>
    <w:rsid w:val="00753C01"/>
    <w:rsid w:val="00754034"/>
    <w:rsid w:val="00754155"/>
    <w:rsid w:val="007541FB"/>
    <w:rsid w:val="00754D5A"/>
    <w:rsid w:val="0075629E"/>
    <w:rsid w:val="00756556"/>
    <w:rsid w:val="00756E60"/>
    <w:rsid w:val="007616B6"/>
    <w:rsid w:val="007618C4"/>
    <w:rsid w:val="00761F5B"/>
    <w:rsid w:val="0076263C"/>
    <w:rsid w:val="007628EA"/>
    <w:rsid w:val="007641BA"/>
    <w:rsid w:val="00764BD3"/>
    <w:rsid w:val="00764EA9"/>
    <w:rsid w:val="00765E0A"/>
    <w:rsid w:val="00766266"/>
    <w:rsid w:val="00766976"/>
    <w:rsid w:val="00766BF8"/>
    <w:rsid w:val="00766F3A"/>
    <w:rsid w:val="00767980"/>
    <w:rsid w:val="00767B6A"/>
    <w:rsid w:val="007707D8"/>
    <w:rsid w:val="00770B19"/>
    <w:rsid w:val="00770BD8"/>
    <w:rsid w:val="00770E5B"/>
    <w:rsid w:val="007719B4"/>
    <w:rsid w:val="00771B7F"/>
    <w:rsid w:val="00772856"/>
    <w:rsid w:val="007728D5"/>
    <w:rsid w:val="00773748"/>
    <w:rsid w:val="0077418E"/>
    <w:rsid w:val="007742B0"/>
    <w:rsid w:val="00774337"/>
    <w:rsid w:val="0077463F"/>
    <w:rsid w:val="00774C1A"/>
    <w:rsid w:val="00774F10"/>
    <w:rsid w:val="007755A4"/>
    <w:rsid w:val="00776407"/>
    <w:rsid w:val="00776DC6"/>
    <w:rsid w:val="00777586"/>
    <w:rsid w:val="00780921"/>
    <w:rsid w:val="00780CF0"/>
    <w:rsid w:val="007813B6"/>
    <w:rsid w:val="00781BFF"/>
    <w:rsid w:val="00782368"/>
    <w:rsid w:val="007824C5"/>
    <w:rsid w:val="007833C7"/>
    <w:rsid w:val="00783492"/>
    <w:rsid w:val="007836EA"/>
    <w:rsid w:val="0078415E"/>
    <w:rsid w:val="00784CDA"/>
    <w:rsid w:val="0078519B"/>
    <w:rsid w:val="00785537"/>
    <w:rsid w:val="00786B83"/>
    <w:rsid w:val="00786D38"/>
    <w:rsid w:val="00786E35"/>
    <w:rsid w:val="0078768E"/>
    <w:rsid w:val="007903E7"/>
    <w:rsid w:val="007906C4"/>
    <w:rsid w:val="00790C8A"/>
    <w:rsid w:val="007912EF"/>
    <w:rsid w:val="00791A26"/>
    <w:rsid w:val="00791C93"/>
    <w:rsid w:val="00793AFB"/>
    <w:rsid w:val="007940EA"/>
    <w:rsid w:val="007946FD"/>
    <w:rsid w:val="00794EC9"/>
    <w:rsid w:val="0079550A"/>
    <w:rsid w:val="00795915"/>
    <w:rsid w:val="00795D3D"/>
    <w:rsid w:val="0079609A"/>
    <w:rsid w:val="00796618"/>
    <w:rsid w:val="007967E8"/>
    <w:rsid w:val="0079778C"/>
    <w:rsid w:val="007A0891"/>
    <w:rsid w:val="007A1163"/>
    <w:rsid w:val="007A1658"/>
    <w:rsid w:val="007A16C6"/>
    <w:rsid w:val="007A1989"/>
    <w:rsid w:val="007A20CA"/>
    <w:rsid w:val="007A2170"/>
    <w:rsid w:val="007A22BF"/>
    <w:rsid w:val="007A2CD9"/>
    <w:rsid w:val="007A3323"/>
    <w:rsid w:val="007A34C6"/>
    <w:rsid w:val="007A3FF9"/>
    <w:rsid w:val="007A4203"/>
    <w:rsid w:val="007A4A4B"/>
    <w:rsid w:val="007A51B4"/>
    <w:rsid w:val="007A5215"/>
    <w:rsid w:val="007A5B17"/>
    <w:rsid w:val="007A72EF"/>
    <w:rsid w:val="007A7722"/>
    <w:rsid w:val="007B070A"/>
    <w:rsid w:val="007B160D"/>
    <w:rsid w:val="007B291D"/>
    <w:rsid w:val="007B2DC4"/>
    <w:rsid w:val="007B3137"/>
    <w:rsid w:val="007B315C"/>
    <w:rsid w:val="007B3867"/>
    <w:rsid w:val="007B38A3"/>
    <w:rsid w:val="007B4659"/>
    <w:rsid w:val="007B4AAD"/>
    <w:rsid w:val="007B4FC3"/>
    <w:rsid w:val="007B5487"/>
    <w:rsid w:val="007B5C7E"/>
    <w:rsid w:val="007B72B8"/>
    <w:rsid w:val="007B7A58"/>
    <w:rsid w:val="007B7EFD"/>
    <w:rsid w:val="007C0505"/>
    <w:rsid w:val="007C058E"/>
    <w:rsid w:val="007C13CF"/>
    <w:rsid w:val="007C18D7"/>
    <w:rsid w:val="007C1988"/>
    <w:rsid w:val="007C21B5"/>
    <w:rsid w:val="007C2A90"/>
    <w:rsid w:val="007C3167"/>
    <w:rsid w:val="007C3812"/>
    <w:rsid w:val="007C3E5C"/>
    <w:rsid w:val="007C4108"/>
    <w:rsid w:val="007C4951"/>
    <w:rsid w:val="007C497E"/>
    <w:rsid w:val="007C4D7B"/>
    <w:rsid w:val="007C544F"/>
    <w:rsid w:val="007C5CF8"/>
    <w:rsid w:val="007C703A"/>
    <w:rsid w:val="007D0479"/>
    <w:rsid w:val="007D091C"/>
    <w:rsid w:val="007D1F9E"/>
    <w:rsid w:val="007D2326"/>
    <w:rsid w:val="007D23BE"/>
    <w:rsid w:val="007D2ADB"/>
    <w:rsid w:val="007D35CD"/>
    <w:rsid w:val="007D5070"/>
    <w:rsid w:val="007D5085"/>
    <w:rsid w:val="007D6600"/>
    <w:rsid w:val="007D6689"/>
    <w:rsid w:val="007D68C9"/>
    <w:rsid w:val="007D7468"/>
    <w:rsid w:val="007D7CCF"/>
    <w:rsid w:val="007E0538"/>
    <w:rsid w:val="007E075E"/>
    <w:rsid w:val="007E1540"/>
    <w:rsid w:val="007E1A41"/>
    <w:rsid w:val="007E3714"/>
    <w:rsid w:val="007E4BD2"/>
    <w:rsid w:val="007E5522"/>
    <w:rsid w:val="007E5672"/>
    <w:rsid w:val="007E6516"/>
    <w:rsid w:val="007E6EB4"/>
    <w:rsid w:val="007E7177"/>
    <w:rsid w:val="007E734A"/>
    <w:rsid w:val="007F0CE4"/>
    <w:rsid w:val="007F0E3B"/>
    <w:rsid w:val="007F13E1"/>
    <w:rsid w:val="007F1A6B"/>
    <w:rsid w:val="007F2B6A"/>
    <w:rsid w:val="007F2BD5"/>
    <w:rsid w:val="007F2D25"/>
    <w:rsid w:val="007F2F1D"/>
    <w:rsid w:val="007F391D"/>
    <w:rsid w:val="007F4989"/>
    <w:rsid w:val="007F613B"/>
    <w:rsid w:val="007F67B8"/>
    <w:rsid w:val="007F6D4E"/>
    <w:rsid w:val="007F7424"/>
    <w:rsid w:val="008010D4"/>
    <w:rsid w:val="00801109"/>
    <w:rsid w:val="00801393"/>
    <w:rsid w:val="0080170B"/>
    <w:rsid w:val="008024D4"/>
    <w:rsid w:val="00802F88"/>
    <w:rsid w:val="00803C11"/>
    <w:rsid w:val="0080430A"/>
    <w:rsid w:val="008045F6"/>
    <w:rsid w:val="00804966"/>
    <w:rsid w:val="00804A92"/>
    <w:rsid w:val="00804F76"/>
    <w:rsid w:val="008054C8"/>
    <w:rsid w:val="00806503"/>
    <w:rsid w:val="00810317"/>
    <w:rsid w:val="0081047A"/>
    <w:rsid w:val="008105E9"/>
    <w:rsid w:val="008115A3"/>
    <w:rsid w:val="0081254E"/>
    <w:rsid w:val="0081293E"/>
    <w:rsid w:val="00813496"/>
    <w:rsid w:val="008137B4"/>
    <w:rsid w:val="00813AA9"/>
    <w:rsid w:val="008151EE"/>
    <w:rsid w:val="00815465"/>
    <w:rsid w:val="00817E9A"/>
    <w:rsid w:val="008207EA"/>
    <w:rsid w:val="00820C17"/>
    <w:rsid w:val="00820CB4"/>
    <w:rsid w:val="00820D76"/>
    <w:rsid w:val="00821C19"/>
    <w:rsid w:val="00822AD4"/>
    <w:rsid w:val="00822B54"/>
    <w:rsid w:val="0082368D"/>
    <w:rsid w:val="00823E75"/>
    <w:rsid w:val="00824348"/>
    <w:rsid w:val="00824DEF"/>
    <w:rsid w:val="00825274"/>
    <w:rsid w:val="00827183"/>
    <w:rsid w:val="008274BA"/>
    <w:rsid w:val="008275D0"/>
    <w:rsid w:val="0083043C"/>
    <w:rsid w:val="008306B8"/>
    <w:rsid w:val="008306BD"/>
    <w:rsid w:val="0083119B"/>
    <w:rsid w:val="008311FE"/>
    <w:rsid w:val="00831729"/>
    <w:rsid w:val="008318F5"/>
    <w:rsid w:val="00831919"/>
    <w:rsid w:val="00831A80"/>
    <w:rsid w:val="00831C49"/>
    <w:rsid w:val="00831D8C"/>
    <w:rsid w:val="00831F57"/>
    <w:rsid w:val="008322BB"/>
    <w:rsid w:val="00833726"/>
    <w:rsid w:val="00833743"/>
    <w:rsid w:val="008338E1"/>
    <w:rsid w:val="00833B38"/>
    <w:rsid w:val="008340A4"/>
    <w:rsid w:val="00834AAA"/>
    <w:rsid w:val="0083538A"/>
    <w:rsid w:val="00835522"/>
    <w:rsid w:val="00835579"/>
    <w:rsid w:val="0083592E"/>
    <w:rsid w:val="00835C45"/>
    <w:rsid w:val="008361D1"/>
    <w:rsid w:val="008365CB"/>
    <w:rsid w:val="0083674B"/>
    <w:rsid w:val="00836E12"/>
    <w:rsid w:val="00837FBD"/>
    <w:rsid w:val="00840212"/>
    <w:rsid w:val="00840CC2"/>
    <w:rsid w:val="0084119F"/>
    <w:rsid w:val="00841312"/>
    <w:rsid w:val="0084133B"/>
    <w:rsid w:val="00841681"/>
    <w:rsid w:val="00842D5A"/>
    <w:rsid w:val="00842F6C"/>
    <w:rsid w:val="00843445"/>
    <w:rsid w:val="00843562"/>
    <w:rsid w:val="0084395A"/>
    <w:rsid w:val="00843970"/>
    <w:rsid w:val="00843D55"/>
    <w:rsid w:val="00843E17"/>
    <w:rsid w:val="00844D9A"/>
    <w:rsid w:val="008460D4"/>
    <w:rsid w:val="0084700E"/>
    <w:rsid w:val="0085075F"/>
    <w:rsid w:val="00850C38"/>
    <w:rsid w:val="00850F43"/>
    <w:rsid w:val="00851E37"/>
    <w:rsid w:val="00852113"/>
    <w:rsid w:val="00852356"/>
    <w:rsid w:val="00852422"/>
    <w:rsid w:val="00852B14"/>
    <w:rsid w:val="00852D4F"/>
    <w:rsid w:val="00852E5B"/>
    <w:rsid w:val="00853226"/>
    <w:rsid w:val="008544E0"/>
    <w:rsid w:val="0085470D"/>
    <w:rsid w:val="008547A4"/>
    <w:rsid w:val="00854BF8"/>
    <w:rsid w:val="00854FA2"/>
    <w:rsid w:val="0085513C"/>
    <w:rsid w:val="008555B2"/>
    <w:rsid w:val="00855A7B"/>
    <w:rsid w:val="00855B4F"/>
    <w:rsid w:val="00856439"/>
    <w:rsid w:val="00856568"/>
    <w:rsid w:val="00856C31"/>
    <w:rsid w:val="00856F78"/>
    <w:rsid w:val="00857362"/>
    <w:rsid w:val="00857683"/>
    <w:rsid w:val="0085794E"/>
    <w:rsid w:val="00860A79"/>
    <w:rsid w:val="00860AF7"/>
    <w:rsid w:val="00860BEC"/>
    <w:rsid w:val="00861F76"/>
    <w:rsid w:val="0086267C"/>
    <w:rsid w:val="0086270D"/>
    <w:rsid w:val="008629E0"/>
    <w:rsid w:val="00863437"/>
    <w:rsid w:val="00863BFA"/>
    <w:rsid w:val="00863F53"/>
    <w:rsid w:val="0086475E"/>
    <w:rsid w:val="00864987"/>
    <w:rsid w:val="00865007"/>
    <w:rsid w:val="0086503C"/>
    <w:rsid w:val="008650A3"/>
    <w:rsid w:val="008659FD"/>
    <w:rsid w:val="008661B7"/>
    <w:rsid w:val="0087048F"/>
    <w:rsid w:val="00871246"/>
    <w:rsid w:val="0087135F"/>
    <w:rsid w:val="00871FAD"/>
    <w:rsid w:val="00872293"/>
    <w:rsid w:val="00872494"/>
    <w:rsid w:val="00872D94"/>
    <w:rsid w:val="008732A1"/>
    <w:rsid w:val="008740A8"/>
    <w:rsid w:val="00875767"/>
    <w:rsid w:val="00875B55"/>
    <w:rsid w:val="008767A1"/>
    <w:rsid w:val="00876B6B"/>
    <w:rsid w:val="00876E74"/>
    <w:rsid w:val="00877A91"/>
    <w:rsid w:val="00877EB3"/>
    <w:rsid w:val="008800F9"/>
    <w:rsid w:val="00880364"/>
    <w:rsid w:val="00880431"/>
    <w:rsid w:val="008804EE"/>
    <w:rsid w:val="0088162D"/>
    <w:rsid w:val="00881810"/>
    <w:rsid w:val="00881FF9"/>
    <w:rsid w:val="008831F4"/>
    <w:rsid w:val="008834F6"/>
    <w:rsid w:val="00883E46"/>
    <w:rsid w:val="0088419C"/>
    <w:rsid w:val="008842E7"/>
    <w:rsid w:val="00884C2D"/>
    <w:rsid w:val="00885043"/>
    <w:rsid w:val="0088566D"/>
    <w:rsid w:val="00885A16"/>
    <w:rsid w:val="00885B42"/>
    <w:rsid w:val="00885C43"/>
    <w:rsid w:val="00885CFB"/>
    <w:rsid w:val="00885F04"/>
    <w:rsid w:val="008870B9"/>
    <w:rsid w:val="00887A86"/>
    <w:rsid w:val="00891592"/>
    <w:rsid w:val="00891E9E"/>
    <w:rsid w:val="00893185"/>
    <w:rsid w:val="00893900"/>
    <w:rsid w:val="00893F7F"/>
    <w:rsid w:val="0089436E"/>
    <w:rsid w:val="00894570"/>
    <w:rsid w:val="00894D41"/>
    <w:rsid w:val="00896008"/>
    <w:rsid w:val="0089656F"/>
    <w:rsid w:val="008A0212"/>
    <w:rsid w:val="008A0338"/>
    <w:rsid w:val="008A0518"/>
    <w:rsid w:val="008A0E64"/>
    <w:rsid w:val="008A12AE"/>
    <w:rsid w:val="008A179C"/>
    <w:rsid w:val="008A2B04"/>
    <w:rsid w:val="008A2F68"/>
    <w:rsid w:val="008A31C4"/>
    <w:rsid w:val="008A38FF"/>
    <w:rsid w:val="008A393A"/>
    <w:rsid w:val="008A3B83"/>
    <w:rsid w:val="008A3DAD"/>
    <w:rsid w:val="008A4749"/>
    <w:rsid w:val="008A4A6C"/>
    <w:rsid w:val="008A4C7E"/>
    <w:rsid w:val="008A4FA7"/>
    <w:rsid w:val="008A6111"/>
    <w:rsid w:val="008A631E"/>
    <w:rsid w:val="008A74FD"/>
    <w:rsid w:val="008A75A7"/>
    <w:rsid w:val="008B1656"/>
    <w:rsid w:val="008B1A17"/>
    <w:rsid w:val="008B1C26"/>
    <w:rsid w:val="008B2D88"/>
    <w:rsid w:val="008B2ED6"/>
    <w:rsid w:val="008B4FA6"/>
    <w:rsid w:val="008B503F"/>
    <w:rsid w:val="008B5081"/>
    <w:rsid w:val="008B5282"/>
    <w:rsid w:val="008B54AD"/>
    <w:rsid w:val="008B6CB7"/>
    <w:rsid w:val="008B6FAD"/>
    <w:rsid w:val="008B7387"/>
    <w:rsid w:val="008B7C17"/>
    <w:rsid w:val="008C0325"/>
    <w:rsid w:val="008C069E"/>
    <w:rsid w:val="008C0A3C"/>
    <w:rsid w:val="008C0FF5"/>
    <w:rsid w:val="008C1455"/>
    <w:rsid w:val="008C1EE9"/>
    <w:rsid w:val="008C22B0"/>
    <w:rsid w:val="008C2A49"/>
    <w:rsid w:val="008C2C48"/>
    <w:rsid w:val="008C2D01"/>
    <w:rsid w:val="008C3FAC"/>
    <w:rsid w:val="008C40E6"/>
    <w:rsid w:val="008C4781"/>
    <w:rsid w:val="008C4CDA"/>
    <w:rsid w:val="008C531F"/>
    <w:rsid w:val="008C5793"/>
    <w:rsid w:val="008C6022"/>
    <w:rsid w:val="008C6EFD"/>
    <w:rsid w:val="008C7494"/>
    <w:rsid w:val="008C75E7"/>
    <w:rsid w:val="008D09EC"/>
    <w:rsid w:val="008D0F7A"/>
    <w:rsid w:val="008D21CB"/>
    <w:rsid w:val="008D2B46"/>
    <w:rsid w:val="008D404F"/>
    <w:rsid w:val="008D4B7C"/>
    <w:rsid w:val="008D5D76"/>
    <w:rsid w:val="008D60BB"/>
    <w:rsid w:val="008D60EE"/>
    <w:rsid w:val="008D6485"/>
    <w:rsid w:val="008D68E4"/>
    <w:rsid w:val="008D6BEC"/>
    <w:rsid w:val="008D7949"/>
    <w:rsid w:val="008E02BB"/>
    <w:rsid w:val="008E0506"/>
    <w:rsid w:val="008E050D"/>
    <w:rsid w:val="008E0CFF"/>
    <w:rsid w:val="008E25BC"/>
    <w:rsid w:val="008E2863"/>
    <w:rsid w:val="008E2E89"/>
    <w:rsid w:val="008E302D"/>
    <w:rsid w:val="008E3229"/>
    <w:rsid w:val="008E33FF"/>
    <w:rsid w:val="008E3445"/>
    <w:rsid w:val="008E350E"/>
    <w:rsid w:val="008E3CE9"/>
    <w:rsid w:val="008E3E02"/>
    <w:rsid w:val="008E4060"/>
    <w:rsid w:val="008E49C5"/>
    <w:rsid w:val="008E4D8C"/>
    <w:rsid w:val="008E576D"/>
    <w:rsid w:val="008E5D6B"/>
    <w:rsid w:val="008E5DE2"/>
    <w:rsid w:val="008E60D6"/>
    <w:rsid w:val="008E60DB"/>
    <w:rsid w:val="008E6268"/>
    <w:rsid w:val="008E65A7"/>
    <w:rsid w:val="008E6996"/>
    <w:rsid w:val="008E6F84"/>
    <w:rsid w:val="008E7262"/>
    <w:rsid w:val="008E76F0"/>
    <w:rsid w:val="008F0170"/>
    <w:rsid w:val="008F0851"/>
    <w:rsid w:val="008F0F2B"/>
    <w:rsid w:val="008F10C4"/>
    <w:rsid w:val="008F15FE"/>
    <w:rsid w:val="008F2BD4"/>
    <w:rsid w:val="008F2D29"/>
    <w:rsid w:val="008F3E64"/>
    <w:rsid w:val="008F424D"/>
    <w:rsid w:val="008F4EE7"/>
    <w:rsid w:val="008F5187"/>
    <w:rsid w:val="008F5C49"/>
    <w:rsid w:val="008F60D8"/>
    <w:rsid w:val="008F66DB"/>
    <w:rsid w:val="008F6959"/>
    <w:rsid w:val="008F6AB9"/>
    <w:rsid w:val="008F7136"/>
    <w:rsid w:val="008F7F18"/>
    <w:rsid w:val="009000D8"/>
    <w:rsid w:val="00900371"/>
    <w:rsid w:val="00900F4B"/>
    <w:rsid w:val="00902727"/>
    <w:rsid w:val="009028AC"/>
    <w:rsid w:val="00902B79"/>
    <w:rsid w:val="0090312B"/>
    <w:rsid w:val="009031FB"/>
    <w:rsid w:val="00903998"/>
    <w:rsid w:val="00903FDA"/>
    <w:rsid w:val="009041D2"/>
    <w:rsid w:val="009044B6"/>
    <w:rsid w:val="009049D8"/>
    <w:rsid w:val="009051DF"/>
    <w:rsid w:val="0090539C"/>
    <w:rsid w:val="00906786"/>
    <w:rsid w:val="00906B42"/>
    <w:rsid w:val="00907305"/>
    <w:rsid w:val="00907963"/>
    <w:rsid w:val="00907D21"/>
    <w:rsid w:val="00910A3C"/>
    <w:rsid w:val="00911A12"/>
    <w:rsid w:val="00911BC0"/>
    <w:rsid w:val="00911BF0"/>
    <w:rsid w:val="00911EA1"/>
    <w:rsid w:val="009121B4"/>
    <w:rsid w:val="009144D4"/>
    <w:rsid w:val="0091451B"/>
    <w:rsid w:val="00914B27"/>
    <w:rsid w:val="0091545B"/>
    <w:rsid w:val="00915BD3"/>
    <w:rsid w:val="0091662D"/>
    <w:rsid w:val="009169CE"/>
    <w:rsid w:val="00916F98"/>
    <w:rsid w:val="0091736D"/>
    <w:rsid w:val="0091753B"/>
    <w:rsid w:val="00920314"/>
    <w:rsid w:val="00920AC3"/>
    <w:rsid w:val="0092133D"/>
    <w:rsid w:val="00921C48"/>
    <w:rsid w:val="009230AD"/>
    <w:rsid w:val="009230B0"/>
    <w:rsid w:val="009235F9"/>
    <w:rsid w:val="00923804"/>
    <w:rsid w:val="00923CC1"/>
    <w:rsid w:val="009247AC"/>
    <w:rsid w:val="0092480B"/>
    <w:rsid w:val="009249D6"/>
    <w:rsid w:val="00924E5C"/>
    <w:rsid w:val="00924E7D"/>
    <w:rsid w:val="00924FBA"/>
    <w:rsid w:val="00925166"/>
    <w:rsid w:val="00926276"/>
    <w:rsid w:val="009263AD"/>
    <w:rsid w:val="009276A1"/>
    <w:rsid w:val="0093001D"/>
    <w:rsid w:val="00930211"/>
    <w:rsid w:val="0093037A"/>
    <w:rsid w:val="00931A9A"/>
    <w:rsid w:val="00932390"/>
    <w:rsid w:val="009323E0"/>
    <w:rsid w:val="009328E5"/>
    <w:rsid w:val="00933538"/>
    <w:rsid w:val="009339A7"/>
    <w:rsid w:val="00934608"/>
    <w:rsid w:val="00935382"/>
    <w:rsid w:val="00935774"/>
    <w:rsid w:val="009359C0"/>
    <w:rsid w:val="00935EE9"/>
    <w:rsid w:val="0093717A"/>
    <w:rsid w:val="00937337"/>
    <w:rsid w:val="00937B7B"/>
    <w:rsid w:val="00937CE7"/>
    <w:rsid w:val="0094154D"/>
    <w:rsid w:val="009415B1"/>
    <w:rsid w:val="009417C0"/>
    <w:rsid w:val="009418B8"/>
    <w:rsid w:val="0094299A"/>
    <w:rsid w:val="0094377B"/>
    <w:rsid w:val="009437AC"/>
    <w:rsid w:val="00943D51"/>
    <w:rsid w:val="00943EC6"/>
    <w:rsid w:val="009444A4"/>
    <w:rsid w:val="0094504F"/>
    <w:rsid w:val="00945114"/>
    <w:rsid w:val="009462DA"/>
    <w:rsid w:val="00946814"/>
    <w:rsid w:val="00946E24"/>
    <w:rsid w:val="00950280"/>
    <w:rsid w:val="00950548"/>
    <w:rsid w:val="0095071C"/>
    <w:rsid w:val="0095155F"/>
    <w:rsid w:val="00951597"/>
    <w:rsid w:val="00951715"/>
    <w:rsid w:val="009532AF"/>
    <w:rsid w:val="009534E1"/>
    <w:rsid w:val="00954429"/>
    <w:rsid w:val="00955772"/>
    <w:rsid w:val="009563CE"/>
    <w:rsid w:val="00956F78"/>
    <w:rsid w:val="00960B43"/>
    <w:rsid w:val="00961333"/>
    <w:rsid w:val="009614C0"/>
    <w:rsid w:val="00961A5E"/>
    <w:rsid w:val="00962126"/>
    <w:rsid w:val="00962D92"/>
    <w:rsid w:val="009633DF"/>
    <w:rsid w:val="00963E68"/>
    <w:rsid w:val="00964036"/>
    <w:rsid w:val="00964A5D"/>
    <w:rsid w:val="00964E76"/>
    <w:rsid w:val="009652FB"/>
    <w:rsid w:val="009654A7"/>
    <w:rsid w:val="0096624F"/>
    <w:rsid w:val="009677ED"/>
    <w:rsid w:val="00967889"/>
    <w:rsid w:val="009678BC"/>
    <w:rsid w:val="00967BD7"/>
    <w:rsid w:val="00967E3E"/>
    <w:rsid w:val="00970028"/>
    <w:rsid w:val="009709C0"/>
    <w:rsid w:val="00970A10"/>
    <w:rsid w:val="00971695"/>
    <w:rsid w:val="009717CB"/>
    <w:rsid w:val="00971B2E"/>
    <w:rsid w:val="00971CD9"/>
    <w:rsid w:val="00971FE2"/>
    <w:rsid w:val="0097250D"/>
    <w:rsid w:val="00972964"/>
    <w:rsid w:val="00972970"/>
    <w:rsid w:val="00973231"/>
    <w:rsid w:val="009733B3"/>
    <w:rsid w:val="00973568"/>
    <w:rsid w:val="0097422B"/>
    <w:rsid w:val="00974582"/>
    <w:rsid w:val="00974C43"/>
    <w:rsid w:val="009751A9"/>
    <w:rsid w:val="00975F56"/>
    <w:rsid w:val="00976328"/>
    <w:rsid w:val="0097680D"/>
    <w:rsid w:val="00977A92"/>
    <w:rsid w:val="00977BDD"/>
    <w:rsid w:val="009806DA"/>
    <w:rsid w:val="009813F0"/>
    <w:rsid w:val="00981874"/>
    <w:rsid w:val="00982438"/>
    <w:rsid w:val="00982702"/>
    <w:rsid w:val="00982D0D"/>
    <w:rsid w:val="00982F23"/>
    <w:rsid w:val="009832FF"/>
    <w:rsid w:val="0098404C"/>
    <w:rsid w:val="00984D36"/>
    <w:rsid w:val="00984F59"/>
    <w:rsid w:val="0098500E"/>
    <w:rsid w:val="00985283"/>
    <w:rsid w:val="0098578B"/>
    <w:rsid w:val="00985965"/>
    <w:rsid w:val="0098692E"/>
    <w:rsid w:val="00986BF1"/>
    <w:rsid w:val="00986F52"/>
    <w:rsid w:val="009901FF"/>
    <w:rsid w:val="00990525"/>
    <w:rsid w:val="00990BDB"/>
    <w:rsid w:val="00990F95"/>
    <w:rsid w:val="0099202B"/>
    <w:rsid w:val="00993A59"/>
    <w:rsid w:val="00994530"/>
    <w:rsid w:val="00994BA1"/>
    <w:rsid w:val="00995159"/>
    <w:rsid w:val="00995992"/>
    <w:rsid w:val="00996EAF"/>
    <w:rsid w:val="0099718F"/>
    <w:rsid w:val="00997E4C"/>
    <w:rsid w:val="00997EE7"/>
    <w:rsid w:val="009A03E5"/>
    <w:rsid w:val="009A0F3B"/>
    <w:rsid w:val="009A1BB4"/>
    <w:rsid w:val="009A25B4"/>
    <w:rsid w:val="009A2628"/>
    <w:rsid w:val="009A2948"/>
    <w:rsid w:val="009A29EE"/>
    <w:rsid w:val="009A2A3C"/>
    <w:rsid w:val="009A2AC8"/>
    <w:rsid w:val="009A2BFA"/>
    <w:rsid w:val="009A3200"/>
    <w:rsid w:val="009A3758"/>
    <w:rsid w:val="009A37DC"/>
    <w:rsid w:val="009A466C"/>
    <w:rsid w:val="009A65C7"/>
    <w:rsid w:val="009A7696"/>
    <w:rsid w:val="009A7C2B"/>
    <w:rsid w:val="009B0897"/>
    <w:rsid w:val="009B090F"/>
    <w:rsid w:val="009B14CA"/>
    <w:rsid w:val="009B1921"/>
    <w:rsid w:val="009B1F59"/>
    <w:rsid w:val="009B2289"/>
    <w:rsid w:val="009B4C64"/>
    <w:rsid w:val="009B4CEC"/>
    <w:rsid w:val="009B512C"/>
    <w:rsid w:val="009B6699"/>
    <w:rsid w:val="009B66FD"/>
    <w:rsid w:val="009B6A4D"/>
    <w:rsid w:val="009B7B7C"/>
    <w:rsid w:val="009B7BD9"/>
    <w:rsid w:val="009B7C58"/>
    <w:rsid w:val="009B7DAF"/>
    <w:rsid w:val="009B7DE1"/>
    <w:rsid w:val="009C08B4"/>
    <w:rsid w:val="009C0CEB"/>
    <w:rsid w:val="009C1220"/>
    <w:rsid w:val="009C29D9"/>
    <w:rsid w:val="009C2C44"/>
    <w:rsid w:val="009C3142"/>
    <w:rsid w:val="009C31D0"/>
    <w:rsid w:val="009C3A0A"/>
    <w:rsid w:val="009C4E93"/>
    <w:rsid w:val="009C51F3"/>
    <w:rsid w:val="009C69EB"/>
    <w:rsid w:val="009C7408"/>
    <w:rsid w:val="009C7CA8"/>
    <w:rsid w:val="009C7DD5"/>
    <w:rsid w:val="009D079F"/>
    <w:rsid w:val="009D0CB6"/>
    <w:rsid w:val="009D12EB"/>
    <w:rsid w:val="009D13EA"/>
    <w:rsid w:val="009D1EAC"/>
    <w:rsid w:val="009D1F21"/>
    <w:rsid w:val="009D2607"/>
    <w:rsid w:val="009D26BF"/>
    <w:rsid w:val="009D2B59"/>
    <w:rsid w:val="009D32BC"/>
    <w:rsid w:val="009D3B55"/>
    <w:rsid w:val="009D4D28"/>
    <w:rsid w:val="009D5367"/>
    <w:rsid w:val="009D53BB"/>
    <w:rsid w:val="009D5928"/>
    <w:rsid w:val="009D5DDA"/>
    <w:rsid w:val="009D6701"/>
    <w:rsid w:val="009D68CB"/>
    <w:rsid w:val="009D6C8A"/>
    <w:rsid w:val="009D7E55"/>
    <w:rsid w:val="009D7EB1"/>
    <w:rsid w:val="009E0667"/>
    <w:rsid w:val="009E09B4"/>
    <w:rsid w:val="009E0AE2"/>
    <w:rsid w:val="009E1366"/>
    <w:rsid w:val="009E1B60"/>
    <w:rsid w:val="009E1C8A"/>
    <w:rsid w:val="009E227D"/>
    <w:rsid w:val="009E29EE"/>
    <w:rsid w:val="009E2D5C"/>
    <w:rsid w:val="009E357F"/>
    <w:rsid w:val="009E38C9"/>
    <w:rsid w:val="009E3FA3"/>
    <w:rsid w:val="009E3FC9"/>
    <w:rsid w:val="009E4388"/>
    <w:rsid w:val="009E45E5"/>
    <w:rsid w:val="009E4B48"/>
    <w:rsid w:val="009E5019"/>
    <w:rsid w:val="009E524C"/>
    <w:rsid w:val="009E5A8A"/>
    <w:rsid w:val="009E5D8D"/>
    <w:rsid w:val="009E67B6"/>
    <w:rsid w:val="009E70C1"/>
    <w:rsid w:val="009E70F5"/>
    <w:rsid w:val="009E7F2A"/>
    <w:rsid w:val="009E7FCD"/>
    <w:rsid w:val="009F01B3"/>
    <w:rsid w:val="009F0BD7"/>
    <w:rsid w:val="009F11E2"/>
    <w:rsid w:val="009F1CDA"/>
    <w:rsid w:val="009F1EFF"/>
    <w:rsid w:val="009F22D6"/>
    <w:rsid w:val="009F254D"/>
    <w:rsid w:val="009F4705"/>
    <w:rsid w:val="009F5698"/>
    <w:rsid w:val="009F67F5"/>
    <w:rsid w:val="009F67FA"/>
    <w:rsid w:val="009F6BF6"/>
    <w:rsid w:val="009F6F4D"/>
    <w:rsid w:val="009F6F6D"/>
    <w:rsid w:val="009F7EEA"/>
    <w:rsid w:val="00A00546"/>
    <w:rsid w:val="00A00E1A"/>
    <w:rsid w:val="00A00F81"/>
    <w:rsid w:val="00A01100"/>
    <w:rsid w:val="00A0127F"/>
    <w:rsid w:val="00A0143F"/>
    <w:rsid w:val="00A01971"/>
    <w:rsid w:val="00A01ED1"/>
    <w:rsid w:val="00A025A5"/>
    <w:rsid w:val="00A025B9"/>
    <w:rsid w:val="00A029BA"/>
    <w:rsid w:val="00A03760"/>
    <w:rsid w:val="00A04261"/>
    <w:rsid w:val="00A04F1B"/>
    <w:rsid w:val="00A0501B"/>
    <w:rsid w:val="00A05C12"/>
    <w:rsid w:val="00A05D5E"/>
    <w:rsid w:val="00A06397"/>
    <w:rsid w:val="00A0693A"/>
    <w:rsid w:val="00A06A07"/>
    <w:rsid w:val="00A06A28"/>
    <w:rsid w:val="00A06CEE"/>
    <w:rsid w:val="00A074B6"/>
    <w:rsid w:val="00A07B75"/>
    <w:rsid w:val="00A07D24"/>
    <w:rsid w:val="00A10976"/>
    <w:rsid w:val="00A109FD"/>
    <w:rsid w:val="00A10ABE"/>
    <w:rsid w:val="00A10BE2"/>
    <w:rsid w:val="00A10EA6"/>
    <w:rsid w:val="00A12BF3"/>
    <w:rsid w:val="00A13BFC"/>
    <w:rsid w:val="00A14947"/>
    <w:rsid w:val="00A14A60"/>
    <w:rsid w:val="00A14F7C"/>
    <w:rsid w:val="00A15D95"/>
    <w:rsid w:val="00A1609B"/>
    <w:rsid w:val="00A17DAA"/>
    <w:rsid w:val="00A20124"/>
    <w:rsid w:val="00A220E0"/>
    <w:rsid w:val="00A22244"/>
    <w:rsid w:val="00A22CC7"/>
    <w:rsid w:val="00A234EB"/>
    <w:rsid w:val="00A2483D"/>
    <w:rsid w:val="00A24A21"/>
    <w:rsid w:val="00A25419"/>
    <w:rsid w:val="00A25671"/>
    <w:rsid w:val="00A25B09"/>
    <w:rsid w:val="00A25F5E"/>
    <w:rsid w:val="00A25FDB"/>
    <w:rsid w:val="00A26518"/>
    <w:rsid w:val="00A26F69"/>
    <w:rsid w:val="00A27926"/>
    <w:rsid w:val="00A305CD"/>
    <w:rsid w:val="00A30E7D"/>
    <w:rsid w:val="00A30FAD"/>
    <w:rsid w:val="00A31C3E"/>
    <w:rsid w:val="00A3222B"/>
    <w:rsid w:val="00A32A83"/>
    <w:rsid w:val="00A33E58"/>
    <w:rsid w:val="00A34A02"/>
    <w:rsid w:val="00A34C01"/>
    <w:rsid w:val="00A350C7"/>
    <w:rsid w:val="00A35C7C"/>
    <w:rsid w:val="00A368DB"/>
    <w:rsid w:val="00A36F64"/>
    <w:rsid w:val="00A374C1"/>
    <w:rsid w:val="00A376A0"/>
    <w:rsid w:val="00A403C7"/>
    <w:rsid w:val="00A40AB8"/>
    <w:rsid w:val="00A410CB"/>
    <w:rsid w:val="00A413F7"/>
    <w:rsid w:val="00A423AA"/>
    <w:rsid w:val="00A4258B"/>
    <w:rsid w:val="00A429C6"/>
    <w:rsid w:val="00A42CBD"/>
    <w:rsid w:val="00A43685"/>
    <w:rsid w:val="00A4480C"/>
    <w:rsid w:val="00A44883"/>
    <w:rsid w:val="00A45E52"/>
    <w:rsid w:val="00A466FB"/>
    <w:rsid w:val="00A46955"/>
    <w:rsid w:val="00A47524"/>
    <w:rsid w:val="00A475A0"/>
    <w:rsid w:val="00A4766A"/>
    <w:rsid w:val="00A47CDA"/>
    <w:rsid w:val="00A50019"/>
    <w:rsid w:val="00A5150D"/>
    <w:rsid w:val="00A51C60"/>
    <w:rsid w:val="00A524B9"/>
    <w:rsid w:val="00A527D8"/>
    <w:rsid w:val="00A52B2C"/>
    <w:rsid w:val="00A52D48"/>
    <w:rsid w:val="00A530E7"/>
    <w:rsid w:val="00A53EC6"/>
    <w:rsid w:val="00A54C41"/>
    <w:rsid w:val="00A555BA"/>
    <w:rsid w:val="00A555FB"/>
    <w:rsid w:val="00A55C0F"/>
    <w:rsid w:val="00A5630C"/>
    <w:rsid w:val="00A56C2E"/>
    <w:rsid w:val="00A56D99"/>
    <w:rsid w:val="00A56DDE"/>
    <w:rsid w:val="00A56F21"/>
    <w:rsid w:val="00A56F73"/>
    <w:rsid w:val="00A5796B"/>
    <w:rsid w:val="00A57C2D"/>
    <w:rsid w:val="00A60F1F"/>
    <w:rsid w:val="00A610B4"/>
    <w:rsid w:val="00A613B0"/>
    <w:rsid w:val="00A618B8"/>
    <w:rsid w:val="00A61929"/>
    <w:rsid w:val="00A62C14"/>
    <w:rsid w:val="00A62D3C"/>
    <w:rsid w:val="00A63096"/>
    <w:rsid w:val="00A6324C"/>
    <w:rsid w:val="00A6427A"/>
    <w:rsid w:val="00A6435A"/>
    <w:rsid w:val="00A64AD9"/>
    <w:rsid w:val="00A6607A"/>
    <w:rsid w:val="00A66267"/>
    <w:rsid w:val="00A673E6"/>
    <w:rsid w:val="00A7020C"/>
    <w:rsid w:val="00A7024C"/>
    <w:rsid w:val="00A70544"/>
    <w:rsid w:val="00A709DF"/>
    <w:rsid w:val="00A70FAC"/>
    <w:rsid w:val="00A71E13"/>
    <w:rsid w:val="00A72037"/>
    <w:rsid w:val="00A7219F"/>
    <w:rsid w:val="00A72458"/>
    <w:rsid w:val="00A725F0"/>
    <w:rsid w:val="00A72986"/>
    <w:rsid w:val="00A7436D"/>
    <w:rsid w:val="00A74B59"/>
    <w:rsid w:val="00A74BB8"/>
    <w:rsid w:val="00A75781"/>
    <w:rsid w:val="00A757A4"/>
    <w:rsid w:val="00A75C3A"/>
    <w:rsid w:val="00A762FE"/>
    <w:rsid w:val="00A76303"/>
    <w:rsid w:val="00A7647F"/>
    <w:rsid w:val="00A770EC"/>
    <w:rsid w:val="00A77706"/>
    <w:rsid w:val="00A77D42"/>
    <w:rsid w:val="00A77E1A"/>
    <w:rsid w:val="00A81EA8"/>
    <w:rsid w:val="00A81F49"/>
    <w:rsid w:val="00A8229A"/>
    <w:rsid w:val="00A82813"/>
    <w:rsid w:val="00A82C36"/>
    <w:rsid w:val="00A82FC9"/>
    <w:rsid w:val="00A8339D"/>
    <w:rsid w:val="00A83B97"/>
    <w:rsid w:val="00A8436F"/>
    <w:rsid w:val="00A85A88"/>
    <w:rsid w:val="00A864E3"/>
    <w:rsid w:val="00A8713F"/>
    <w:rsid w:val="00A87356"/>
    <w:rsid w:val="00A87ACE"/>
    <w:rsid w:val="00A87C3A"/>
    <w:rsid w:val="00A907AE"/>
    <w:rsid w:val="00A90A8D"/>
    <w:rsid w:val="00A90ADB"/>
    <w:rsid w:val="00A90BA1"/>
    <w:rsid w:val="00A91DC5"/>
    <w:rsid w:val="00A93B04"/>
    <w:rsid w:val="00A940A0"/>
    <w:rsid w:val="00A95A85"/>
    <w:rsid w:val="00A96178"/>
    <w:rsid w:val="00A96F7B"/>
    <w:rsid w:val="00A97A9A"/>
    <w:rsid w:val="00A97E25"/>
    <w:rsid w:val="00A97E68"/>
    <w:rsid w:val="00A97F6E"/>
    <w:rsid w:val="00AA05CA"/>
    <w:rsid w:val="00AA0671"/>
    <w:rsid w:val="00AA06FC"/>
    <w:rsid w:val="00AA0722"/>
    <w:rsid w:val="00AA1475"/>
    <w:rsid w:val="00AA1505"/>
    <w:rsid w:val="00AA1717"/>
    <w:rsid w:val="00AA1C64"/>
    <w:rsid w:val="00AA2170"/>
    <w:rsid w:val="00AA2531"/>
    <w:rsid w:val="00AA3C0F"/>
    <w:rsid w:val="00AA4346"/>
    <w:rsid w:val="00AA6059"/>
    <w:rsid w:val="00AA6E61"/>
    <w:rsid w:val="00AA797D"/>
    <w:rsid w:val="00AA7CB1"/>
    <w:rsid w:val="00AA7F67"/>
    <w:rsid w:val="00AB076C"/>
    <w:rsid w:val="00AB124C"/>
    <w:rsid w:val="00AB1515"/>
    <w:rsid w:val="00AB1914"/>
    <w:rsid w:val="00AB1E09"/>
    <w:rsid w:val="00AB23CA"/>
    <w:rsid w:val="00AB2AAB"/>
    <w:rsid w:val="00AB3752"/>
    <w:rsid w:val="00AB3846"/>
    <w:rsid w:val="00AB4A62"/>
    <w:rsid w:val="00AB5330"/>
    <w:rsid w:val="00AB6796"/>
    <w:rsid w:val="00AB7632"/>
    <w:rsid w:val="00AB7741"/>
    <w:rsid w:val="00AB7747"/>
    <w:rsid w:val="00AB7E5D"/>
    <w:rsid w:val="00AC0612"/>
    <w:rsid w:val="00AC0FDB"/>
    <w:rsid w:val="00AC1204"/>
    <w:rsid w:val="00AC1342"/>
    <w:rsid w:val="00AC14BF"/>
    <w:rsid w:val="00AC14CE"/>
    <w:rsid w:val="00AC2208"/>
    <w:rsid w:val="00AC2434"/>
    <w:rsid w:val="00AC2A56"/>
    <w:rsid w:val="00AC36F0"/>
    <w:rsid w:val="00AC3B5A"/>
    <w:rsid w:val="00AC3D8D"/>
    <w:rsid w:val="00AC40A9"/>
    <w:rsid w:val="00AC4FCD"/>
    <w:rsid w:val="00AC5483"/>
    <w:rsid w:val="00AC5A42"/>
    <w:rsid w:val="00AC66E1"/>
    <w:rsid w:val="00AC6C31"/>
    <w:rsid w:val="00AC7393"/>
    <w:rsid w:val="00AC753C"/>
    <w:rsid w:val="00AC76F9"/>
    <w:rsid w:val="00AD055E"/>
    <w:rsid w:val="00AD151B"/>
    <w:rsid w:val="00AD1E12"/>
    <w:rsid w:val="00AD289B"/>
    <w:rsid w:val="00AD3393"/>
    <w:rsid w:val="00AD35CF"/>
    <w:rsid w:val="00AD47A7"/>
    <w:rsid w:val="00AD56E7"/>
    <w:rsid w:val="00AD6590"/>
    <w:rsid w:val="00AD7630"/>
    <w:rsid w:val="00AD76FC"/>
    <w:rsid w:val="00AD7C7B"/>
    <w:rsid w:val="00AE0AAE"/>
    <w:rsid w:val="00AE0F43"/>
    <w:rsid w:val="00AE28A2"/>
    <w:rsid w:val="00AE2D6D"/>
    <w:rsid w:val="00AE2F3A"/>
    <w:rsid w:val="00AE3852"/>
    <w:rsid w:val="00AE3AF4"/>
    <w:rsid w:val="00AE440B"/>
    <w:rsid w:val="00AE53DB"/>
    <w:rsid w:val="00AE5449"/>
    <w:rsid w:val="00AE644B"/>
    <w:rsid w:val="00AE73F8"/>
    <w:rsid w:val="00AE76D1"/>
    <w:rsid w:val="00AE7C8C"/>
    <w:rsid w:val="00AF0CBF"/>
    <w:rsid w:val="00AF0D5E"/>
    <w:rsid w:val="00AF257F"/>
    <w:rsid w:val="00AF3067"/>
    <w:rsid w:val="00AF337F"/>
    <w:rsid w:val="00AF33CF"/>
    <w:rsid w:val="00AF3425"/>
    <w:rsid w:val="00AF3F5C"/>
    <w:rsid w:val="00AF415A"/>
    <w:rsid w:val="00AF4D50"/>
    <w:rsid w:val="00AF4E27"/>
    <w:rsid w:val="00AF5975"/>
    <w:rsid w:val="00AF6179"/>
    <w:rsid w:val="00AF6AAB"/>
    <w:rsid w:val="00B0145D"/>
    <w:rsid w:val="00B0145E"/>
    <w:rsid w:val="00B015E8"/>
    <w:rsid w:val="00B02072"/>
    <w:rsid w:val="00B028C1"/>
    <w:rsid w:val="00B03217"/>
    <w:rsid w:val="00B03CEE"/>
    <w:rsid w:val="00B03D2A"/>
    <w:rsid w:val="00B03EF9"/>
    <w:rsid w:val="00B042C9"/>
    <w:rsid w:val="00B04387"/>
    <w:rsid w:val="00B049F0"/>
    <w:rsid w:val="00B04B35"/>
    <w:rsid w:val="00B04E59"/>
    <w:rsid w:val="00B050D5"/>
    <w:rsid w:val="00B0571A"/>
    <w:rsid w:val="00B068DE"/>
    <w:rsid w:val="00B074BB"/>
    <w:rsid w:val="00B077F3"/>
    <w:rsid w:val="00B1067B"/>
    <w:rsid w:val="00B10A53"/>
    <w:rsid w:val="00B1101E"/>
    <w:rsid w:val="00B122EE"/>
    <w:rsid w:val="00B1246C"/>
    <w:rsid w:val="00B1295A"/>
    <w:rsid w:val="00B12B7B"/>
    <w:rsid w:val="00B12F8D"/>
    <w:rsid w:val="00B13165"/>
    <w:rsid w:val="00B14161"/>
    <w:rsid w:val="00B1561D"/>
    <w:rsid w:val="00B16B3C"/>
    <w:rsid w:val="00B172FF"/>
    <w:rsid w:val="00B1741D"/>
    <w:rsid w:val="00B17F1F"/>
    <w:rsid w:val="00B209FD"/>
    <w:rsid w:val="00B20A27"/>
    <w:rsid w:val="00B20A45"/>
    <w:rsid w:val="00B21353"/>
    <w:rsid w:val="00B217B1"/>
    <w:rsid w:val="00B21F5A"/>
    <w:rsid w:val="00B22807"/>
    <w:rsid w:val="00B22A5B"/>
    <w:rsid w:val="00B22AB5"/>
    <w:rsid w:val="00B22C5C"/>
    <w:rsid w:val="00B22ECB"/>
    <w:rsid w:val="00B23143"/>
    <w:rsid w:val="00B233F4"/>
    <w:rsid w:val="00B2395E"/>
    <w:rsid w:val="00B24296"/>
    <w:rsid w:val="00B24A22"/>
    <w:rsid w:val="00B24C6A"/>
    <w:rsid w:val="00B24D25"/>
    <w:rsid w:val="00B24F30"/>
    <w:rsid w:val="00B2524A"/>
    <w:rsid w:val="00B259AC"/>
    <w:rsid w:val="00B262E6"/>
    <w:rsid w:val="00B264C9"/>
    <w:rsid w:val="00B26A48"/>
    <w:rsid w:val="00B271ED"/>
    <w:rsid w:val="00B27DE6"/>
    <w:rsid w:val="00B305F7"/>
    <w:rsid w:val="00B306F1"/>
    <w:rsid w:val="00B30A8C"/>
    <w:rsid w:val="00B30E36"/>
    <w:rsid w:val="00B3130C"/>
    <w:rsid w:val="00B31754"/>
    <w:rsid w:val="00B31ABF"/>
    <w:rsid w:val="00B321D6"/>
    <w:rsid w:val="00B33BE3"/>
    <w:rsid w:val="00B3470A"/>
    <w:rsid w:val="00B34A46"/>
    <w:rsid w:val="00B34BB8"/>
    <w:rsid w:val="00B34D1A"/>
    <w:rsid w:val="00B354FC"/>
    <w:rsid w:val="00B3631C"/>
    <w:rsid w:val="00B36632"/>
    <w:rsid w:val="00B367BF"/>
    <w:rsid w:val="00B40035"/>
    <w:rsid w:val="00B415C2"/>
    <w:rsid w:val="00B41A65"/>
    <w:rsid w:val="00B436BF"/>
    <w:rsid w:val="00B4389B"/>
    <w:rsid w:val="00B44098"/>
    <w:rsid w:val="00B44CE3"/>
    <w:rsid w:val="00B45987"/>
    <w:rsid w:val="00B46511"/>
    <w:rsid w:val="00B47D21"/>
    <w:rsid w:val="00B51429"/>
    <w:rsid w:val="00B51936"/>
    <w:rsid w:val="00B51A71"/>
    <w:rsid w:val="00B52439"/>
    <w:rsid w:val="00B533F8"/>
    <w:rsid w:val="00B53735"/>
    <w:rsid w:val="00B53B5D"/>
    <w:rsid w:val="00B53E57"/>
    <w:rsid w:val="00B53ED4"/>
    <w:rsid w:val="00B54A0E"/>
    <w:rsid w:val="00B557D3"/>
    <w:rsid w:val="00B55B44"/>
    <w:rsid w:val="00B561DE"/>
    <w:rsid w:val="00B56825"/>
    <w:rsid w:val="00B56BBE"/>
    <w:rsid w:val="00B56F8C"/>
    <w:rsid w:val="00B573E0"/>
    <w:rsid w:val="00B6055E"/>
    <w:rsid w:val="00B60E35"/>
    <w:rsid w:val="00B61FE6"/>
    <w:rsid w:val="00B62FB7"/>
    <w:rsid w:val="00B630D3"/>
    <w:rsid w:val="00B6317D"/>
    <w:rsid w:val="00B63E4A"/>
    <w:rsid w:val="00B64738"/>
    <w:rsid w:val="00B6486D"/>
    <w:rsid w:val="00B64914"/>
    <w:rsid w:val="00B657C4"/>
    <w:rsid w:val="00B66860"/>
    <w:rsid w:val="00B66C3B"/>
    <w:rsid w:val="00B66EA5"/>
    <w:rsid w:val="00B67088"/>
    <w:rsid w:val="00B67538"/>
    <w:rsid w:val="00B67B03"/>
    <w:rsid w:val="00B67CF9"/>
    <w:rsid w:val="00B701B7"/>
    <w:rsid w:val="00B72317"/>
    <w:rsid w:val="00B725B5"/>
    <w:rsid w:val="00B72D81"/>
    <w:rsid w:val="00B7358D"/>
    <w:rsid w:val="00B73B8E"/>
    <w:rsid w:val="00B74249"/>
    <w:rsid w:val="00B74B91"/>
    <w:rsid w:val="00B76271"/>
    <w:rsid w:val="00B768E7"/>
    <w:rsid w:val="00B76E8A"/>
    <w:rsid w:val="00B7723F"/>
    <w:rsid w:val="00B80534"/>
    <w:rsid w:val="00B807C4"/>
    <w:rsid w:val="00B80A95"/>
    <w:rsid w:val="00B80C4F"/>
    <w:rsid w:val="00B813D0"/>
    <w:rsid w:val="00B814C6"/>
    <w:rsid w:val="00B82226"/>
    <w:rsid w:val="00B823FD"/>
    <w:rsid w:val="00B82D51"/>
    <w:rsid w:val="00B831CF"/>
    <w:rsid w:val="00B8334D"/>
    <w:rsid w:val="00B83F2B"/>
    <w:rsid w:val="00B8433C"/>
    <w:rsid w:val="00B8488F"/>
    <w:rsid w:val="00B84D34"/>
    <w:rsid w:val="00B851C9"/>
    <w:rsid w:val="00B86D29"/>
    <w:rsid w:val="00B87412"/>
    <w:rsid w:val="00B87491"/>
    <w:rsid w:val="00B87F69"/>
    <w:rsid w:val="00B901B7"/>
    <w:rsid w:val="00B90856"/>
    <w:rsid w:val="00B91D7D"/>
    <w:rsid w:val="00B92854"/>
    <w:rsid w:val="00B93D9F"/>
    <w:rsid w:val="00B94122"/>
    <w:rsid w:val="00B94152"/>
    <w:rsid w:val="00B94230"/>
    <w:rsid w:val="00B95135"/>
    <w:rsid w:val="00B95372"/>
    <w:rsid w:val="00B95698"/>
    <w:rsid w:val="00B9656D"/>
    <w:rsid w:val="00B96ED3"/>
    <w:rsid w:val="00B9732F"/>
    <w:rsid w:val="00B97FB4"/>
    <w:rsid w:val="00BA06F9"/>
    <w:rsid w:val="00BA0B72"/>
    <w:rsid w:val="00BA0E4A"/>
    <w:rsid w:val="00BA166F"/>
    <w:rsid w:val="00BA26D2"/>
    <w:rsid w:val="00BA29E9"/>
    <w:rsid w:val="00BA32E3"/>
    <w:rsid w:val="00BA3C8E"/>
    <w:rsid w:val="00BA436C"/>
    <w:rsid w:val="00BA4640"/>
    <w:rsid w:val="00BA4BF4"/>
    <w:rsid w:val="00BA5009"/>
    <w:rsid w:val="00BA520A"/>
    <w:rsid w:val="00BA6710"/>
    <w:rsid w:val="00BA7142"/>
    <w:rsid w:val="00BA7830"/>
    <w:rsid w:val="00BA793B"/>
    <w:rsid w:val="00BB0685"/>
    <w:rsid w:val="00BB1C92"/>
    <w:rsid w:val="00BB237C"/>
    <w:rsid w:val="00BB2BA4"/>
    <w:rsid w:val="00BB2CB8"/>
    <w:rsid w:val="00BB4123"/>
    <w:rsid w:val="00BB41A3"/>
    <w:rsid w:val="00BB4385"/>
    <w:rsid w:val="00BB4477"/>
    <w:rsid w:val="00BB44F2"/>
    <w:rsid w:val="00BB592C"/>
    <w:rsid w:val="00BB602E"/>
    <w:rsid w:val="00BB653C"/>
    <w:rsid w:val="00BB69DF"/>
    <w:rsid w:val="00BB6D61"/>
    <w:rsid w:val="00BB6DE8"/>
    <w:rsid w:val="00BB757D"/>
    <w:rsid w:val="00BB7BA1"/>
    <w:rsid w:val="00BC041E"/>
    <w:rsid w:val="00BC0FB8"/>
    <w:rsid w:val="00BC1B16"/>
    <w:rsid w:val="00BC1D30"/>
    <w:rsid w:val="00BC1DB8"/>
    <w:rsid w:val="00BC28E5"/>
    <w:rsid w:val="00BC2989"/>
    <w:rsid w:val="00BC3274"/>
    <w:rsid w:val="00BC32DC"/>
    <w:rsid w:val="00BC35B6"/>
    <w:rsid w:val="00BC3A53"/>
    <w:rsid w:val="00BC3BD5"/>
    <w:rsid w:val="00BC3D45"/>
    <w:rsid w:val="00BC4D85"/>
    <w:rsid w:val="00BC4FD8"/>
    <w:rsid w:val="00BC5093"/>
    <w:rsid w:val="00BD02CB"/>
    <w:rsid w:val="00BD06CB"/>
    <w:rsid w:val="00BD0752"/>
    <w:rsid w:val="00BD1B51"/>
    <w:rsid w:val="00BD20C8"/>
    <w:rsid w:val="00BD252A"/>
    <w:rsid w:val="00BD28B2"/>
    <w:rsid w:val="00BD297B"/>
    <w:rsid w:val="00BD44D6"/>
    <w:rsid w:val="00BD4596"/>
    <w:rsid w:val="00BD4976"/>
    <w:rsid w:val="00BD63CD"/>
    <w:rsid w:val="00BD6A3E"/>
    <w:rsid w:val="00BE0204"/>
    <w:rsid w:val="00BE073A"/>
    <w:rsid w:val="00BE1061"/>
    <w:rsid w:val="00BE1405"/>
    <w:rsid w:val="00BE1EA7"/>
    <w:rsid w:val="00BE2742"/>
    <w:rsid w:val="00BE312D"/>
    <w:rsid w:val="00BE36F9"/>
    <w:rsid w:val="00BE40E3"/>
    <w:rsid w:val="00BE41DA"/>
    <w:rsid w:val="00BE5734"/>
    <w:rsid w:val="00BE5910"/>
    <w:rsid w:val="00BE69FC"/>
    <w:rsid w:val="00BF004B"/>
    <w:rsid w:val="00BF009D"/>
    <w:rsid w:val="00BF0359"/>
    <w:rsid w:val="00BF0F4C"/>
    <w:rsid w:val="00BF128E"/>
    <w:rsid w:val="00BF1C20"/>
    <w:rsid w:val="00BF1EEE"/>
    <w:rsid w:val="00BF24E0"/>
    <w:rsid w:val="00BF2A04"/>
    <w:rsid w:val="00BF2B71"/>
    <w:rsid w:val="00BF33CC"/>
    <w:rsid w:val="00BF3F1E"/>
    <w:rsid w:val="00BF464A"/>
    <w:rsid w:val="00BF5C73"/>
    <w:rsid w:val="00BF5FAC"/>
    <w:rsid w:val="00BF6D98"/>
    <w:rsid w:val="00BF732B"/>
    <w:rsid w:val="00BF7468"/>
    <w:rsid w:val="00BF77C3"/>
    <w:rsid w:val="00BF78B7"/>
    <w:rsid w:val="00C0032C"/>
    <w:rsid w:val="00C01422"/>
    <w:rsid w:val="00C015D0"/>
    <w:rsid w:val="00C020F3"/>
    <w:rsid w:val="00C021A7"/>
    <w:rsid w:val="00C0295E"/>
    <w:rsid w:val="00C05222"/>
    <w:rsid w:val="00C05424"/>
    <w:rsid w:val="00C056B0"/>
    <w:rsid w:val="00C06837"/>
    <w:rsid w:val="00C07249"/>
    <w:rsid w:val="00C072C3"/>
    <w:rsid w:val="00C07B6B"/>
    <w:rsid w:val="00C07E3C"/>
    <w:rsid w:val="00C10578"/>
    <w:rsid w:val="00C11885"/>
    <w:rsid w:val="00C11C91"/>
    <w:rsid w:val="00C11E7E"/>
    <w:rsid w:val="00C12093"/>
    <w:rsid w:val="00C123C5"/>
    <w:rsid w:val="00C135BC"/>
    <w:rsid w:val="00C14845"/>
    <w:rsid w:val="00C15C95"/>
    <w:rsid w:val="00C16EA0"/>
    <w:rsid w:val="00C17030"/>
    <w:rsid w:val="00C177C4"/>
    <w:rsid w:val="00C20210"/>
    <w:rsid w:val="00C20279"/>
    <w:rsid w:val="00C20288"/>
    <w:rsid w:val="00C20588"/>
    <w:rsid w:val="00C21B5A"/>
    <w:rsid w:val="00C2206A"/>
    <w:rsid w:val="00C22C08"/>
    <w:rsid w:val="00C232B1"/>
    <w:rsid w:val="00C233C1"/>
    <w:rsid w:val="00C24254"/>
    <w:rsid w:val="00C24906"/>
    <w:rsid w:val="00C24E47"/>
    <w:rsid w:val="00C250E9"/>
    <w:rsid w:val="00C2596A"/>
    <w:rsid w:val="00C25ABE"/>
    <w:rsid w:val="00C25F42"/>
    <w:rsid w:val="00C2610C"/>
    <w:rsid w:val="00C27537"/>
    <w:rsid w:val="00C3030D"/>
    <w:rsid w:val="00C30AB4"/>
    <w:rsid w:val="00C30E64"/>
    <w:rsid w:val="00C30E80"/>
    <w:rsid w:val="00C312B2"/>
    <w:rsid w:val="00C31CB1"/>
    <w:rsid w:val="00C31EF4"/>
    <w:rsid w:val="00C328FE"/>
    <w:rsid w:val="00C332F5"/>
    <w:rsid w:val="00C33507"/>
    <w:rsid w:val="00C34632"/>
    <w:rsid w:val="00C34FDD"/>
    <w:rsid w:val="00C351CA"/>
    <w:rsid w:val="00C355A3"/>
    <w:rsid w:val="00C3644B"/>
    <w:rsid w:val="00C36BB3"/>
    <w:rsid w:val="00C36CC6"/>
    <w:rsid w:val="00C37334"/>
    <w:rsid w:val="00C37374"/>
    <w:rsid w:val="00C40E2C"/>
    <w:rsid w:val="00C41329"/>
    <w:rsid w:val="00C41CCB"/>
    <w:rsid w:val="00C41E00"/>
    <w:rsid w:val="00C43217"/>
    <w:rsid w:val="00C43B1A"/>
    <w:rsid w:val="00C43F63"/>
    <w:rsid w:val="00C4409D"/>
    <w:rsid w:val="00C44417"/>
    <w:rsid w:val="00C447D2"/>
    <w:rsid w:val="00C44883"/>
    <w:rsid w:val="00C44BE4"/>
    <w:rsid w:val="00C44E72"/>
    <w:rsid w:val="00C451D5"/>
    <w:rsid w:val="00C456A9"/>
    <w:rsid w:val="00C45A06"/>
    <w:rsid w:val="00C461FC"/>
    <w:rsid w:val="00C4625E"/>
    <w:rsid w:val="00C4780E"/>
    <w:rsid w:val="00C47C64"/>
    <w:rsid w:val="00C47E5B"/>
    <w:rsid w:val="00C47FC2"/>
    <w:rsid w:val="00C505CF"/>
    <w:rsid w:val="00C50B26"/>
    <w:rsid w:val="00C50B40"/>
    <w:rsid w:val="00C51067"/>
    <w:rsid w:val="00C51330"/>
    <w:rsid w:val="00C5146E"/>
    <w:rsid w:val="00C5158E"/>
    <w:rsid w:val="00C522CE"/>
    <w:rsid w:val="00C522D8"/>
    <w:rsid w:val="00C52746"/>
    <w:rsid w:val="00C5301A"/>
    <w:rsid w:val="00C53285"/>
    <w:rsid w:val="00C5442C"/>
    <w:rsid w:val="00C54FF1"/>
    <w:rsid w:val="00C55C62"/>
    <w:rsid w:val="00C55F34"/>
    <w:rsid w:val="00C563F2"/>
    <w:rsid w:val="00C5740D"/>
    <w:rsid w:val="00C574FD"/>
    <w:rsid w:val="00C5791F"/>
    <w:rsid w:val="00C57F65"/>
    <w:rsid w:val="00C6005E"/>
    <w:rsid w:val="00C60191"/>
    <w:rsid w:val="00C601D9"/>
    <w:rsid w:val="00C61163"/>
    <w:rsid w:val="00C61E4B"/>
    <w:rsid w:val="00C621F7"/>
    <w:rsid w:val="00C6256B"/>
    <w:rsid w:val="00C62863"/>
    <w:rsid w:val="00C62B83"/>
    <w:rsid w:val="00C62E90"/>
    <w:rsid w:val="00C632C1"/>
    <w:rsid w:val="00C63811"/>
    <w:rsid w:val="00C64292"/>
    <w:rsid w:val="00C642AD"/>
    <w:rsid w:val="00C6456D"/>
    <w:rsid w:val="00C646AE"/>
    <w:rsid w:val="00C64BFF"/>
    <w:rsid w:val="00C65444"/>
    <w:rsid w:val="00C65795"/>
    <w:rsid w:val="00C65E77"/>
    <w:rsid w:val="00C662E5"/>
    <w:rsid w:val="00C66519"/>
    <w:rsid w:val="00C667CB"/>
    <w:rsid w:val="00C66C18"/>
    <w:rsid w:val="00C67272"/>
    <w:rsid w:val="00C70243"/>
    <w:rsid w:val="00C704E9"/>
    <w:rsid w:val="00C71670"/>
    <w:rsid w:val="00C71B1F"/>
    <w:rsid w:val="00C72055"/>
    <w:rsid w:val="00C728D2"/>
    <w:rsid w:val="00C73152"/>
    <w:rsid w:val="00C74736"/>
    <w:rsid w:val="00C7486E"/>
    <w:rsid w:val="00C7518F"/>
    <w:rsid w:val="00C763C9"/>
    <w:rsid w:val="00C769D2"/>
    <w:rsid w:val="00C77236"/>
    <w:rsid w:val="00C7792D"/>
    <w:rsid w:val="00C80057"/>
    <w:rsid w:val="00C80225"/>
    <w:rsid w:val="00C80366"/>
    <w:rsid w:val="00C80ACF"/>
    <w:rsid w:val="00C80D68"/>
    <w:rsid w:val="00C8102C"/>
    <w:rsid w:val="00C81954"/>
    <w:rsid w:val="00C82232"/>
    <w:rsid w:val="00C82260"/>
    <w:rsid w:val="00C8228E"/>
    <w:rsid w:val="00C82913"/>
    <w:rsid w:val="00C830EF"/>
    <w:rsid w:val="00C836FF"/>
    <w:rsid w:val="00C83834"/>
    <w:rsid w:val="00C8434C"/>
    <w:rsid w:val="00C8530E"/>
    <w:rsid w:val="00C85928"/>
    <w:rsid w:val="00C868B2"/>
    <w:rsid w:val="00C86965"/>
    <w:rsid w:val="00C87D6F"/>
    <w:rsid w:val="00C90468"/>
    <w:rsid w:val="00C90F80"/>
    <w:rsid w:val="00C9123B"/>
    <w:rsid w:val="00C91507"/>
    <w:rsid w:val="00C9356D"/>
    <w:rsid w:val="00C94BD8"/>
    <w:rsid w:val="00C94CA8"/>
    <w:rsid w:val="00C94F60"/>
    <w:rsid w:val="00C9563B"/>
    <w:rsid w:val="00C95CF8"/>
    <w:rsid w:val="00C95D16"/>
    <w:rsid w:val="00C96126"/>
    <w:rsid w:val="00C9639A"/>
    <w:rsid w:val="00C96741"/>
    <w:rsid w:val="00C972B1"/>
    <w:rsid w:val="00C97527"/>
    <w:rsid w:val="00C97ABD"/>
    <w:rsid w:val="00C97F66"/>
    <w:rsid w:val="00CA0020"/>
    <w:rsid w:val="00CA003B"/>
    <w:rsid w:val="00CA036D"/>
    <w:rsid w:val="00CA1406"/>
    <w:rsid w:val="00CA14B3"/>
    <w:rsid w:val="00CA1897"/>
    <w:rsid w:val="00CA1A3E"/>
    <w:rsid w:val="00CA2B38"/>
    <w:rsid w:val="00CA2C52"/>
    <w:rsid w:val="00CA2CCE"/>
    <w:rsid w:val="00CA2D15"/>
    <w:rsid w:val="00CA388B"/>
    <w:rsid w:val="00CA3E73"/>
    <w:rsid w:val="00CA43FD"/>
    <w:rsid w:val="00CA4969"/>
    <w:rsid w:val="00CA4E5E"/>
    <w:rsid w:val="00CA613C"/>
    <w:rsid w:val="00CA6AA3"/>
    <w:rsid w:val="00CA6F40"/>
    <w:rsid w:val="00CA7D45"/>
    <w:rsid w:val="00CA7EF8"/>
    <w:rsid w:val="00CB0A93"/>
    <w:rsid w:val="00CB196C"/>
    <w:rsid w:val="00CB1983"/>
    <w:rsid w:val="00CB2024"/>
    <w:rsid w:val="00CB33A4"/>
    <w:rsid w:val="00CB3ECE"/>
    <w:rsid w:val="00CB540F"/>
    <w:rsid w:val="00CB694B"/>
    <w:rsid w:val="00CB71BD"/>
    <w:rsid w:val="00CB7358"/>
    <w:rsid w:val="00CC0A4F"/>
    <w:rsid w:val="00CC0E44"/>
    <w:rsid w:val="00CC2187"/>
    <w:rsid w:val="00CC2294"/>
    <w:rsid w:val="00CC2308"/>
    <w:rsid w:val="00CC29AC"/>
    <w:rsid w:val="00CC3811"/>
    <w:rsid w:val="00CC3B95"/>
    <w:rsid w:val="00CC3EC8"/>
    <w:rsid w:val="00CC40DF"/>
    <w:rsid w:val="00CC4129"/>
    <w:rsid w:val="00CC42FA"/>
    <w:rsid w:val="00CC489B"/>
    <w:rsid w:val="00CC51B3"/>
    <w:rsid w:val="00CC6541"/>
    <w:rsid w:val="00CC7101"/>
    <w:rsid w:val="00CC753E"/>
    <w:rsid w:val="00CD0099"/>
    <w:rsid w:val="00CD0387"/>
    <w:rsid w:val="00CD14CE"/>
    <w:rsid w:val="00CD16A2"/>
    <w:rsid w:val="00CD2543"/>
    <w:rsid w:val="00CD2BCD"/>
    <w:rsid w:val="00CD3A4C"/>
    <w:rsid w:val="00CD3FC6"/>
    <w:rsid w:val="00CD491F"/>
    <w:rsid w:val="00CD6069"/>
    <w:rsid w:val="00CD6594"/>
    <w:rsid w:val="00CD6A74"/>
    <w:rsid w:val="00CD6D59"/>
    <w:rsid w:val="00CD6F92"/>
    <w:rsid w:val="00CD789A"/>
    <w:rsid w:val="00CE0489"/>
    <w:rsid w:val="00CE05AD"/>
    <w:rsid w:val="00CE10E9"/>
    <w:rsid w:val="00CE14EC"/>
    <w:rsid w:val="00CE1893"/>
    <w:rsid w:val="00CE192C"/>
    <w:rsid w:val="00CE2698"/>
    <w:rsid w:val="00CE2910"/>
    <w:rsid w:val="00CE2920"/>
    <w:rsid w:val="00CE2BBE"/>
    <w:rsid w:val="00CE3141"/>
    <w:rsid w:val="00CE489A"/>
    <w:rsid w:val="00CE50BC"/>
    <w:rsid w:val="00CE5393"/>
    <w:rsid w:val="00CE5740"/>
    <w:rsid w:val="00CE61DA"/>
    <w:rsid w:val="00CE6D80"/>
    <w:rsid w:val="00CE716F"/>
    <w:rsid w:val="00CF07EA"/>
    <w:rsid w:val="00CF0865"/>
    <w:rsid w:val="00CF0EE8"/>
    <w:rsid w:val="00CF128A"/>
    <w:rsid w:val="00CF2450"/>
    <w:rsid w:val="00CF2AE7"/>
    <w:rsid w:val="00CF36BE"/>
    <w:rsid w:val="00CF4892"/>
    <w:rsid w:val="00CF5864"/>
    <w:rsid w:val="00CF5E83"/>
    <w:rsid w:val="00CF6000"/>
    <w:rsid w:val="00CF61B8"/>
    <w:rsid w:val="00CF67D1"/>
    <w:rsid w:val="00CF72AF"/>
    <w:rsid w:val="00D0028E"/>
    <w:rsid w:val="00D003F3"/>
    <w:rsid w:val="00D00521"/>
    <w:rsid w:val="00D00976"/>
    <w:rsid w:val="00D013D1"/>
    <w:rsid w:val="00D013D4"/>
    <w:rsid w:val="00D0226B"/>
    <w:rsid w:val="00D0364F"/>
    <w:rsid w:val="00D03920"/>
    <w:rsid w:val="00D03BF9"/>
    <w:rsid w:val="00D0458D"/>
    <w:rsid w:val="00D04599"/>
    <w:rsid w:val="00D05833"/>
    <w:rsid w:val="00D05C3E"/>
    <w:rsid w:val="00D06685"/>
    <w:rsid w:val="00D06701"/>
    <w:rsid w:val="00D06834"/>
    <w:rsid w:val="00D07172"/>
    <w:rsid w:val="00D100E0"/>
    <w:rsid w:val="00D1264B"/>
    <w:rsid w:val="00D132FB"/>
    <w:rsid w:val="00D150A9"/>
    <w:rsid w:val="00D15161"/>
    <w:rsid w:val="00D15B83"/>
    <w:rsid w:val="00D15C6A"/>
    <w:rsid w:val="00D15FED"/>
    <w:rsid w:val="00D16623"/>
    <w:rsid w:val="00D1681B"/>
    <w:rsid w:val="00D16E87"/>
    <w:rsid w:val="00D170AF"/>
    <w:rsid w:val="00D20D9D"/>
    <w:rsid w:val="00D20DF7"/>
    <w:rsid w:val="00D217DB"/>
    <w:rsid w:val="00D222D7"/>
    <w:rsid w:val="00D23146"/>
    <w:rsid w:val="00D23948"/>
    <w:rsid w:val="00D23A8C"/>
    <w:rsid w:val="00D24063"/>
    <w:rsid w:val="00D24077"/>
    <w:rsid w:val="00D2414D"/>
    <w:rsid w:val="00D24449"/>
    <w:rsid w:val="00D248DC"/>
    <w:rsid w:val="00D261E3"/>
    <w:rsid w:val="00D26258"/>
    <w:rsid w:val="00D269E1"/>
    <w:rsid w:val="00D308ED"/>
    <w:rsid w:val="00D3131B"/>
    <w:rsid w:val="00D31628"/>
    <w:rsid w:val="00D31725"/>
    <w:rsid w:val="00D3223F"/>
    <w:rsid w:val="00D333BD"/>
    <w:rsid w:val="00D3347F"/>
    <w:rsid w:val="00D351B0"/>
    <w:rsid w:val="00D35D1A"/>
    <w:rsid w:val="00D35FB5"/>
    <w:rsid w:val="00D36B54"/>
    <w:rsid w:val="00D36D86"/>
    <w:rsid w:val="00D414AC"/>
    <w:rsid w:val="00D421A5"/>
    <w:rsid w:val="00D425BD"/>
    <w:rsid w:val="00D427D6"/>
    <w:rsid w:val="00D4282C"/>
    <w:rsid w:val="00D428AA"/>
    <w:rsid w:val="00D430DF"/>
    <w:rsid w:val="00D439D3"/>
    <w:rsid w:val="00D439FE"/>
    <w:rsid w:val="00D43CBC"/>
    <w:rsid w:val="00D447D0"/>
    <w:rsid w:val="00D449A1"/>
    <w:rsid w:val="00D449C3"/>
    <w:rsid w:val="00D44A8D"/>
    <w:rsid w:val="00D44BF9"/>
    <w:rsid w:val="00D44F9D"/>
    <w:rsid w:val="00D461EF"/>
    <w:rsid w:val="00D46610"/>
    <w:rsid w:val="00D4753A"/>
    <w:rsid w:val="00D4763B"/>
    <w:rsid w:val="00D47801"/>
    <w:rsid w:val="00D47ED0"/>
    <w:rsid w:val="00D5056E"/>
    <w:rsid w:val="00D50A34"/>
    <w:rsid w:val="00D50B67"/>
    <w:rsid w:val="00D50DD2"/>
    <w:rsid w:val="00D520BC"/>
    <w:rsid w:val="00D53EFA"/>
    <w:rsid w:val="00D5444D"/>
    <w:rsid w:val="00D54C98"/>
    <w:rsid w:val="00D54F13"/>
    <w:rsid w:val="00D558F5"/>
    <w:rsid w:val="00D55B8F"/>
    <w:rsid w:val="00D567CE"/>
    <w:rsid w:val="00D5688F"/>
    <w:rsid w:val="00D569B9"/>
    <w:rsid w:val="00D576AF"/>
    <w:rsid w:val="00D60F5C"/>
    <w:rsid w:val="00D610E3"/>
    <w:rsid w:val="00D61374"/>
    <w:rsid w:val="00D61CC7"/>
    <w:rsid w:val="00D6248B"/>
    <w:rsid w:val="00D62804"/>
    <w:rsid w:val="00D62DD1"/>
    <w:rsid w:val="00D633B7"/>
    <w:rsid w:val="00D63738"/>
    <w:rsid w:val="00D63D04"/>
    <w:rsid w:val="00D64BD2"/>
    <w:rsid w:val="00D65092"/>
    <w:rsid w:val="00D651B6"/>
    <w:rsid w:val="00D6567F"/>
    <w:rsid w:val="00D658D1"/>
    <w:rsid w:val="00D6688D"/>
    <w:rsid w:val="00D67C74"/>
    <w:rsid w:val="00D701C6"/>
    <w:rsid w:val="00D70EF4"/>
    <w:rsid w:val="00D73178"/>
    <w:rsid w:val="00D73E42"/>
    <w:rsid w:val="00D73FE5"/>
    <w:rsid w:val="00D742EC"/>
    <w:rsid w:val="00D75210"/>
    <w:rsid w:val="00D75985"/>
    <w:rsid w:val="00D75B26"/>
    <w:rsid w:val="00D766EF"/>
    <w:rsid w:val="00D771AB"/>
    <w:rsid w:val="00D77354"/>
    <w:rsid w:val="00D77697"/>
    <w:rsid w:val="00D777E3"/>
    <w:rsid w:val="00D8006D"/>
    <w:rsid w:val="00D8013F"/>
    <w:rsid w:val="00D8020C"/>
    <w:rsid w:val="00D80C91"/>
    <w:rsid w:val="00D81719"/>
    <w:rsid w:val="00D81EB8"/>
    <w:rsid w:val="00D83046"/>
    <w:rsid w:val="00D84443"/>
    <w:rsid w:val="00D84AE3"/>
    <w:rsid w:val="00D84C9D"/>
    <w:rsid w:val="00D84F77"/>
    <w:rsid w:val="00D85114"/>
    <w:rsid w:val="00D85A4D"/>
    <w:rsid w:val="00D85B39"/>
    <w:rsid w:val="00D85BAD"/>
    <w:rsid w:val="00D85D81"/>
    <w:rsid w:val="00D85DFB"/>
    <w:rsid w:val="00D90B12"/>
    <w:rsid w:val="00D926F8"/>
    <w:rsid w:val="00D92B81"/>
    <w:rsid w:val="00D93852"/>
    <w:rsid w:val="00D941A5"/>
    <w:rsid w:val="00D94A7C"/>
    <w:rsid w:val="00D954C7"/>
    <w:rsid w:val="00D95896"/>
    <w:rsid w:val="00D9665A"/>
    <w:rsid w:val="00D968D0"/>
    <w:rsid w:val="00D96AB6"/>
    <w:rsid w:val="00D97D1B"/>
    <w:rsid w:val="00DA0ED2"/>
    <w:rsid w:val="00DA10A9"/>
    <w:rsid w:val="00DA13A9"/>
    <w:rsid w:val="00DA13B0"/>
    <w:rsid w:val="00DA1C79"/>
    <w:rsid w:val="00DA31BF"/>
    <w:rsid w:val="00DA3358"/>
    <w:rsid w:val="00DA3751"/>
    <w:rsid w:val="00DA3A02"/>
    <w:rsid w:val="00DA3A71"/>
    <w:rsid w:val="00DA3FD6"/>
    <w:rsid w:val="00DA4183"/>
    <w:rsid w:val="00DA4694"/>
    <w:rsid w:val="00DA47A1"/>
    <w:rsid w:val="00DA4E78"/>
    <w:rsid w:val="00DA553C"/>
    <w:rsid w:val="00DA593A"/>
    <w:rsid w:val="00DA65A3"/>
    <w:rsid w:val="00DA66BC"/>
    <w:rsid w:val="00DA7C00"/>
    <w:rsid w:val="00DB08F0"/>
    <w:rsid w:val="00DB0995"/>
    <w:rsid w:val="00DB0A9C"/>
    <w:rsid w:val="00DB12BF"/>
    <w:rsid w:val="00DB1A9C"/>
    <w:rsid w:val="00DB1E2D"/>
    <w:rsid w:val="00DB25A9"/>
    <w:rsid w:val="00DB2983"/>
    <w:rsid w:val="00DB3F0E"/>
    <w:rsid w:val="00DB4A02"/>
    <w:rsid w:val="00DB5238"/>
    <w:rsid w:val="00DB5420"/>
    <w:rsid w:val="00DB665A"/>
    <w:rsid w:val="00DB7598"/>
    <w:rsid w:val="00DC0518"/>
    <w:rsid w:val="00DC09F9"/>
    <w:rsid w:val="00DC0C92"/>
    <w:rsid w:val="00DC1257"/>
    <w:rsid w:val="00DC1675"/>
    <w:rsid w:val="00DC16FB"/>
    <w:rsid w:val="00DC230C"/>
    <w:rsid w:val="00DC2494"/>
    <w:rsid w:val="00DC3C36"/>
    <w:rsid w:val="00DC3D67"/>
    <w:rsid w:val="00DC3DC0"/>
    <w:rsid w:val="00DC599B"/>
    <w:rsid w:val="00DC5B2B"/>
    <w:rsid w:val="00DC5EF5"/>
    <w:rsid w:val="00DC66B4"/>
    <w:rsid w:val="00DC7D50"/>
    <w:rsid w:val="00DC7DA8"/>
    <w:rsid w:val="00DD0267"/>
    <w:rsid w:val="00DD03EC"/>
    <w:rsid w:val="00DD0B6F"/>
    <w:rsid w:val="00DD0CE2"/>
    <w:rsid w:val="00DD0E46"/>
    <w:rsid w:val="00DD161D"/>
    <w:rsid w:val="00DD187A"/>
    <w:rsid w:val="00DD261C"/>
    <w:rsid w:val="00DD318D"/>
    <w:rsid w:val="00DD335E"/>
    <w:rsid w:val="00DD3A0C"/>
    <w:rsid w:val="00DD3C4F"/>
    <w:rsid w:val="00DD45BC"/>
    <w:rsid w:val="00DD4B43"/>
    <w:rsid w:val="00DD4D68"/>
    <w:rsid w:val="00DD56E9"/>
    <w:rsid w:val="00DD5736"/>
    <w:rsid w:val="00DD6732"/>
    <w:rsid w:val="00DD67FF"/>
    <w:rsid w:val="00DD69F0"/>
    <w:rsid w:val="00DD6F21"/>
    <w:rsid w:val="00DD70FA"/>
    <w:rsid w:val="00DE181C"/>
    <w:rsid w:val="00DE29AF"/>
    <w:rsid w:val="00DE335D"/>
    <w:rsid w:val="00DE3EA4"/>
    <w:rsid w:val="00DE3ED5"/>
    <w:rsid w:val="00DE5009"/>
    <w:rsid w:val="00DE5434"/>
    <w:rsid w:val="00DE5489"/>
    <w:rsid w:val="00DE5C16"/>
    <w:rsid w:val="00DE628B"/>
    <w:rsid w:val="00DE66D7"/>
    <w:rsid w:val="00DE69AA"/>
    <w:rsid w:val="00DE6C2D"/>
    <w:rsid w:val="00DE702F"/>
    <w:rsid w:val="00DE7B94"/>
    <w:rsid w:val="00DE7DBD"/>
    <w:rsid w:val="00DF0667"/>
    <w:rsid w:val="00DF08AF"/>
    <w:rsid w:val="00DF0D68"/>
    <w:rsid w:val="00DF0E85"/>
    <w:rsid w:val="00DF2393"/>
    <w:rsid w:val="00DF2E12"/>
    <w:rsid w:val="00DF3A74"/>
    <w:rsid w:val="00DF449B"/>
    <w:rsid w:val="00DF4F10"/>
    <w:rsid w:val="00DF4F66"/>
    <w:rsid w:val="00DF4F99"/>
    <w:rsid w:val="00DF4FFA"/>
    <w:rsid w:val="00DF514A"/>
    <w:rsid w:val="00DF545E"/>
    <w:rsid w:val="00DF5E1B"/>
    <w:rsid w:val="00DF6690"/>
    <w:rsid w:val="00DF6804"/>
    <w:rsid w:val="00DF721F"/>
    <w:rsid w:val="00DF75E3"/>
    <w:rsid w:val="00DF766F"/>
    <w:rsid w:val="00DF7A59"/>
    <w:rsid w:val="00DF7BF6"/>
    <w:rsid w:val="00DF7F4D"/>
    <w:rsid w:val="00E001E0"/>
    <w:rsid w:val="00E0078B"/>
    <w:rsid w:val="00E01486"/>
    <w:rsid w:val="00E014A4"/>
    <w:rsid w:val="00E01721"/>
    <w:rsid w:val="00E0292B"/>
    <w:rsid w:val="00E02B71"/>
    <w:rsid w:val="00E0358D"/>
    <w:rsid w:val="00E03947"/>
    <w:rsid w:val="00E04323"/>
    <w:rsid w:val="00E04912"/>
    <w:rsid w:val="00E05E5D"/>
    <w:rsid w:val="00E06246"/>
    <w:rsid w:val="00E070A2"/>
    <w:rsid w:val="00E07246"/>
    <w:rsid w:val="00E0780A"/>
    <w:rsid w:val="00E07A3C"/>
    <w:rsid w:val="00E07A7E"/>
    <w:rsid w:val="00E07FC0"/>
    <w:rsid w:val="00E12389"/>
    <w:rsid w:val="00E12A3F"/>
    <w:rsid w:val="00E13A06"/>
    <w:rsid w:val="00E13B52"/>
    <w:rsid w:val="00E13CE8"/>
    <w:rsid w:val="00E142FA"/>
    <w:rsid w:val="00E1607A"/>
    <w:rsid w:val="00E162FA"/>
    <w:rsid w:val="00E16686"/>
    <w:rsid w:val="00E16E3F"/>
    <w:rsid w:val="00E16FE2"/>
    <w:rsid w:val="00E17887"/>
    <w:rsid w:val="00E17F2B"/>
    <w:rsid w:val="00E20013"/>
    <w:rsid w:val="00E21FBB"/>
    <w:rsid w:val="00E22233"/>
    <w:rsid w:val="00E226F3"/>
    <w:rsid w:val="00E23EA8"/>
    <w:rsid w:val="00E243BA"/>
    <w:rsid w:val="00E24BA9"/>
    <w:rsid w:val="00E2556E"/>
    <w:rsid w:val="00E258E8"/>
    <w:rsid w:val="00E25AC8"/>
    <w:rsid w:val="00E25D40"/>
    <w:rsid w:val="00E2656A"/>
    <w:rsid w:val="00E273A0"/>
    <w:rsid w:val="00E2770C"/>
    <w:rsid w:val="00E30B24"/>
    <w:rsid w:val="00E322E0"/>
    <w:rsid w:val="00E328CF"/>
    <w:rsid w:val="00E32A0B"/>
    <w:rsid w:val="00E32E58"/>
    <w:rsid w:val="00E32F8A"/>
    <w:rsid w:val="00E33156"/>
    <w:rsid w:val="00E331E9"/>
    <w:rsid w:val="00E33434"/>
    <w:rsid w:val="00E33796"/>
    <w:rsid w:val="00E33D75"/>
    <w:rsid w:val="00E34C68"/>
    <w:rsid w:val="00E35924"/>
    <w:rsid w:val="00E363D1"/>
    <w:rsid w:val="00E36988"/>
    <w:rsid w:val="00E36EFD"/>
    <w:rsid w:val="00E37C52"/>
    <w:rsid w:val="00E37E3C"/>
    <w:rsid w:val="00E40967"/>
    <w:rsid w:val="00E412D0"/>
    <w:rsid w:val="00E4159B"/>
    <w:rsid w:val="00E41840"/>
    <w:rsid w:val="00E41E97"/>
    <w:rsid w:val="00E427B3"/>
    <w:rsid w:val="00E42A36"/>
    <w:rsid w:val="00E43A15"/>
    <w:rsid w:val="00E44270"/>
    <w:rsid w:val="00E4570B"/>
    <w:rsid w:val="00E45719"/>
    <w:rsid w:val="00E45E2A"/>
    <w:rsid w:val="00E460C9"/>
    <w:rsid w:val="00E46A0D"/>
    <w:rsid w:val="00E46B20"/>
    <w:rsid w:val="00E46E8F"/>
    <w:rsid w:val="00E47796"/>
    <w:rsid w:val="00E478D4"/>
    <w:rsid w:val="00E478D5"/>
    <w:rsid w:val="00E50A3F"/>
    <w:rsid w:val="00E50D99"/>
    <w:rsid w:val="00E5223F"/>
    <w:rsid w:val="00E524C1"/>
    <w:rsid w:val="00E5277A"/>
    <w:rsid w:val="00E52FBC"/>
    <w:rsid w:val="00E53CD9"/>
    <w:rsid w:val="00E549B5"/>
    <w:rsid w:val="00E557A2"/>
    <w:rsid w:val="00E56322"/>
    <w:rsid w:val="00E56A94"/>
    <w:rsid w:val="00E578ED"/>
    <w:rsid w:val="00E579BC"/>
    <w:rsid w:val="00E57BE6"/>
    <w:rsid w:val="00E607A5"/>
    <w:rsid w:val="00E60982"/>
    <w:rsid w:val="00E60D00"/>
    <w:rsid w:val="00E61206"/>
    <w:rsid w:val="00E623B8"/>
    <w:rsid w:val="00E623EA"/>
    <w:rsid w:val="00E62B14"/>
    <w:rsid w:val="00E62C62"/>
    <w:rsid w:val="00E62F02"/>
    <w:rsid w:val="00E6340E"/>
    <w:rsid w:val="00E63850"/>
    <w:rsid w:val="00E639FA"/>
    <w:rsid w:val="00E63DD3"/>
    <w:rsid w:val="00E646A9"/>
    <w:rsid w:val="00E654C1"/>
    <w:rsid w:val="00E6593E"/>
    <w:rsid w:val="00E65D97"/>
    <w:rsid w:val="00E663AC"/>
    <w:rsid w:val="00E67477"/>
    <w:rsid w:val="00E677BD"/>
    <w:rsid w:val="00E70276"/>
    <w:rsid w:val="00E70746"/>
    <w:rsid w:val="00E70925"/>
    <w:rsid w:val="00E70CC0"/>
    <w:rsid w:val="00E719E8"/>
    <w:rsid w:val="00E72065"/>
    <w:rsid w:val="00E72938"/>
    <w:rsid w:val="00E72A5A"/>
    <w:rsid w:val="00E73354"/>
    <w:rsid w:val="00E73655"/>
    <w:rsid w:val="00E737F5"/>
    <w:rsid w:val="00E73FAB"/>
    <w:rsid w:val="00E73FCC"/>
    <w:rsid w:val="00E740A8"/>
    <w:rsid w:val="00E741CB"/>
    <w:rsid w:val="00E74D77"/>
    <w:rsid w:val="00E74DCD"/>
    <w:rsid w:val="00E761F3"/>
    <w:rsid w:val="00E766EB"/>
    <w:rsid w:val="00E80D42"/>
    <w:rsid w:val="00E80D89"/>
    <w:rsid w:val="00E812C1"/>
    <w:rsid w:val="00E81DB9"/>
    <w:rsid w:val="00E81E6B"/>
    <w:rsid w:val="00E83F2B"/>
    <w:rsid w:val="00E847A0"/>
    <w:rsid w:val="00E84E67"/>
    <w:rsid w:val="00E8555E"/>
    <w:rsid w:val="00E856B7"/>
    <w:rsid w:val="00E858FB"/>
    <w:rsid w:val="00E85C34"/>
    <w:rsid w:val="00E8692C"/>
    <w:rsid w:val="00E91435"/>
    <w:rsid w:val="00E9242D"/>
    <w:rsid w:val="00E92DA2"/>
    <w:rsid w:val="00E93C6E"/>
    <w:rsid w:val="00E94836"/>
    <w:rsid w:val="00E953DA"/>
    <w:rsid w:val="00E95F6C"/>
    <w:rsid w:val="00E97880"/>
    <w:rsid w:val="00E97971"/>
    <w:rsid w:val="00E97DC8"/>
    <w:rsid w:val="00EA020C"/>
    <w:rsid w:val="00EA0391"/>
    <w:rsid w:val="00EA0E90"/>
    <w:rsid w:val="00EA0F76"/>
    <w:rsid w:val="00EA21CF"/>
    <w:rsid w:val="00EA27E6"/>
    <w:rsid w:val="00EA2C81"/>
    <w:rsid w:val="00EA36DE"/>
    <w:rsid w:val="00EA3976"/>
    <w:rsid w:val="00EA39F2"/>
    <w:rsid w:val="00EA4CCD"/>
    <w:rsid w:val="00EA4FB5"/>
    <w:rsid w:val="00EA53BD"/>
    <w:rsid w:val="00EA5E15"/>
    <w:rsid w:val="00EA6E99"/>
    <w:rsid w:val="00EA7060"/>
    <w:rsid w:val="00EB0445"/>
    <w:rsid w:val="00EB0C74"/>
    <w:rsid w:val="00EB19D1"/>
    <w:rsid w:val="00EB38D5"/>
    <w:rsid w:val="00EB4281"/>
    <w:rsid w:val="00EB5255"/>
    <w:rsid w:val="00EB566F"/>
    <w:rsid w:val="00EB5C47"/>
    <w:rsid w:val="00EB6DA4"/>
    <w:rsid w:val="00EB7928"/>
    <w:rsid w:val="00EB7960"/>
    <w:rsid w:val="00EC032E"/>
    <w:rsid w:val="00EC13C9"/>
    <w:rsid w:val="00EC1D1E"/>
    <w:rsid w:val="00EC1E32"/>
    <w:rsid w:val="00EC2538"/>
    <w:rsid w:val="00EC2725"/>
    <w:rsid w:val="00EC2B15"/>
    <w:rsid w:val="00EC2BD8"/>
    <w:rsid w:val="00EC3B06"/>
    <w:rsid w:val="00EC445C"/>
    <w:rsid w:val="00EC4ACF"/>
    <w:rsid w:val="00EC52DB"/>
    <w:rsid w:val="00EC5830"/>
    <w:rsid w:val="00EC663D"/>
    <w:rsid w:val="00EC6921"/>
    <w:rsid w:val="00EC727D"/>
    <w:rsid w:val="00ED0639"/>
    <w:rsid w:val="00ED097A"/>
    <w:rsid w:val="00ED09E6"/>
    <w:rsid w:val="00ED52FB"/>
    <w:rsid w:val="00ED53AE"/>
    <w:rsid w:val="00ED541D"/>
    <w:rsid w:val="00ED5B5E"/>
    <w:rsid w:val="00ED609E"/>
    <w:rsid w:val="00ED722E"/>
    <w:rsid w:val="00ED7A98"/>
    <w:rsid w:val="00EE0403"/>
    <w:rsid w:val="00EE0F1B"/>
    <w:rsid w:val="00EE158B"/>
    <w:rsid w:val="00EE1923"/>
    <w:rsid w:val="00EE1C70"/>
    <w:rsid w:val="00EE1FA8"/>
    <w:rsid w:val="00EE2D6C"/>
    <w:rsid w:val="00EE393D"/>
    <w:rsid w:val="00EE4203"/>
    <w:rsid w:val="00EE43C1"/>
    <w:rsid w:val="00EE697B"/>
    <w:rsid w:val="00EE6CB0"/>
    <w:rsid w:val="00EE777E"/>
    <w:rsid w:val="00EF008D"/>
    <w:rsid w:val="00EF075C"/>
    <w:rsid w:val="00EF1C9E"/>
    <w:rsid w:val="00EF270A"/>
    <w:rsid w:val="00EF2DE3"/>
    <w:rsid w:val="00EF37D6"/>
    <w:rsid w:val="00EF3BF7"/>
    <w:rsid w:val="00EF40BF"/>
    <w:rsid w:val="00EF41FD"/>
    <w:rsid w:val="00EF4404"/>
    <w:rsid w:val="00EF4755"/>
    <w:rsid w:val="00EF49D9"/>
    <w:rsid w:val="00EF4BEF"/>
    <w:rsid w:val="00EF4BFC"/>
    <w:rsid w:val="00EF4EF4"/>
    <w:rsid w:val="00EF5579"/>
    <w:rsid w:val="00EF637B"/>
    <w:rsid w:val="00EF7135"/>
    <w:rsid w:val="00F00236"/>
    <w:rsid w:val="00F0033C"/>
    <w:rsid w:val="00F004E0"/>
    <w:rsid w:val="00F0055A"/>
    <w:rsid w:val="00F009D1"/>
    <w:rsid w:val="00F00A74"/>
    <w:rsid w:val="00F00E3E"/>
    <w:rsid w:val="00F024F0"/>
    <w:rsid w:val="00F02732"/>
    <w:rsid w:val="00F027DB"/>
    <w:rsid w:val="00F02AB2"/>
    <w:rsid w:val="00F03524"/>
    <w:rsid w:val="00F036EC"/>
    <w:rsid w:val="00F03767"/>
    <w:rsid w:val="00F03A9D"/>
    <w:rsid w:val="00F03EC1"/>
    <w:rsid w:val="00F0459F"/>
    <w:rsid w:val="00F048AA"/>
    <w:rsid w:val="00F04ED1"/>
    <w:rsid w:val="00F05116"/>
    <w:rsid w:val="00F054CB"/>
    <w:rsid w:val="00F05CB1"/>
    <w:rsid w:val="00F067CF"/>
    <w:rsid w:val="00F07307"/>
    <w:rsid w:val="00F0740F"/>
    <w:rsid w:val="00F07EB8"/>
    <w:rsid w:val="00F10195"/>
    <w:rsid w:val="00F10347"/>
    <w:rsid w:val="00F10A5B"/>
    <w:rsid w:val="00F10EF4"/>
    <w:rsid w:val="00F11BAC"/>
    <w:rsid w:val="00F12574"/>
    <w:rsid w:val="00F12BA2"/>
    <w:rsid w:val="00F12E69"/>
    <w:rsid w:val="00F139BC"/>
    <w:rsid w:val="00F13C80"/>
    <w:rsid w:val="00F1404A"/>
    <w:rsid w:val="00F142B2"/>
    <w:rsid w:val="00F148E1"/>
    <w:rsid w:val="00F14A7A"/>
    <w:rsid w:val="00F151AD"/>
    <w:rsid w:val="00F1552A"/>
    <w:rsid w:val="00F155F9"/>
    <w:rsid w:val="00F15F78"/>
    <w:rsid w:val="00F16C1F"/>
    <w:rsid w:val="00F170BC"/>
    <w:rsid w:val="00F213C7"/>
    <w:rsid w:val="00F22985"/>
    <w:rsid w:val="00F22A2A"/>
    <w:rsid w:val="00F22BE7"/>
    <w:rsid w:val="00F237B0"/>
    <w:rsid w:val="00F251A6"/>
    <w:rsid w:val="00F25D1E"/>
    <w:rsid w:val="00F25F6C"/>
    <w:rsid w:val="00F26332"/>
    <w:rsid w:val="00F2660E"/>
    <w:rsid w:val="00F26648"/>
    <w:rsid w:val="00F266B2"/>
    <w:rsid w:val="00F27718"/>
    <w:rsid w:val="00F279C9"/>
    <w:rsid w:val="00F30F29"/>
    <w:rsid w:val="00F3100F"/>
    <w:rsid w:val="00F313DE"/>
    <w:rsid w:val="00F315AE"/>
    <w:rsid w:val="00F31B18"/>
    <w:rsid w:val="00F31D11"/>
    <w:rsid w:val="00F32AA0"/>
    <w:rsid w:val="00F32D4B"/>
    <w:rsid w:val="00F32EBF"/>
    <w:rsid w:val="00F3315F"/>
    <w:rsid w:val="00F331A1"/>
    <w:rsid w:val="00F3383E"/>
    <w:rsid w:val="00F33C24"/>
    <w:rsid w:val="00F3407C"/>
    <w:rsid w:val="00F344B1"/>
    <w:rsid w:val="00F34AF9"/>
    <w:rsid w:val="00F34F1A"/>
    <w:rsid w:val="00F34F98"/>
    <w:rsid w:val="00F36BAE"/>
    <w:rsid w:val="00F373F7"/>
    <w:rsid w:val="00F37CF4"/>
    <w:rsid w:val="00F37F95"/>
    <w:rsid w:val="00F40116"/>
    <w:rsid w:val="00F40561"/>
    <w:rsid w:val="00F4092E"/>
    <w:rsid w:val="00F41118"/>
    <w:rsid w:val="00F41177"/>
    <w:rsid w:val="00F412F1"/>
    <w:rsid w:val="00F419EE"/>
    <w:rsid w:val="00F41F9E"/>
    <w:rsid w:val="00F43483"/>
    <w:rsid w:val="00F45695"/>
    <w:rsid w:val="00F458C0"/>
    <w:rsid w:val="00F4597E"/>
    <w:rsid w:val="00F45BC2"/>
    <w:rsid w:val="00F465A7"/>
    <w:rsid w:val="00F4729F"/>
    <w:rsid w:val="00F473B6"/>
    <w:rsid w:val="00F474A4"/>
    <w:rsid w:val="00F479B3"/>
    <w:rsid w:val="00F47AA6"/>
    <w:rsid w:val="00F50B7C"/>
    <w:rsid w:val="00F5213C"/>
    <w:rsid w:val="00F5294B"/>
    <w:rsid w:val="00F531CF"/>
    <w:rsid w:val="00F5329D"/>
    <w:rsid w:val="00F5340D"/>
    <w:rsid w:val="00F53B2F"/>
    <w:rsid w:val="00F53BA2"/>
    <w:rsid w:val="00F53D58"/>
    <w:rsid w:val="00F550E6"/>
    <w:rsid w:val="00F55320"/>
    <w:rsid w:val="00F566D0"/>
    <w:rsid w:val="00F568B1"/>
    <w:rsid w:val="00F56B86"/>
    <w:rsid w:val="00F56BD0"/>
    <w:rsid w:val="00F57090"/>
    <w:rsid w:val="00F60AFC"/>
    <w:rsid w:val="00F611CC"/>
    <w:rsid w:val="00F61806"/>
    <w:rsid w:val="00F6292D"/>
    <w:rsid w:val="00F62A7E"/>
    <w:rsid w:val="00F6373A"/>
    <w:rsid w:val="00F64DF3"/>
    <w:rsid w:val="00F65356"/>
    <w:rsid w:val="00F657DC"/>
    <w:rsid w:val="00F65815"/>
    <w:rsid w:val="00F65974"/>
    <w:rsid w:val="00F65991"/>
    <w:rsid w:val="00F65D1A"/>
    <w:rsid w:val="00F65D45"/>
    <w:rsid w:val="00F66295"/>
    <w:rsid w:val="00F66879"/>
    <w:rsid w:val="00F66A42"/>
    <w:rsid w:val="00F66C74"/>
    <w:rsid w:val="00F7015F"/>
    <w:rsid w:val="00F70691"/>
    <w:rsid w:val="00F70DFC"/>
    <w:rsid w:val="00F71092"/>
    <w:rsid w:val="00F713B4"/>
    <w:rsid w:val="00F717B0"/>
    <w:rsid w:val="00F7185B"/>
    <w:rsid w:val="00F72282"/>
    <w:rsid w:val="00F72BEB"/>
    <w:rsid w:val="00F7303A"/>
    <w:rsid w:val="00F735E8"/>
    <w:rsid w:val="00F73BA7"/>
    <w:rsid w:val="00F73D74"/>
    <w:rsid w:val="00F74345"/>
    <w:rsid w:val="00F74389"/>
    <w:rsid w:val="00F747E8"/>
    <w:rsid w:val="00F75CF8"/>
    <w:rsid w:val="00F760F5"/>
    <w:rsid w:val="00F76135"/>
    <w:rsid w:val="00F77806"/>
    <w:rsid w:val="00F77B6C"/>
    <w:rsid w:val="00F77C2B"/>
    <w:rsid w:val="00F80056"/>
    <w:rsid w:val="00F80A0A"/>
    <w:rsid w:val="00F80B71"/>
    <w:rsid w:val="00F8142E"/>
    <w:rsid w:val="00F8195F"/>
    <w:rsid w:val="00F81D6A"/>
    <w:rsid w:val="00F81E57"/>
    <w:rsid w:val="00F82006"/>
    <w:rsid w:val="00F829A9"/>
    <w:rsid w:val="00F82B19"/>
    <w:rsid w:val="00F82BDC"/>
    <w:rsid w:val="00F83041"/>
    <w:rsid w:val="00F83316"/>
    <w:rsid w:val="00F84034"/>
    <w:rsid w:val="00F84263"/>
    <w:rsid w:val="00F866BF"/>
    <w:rsid w:val="00F867D0"/>
    <w:rsid w:val="00F87469"/>
    <w:rsid w:val="00F87C39"/>
    <w:rsid w:val="00F906E1"/>
    <w:rsid w:val="00F9212D"/>
    <w:rsid w:val="00F93394"/>
    <w:rsid w:val="00F93760"/>
    <w:rsid w:val="00F9379D"/>
    <w:rsid w:val="00F93DB6"/>
    <w:rsid w:val="00F941ED"/>
    <w:rsid w:val="00F95A9B"/>
    <w:rsid w:val="00F95C55"/>
    <w:rsid w:val="00F95FED"/>
    <w:rsid w:val="00F961F4"/>
    <w:rsid w:val="00F96229"/>
    <w:rsid w:val="00F96242"/>
    <w:rsid w:val="00F96551"/>
    <w:rsid w:val="00F965DA"/>
    <w:rsid w:val="00F96CB9"/>
    <w:rsid w:val="00F96D11"/>
    <w:rsid w:val="00F975E8"/>
    <w:rsid w:val="00FA0821"/>
    <w:rsid w:val="00FA0873"/>
    <w:rsid w:val="00FA1F34"/>
    <w:rsid w:val="00FA290F"/>
    <w:rsid w:val="00FA2CE7"/>
    <w:rsid w:val="00FA3B75"/>
    <w:rsid w:val="00FA3C8C"/>
    <w:rsid w:val="00FA406A"/>
    <w:rsid w:val="00FA71BF"/>
    <w:rsid w:val="00FA79CF"/>
    <w:rsid w:val="00FB0129"/>
    <w:rsid w:val="00FB02DA"/>
    <w:rsid w:val="00FB08B5"/>
    <w:rsid w:val="00FB11A6"/>
    <w:rsid w:val="00FB1578"/>
    <w:rsid w:val="00FB23BA"/>
    <w:rsid w:val="00FB2507"/>
    <w:rsid w:val="00FB40A4"/>
    <w:rsid w:val="00FB4A93"/>
    <w:rsid w:val="00FB4C4B"/>
    <w:rsid w:val="00FB4E10"/>
    <w:rsid w:val="00FB503A"/>
    <w:rsid w:val="00FB516C"/>
    <w:rsid w:val="00FB554B"/>
    <w:rsid w:val="00FB6A61"/>
    <w:rsid w:val="00FC001B"/>
    <w:rsid w:val="00FC03E1"/>
    <w:rsid w:val="00FC0732"/>
    <w:rsid w:val="00FC09BB"/>
    <w:rsid w:val="00FC1B71"/>
    <w:rsid w:val="00FC2899"/>
    <w:rsid w:val="00FC2BB1"/>
    <w:rsid w:val="00FC2FC1"/>
    <w:rsid w:val="00FC35B8"/>
    <w:rsid w:val="00FC3702"/>
    <w:rsid w:val="00FC3E81"/>
    <w:rsid w:val="00FC52A2"/>
    <w:rsid w:val="00FC56FB"/>
    <w:rsid w:val="00FC58F2"/>
    <w:rsid w:val="00FC71B1"/>
    <w:rsid w:val="00FC7751"/>
    <w:rsid w:val="00FD00B2"/>
    <w:rsid w:val="00FD0236"/>
    <w:rsid w:val="00FD0F79"/>
    <w:rsid w:val="00FD117D"/>
    <w:rsid w:val="00FD18F4"/>
    <w:rsid w:val="00FD1DFA"/>
    <w:rsid w:val="00FD1E72"/>
    <w:rsid w:val="00FD2399"/>
    <w:rsid w:val="00FD24DA"/>
    <w:rsid w:val="00FD3389"/>
    <w:rsid w:val="00FD41DC"/>
    <w:rsid w:val="00FD4941"/>
    <w:rsid w:val="00FD54DB"/>
    <w:rsid w:val="00FD57EB"/>
    <w:rsid w:val="00FD619F"/>
    <w:rsid w:val="00FD66C2"/>
    <w:rsid w:val="00FD6CE0"/>
    <w:rsid w:val="00FD6E87"/>
    <w:rsid w:val="00FD7018"/>
    <w:rsid w:val="00FD7282"/>
    <w:rsid w:val="00FD7FB1"/>
    <w:rsid w:val="00FE0B94"/>
    <w:rsid w:val="00FE1B53"/>
    <w:rsid w:val="00FE1C33"/>
    <w:rsid w:val="00FE1E62"/>
    <w:rsid w:val="00FE395E"/>
    <w:rsid w:val="00FE3B44"/>
    <w:rsid w:val="00FE3DAE"/>
    <w:rsid w:val="00FE536F"/>
    <w:rsid w:val="00FE5637"/>
    <w:rsid w:val="00FE5E07"/>
    <w:rsid w:val="00FE6778"/>
    <w:rsid w:val="00FE6EB6"/>
    <w:rsid w:val="00FE769D"/>
    <w:rsid w:val="00FE775A"/>
    <w:rsid w:val="00FE7C27"/>
    <w:rsid w:val="00FF01A6"/>
    <w:rsid w:val="00FF0CF8"/>
    <w:rsid w:val="00FF0EE3"/>
    <w:rsid w:val="00FF0F89"/>
    <w:rsid w:val="00FF188E"/>
    <w:rsid w:val="00FF20A9"/>
    <w:rsid w:val="00FF36AE"/>
    <w:rsid w:val="00FF38A3"/>
    <w:rsid w:val="00FF3A73"/>
    <w:rsid w:val="00FF4DFC"/>
    <w:rsid w:val="00FF4F36"/>
    <w:rsid w:val="00FF547E"/>
    <w:rsid w:val="00FF59BC"/>
    <w:rsid w:val="00FF5F61"/>
    <w:rsid w:val="00FF656D"/>
    <w:rsid w:val="00FF7FCD"/>
    <w:rsid w:val="010411BC"/>
    <w:rsid w:val="01066CBA"/>
    <w:rsid w:val="010A2F9E"/>
    <w:rsid w:val="010E3F17"/>
    <w:rsid w:val="0113077C"/>
    <w:rsid w:val="011E1FE4"/>
    <w:rsid w:val="01290F7E"/>
    <w:rsid w:val="012C3447"/>
    <w:rsid w:val="012F3222"/>
    <w:rsid w:val="01343C25"/>
    <w:rsid w:val="01346C1E"/>
    <w:rsid w:val="013E2686"/>
    <w:rsid w:val="01415CD2"/>
    <w:rsid w:val="01541EA9"/>
    <w:rsid w:val="015D1E09"/>
    <w:rsid w:val="015E6884"/>
    <w:rsid w:val="01602EAB"/>
    <w:rsid w:val="01613B08"/>
    <w:rsid w:val="01620C7B"/>
    <w:rsid w:val="016226ED"/>
    <w:rsid w:val="0168325F"/>
    <w:rsid w:val="01701746"/>
    <w:rsid w:val="01787946"/>
    <w:rsid w:val="01791910"/>
    <w:rsid w:val="018207C5"/>
    <w:rsid w:val="018267F2"/>
    <w:rsid w:val="01853E11"/>
    <w:rsid w:val="01896811"/>
    <w:rsid w:val="019127B6"/>
    <w:rsid w:val="01993D60"/>
    <w:rsid w:val="01996306"/>
    <w:rsid w:val="019F1377"/>
    <w:rsid w:val="01A61ADC"/>
    <w:rsid w:val="01AC75F0"/>
    <w:rsid w:val="01C761D7"/>
    <w:rsid w:val="01CC5EE4"/>
    <w:rsid w:val="01CF7648"/>
    <w:rsid w:val="01DA7527"/>
    <w:rsid w:val="01E44870"/>
    <w:rsid w:val="01E704A0"/>
    <w:rsid w:val="01EA0118"/>
    <w:rsid w:val="01EF572E"/>
    <w:rsid w:val="01F20EFE"/>
    <w:rsid w:val="020236B3"/>
    <w:rsid w:val="020877CF"/>
    <w:rsid w:val="021005A1"/>
    <w:rsid w:val="021109CB"/>
    <w:rsid w:val="02117D9A"/>
    <w:rsid w:val="021228CF"/>
    <w:rsid w:val="021653B1"/>
    <w:rsid w:val="021A7121"/>
    <w:rsid w:val="021D693B"/>
    <w:rsid w:val="02203B3A"/>
    <w:rsid w:val="02226DE7"/>
    <w:rsid w:val="022A6766"/>
    <w:rsid w:val="02353A89"/>
    <w:rsid w:val="02385327"/>
    <w:rsid w:val="023B0973"/>
    <w:rsid w:val="023C1459"/>
    <w:rsid w:val="023E381C"/>
    <w:rsid w:val="024C2B81"/>
    <w:rsid w:val="024E68F9"/>
    <w:rsid w:val="025114D9"/>
    <w:rsid w:val="025657AD"/>
    <w:rsid w:val="0256755B"/>
    <w:rsid w:val="02586F69"/>
    <w:rsid w:val="026779BA"/>
    <w:rsid w:val="02691984"/>
    <w:rsid w:val="02693733"/>
    <w:rsid w:val="02697903"/>
    <w:rsid w:val="027115F3"/>
    <w:rsid w:val="027A5A3F"/>
    <w:rsid w:val="02867093"/>
    <w:rsid w:val="028E4F47"/>
    <w:rsid w:val="02906F11"/>
    <w:rsid w:val="029B1758"/>
    <w:rsid w:val="029C7664"/>
    <w:rsid w:val="02A46519"/>
    <w:rsid w:val="02A65F2F"/>
    <w:rsid w:val="02A97FD3"/>
    <w:rsid w:val="02B01361"/>
    <w:rsid w:val="02B250DA"/>
    <w:rsid w:val="02B521B4"/>
    <w:rsid w:val="02BB4F8D"/>
    <w:rsid w:val="02BC2F91"/>
    <w:rsid w:val="02BE3A7E"/>
    <w:rsid w:val="02CE3596"/>
    <w:rsid w:val="02D2752A"/>
    <w:rsid w:val="02D57D43"/>
    <w:rsid w:val="02D958E4"/>
    <w:rsid w:val="02E84225"/>
    <w:rsid w:val="02E84657"/>
    <w:rsid w:val="02EB03C7"/>
    <w:rsid w:val="02EB4148"/>
    <w:rsid w:val="02EF1E8A"/>
    <w:rsid w:val="02F0530D"/>
    <w:rsid w:val="02F53218"/>
    <w:rsid w:val="02F72AEC"/>
    <w:rsid w:val="02F96569"/>
    <w:rsid w:val="02FA25DD"/>
    <w:rsid w:val="03003D67"/>
    <w:rsid w:val="03044E5C"/>
    <w:rsid w:val="03086AA8"/>
    <w:rsid w:val="030B72E4"/>
    <w:rsid w:val="0310139E"/>
    <w:rsid w:val="03133278"/>
    <w:rsid w:val="0314369E"/>
    <w:rsid w:val="032D650E"/>
    <w:rsid w:val="032E26CA"/>
    <w:rsid w:val="032F672A"/>
    <w:rsid w:val="03353615"/>
    <w:rsid w:val="03393105"/>
    <w:rsid w:val="033B50CF"/>
    <w:rsid w:val="034B2A33"/>
    <w:rsid w:val="034F46D6"/>
    <w:rsid w:val="035000AB"/>
    <w:rsid w:val="03561C54"/>
    <w:rsid w:val="0357231C"/>
    <w:rsid w:val="0361440A"/>
    <w:rsid w:val="03685798"/>
    <w:rsid w:val="036E2742"/>
    <w:rsid w:val="037E4FBC"/>
    <w:rsid w:val="037E6D7C"/>
    <w:rsid w:val="03830824"/>
    <w:rsid w:val="03874E6F"/>
    <w:rsid w:val="0388408C"/>
    <w:rsid w:val="0389522B"/>
    <w:rsid w:val="038B1487"/>
    <w:rsid w:val="039C2372"/>
    <w:rsid w:val="03A334C0"/>
    <w:rsid w:val="03A5079A"/>
    <w:rsid w:val="03AB26E4"/>
    <w:rsid w:val="03AF786B"/>
    <w:rsid w:val="03B1713F"/>
    <w:rsid w:val="03B70C87"/>
    <w:rsid w:val="03BC7892"/>
    <w:rsid w:val="03CD1A9F"/>
    <w:rsid w:val="03E00A2D"/>
    <w:rsid w:val="03E01392"/>
    <w:rsid w:val="03E26ED3"/>
    <w:rsid w:val="03E3042A"/>
    <w:rsid w:val="03E4704A"/>
    <w:rsid w:val="03EA43FF"/>
    <w:rsid w:val="03EA7B21"/>
    <w:rsid w:val="03F84D6E"/>
    <w:rsid w:val="04041965"/>
    <w:rsid w:val="0405748B"/>
    <w:rsid w:val="04083795"/>
    <w:rsid w:val="040E27E3"/>
    <w:rsid w:val="040F5AE1"/>
    <w:rsid w:val="0410030A"/>
    <w:rsid w:val="04125FCD"/>
    <w:rsid w:val="041476CE"/>
    <w:rsid w:val="04160345"/>
    <w:rsid w:val="04194CE4"/>
    <w:rsid w:val="041A14B3"/>
    <w:rsid w:val="04207E21"/>
    <w:rsid w:val="04294F27"/>
    <w:rsid w:val="042E253E"/>
    <w:rsid w:val="04367644"/>
    <w:rsid w:val="043E429C"/>
    <w:rsid w:val="04402271"/>
    <w:rsid w:val="0442248D"/>
    <w:rsid w:val="04424878"/>
    <w:rsid w:val="045A1585"/>
    <w:rsid w:val="045A77D7"/>
    <w:rsid w:val="045F4DED"/>
    <w:rsid w:val="04616819"/>
    <w:rsid w:val="046441B2"/>
    <w:rsid w:val="04651E61"/>
    <w:rsid w:val="04675A50"/>
    <w:rsid w:val="046C3066"/>
    <w:rsid w:val="048246C2"/>
    <w:rsid w:val="048D4CA0"/>
    <w:rsid w:val="048F7CF9"/>
    <w:rsid w:val="04900156"/>
    <w:rsid w:val="049820AD"/>
    <w:rsid w:val="04A07C4B"/>
    <w:rsid w:val="04A6353E"/>
    <w:rsid w:val="04A86794"/>
    <w:rsid w:val="04A9250C"/>
    <w:rsid w:val="04A96068"/>
    <w:rsid w:val="04AB1DE0"/>
    <w:rsid w:val="04AE6738"/>
    <w:rsid w:val="04B21229"/>
    <w:rsid w:val="04B30C95"/>
    <w:rsid w:val="04B36EE7"/>
    <w:rsid w:val="04BA4C7D"/>
    <w:rsid w:val="04BA64C7"/>
    <w:rsid w:val="04BF379F"/>
    <w:rsid w:val="04C902E7"/>
    <w:rsid w:val="04CD6009"/>
    <w:rsid w:val="04D70BF5"/>
    <w:rsid w:val="04D72BD5"/>
    <w:rsid w:val="04E4640D"/>
    <w:rsid w:val="04E84DE3"/>
    <w:rsid w:val="04E946B7"/>
    <w:rsid w:val="04F33787"/>
    <w:rsid w:val="04F73278"/>
    <w:rsid w:val="04F802EC"/>
    <w:rsid w:val="04FC088E"/>
    <w:rsid w:val="04FD04E8"/>
    <w:rsid w:val="05113D6B"/>
    <w:rsid w:val="051664DA"/>
    <w:rsid w:val="05177476"/>
    <w:rsid w:val="051D7841"/>
    <w:rsid w:val="052027CE"/>
    <w:rsid w:val="05235E1B"/>
    <w:rsid w:val="0527696A"/>
    <w:rsid w:val="0528425F"/>
    <w:rsid w:val="052E47BF"/>
    <w:rsid w:val="05304992"/>
    <w:rsid w:val="053171B4"/>
    <w:rsid w:val="05322502"/>
    <w:rsid w:val="05362A09"/>
    <w:rsid w:val="053F3C41"/>
    <w:rsid w:val="054327B3"/>
    <w:rsid w:val="0543421B"/>
    <w:rsid w:val="05461B09"/>
    <w:rsid w:val="05466C03"/>
    <w:rsid w:val="054A15F9"/>
    <w:rsid w:val="054A784B"/>
    <w:rsid w:val="054D1B01"/>
    <w:rsid w:val="054F5B92"/>
    <w:rsid w:val="05500BDA"/>
    <w:rsid w:val="055203BA"/>
    <w:rsid w:val="055406CA"/>
    <w:rsid w:val="05544226"/>
    <w:rsid w:val="05555139"/>
    <w:rsid w:val="05575210"/>
    <w:rsid w:val="055E32F7"/>
    <w:rsid w:val="05687F3F"/>
    <w:rsid w:val="056A24FD"/>
    <w:rsid w:val="056D178C"/>
    <w:rsid w:val="057228FE"/>
    <w:rsid w:val="057410C1"/>
    <w:rsid w:val="0579711A"/>
    <w:rsid w:val="0592111A"/>
    <w:rsid w:val="059D3E1F"/>
    <w:rsid w:val="059E36F3"/>
    <w:rsid w:val="05A012C8"/>
    <w:rsid w:val="05A0772D"/>
    <w:rsid w:val="05A36F5B"/>
    <w:rsid w:val="05A41548"/>
    <w:rsid w:val="05A76A4C"/>
    <w:rsid w:val="05BC1DCB"/>
    <w:rsid w:val="05BE3D95"/>
    <w:rsid w:val="05CD222A"/>
    <w:rsid w:val="05D15877"/>
    <w:rsid w:val="05D213FF"/>
    <w:rsid w:val="05E55B16"/>
    <w:rsid w:val="05E732EC"/>
    <w:rsid w:val="05E82BC0"/>
    <w:rsid w:val="05EA6938"/>
    <w:rsid w:val="05EB7905"/>
    <w:rsid w:val="05F83EAE"/>
    <w:rsid w:val="05FF6A84"/>
    <w:rsid w:val="060043AE"/>
    <w:rsid w:val="060379FA"/>
    <w:rsid w:val="060F42A3"/>
    <w:rsid w:val="060F76E9"/>
    <w:rsid w:val="06110369"/>
    <w:rsid w:val="06113EC5"/>
    <w:rsid w:val="06127C3D"/>
    <w:rsid w:val="06141C07"/>
    <w:rsid w:val="06191CA7"/>
    <w:rsid w:val="06253E14"/>
    <w:rsid w:val="06316315"/>
    <w:rsid w:val="06340B26"/>
    <w:rsid w:val="063522A9"/>
    <w:rsid w:val="063B192D"/>
    <w:rsid w:val="063E7D85"/>
    <w:rsid w:val="06427F85"/>
    <w:rsid w:val="0647233D"/>
    <w:rsid w:val="06472967"/>
    <w:rsid w:val="0648365F"/>
    <w:rsid w:val="064C75F3"/>
    <w:rsid w:val="064E21DF"/>
    <w:rsid w:val="064F2FA2"/>
    <w:rsid w:val="06540256"/>
    <w:rsid w:val="06564AA0"/>
    <w:rsid w:val="0658576B"/>
    <w:rsid w:val="065A3ABE"/>
    <w:rsid w:val="065D3D58"/>
    <w:rsid w:val="06606BFB"/>
    <w:rsid w:val="06640499"/>
    <w:rsid w:val="066528BB"/>
    <w:rsid w:val="0667220B"/>
    <w:rsid w:val="066B41DA"/>
    <w:rsid w:val="066F433A"/>
    <w:rsid w:val="066F46D3"/>
    <w:rsid w:val="06762343"/>
    <w:rsid w:val="0678280F"/>
    <w:rsid w:val="067C6ECF"/>
    <w:rsid w:val="067D155B"/>
    <w:rsid w:val="067F52D3"/>
    <w:rsid w:val="06823015"/>
    <w:rsid w:val="068723D9"/>
    <w:rsid w:val="068A3C77"/>
    <w:rsid w:val="068F658C"/>
    <w:rsid w:val="06922990"/>
    <w:rsid w:val="069468A4"/>
    <w:rsid w:val="06986394"/>
    <w:rsid w:val="069E47FD"/>
    <w:rsid w:val="06A342FB"/>
    <w:rsid w:val="06A74829"/>
    <w:rsid w:val="06A967F3"/>
    <w:rsid w:val="06B34F7C"/>
    <w:rsid w:val="06B37672"/>
    <w:rsid w:val="06B70F10"/>
    <w:rsid w:val="06B83B39"/>
    <w:rsid w:val="06BA7D75"/>
    <w:rsid w:val="06BC02D5"/>
    <w:rsid w:val="06C477F9"/>
    <w:rsid w:val="06C673A5"/>
    <w:rsid w:val="06C86354"/>
    <w:rsid w:val="06CB676A"/>
    <w:rsid w:val="06CC4290"/>
    <w:rsid w:val="06D80E87"/>
    <w:rsid w:val="06DE343C"/>
    <w:rsid w:val="06DF5C57"/>
    <w:rsid w:val="06EE2FEE"/>
    <w:rsid w:val="06F4641F"/>
    <w:rsid w:val="06F47E67"/>
    <w:rsid w:val="06F860F0"/>
    <w:rsid w:val="06F9098C"/>
    <w:rsid w:val="06FD269B"/>
    <w:rsid w:val="06FF4665"/>
    <w:rsid w:val="07023F74"/>
    <w:rsid w:val="07043A2A"/>
    <w:rsid w:val="070457D8"/>
    <w:rsid w:val="070C61D7"/>
    <w:rsid w:val="071148AE"/>
    <w:rsid w:val="07133C6D"/>
    <w:rsid w:val="0717375D"/>
    <w:rsid w:val="071A4FFB"/>
    <w:rsid w:val="071B2025"/>
    <w:rsid w:val="071E2D3E"/>
    <w:rsid w:val="071F2378"/>
    <w:rsid w:val="071F2612"/>
    <w:rsid w:val="0721638A"/>
    <w:rsid w:val="072639A0"/>
    <w:rsid w:val="07272090"/>
    <w:rsid w:val="07293586"/>
    <w:rsid w:val="07295285"/>
    <w:rsid w:val="072C31D4"/>
    <w:rsid w:val="072F10AD"/>
    <w:rsid w:val="07302A71"/>
    <w:rsid w:val="073267E9"/>
    <w:rsid w:val="0739256A"/>
    <w:rsid w:val="073A569E"/>
    <w:rsid w:val="0741129F"/>
    <w:rsid w:val="07571DAC"/>
    <w:rsid w:val="075C0948"/>
    <w:rsid w:val="07636392"/>
    <w:rsid w:val="076B0945"/>
    <w:rsid w:val="076F21F4"/>
    <w:rsid w:val="076F5347"/>
    <w:rsid w:val="07711E01"/>
    <w:rsid w:val="07770C56"/>
    <w:rsid w:val="0777244E"/>
    <w:rsid w:val="077B4BBA"/>
    <w:rsid w:val="077E558A"/>
    <w:rsid w:val="07816602"/>
    <w:rsid w:val="0784155A"/>
    <w:rsid w:val="078537BE"/>
    <w:rsid w:val="079923C4"/>
    <w:rsid w:val="079E79DA"/>
    <w:rsid w:val="07A03795"/>
    <w:rsid w:val="07A50D69"/>
    <w:rsid w:val="07A80859"/>
    <w:rsid w:val="07AA0EFE"/>
    <w:rsid w:val="07AD7A2B"/>
    <w:rsid w:val="07AF1680"/>
    <w:rsid w:val="07B53A31"/>
    <w:rsid w:val="07CE1479"/>
    <w:rsid w:val="07D37407"/>
    <w:rsid w:val="07DE427B"/>
    <w:rsid w:val="07E13D6B"/>
    <w:rsid w:val="07E35D35"/>
    <w:rsid w:val="07E7448A"/>
    <w:rsid w:val="07EA7730"/>
    <w:rsid w:val="07ED2F57"/>
    <w:rsid w:val="07FD6DF7"/>
    <w:rsid w:val="07FE491D"/>
    <w:rsid w:val="08055CAB"/>
    <w:rsid w:val="080562B8"/>
    <w:rsid w:val="08057A5A"/>
    <w:rsid w:val="08070BB6"/>
    <w:rsid w:val="080812F8"/>
    <w:rsid w:val="080A5070"/>
    <w:rsid w:val="080D04AC"/>
    <w:rsid w:val="08144141"/>
    <w:rsid w:val="081952B3"/>
    <w:rsid w:val="081979BB"/>
    <w:rsid w:val="08206641"/>
    <w:rsid w:val="082425D6"/>
    <w:rsid w:val="08280596"/>
    <w:rsid w:val="082F2D28"/>
    <w:rsid w:val="08365E65"/>
    <w:rsid w:val="083D3697"/>
    <w:rsid w:val="0842480A"/>
    <w:rsid w:val="08431BCD"/>
    <w:rsid w:val="08485187"/>
    <w:rsid w:val="08493DEA"/>
    <w:rsid w:val="08515877"/>
    <w:rsid w:val="08533B97"/>
    <w:rsid w:val="0854453D"/>
    <w:rsid w:val="085D5AE7"/>
    <w:rsid w:val="085E53BC"/>
    <w:rsid w:val="08644325"/>
    <w:rsid w:val="08687FE8"/>
    <w:rsid w:val="08722FDD"/>
    <w:rsid w:val="08872B64"/>
    <w:rsid w:val="08894C98"/>
    <w:rsid w:val="088A4403"/>
    <w:rsid w:val="089A2898"/>
    <w:rsid w:val="089A4646"/>
    <w:rsid w:val="089D4136"/>
    <w:rsid w:val="08A21C00"/>
    <w:rsid w:val="08A6123D"/>
    <w:rsid w:val="08A705FC"/>
    <w:rsid w:val="08B051DC"/>
    <w:rsid w:val="08B3524C"/>
    <w:rsid w:val="08B80A3D"/>
    <w:rsid w:val="08BE37BB"/>
    <w:rsid w:val="08BF5E5A"/>
    <w:rsid w:val="08C01BD2"/>
    <w:rsid w:val="08C23B9D"/>
    <w:rsid w:val="08C6368D"/>
    <w:rsid w:val="08CA47FF"/>
    <w:rsid w:val="08D1461A"/>
    <w:rsid w:val="08D15B8E"/>
    <w:rsid w:val="08D330F5"/>
    <w:rsid w:val="08D35DAA"/>
    <w:rsid w:val="08D538D0"/>
    <w:rsid w:val="08D84047"/>
    <w:rsid w:val="08DA60EF"/>
    <w:rsid w:val="08E5550A"/>
    <w:rsid w:val="08EC29C7"/>
    <w:rsid w:val="08EE580E"/>
    <w:rsid w:val="08F63846"/>
    <w:rsid w:val="0906003D"/>
    <w:rsid w:val="0913264A"/>
    <w:rsid w:val="09172883"/>
    <w:rsid w:val="091B4988"/>
    <w:rsid w:val="091F4B4B"/>
    <w:rsid w:val="092217DD"/>
    <w:rsid w:val="0923593D"/>
    <w:rsid w:val="092403B3"/>
    <w:rsid w:val="0926412B"/>
    <w:rsid w:val="09265ED9"/>
    <w:rsid w:val="09300B06"/>
    <w:rsid w:val="09383EF6"/>
    <w:rsid w:val="093A3733"/>
    <w:rsid w:val="093A7294"/>
    <w:rsid w:val="09464A8E"/>
    <w:rsid w:val="0946657C"/>
    <w:rsid w:val="095742E5"/>
    <w:rsid w:val="095C7B4D"/>
    <w:rsid w:val="09616FCB"/>
    <w:rsid w:val="096B7D90"/>
    <w:rsid w:val="096E30AE"/>
    <w:rsid w:val="0970184A"/>
    <w:rsid w:val="09756B5B"/>
    <w:rsid w:val="097C01EF"/>
    <w:rsid w:val="098552F6"/>
    <w:rsid w:val="09866978"/>
    <w:rsid w:val="098C6079"/>
    <w:rsid w:val="098F0FA5"/>
    <w:rsid w:val="09915825"/>
    <w:rsid w:val="0995305F"/>
    <w:rsid w:val="09992B4F"/>
    <w:rsid w:val="099C2924"/>
    <w:rsid w:val="099E0166"/>
    <w:rsid w:val="099F7A3A"/>
    <w:rsid w:val="09A17C56"/>
    <w:rsid w:val="09A72638"/>
    <w:rsid w:val="09AC7EB3"/>
    <w:rsid w:val="09AD044A"/>
    <w:rsid w:val="09BB6155"/>
    <w:rsid w:val="09C35E1E"/>
    <w:rsid w:val="09C63218"/>
    <w:rsid w:val="09D74B85"/>
    <w:rsid w:val="09DA51A9"/>
    <w:rsid w:val="09DB2A13"/>
    <w:rsid w:val="09E518F1"/>
    <w:rsid w:val="09E75B8A"/>
    <w:rsid w:val="09E8771F"/>
    <w:rsid w:val="09EB6F11"/>
    <w:rsid w:val="09F2225F"/>
    <w:rsid w:val="0A037FC9"/>
    <w:rsid w:val="0A075D0B"/>
    <w:rsid w:val="0A0C1573"/>
    <w:rsid w:val="0A0C2A2B"/>
    <w:rsid w:val="0A152E60"/>
    <w:rsid w:val="0A1C591F"/>
    <w:rsid w:val="0A1D5CA7"/>
    <w:rsid w:val="0A206DCD"/>
    <w:rsid w:val="0A23066B"/>
    <w:rsid w:val="0A2368BD"/>
    <w:rsid w:val="0A2604A1"/>
    <w:rsid w:val="0A263993"/>
    <w:rsid w:val="0A2D3AC2"/>
    <w:rsid w:val="0A2F0DBE"/>
    <w:rsid w:val="0A320FC3"/>
    <w:rsid w:val="0A40121D"/>
    <w:rsid w:val="0A4B5AEA"/>
    <w:rsid w:val="0A5371A2"/>
    <w:rsid w:val="0A5E16A3"/>
    <w:rsid w:val="0A610844"/>
    <w:rsid w:val="0A617F01"/>
    <w:rsid w:val="0A621193"/>
    <w:rsid w:val="0A6B77AC"/>
    <w:rsid w:val="0A700A4D"/>
    <w:rsid w:val="0A740EC6"/>
    <w:rsid w:val="0A8168BF"/>
    <w:rsid w:val="0A83110A"/>
    <w:rsid w:val="0A8377B3"/>
    <w:rsid w:val="0A845004"/>
    <w:rsid w:val="0A84735B"/>
    <w:rsid w:val="0A8A2498"/>
    <w:rsid w:val="0A8F3F52"/>
    <w:rsid w:val="0A911A78"/>
    <w:rsid w:val="0AA55524"/>
    <w:rsid w:val="0AA755DF"/>
    <w:rsid w:val="0AA9774E"/>
    <w:rsid w:val="0AAA2F9A"/>
    <w:rsid w:val="0AAF1EFF"/>
    <w:rsid w:val="0AB37C41"/>
    <w:rsid w:val="0ABF5336"/>
    <w:rsid w:val="0AC27E84"/>
    <w:rsid w:val="0AC413A1"/>
    <w:rsid w:val="0AC51722"/>
    <w:rsid w:val="0AD83203"/>
    <w:rsid w:val="0ADC6568"/>
    <w:rsid w:val="0AE17F1C"/>
    <w:rsid w:val="0AE722C1"/>
    <w:rsid w:val="0AE903B4"/>
    <w:rsid w:val="0AF02C43"/>
    <w:rsid w:val="0AFB5144"/>
    <w:rsid w:val="0AFC55D9"/>
    <w:rsid w:val="0AFF2E86"/>
    <w:rsid w:val="0B057D70"/>
    <w:rsid w:val="0B0C103C"/>
    <w:rsid w:val="0B120D44"/>
    <w:rsid w:val="0B147891"/>
    <w:rsid w:val="0B151C33"/>
    <w:rsid w:val="0B2428ED"/>
    <w:rsid w:val="0B275F39"/>
    <w:rsid w:val="0B2D1B11"/>
    <w:rsid w:val="0B2D3FD4"/>
    <w:rsid w:val="0B2E666A"/>
    <w:rsid w:val="0B34412F"/>
    <w:rsid w:val="0B3A3EBE"/>
    <w:rsid w:val="0B3B0C81"/>
    <w:rsid w:val="0B3B3792"/>
    <w:rsid w:val="0B3D750A"/>
    <w:rsid w:val="0B3E0402"/>
    <w:rsid w:val="0B3E2545"/>
    <w:rsid w:val="0B443E60"/>
    <w:rsid w:val="0B444D3D"/>
    <w:rsid w:val="0B4C7FDE"/>
    <w:rsid w:val="0B4F2A97"/>
    <w:rsid w:val="0B5331D2"/>
    <w:rsid w:val="0B53731F"/>
    <w:rsid w:val="0B54529F"/>
    <w:rsid w:val="0B551997"/>
    <w:rsid w:val="0B5815D5"/>
    <w:rsid w:val="0B591315"/>
    <w:rsid w:val="0B5A00BC"/>
    <w:rsid w:val="0B5D1CFF"/>
    <w:rsid w:val="0B642CE9"/>
    <w:rsid w:val="0B684935"/>
    <w:rsid w:val="0B6A2FA4"/>
    <w:rsid w:val="0B6E5916"/>
    <w:rsid w:val="0B7262CA"/>
    <w:rsid w:val="0B7D6C98"/>
    <w:rsid w:val="0B8273F7"/>
    <w:rsid w:val="0B83481A"/>
    <w:rsid w:val="0B870F04"/>
    <w:rsid w:val="0B892782"/>
    <w:rsid w:val="0B8C3FEE"/>
    <w:rsid w:val="0B903ADE"/>
    <w:rsid w:val="0B972584"/>
    <w:rsid w:val="0B9745FD"/>
    <w:rsid w:val="0B995089"/>
    <w:rsid w:val="0B9F1F73"/>
    <w:rsid w:val="0B9F6417"/>
    <w:rsid w:val="0BA63302"/>
    <w:rsid w:val="0BA86972"/>
    <w:rsid w:val="0BB023D2"/>
    <w:rsid w:val="0BB04180"/>
    <w:rsid w:val="0BB27EF8"/>
    <w:rsid w:val="0BB571F7"/>
    <w:rsid w:val="0BB71621"/>
    <w:rsid w:val="0BCD4D32"/>
    <w:rsid w:val="0BCF2858"/>
    <w:rsid w:val="0BD0037E"/>
    <w:rsid w:val="0BD27BF6"/>
    <w:rsid w:val="0BE1258C"/>
    <w:rsid w:val="0BE6560D"/>
    <w:rsid w:val="0BE82C2E"/>
    <w:rsid w:val="0BE8397E"/>
    <w:rsid w:val="0BF11A4E"/>
    <w:rsid w:val="0BF70001"/>
    <w:rsid w:val="0BFC5617"/>
    <w:rsid w:val="0C06362D"/>
    <w:rsid w:val="0C085D6A"/>
    <w:rsid w:val="0C0B37A0"/>
    <w:rsid w:val="0C0B585A"/>
    <w:rsid w:val="0C193B0A"/>
    <w:rsid w:val="0C1B09F4"/>
    <w:rsid w:val="0C1C7A68"/>
    <w:rsid w:val="0C2661F0"/>
    <w:rsid w:val="0C3B3C7D"/>
    <w:rsid w:val="0C3B5076"/>
    <w:rsid w:val="0C3C3C66"/>
    <w:rsid w:val="0C3E71D6"/>
    <w:rsid w:val="0C4274CE"/>
    <w:rsid w:val="0C436DA2"/>
    <w:rsid w:val="0C48085D"/>
    <w:rsid w:val="0C497C5E"/>
    <w:rsid w:val="0C497F29"/>
    <w:rsid w:val="0C4A0131"/>
    <w:rsid w:val="0C4F5747"/>
    <w:rsid w:val="0C55609F"/>
    <w:rsid w:val="0C57284E"/>
    <w:rsid w:val="0C580BFC"/>
    <w:rsid w:val="0C605BA6"/>
    <w:rsid w:val="0C613B7C"/>
    <w:rsid w:val="0C6626F7"/>
    <w:rsid w:val="0C673F81"/>
    <w:rsid w:val="0C6C62F9"/>
    <w:rsid w:val="0C6F1945"/>
    <w:rsid w:val="0C756C7F"/>
    <w:rsid w:val="0C772B81"/>
    <w:rsid w:val="0C7B29E0"/>
    <w:rsid w:val="0C7D1DA1"/>
    <w:rsid w:val="0C9F0FC0"/>
    <w:rsid w:val="0CA02447"/>
    <w:rsid w:val="0CA248BC"/>
    <w:rsid w:val="0CAB2EAE"/>
    <w:rsid w:val="0CAC5287"/>
    <w:rsid w:val="0CBA3508"/>
    <w:rsid w:val="0CBF0B1F"/>
    <w:rsid w:val="0CC31B1D"/>
    <w:rsid w:val="0CC72234"/>
    <w:rsid w:val="0CCC383D"/>
    <w:rsid w:val="0CCE0D62"/>
    <w:rsid w:val="0CD81BE1"/>
    <w:rsid w:val="0CDE0931"/>
    <w:rsid w:val="0CE2480D"/>
    <w:rsid w:val="0CE62C29"/>
    <w:rsid w:val="0CE95B9C"/>
    <w:rsid w:val="0CEA0417"/>
    <w:rsid w:val="0CEE52F6"/>
    <w:rsid w:val="0CF12CA2"/>
    <w:rsid w:val="0CFB142B"/>
    <w:rsid w:val="0D0352B5"/>
    <w:rsid w:val="0D037D85"/>
    <w:rsid w:val="0D076022"/>
    <w:rsid w:val="0D091D9A"/>
    <w:rsid w:val="0D0C188A"/>
    <w:rsid w:val="0D0C3638"/>
    <w:rsid w:val="0D103128"/>
    <w:rsid w:val="0D165599"/>
    <w:rsid w:val="0D1A3FA7"/>
    <w:rsid w:val="0D1D7279"/>
    <w:rsid w:val="0D224C0A"/>
    <w:rsid w:val="0D2C5A88"/>
    <w:rsid w:val="0D3878F6"/>
    <w:rsid w:val="0D4525A2"/>
    <w:rsid w:val="0D4B4161"/>
    <w:rsid w:val="0D4F61B9"/>
    <w:rsid w:val="0D5374B9"/>
    <w:rsid w:val="0D5A43A4"/>
    <w:rsid w:val="0D5B011C"/>
    <w:rsid w:val="0D5F7C0C"/>
    <w:rsid w:val="0D621C7D"/>
    <w:rsid w:val="0D6B6FFD"/>
    <w:rsid w:val="0D703BC7"/>
    <w:rsid w:val="0D773627"/>
    <w:rsid w:val="0D7A0D99"/>
    <w:rsid w:val="0D7A2C98"/>
    <w:rsid w:val="0D7B12EC"/>
    <w:rsid w:val="0D7C6A10"/>
    <w:rsid w:val="0D7E0369"/>
    <w:rsid w:val="0D861A83"/>
    <w:rsid w:val="0D887163"/>
    <w:rsid w:val="0D894C89"/>
    <w:rsid w:val="0D8B6C53"/>
    <w:rsid w:val="0D8E04F1"/>
    <w:rsid w:val="0D9378B6"/>
    <w:rsid w:val="0DA167D1"/>
    <w:rsid w:val="0DA26F5D"/>
    <w:rsid w:val="0DA601C5"/>
    <w:rsid w:val="0DA815B3"/>
    <w:rsid w:val="0DA83DDB"/>
    <w:rsid w:val="0DA918DD"/>
    <w:rsid w:val="0DB066B9"/>
    <w:rsid w:val="0DB32017"/>
    <w:rsid w:val="0DB6446C"/>
    <w:rsid w:val="0DB8731C"/>
    <w:rsid w:val="0DBF1056"/>
    <w:rsid w:val="0DD243E5"/>
    <w:rsid w:val="0DD5797D"/>
    <w:rsid w:val="0DD73C46"/>
    <w:rsid w:val="0DD8176C"/>
    <w:rsid w:val="0DD979BE"/>
    <w:rsid w:val="0DDE28D1"/>
    <w:rsid w:val="0DF30D4B"/>
    <w:rsid w:val="0DF465A6"/>
    <w:rsid w:val="0DF53FDF"/>
    <w:rsid w:val="0DFC18FF"/>
    <w:rsid w:val="0DFC6D88"/>
    <w:rsid w:val="0DFE0E20"/>
    <w:rsid w:val="0DFF4F4B"/>
    <w:rsid w:val="0E0013EF"/>
    <w:rsid w:val="0E012A71"/>
    <w:rsid w:val="0E06452B"/>
    <w:rsid w:val="0E082052"/>
    <w:rsid w:val="0E0B38F0"/>
    <w:rsid w:val="0E0F1632"/>
    <w:rsid w:val="0E0F7468"/>
    <w:rsid w:val="0E250E55"/>
    <w:rsid w:val="0E262E50"/>
    <w:rsid w:val="0E294970"/>
    <w:rsid w:val="0E2B5D40"/>
    <w:rsid w:val="0E2F6913"/>
    <w:rsid w:val="0E376FED"/>
    <w:rsid w:val="0E377879"/>
    <w:rsid w:val="0E377A9E"/>
    <w:rsid w:val="0E3F7123"/>
    <w:rsid w:val="0E486EB6"/>
    <w:rsid w:val="0E4A266A"/>
    <w:rsid w:val="0E4A60A8"/>
    <w:rsid w:val="0E52455A"/>
    <w:rsid w:val="0E531032"/>
    <w:rsid w:val="0E5434E9"/>
    <w:rsid w:val="0E5D1762"/>
    <w:rsid w:val="0E5D6FB7"/>
    <w:rsid w:val="0E6010CF"/>
    <w:rsid w:val="0E671E98"/>
    <w:rsid w:val="0E69462D"/>
    <w:rsid w:val="0E6D0107"/>
    <w:rsid w:val="0E73034D"/>
    <w:rsid w:val="0E792F4F"/>
    <w:rsid w:val="0E796AAB"/>
    <w:rsid w:val="0E7B6CC7"/>
    <w:rsid w:val="0E7F4650"/>
    <w:rsid w:val="0E8042DE"/>
    <w:rsid w:val="0E833DCE"/>
    <w:rsid w:val="0E850184"/>
    <w:rsid w:val="0E8536A2"/>
    <w:rsid w:val="0E8D6F56"/>
    <w:rsid w:val="0E910299"/>
    <w:rsid w:val="0E963048"/>
    <w:rsid w:val="0E9F5A87"/>
    <w:rsid w:val="0EA33B28"/>
    <w:rsid w:val="0EA53D44"/>
    <w:rsid w:val="0EA55AF2"/>
    <w:rsid w:val="0EA706A2"/>
    <w:rsid w:val="0EA7186A"/>
    <w:rsid w:val="0EAA135B"/>
    <w:rsid w:val="0EAC6E81"/>
    <w:rsid w:val="0EB421D9"/>
    <w:rsid w:val="0EBE4E06"/>
    <w:rsid w:val="0ECE329B"/>
    <w:rsid w:val="0ECE3CAC"/>
    <w:rsid w:val="0ED308B1"/>
    <w:rsid w:val="0ED5439C"/>
    <w:rsid w:val="0ED70216"/>
    <w:rsid w:val="0EDE1004"/>
    <w:rsid w:val="0EEE04DB"/>
    <w:rsid w:val="0EFF05C2"/>
    <w:rsid w:val="0F00541F"/>
    <w:rsid w:val="0F0740B7"/>
    <w:rsid w:val="0F0C791F"/>
    <w:rsid w:val="0F0D7E49"/>
    <w:rsid w:val="0F0E67CC"/>
    <w:rsid w:val="0F121C4D"/>
    <w:rsid w:val="0F13775A"/>
    <w:rsid w:val="0F174AA3"/>
    <w:rsid w:val="0F176E65"/>
    <w:rsid w:val="0F210A79"/>
    <w:rsid w:val="0F276507"/>
    <w:rsid w:val="0F286A98"/>
    <w:rsid w:val="0F29227F"/>
    <w:rsid w:val="0F2F6254"/>
    <w:rsid w:val="0F301D8C"/>
    <w:rsid w:val="0F331FAC"/>
    <w:rsid w:val="0F341052"/>
    <w:rsid w:val="0F350C32"/>
    <w:rsid w:val="0F363803"/>
    <w:rsid w:val="0F3B3D29"/>
    <w:rsid w:val="0F3C1993"/>
    <w:rsid w:val="0F3D5D2B"/>
    <w:rsid w:val="0F3F7CF5"/>
    <w:rsid w:val="0F407486"/>
    <w:rsid w:val="0F503CB0"/>
    <w:rsid w:val="0F5F2145"/>
    <w:rsid w:val="0F5F45FE"/>
    <w:rsid w:val="0F627C5C"/>
    <w:rsid w:val="0F6972E3"/>
    <w:rsid w:val="0F713C26"/>
    <w:rsid w:val="0F7179FD"/>
    <w:rsid w:val="0F751969"/>
    <w:rsid w:val="0F886913"/>
    <w:rsid w:val="0F8E4D7B"/>
    <w:rsid w:val="0F8E576B"/>
    <w:rsid w:val="0F916077"/>
    <w:rsid w:val="0F9A112B"/>
    <w:rsid w:val="0FA16479"/>
    <w:rsid w:val="0FA364D6"/>
    <w:rsid w:val="0FA77648"/>
    <w:rsid w:val="0FAA193E"/>
    <w:rsid w:val="0FAA46EC"/>
    <w:rsid w:val="0FAE09D7"/>
    <w:rsid w:val="0FB104C7"/>
    <w:rsid w:val="0FB31CA8"/>
    <w:rsid w:val="0FB3423F"/>
    <w:rsid w:val="0FB976A1"/>
    <w:rsid w:val="0FBF59F2"/>
    <w:rsid w:val="0FC918B1"/>
    <w:rsid w:val="0FD541B5"/>
    <w:rsid w:val="0FDA5D51"/>
    <w:rsid w:val="0FE12B5A"/>
    <w:rsid w:val="0FE20680"/>
    <w:rsid w:val="0FE31D1E"/>
    <w:rsid w:val="0FF30ADF"/>
    <w:rsid w:val="0FF87EA4"/>
    <w:rsid w:val="1008126D"/>
    <w:rsid w:val="100C57E1"/>
    <w:rsid w:val="100E76C7"/>
    <w:rsid w:val="10102A21"/>
    <w:rsid w:val="101051ED"/>
    <w:rsid w:val="10134CDE"/>
    <w:rsid w:val="101A606C"/>
    <w:rsid w:val="101C3B92"/>
    <w:rsid w:val="101C7C4F"/>
    <w:rsid w:val="102313C5"/>
    <w:rsid w:val="102962AF"/>
    <w:rsid w:val="102F1A09"/>
    <w:rsid w:val="103A04E4"/>
    <w:rsid w:val="103C5FE2"/>
    <w:rsid w:val="10487E27"/>
    <w:rsid w:val="104C4A05"/>
    <w:rsid w:val="104D3E92"/>
    <w:rsid w:val="105A2785"/>
    <w:rsid w:val="105F7F23"/>
    <w:rsid w:val="10606175"/>
    <w:rsid w:val="1061320E"/>
    <w:rsid w:val="106A2B50"/>
    <w:rsid w:val="106D2F64"/>
    <w:rsid w:val="107439CE"/>
    <w:rsid w:val="1077526D"/>
    <w:rsid w:val="107E001A"/>
    <w:rsid w:val="107E2A9F"/>
    <w:rsid w:val="108159E5"/>
    <w:rsid w:val="108872C8"/>
    <w:rsid w:val="108C64EF"/>
    <w:rsid w:val="109A0F5B"/>
    <w:rsid w:val="10A6401B"/>
    <w:rsid w:val="10A65B52"/>
    <w:rsid w:val="10A83678"/>
    <w:rsid w:val="10AA1CBB"/>
    <w:rsid w:val="10B62C05"/>
    <w:rsid w:val="10B63710"/>
    <w:rsid w:val="10B65B14"/>
    <w:rsid w:val="10B71B0D"/>
    <w:rsid w:val="10BB33AB"/>
    <w:rsid w:val="10C06C14"/>
    <w:rsid w:val="10C5247C"/>
    <w:rsid w:val="10C5422A"/>
    <w:rsid w:val="10CB06DF"/>
    <w:rsid w:val="10D510E7"/>
    <w:rsid w:val="10DE353E"/>
    <w:rsid w:val="10E072B6"/>
    <w:rsid w:val="10E52823"/>
    <w:rsid w:val="10EC17B7"/>
    <w:rsid w:val="10EF7717"/>
    <w:rsid w:val="10F10820"/>
    <w:rsid w:val="10F4573D"/>
    <w:rsid w:val="10F60887"/>
    <w:rsid w:val="10FD3CB3"/>
    <w:rsid w:val="10FF1953"/>
    <w:rsid w:val="11020FDA"/>
    <w:rsid w:val="1109680C"/>
    <w:rsid w:val="110E1F50"/>
    <w:rsid w:val="11124F95"/>
    <w:rsid w:val="111927C8"/>
    <w:rsid w:val="111C2F7A"/>
    <w:rsid w:val="111F548C"/>
    <w:rsid w:val="111F7DDE"/>
    <w:rsid w:val="11203B56"/>
    <w:rsid w:val="112278CE"/>
    <w:rsid w:val="11285614"/>
    <w:rsid w:val="112E6273"/>
    <w:rsid w:val="11301FEB"/>
    <w:rsid w:val="113969C6"/>
    <w:rsid w:val="113D1F8E"/>
    <w:rsid w:val="11457119"/>
    <w:rsid w:val="114809B7"/>
    <w:rsid w:val="11494E5B"/>
    <w:rsid w:val="114A3B4D"/>
    <w:rsid w:val="114E06C3"/>
    <w:rsid w:val="115B2DE0"/>
    <w:rsid w:val="115E01DA"/>
    <w:rsid w:val="11606A2D"/>
    <w:rsid w:val="11665CA1"/>
    <w:rsid w:val="116A6A33"/>
    <w:rsid w:val="116C0B49"/>
    <w:rsid w:val="1170586D"/>
    <w:rsid w:val="11785740"/>
    <w:rsid w:val="11791639"/>
    <w:rsid w:val="118045F5"/>
    <w:rsid w:val="118511BA"/>
    <w:rsid w:val="11851C0B"/>
    <w:rsid w:val="118711CD"/>
    <w:rsid w:val="11881D56"/>
    <w:rsid w:val="118A1E6E"/>
    <w:rsid w:val="118A42B5"/>
    <w:rsid w:val="11967974"/>
    <w:rsid w:val="119845EE"/>
    <w:rsid w:val="119C142F"/>
    <w:rsid w:val="11AE570B"/>
    <w:rsid w:val="11B5429E"/>
    <w:rsid w:val="11B61DC5"/>
    <w:rsid w:val="11B86BB3"/>
    <w:rsid w:val="11BA7B07"/>
    <w:rsid w:val="11BB562D"/>
    <w:rsid w:val="11BB73DB"/>
    <w:rsid w:val="11BF47A9"/>
    <w:rsid w:val="11C24DB9"/>
    <w:rsid w:val="11D34725"/>
    <w:rsid w:val="11E931F7"/>
    <w:rsid w:val="11EB7CC0"/>
    <w:rsid w:val="11EE77B0"/>
    <w:rsid w:val="11EF749D"/>
    <w:rsid w:val="11F14A74"/>
    <w:rsid w:val="11F36B75"/>
    <w:rsid w:val="11F72B09"/>
    <w:rsid w:val="11F748B7"/>
    <w:rsid w:val="11F96D38"/>
    <w:rsid w:val="11FB2FCF"/>
    <w:rsid w:val="11FF2F15"/>
    <w:rsid w:val="120F619E"/>
    <w:rsid w:val="1214120C"/>
    <w:rsid w:val="12152F8F"/>
    <w:rsid w:val="12173925"/>
    <w:rsid w:val="122D2087"/>
    <w:rsid w:val="122D5247"/>
    <w:rsid w:val="122F18D1"/>
    <w:rsid w:val="12331667"/>
    <w:rsid w:val="12333415"/>
    <w:rsid w:val="12372F05"/>
    <w:rsid w:val="12422372"/>
    <w:rsid w:val="124811CB"/>
    <w:rsid w:val="12490E8B"/>
    <w:rsid w:val="124A3908"/>
    <w:rsid w:val="124C5334"/>
    <w:rsid w:val="12510966"/>
    <w:rsid w:val="12553912"/>
    <w:rsid w:val="125E7D91"/>
    <w:rsid w:val="125F15AA"/>
    <w:rsid w:val="126632EA"/>
    <w:rsid w:val="12677C09"/>
    <w:rsid w:val="126A484E"/>
    <w:rsid w:val="126B0E01"/>
    <w:rsid w:val="126B2BAF"/>
    <w:rsid w:val="126F6B43"/>
    <w:rsid w:val="127203E1"/>
    <w:rsid w:val="127373C5"/>
    <w:rsid w:val="127A5AD5"/>
    <w:rsid w:val="128C5971"/>
    <w:rsid w:val="128F4AEF"/>
    <w:rsid w:val="12901BBE"/>
    <w:rsid w:val="1299771C"/>
    <w:rsid w:val="129C545E"/>
    <w:rsid w:val="129C644E"/>
    <w:rsid w:val="129E4D32"/>
    <w:rsid w:val="129E5447"/>
    <w:rsid w:val="12A83E03"/>
    <w:rsid w:val="12AA1929"/>
    <w:rsid w:val="12AA62F8"/>
    <w:rsid w:val="12B0405A"/>
    <w:rsid w:val="12B3367A"/>
    <w:rsid w:val="12B614F8"/>
    <w:rsid w:val="12B64A73"/>
    <w:rsid w:val="12B66520"/>
    <w:rsid w:val="12BB58E4"/>
    <w:rsid w:val="12BC340B"/>
    <w:rsid w:val="12BF3844"/>
    <w:rsid w:val="12C14EC5"/>
    <w:rsid w:val="12C329EB"/>
    <w:rsid w:val="12CC7AF2"/>
    <w:rsid w:val="12D15108"/>
    <w:rsid w:val="12D90460"/>
    <w:rsid w:val="12DD1CFF"/>
    <w:rsid w:val="12E11932"/>
    <w:rsid w:val="12E33098"/>
    <w:rsid w:val="12E36BE9"/>
    <w:rsid w:val="12E623FB"/>
    <w:rsid w:val="12E94387"/>
    <w:rsid w:val="12E965F6"/>
    <w:rsid w:val="12EC59F8"/>
    <w:rsid w:val="12EF3A0C"/>
    <w:rsid w:val="12F31522"/>
    <w:rsid w:val="12F6758B"/>
    <w:rsid w:val="12F91163"/>
    <w:rsid w:val="12FC7CAB"/>
    <w:rsid w:val="130304E4"/>
    <w:rsid w:val="130354DD"/>
    <w:rsid w:val="130F6E68"/>
    <w:rsid w:val="1310375B"/>
    <w:rsid w:val="131738F0"/>
    <w:rsid w:val="131D5869"/>
    <w:rsid w:val="13203999"/>
    <w:rsid w:val="13272F7A"/>
    <w:rsid w:val="13357DBD"/>
    <w:rsid w:val="133943C2"/>
    <w:rsid w:val="13404ED0"/>
    <w:rsid w:val="13405DEA"/>
    <w:rsid w:val="13416BE5"/>
    <w:rsid w:val="134933C7"/>
    <w:rsid w:val="13557860"/>
    <w:rsid w:val="1356385F"/>
    <w:rsid w:val="1356560D"/>
    <w:rsid w:val="13651CF4"/>
    <w:rsid w:val="13685340"/>
    <w:rsid w:val="136A10B9"/>
    <w:rsid w:val="13734411"/>
    <w:rsid w:val="13742674"/>
    <w:rsid w:val="137B2AD9"/>
    <w:rsid w:val="137B32C6"/>
    <w:rsid w:val="137F2DB6"/>
    <w:rsid w:val="138403CC"/>
    <w:rsid w:val="138F31C3"/>
    <w:rsid w:val="13903FD0"/>
    <w:rsid w:val="13904FC3"/>
    <w:rsid w:val="13951726"/>
    <w:rsid w:val="139831BB"/>
    <w:rsid w:val="139A267A"/>
    <w:rsid w:val="139B3968"/>
    <w:rsid w:val="139F22A2"/>
    <w:rsid w:val="139F5206"/>
    <w:rsid w:val="139F6FB4"/>
    <w:rsid w:val="13A20852"/>
    <w:rsid w:val="13B10A95"/>
    <w:rsid w:val="13BD204E"/>
    <w:rsid w:val="13C0517C"/>
    <w:rsid w:val="13C407C9"/>
    <w:rsid w:val="13C91F5A"/>
    <w:rsid w:val="13CE242D"/>
    <w:rsid w:val="13D470FC"/>
    <w:rsid w:val="13D65FC5"/>
    <w:rsid w:val="13E0137B"/>
    <w:rsid w:val="13F37300"/>
    <w:rsid w:val="13F51386"/>
    <w:rsid w:val="13FC3D10"/>
    <w:rsid w:val="13FF3EF7"/>
    <w:rsid w:val="140245A5"/>
    <w:rsid w:val="140B63F8"/>
    <w:rsid w:val="141259D8"/>
    <w:rsid w:val="14143273"/>
    <w:rsid w:val="141E22E5"/>
    <w:rsid w:val="141F1CB4"/>
    <w:rsid w:val="14211DF0"/>
    <w:rsid w:val="142E658A"/>
    <w:rsid w:val="14396509"/>
    <w:rsid w:val="143D4D2B"/>
    <w:rsid w:val="143E22D4"/>
    <w:rsid w:val="144071A7"/>
    <w:rsid w:val="14456D19"/>
    <w:rsid w:val="14495C31"/>
    <w:rsid w:val="144E09DA"/>
    <w:rsid w:val="1450022E"/>
    <w:rsid w:val="145A2727"/>
    <w:rsid w:val="145E08BE"/>
    <w:rsid w:val="145F04F1"/>
    <w:rsid w:val="146F0161"/>
    <w:rsid w:val="14713B1A"/>
    <w:rsid w:val="14773EFC"/>
    <w:rsid w:val="14777F31"/>
    <w:rsid w:val="147C2CE6"/>
    <w:rsid w:val="147C72F5"/>
    <w:rsid w:val="14832432"/>
    <w:rsid w:val="148368D6"/>
    <w:rsid w:val="1487776D"/>
    <w:rsid w:val="14887A48"/>
    <w:rsid w:val="148971D0"/>
    <w:rsid w:val="148B12E6"/>
    <w:rsid w:val="148C2D6F"/>
    <w:rsid w:val="14977C8B"/>
    <w:rsid w:val="149C34F4"/>
    <w:rsid w:val="149D101A"/>
    <w:rsid w:val="14A45A5B"/>
    <w:rsid w:val="14B04F4C"/>
    <w:rsid w:val="14B7657F"/>
    <w:rsid w:val="14BC1DE8"/>
    <w:rsid w:val="14C34F24"/>
    <w:rsid w:val="14C64A14"/>
    <w:rsid w:val="14CA57D9"/>
    <w:rsid w:val="14D26F15"/>
    <w:rsid w:val="14D924E9"/>
    <w:rsid w:val="14DD2C3C"/>
    <w:rsid w:val="14E1184E"/>
    <w:rsid w:val="14E12169"/>
    <w:rsid w:val="14E43B91"/>
    <w:rsid w:val="14E46DE1"/>
    <w:rsid w:val="14E60C13"/>
    <w:rsid w:val="14E823AD"/>
    <w:rsid w:val="14F96B98"/>
    <w:rsid w:val="14FA380C"/>
    <w:rsid w:val="14FC60B6"/>
    <w:rsid w:val="14FE5E25"/>
    <w:rsid w:val="15075A95"/>
    <w:rsid w:val="150C68CB"/>
    <w:rsid w:val="150D1907"/>
    <w:rsid w:val="15115C90"/>
    <w:rsid w:val="151508C6"/>
    <w:rsid w:val="15190FE8"/>
    <w:rsid w:val="15202377"/>
    <w:rsid w:val="15233C15"/>
    <w:rsid w:val="152454E1"/>
    <w:rsid w:val="1528122B"/>
    <w:rsid w:val="152D239E"/>
    <w:rsid w:val="15347BD0"/>
    <w:rsid w:val="15397494"/>
    <w:rsid w:val="153A7295"/>
    <w:rsid w:val="153B2D0D"/>
    <w:rsid w:val="15453B8B"/>
    <w:rsid w:val="15455939"/>
    <w:rsid w:val="15475B55"/>
    <w:rsid w:val="154C316C"/>
    <w:rsid w:val="154D2A40"/>
    <w:rsid w:val="15560F25"/>
    <w:rsid w:val="156131AA"/>
    <w:rsid w:val="15625F9A"/>
    <w:rsid w:val="15671D3D"/>
    <w:rsid w:val="15673B02"/>
    <w:rsid w:val="156F5159"/>
    <w:rsid w:val="157224A6"/>
    <w:rsid w:val="15783F61"/>
    <w:rsid w:val="158A77F0"/>
    <w:rsid w:val="1593255D"/>
    <w:rsid w:val="159A4C5C"/>
    <w:rsid w:val="159E1E2C"/>
    <w:rsid w:val="15A05265"/>
    <w:rsid w:val="15AF54A9"/>
    <w:rsid w:val="15BE57CC"/>
    <w:rsid w:val="15CA5E3E"/>
    <w:rsid w:val="15CC3638"/>
    <w:rsid w:val="15CD16BF"/>
    <w:rsid w:val="15D12865"/>
    <w:rsid w:val="15D13622"/>
    <w:rsid w:val="15DB004C"/>
    <w:rsid w:val="15DF5D8E"/>
    <w:rsid w:val="15E2762C"/>
    <w:rsid w:val="15F21E7B"/>
    <w:rsid w:val="15F5735F"/>
    <w:rsid w:val="15F97149"/>
    <w:rsid w:val="16087E1D"/>
    <w:rsid w:val="16161084"/>
    <w:rsid w:val="16165F18"/>
    <w:rsid w:val="161672D6"/>
    <w:rsid w:val="161767F2"/>
    <w:rsid w:val="161A0B74"/>
    <w:rsid w:val="161D0664"/>
    <w:rsid w:val="16294BEA"/>
    <w:rsid w:val="162E0AC3"/>
    <w:rsid w:val="163A7C24"/>
    <w:rsid w:val="163D0D06"/>
    <w:rsid w:val="163D2AB4"/>
    <w:rsid w:val="163F05DA"/>
    <w:rsid w:val="163F5014"/>
    <w:rsid w:val="16422A31"/>
    <w:rsid w:val="16442095"/>
    <w:rsid w:val="16532951"/>
    <w:rsid w:val="1656179C"/>
    <w:rsid w:val="16614987"/>
    <w:rsid w:val="16627636"/>
    <w:rsid w:val="166415B8"/>
    <w:rsid w:val="166455C0"/>
    <w:rsid w:val="16770B17"/>
    <w:rsid w:val="167A41C5"/>
    <w:rsid w:val="168129A1"/>
    <w:rsid w:val="168D2480"/>
    <w:rsid w:val="169A7304"/>
    <w:rsid w:val="169C5A2D"/>
    <w:rsid w:val="16A36802"/>
    <w:rsid w:val="16A50D85"/>
    <w:rsid w:val="16A619B3"/>
    <w:rsid w:val="16A65F04"/>
    <w:rsid w:val="16BC793D"/>
    <w:rsid w:val="16C042BD"/>
    <w:rsid w:val="16C1062F"/>
    <w:rsid w:val="16C23ECA"/>
    <w:rsid w:val="16C33AD6"/>
    <w:rsid w:val="16C864B5"/>
    <w:rsid w:val="16D72F09"/>
    <w:rsid w:val="16D75927"/>
    <w:rsid w:val="16E70ADE"/>
    <w:rsid w:val="16EF0253"/>
    <w:rsid w:val="16F92D57"/>
    <w:rsid w:val="170830C2"/>
    <w:rsid w:val="170A508C"/>
    <w:rsid w:val="170A6E3A"/>
    <w:rsid w:val="17107B4D"/>
    <w:rsid w:val="171364CE"/>
    <w:rsid w:val="17173305"/>
    <w:rsid w:val="171831E2"/>
    <w:rsid w:val="172872C1"/>
    <w:rsid w:val="17326391"/>
    <w:rsid w:val="17363925"/>
    <w:rsid w:val="173947A8"/>
    <w:rsid w:val="17397720"/>
    <w:rsid w:val="173B5246"/>
    <w:rsid w:val="173D6B44"/>
    <w:rsid w:val="173F1128"/>
    <w:rsid w:val="174F3912"/>
    <w:rsid w:val="17500B63"/>
    <w:rsid w:val="17604CAC"/>
    <w:rsid w:val="17620A24"/>
    <w:rsid w:val="1763479D"/>
    <w:rsid w:val="17647FE9"/>
    <w:rsid w:val="17650515"/>
    <w:rsid w:val="17676A3D"/>
    <w:rsid w:val="17701D14"/>
    <w:rsid w:val="177249E0"/>
    <w:rsid w:val="17735226"/>
    <w:rsid w:val="177469AA"/>
    <w:rsid w:val="17771FF6"/>
    <w:rsid w:val="178C784F"/>
    <w:rsid w:val="178F5592"/>
    <w:rsid w:val="17936E30"/>
    <w:rsid w:val="17996410"/>
    <w:rsid w:val="17A27A9F"/>
    <w:rsid w:val="17A34B99"/>
    <w:rsid w:val="17A728DB"/>
    <w:rsid w:val="17B15508"/>
    <w:rsid w:val="17B73663"/>
    <w:rsid w:val="17B75F41"/>
    <w:rsid w:val="17C0399D"/>
    <w:rsid w:val="17CB4F24"/>
    <w:rsid w:val="17CF30E0"/>
    <w:rsid w:val="17D84957"/>
    <w:rsid w:val="17D86098"/>
    <w:rsid w:val="17D912A0"/>
    <w:rsid w:val="17E22656"/>
    <w:rsid w:val="17F11DA8"/>
    <w:rsid w:val="17FD24FB"/>
    <w:rsid w:val="17FE065C"/>
    <w:rsid w:val="18001FEB"/>
    <w:rsid w:val="180C3395"/>
    <w:rsid w:val="18133ACD"/>
    <w:rsid w:val="18185587"/>
    <w:rsid w:val="18221D0E"/>
    <w:rsid w:val="18226406"/>
    <w:rsid w:val="18251C01"/>
    <w:rsid w:val="182B19A1"/>
    <w:rsid w:val="182B350C"/>
    <w:rsid w:val="182E4DAB"/>
    <w:rsid w:val="1831384E"/>
    <w:rsid w:val="18441709"/>
    <w:rsid w:val="18496141"/>
    <w:rsid w:val="1851779E"/>
    <w:rsid w:val="18561C0B"/>
    <w:rsid w:val="18574301"/>
    <w:rsid w:val="185C07CF"/>
    <w:rsid w:val="185C1918"/>
    <w:rsid w:val="185F6D12"/>
    <w:rsid w:val="186462B9"/>
    <w:rsid w:val="18666EE8"/>
    <w:rsid w:val="18675E20"/>
    <w:rsid w:val="186E164B"/>
    <w:rsid w:val="18710A57"/>
    <w:rsid w:val="18743D16"/>
    <w:rsid w:val="18822A00"/>
    <w:rsid w:val="18845A03"/>
    <w:rsid w:val="18855ADD"/>
    <w:rsid w:val="18864252"/>
    <w:rsid w:val="188744BB"/>
    <w:rsid w:val="189448FE"/>
    <w:rsid w:val="189B3AC2"/>
    <w:rsid w:val="189C0EA3"/>
    <w:rsid w:val="189E370F"/>
    <w:rsid w:val="189F624C"/>
    <w:rsid w:val="18A84B5D"/>
    <w:rsid w:val="18A84BA2"/>
    <w:rsid w:val="18AB5DD8"/>
    <w:rsid w:val="18B7099F"/>
    <w:rsid w:val="18BB7226"/>
    <w:rsid w:val="18BE35FB"/>
    <w:rsid w:val="18C9062F"/>
    <w:rsid w:val="18D23988"/>
    <w:rsid w:val="18D65DF2"/>
    <w:rsid w:val="18DF2393"/>
    <w:rsid w:val="18E5190D"/>
    <w:rsid w:val="18F953B8"/>
    <w:rsid w:val="190873AA"/>
    <w:rsid w:val="190F3602"/>
    <w:rsid w:val="19137AFC"/>
    <w:rsid w:val="191915B7"/>
    <w:rsid w:val="191C4A9A"/>
    <w:rsid w:val="1922362F"/>
    <w:rsid w:val="192341E3"/>
    <w:rsid w:val="192C48DC"/>
    <w:rsid w:val="192D1A31"/>
    <w:rsid w:val="193D78C0"/>
    <w:rsid w:val="193E2DCB"/>
    <w:rsid w:val="193F08F1"/>
    <w:rsid w:val="19410B0E"/>
    <w:rsid w:val="19431A7B"/>
    <w:rsid w:val="19455D09"/>
    <w:rsid w:val="19466124"/>
    <w:rsid w:val="19502AFF"/>
    <w:rsid w:val="195048A6"/>
    <w:rsid w:val="19520625"/>
    <w:rsid w:val="19575C3B"/>
    <w:rsid w:val="195E521C"/>
    <w:rsid w:val="19712F36"/>
    <w:rsid w:val="197131A1"/>
    <w:rsid w:val="19765580"/>
    <w:rsid w:val="197762DD"/>
    <w:rsid w:val="197B520E"/>
    <w:rsid w:val="197B5DCD"/>
    <w:rsid w:val="19801636"/>
    <w:rsid w:val="198744A9"/>
    <w:rsid w:val="198762A2"/>
    <w:rsid w:val="19877546"/>
    <w:rsid w:val="198A6011"/>
    <w:rsid w:val="198B234D"/>
    <w:rsid w:val="1994787E"/>
    <w:rsid w:val="1995404C"/>
    <w:rsid w:val="199926F8"/>
    <w:rsid w:val="199B0CA3"/>
    <w:rsid w:val="19A7323F"/>
    <w:rsid w:val="19A753EF"/>
    <w:rsid w:val="19B94B48"/>
    <w:rsid w:val="19BF76EB"/>
    <w:rsid w:val="19C01A32"/>
    <w:rsid w:val="19C0641E"/>
    <w:rsid w:val="19C5529B"/>
    <w:rsid w:val="19C84D8B"/>
    <w:rsid w:val="19CE23A1"/>
    <w:rsid w:val="19CF6119"/>
    <w:rsid w:val="19D706F0"/>
    <w:rsid w:val="19E00D1D"/>
    <w:rsid w:val="19E020D4"/>
    <w:rsid w:val="19E53082"/>
    <w:rsid w:val="19EF2318"/>
    <w:rsid w:val="19F31AE6"/>
    <w:rsid w:val="19F31E08"/>
    <w:rsid w:val="19F94F44"/>
    <w:rsid w:val="19FB6838"/>
    <w:rsid w:val="19FC3617"/>
    <w:rsid w:val="19FC64CD"/>
    <w:rsid w:val="1A047E1B"/>
    <w:rsid w:val="1A051B3B"/>
    <w:rsid w:val="1A136006"/>
    <w:rsid w:val="1A145B6D"/>
    <w:rsid w:val="1A1C66C0"/>
    <w:rsid w:val="1A2C70C8"/>
    <w:rsid w:val="1A2D7A44"/>
    <w:rsid w:val="1A310B82"/>
    <w:rsid w:val="1A312930"/>
    <w:rsid w:val="1A361CF4"/>
    <w:rsid w:val="1A3B37AF"/>
    <w:rsid w:val="1A3C2CF5"/>
    <w:rsid w:val="1A3C5371"/>
    <w:rsid w:val="1A3D3083"/>
    <w:rsid w:val="1A42393B"/>
    <w:rsid w:val="1A451613"/>
    <w:rsid w:val="1A46462D"/>
    <w:rsid w:val="1A48704D"/>
    <w:rsid w:val="1A55661F"/>
    <w:rsid w:val="1A592BA3"/>
    <w:rsid w:val="1A5A3C35"/>
    <w:rsid w:val="1A5B6C04"/>
    <w:rsid w:val="1A61690B"/>
    <w:rsid w:val="1A6745A4"/>
    <w:rsid w:val="1A696A42"/>
    <w:rsid w:val="1A6B22FC"/>
    <w:rsid w:val="1A7B3BAB"/>
    <w:rsid w:val="1A893699"/>
    <w:rsid w:val="1A8E7D82"/>
    <w:rsid w:val="1A913E26"/>
    <w:rsid w:val="1A935399"/>
    <w:rsid w:val="1A9C249F"/>
    <w:rsid w:val="1A9C791D"/>
    <w:rsid w:val="1AA41354"/>
    <w:rsid w:val="1AA650CC"/>
    <w:rsid w:val="1AA90718"/>
    <w:rsid w:val="1AAA63EA"/>
    <w:rsid w:val="1AAD45DE"/>
    <w:rsid w:val="1ABC7925"/>
    <w:rsid w:val="1ABF336E"/>
    <w:rsid w:val="1AC35C7E"/>
    <w:rsid w:val="1AC469A3"/>
    <w:rsid w:val="1AC47DBE"/>
    <w:rsid w:val="1AC51BE8"/>
    <w:rsid w:val="1AC80779"/>
    <w:rsid w:val="1ADC289C"/>
    <w:rsid w:val="1ADD00B3"/>
    <w:rsid w:val="1AE21480"/>
    <w:rsid w:val="1AE300CE"/>
    <w:rsid w:val="1AE479A2"/>
    <w:rsid w:val="1AF005C3"/>
    <w:rsid w:val="1AF8344E"/>
    <w:rsid w:val="1B045F93"/>
    <w:rsid w:val="1B046F80"/>
    <w:rsid w:val="1B0533B5"/>
    <w:rsid w:val="1B0A50FA"/>
    <w:rsid w:val="1B0D0CA7"/>
    <w:rsid w:val="1B144B09"/>
    <w:rsid w:val="1B155DAE"/>
    <w:rsid w:val="1B18764C"/>
    <w:rsid w:val="1B197CFB"/>
    <w:rsid w:val="1B210BF7"/>
    <w:rsid w:val="1B214753"/>
    <w:rsid w:val="1B216905"/>
    <w:rsid w:val="1B246214"/>
    <w:rsid w:val="1B291859"/>
    <w:rsid w:val="1B293607"/>
    <w:rsid w:val="1B2954B7"/>
    <w:rsid w:val="1B2B55D1"/>
    <w:rsid w:val="1B3179B3"/>
    <w:rsid w:val="1B3267B5"/>
    <w:rsid w:val="1B3733BC"/>
    <w:rsid w:val="1B3B1C95"/>
    <w:rsid w:val="1B3D1E04"/>
    <w:rsid w:val="1B3E503B"/>
    <w:rsid w:val="1B40161D"/>
    <w:rsid w:val="1B441859"/>
    <w:rsid w:val="1B445528"/>
    <w:rsid w:val="1B577516"/>
    <w:rsid w:val="1B58214C"/>
    <w:rsid w:val="1B5A1A13"/>
    <w:rsid w:val="1B6603B7"/>
    <w:rsid w:val="1B6606B1"/>
    <w:rsid w:val="1B66161C"/>
    <w:rsid w:val="1B7725C5"/>
    <w:rsid w:val="1B7A30A0"/>
    <w:rsid w:val="1B903686"/>
    <w:rsid w:val="1B907EBD"/>
    <w:rsid w:val="1B917162"/>
    <w:rsid w:val="1B917B2A"/>
    <w:rsid w:val="1B920528"/>
    <w:rsid w:val="1B9969DF"/>
    <w:rsid w:val="1BA3357F"/>
    <w:rsid w:val="1BA353D8"/>
    <w:rsid w:val="1BA535D6"/>
    <w:rsid w:val="1BA65D64"/>
    <w:rsid w:val="1BAD4238"/>
    <w:rsid w:val="1BAF1D5E"/>
    <w:rsid w:val="1BB05AD7"/>
    <w:rsid w:val="1BB27AA1"/>
    <w:rsid w:val="1BB472B8"/>
    <w:rsid w:val="1BBB45CD"/>
    <w:rsid w:val="1BBE6445"/>
    <w:rsid w:val="1BC27AE2"/>
    <w:rsid w:val="1BC82E20"/>
    <w:rsid w:val="1BCC11CE"/>
    <w:rsid w:val="1BCC17F9"/>
    <w:rsid w:val="1BCD078D"/>
    <w:rsid w:val="1BCE0DC5"/>
    <w:rsid w:val="1BCE7921"/>
    <w:rsid w:val="1BCF2401"/>
    <w:rsid w:val="1BD13A63"/>
    <w:rsid w:val="1BD30E1D"/>
    <w:rsid w:val="1BDB6FF7"/>
    <w:rsid w:val="1BE107B4"/>
    <w:rsid w:val="1BE55780"/>
    <w:rsid w:val="1BEA723A"/>
    <w:rsid w:val="1BEF2D2A"/>
    <w:rsid w:val="1BF038C8"/>
    <w:rsid w:val="1BF6798D"/>
    <w:rsid w:val="1BF754B3"/>
    <w:rsid w:val="1C024584"/>
    <w:rsid w:val="1C0773DE"/>
    <w:rsid w:val="1C077DEC"/>
    <w:rsid w:val="1C0A168B"/>
    <w:rsid w:val="1C0C1291"/>
    <w:rsid w:val="1C0E30E6"/>
    <w:rsid w:val="1C1027E3"/>
    <w:rsid w:val="1C1147C7"/>
    <w:rsid w:val="1C16002F"/>
    <w:rsid w:val="1C194053"/>
    <w:rsid w:val="1C1B3898"/>
    <w:rsid w:val="1C1B5646"/>
    <w:rsid w:val="1C1E0C92"/>
    <w:rsid w:val="1C2045CA"/>
    <w:rsid w:val="1C2269D4"/>
    <w:rsid w:val="1C2564C4"/>
    <w:rsid w:val="1C267F3D"/>
    <w:rsid w:val="1C284952"/>
    <w:rsid w:val="1C2A7881"/>
    <w:rsid w:val="1C313837"/>
    <w:rsid w:val="1C393D1E"/>
    <w:rsid w:val="1C4032FE"/>
    <w:rsid w:val="1C404D4C"/>
    <w:rsid w:val="1C490C28"/>
    <w:rsid w:val="1C4921B3"/>
    <w:rsid w:val="1C4C3A51"/>
    <w:rsid w:val="1C570E6E"/>
    <w:rsid w:val="1C597898"/>
    <w:rsid w:val="1C5A0626"/>
    <w:rsid w:val="1C5E7925"/>
    <w:rsid w:val="1C5F7AD6"/>
    <w:rsid w:val="1C627CB7"/>
    <w:rsid w:val="1C6B44E3"/>
    <w:rsid w:val="1C6E1C1A"/>
    <w:rsid w:val="1C6E39C8"/>
    <w:rsid w:val="1C6F7740"/>
    <w:rsid w:val="1C7106F0"/>
    <w:rsid w:val="1C7134B8"/>
    <w:rsid w:val="1C7A7EC9"/>
    <w:rsid w:val="1C8036FB"/>
    <w:rsid w:val="1C8971FD"/>
    <w:rsid w:val="1C907DE2"/>
    <w:rsid w:val="1C915908"/>
    <w:rsid w:val="1C986C96"/>
    <w:rsid w:val="1C9B22E3"/>
    <w:rsid w:val="1C9B74C6"/>
    <w:rsid w:val="1C9C6787"/>
    <w:rsid w:val="1CA13D9D"/>
    <w:rsid w:val="1CA14B85"/>
    <w:rsid w:val="1CAE0268"/>
    <w:rsid w:val="1CAE65FE"/>
    <w:rsid w:val="1CAF7887"/>
    <w:rsid w:val="1CB17D58"/>
    <w:rsid w:val="1CBA06D4"/>
    <w:rsid w:val="1CBD494F"/>
    <w:rsid w:val="1CC25AC1"/>
    <w:rsid w:val="1CC3300B"/>
    <w:rsid w:val="1CCE090A"/>
    <w:rsid w:val="1CCE1BE6"/>
    <w:rsid w:val="1CCE4466"/>
    <w:rsid w:val="1CD6156D"/>
    <w:rsid w:val="1CD75A11"/>
    <w:rsid w:val="1CDF6673"/>
    <w:rsid w:val="1CED50D2"/>
    <w:rsid w:val="1CED6FE2"/>
    <w:rsid w:val="1CEE6C3F"/>
    <w:rsid w:val="1CF33ECD"/>
    <w:rsid w:val="1CF41996"/>
    <w:rsid w:val="1CF739BD"/>
    <w:rsid w:val="1CF9435B"/>
    <w:rsid w:val="1CFD070F"/>
    <w:rsid w:val="1CFD1B8F"/>
    <w:rsid w:val="1CFE7CD4"/>
    <w:rsid w:val="1D0114B0"/>
    <w:rsid w:val="1D034C98"/>
    <w:rsid w:val="1D047E88"/>
    <w:rsid w:val="1D126A49"/>
    <w:rsid w:val="1D1E3640"/>
    <w:rsid w:val="1D214EDE"/>
    <w:rsid w:val="1D232A04"/>
    <w:rsid w:val="1D3544E5"/>
    <w:rsid w:val="1D3B48E2"/>
    <w:rsid w:val="1D44297A"/>
    <w:rsid w:val="1D4B0507"/>
    <w:rsid w:val="1D4D7A81"/>
    <w:rsid w:val="1D536B88"/>
    <w:rsid w:val="1D5F6196"/>
    <w:rsid w:val="1D6132A5"/>
    <w:rsid w:val="1D644DCB"/>
    <w:rsid w:val="1D6F4110"/>
    <w:rsid w:val="1D76522A"/>
    <w:rsid w:val="1D790876"/>
    <w:rsid w:val="1D7A1D89"/>
    <w:rsid w:val="1D7B69ED"/>
    <w:rsid w:val="1D8316F5"/>
    <w:rsid w:val="1D8B2357"/>
    <w:rsid w:val="1D8C1806"/>
    <w:rsid w:val="1D8E56D5"/>
    <w:rsid w:val="1D951428"/>
    <w:rsid w:val="1D952165"/>
    <w:rsid w:val="1D957D1A"/>
    <w:rsid w:val="1D990F18"/>
    <w:rsid w:val="1DA24769"/>
    <w:rsid w:val="1DAC6E53"/>
    <w:rsid w:val="1DAF4298"/>
    <w:rsid w:val="1DB55626"/>
    <w:rsid w:val="1DBC69B5"/>
    <w:rsid w:val="1DBD70AE"/>
    <w:rsid w:val="1DC1654B"/>
    <w:rsid w:val="1DC449C1"/>
    <w:rsid w:val="1DC87107"/>
    <w:rsid w:val="1DCA2E80"/>
    <w:rsid w:val="1DCD471E"/>
    <w:rsid w:val="1DCF493A"/>
    <w:rsid w:val="1DD1215E"/>
    <w:rsid w:val="1DD67347"/>
    <w:rsid w:val="1DD90774"/>
    <w:rsid w:val="1DDB508D"/>
    <w:rsid w:val="1DE25B8E"/>
    <w:rsid w:val="1DEB2FC8"/>
    <w:rsid w:val="1DED107E"/>
    <w:rsid w:val="1DF6398A"/>
    <w:rsid w:val="1DFA7E83"/>
    <w:rsid w:val="1E087E4C"/>
    <w:rsid w:val="1E0A0EB6"/>
    <w:rsid w:val="1E126414"/>
    <w:rsid w:val="1E1602B3"/>
    <w:rsid w:val="1E161958"/>
    <w:rsid w:val="1E256308"/>
    <w:rsid w:val="1E262080"/>
    <w:rsid w:val="1E2B0A6A"/>
    <w:rsid w:val="1E2C3B3A"/>
    <w:rsid w:val="1E2C6B67"/>
    <w:rsid w:val="1E2D1B4D"/>
    <w:rsid w:val="1E340C41"/>
    <w:rsid w:val="1E3429EF"/>
    <w:rsid w:val="1E346FA7"/>
    <w:rsid w:val="1E366767"/>
    <w:rsid w:val="1E37428D"/>
    <w:rsid w:val="1E3E561C"/>
    <w:rsid w:val="1E4240F2"/>
    <w:rsid w:val="1E450CE8"/>
    <w:rsid w:val="1E452429"/>
    <w:rsid w:val="1E472722"/>
    <w:rsid w:val="1E4A01AA"/>
    <w:rsid w:val="1E5135A1"/>
    <w:rsid w:val="1E537319"/>
    <w:rsid w:val="1E5866DD"/>
    <w:rsid w:val="1E592455"/>
    <w:rsid w:val="1E594193"/>
    <w:rsid w:val="1E595A1F"/>
    <w:rsid w:val="1E5B61CE"/>
    <w:rsid w:val="1E7352C5"/>
    <w:rsid w:val="1E7546E7"/>
    <w:rsid w:val="1E764DB5"/>
    <w:rsid w:val="1E771895"/>
    <w:rsid w:val="1E7A43DA"/>
    <w:rsid w:val="1E7E646F"/>
    <w:rsid w:val="1E7F010E"/>
    <w:rsid w:val="1E885444"/>
    <w:rsid w:val="1E8F5629"/>
    <w:rsid w:val="1E937715"/>
    <w:rsid w:val="1E95520B"/>
    <w:rsid w:val="1E9634B2"/>
    <w:rsid w:val="1E991F47"/>
    <w:rsid w:val="1EA230A1"/>
    <w:rsid w:val="1EA35FEA"/>
    <w:rsid w:val="1EAE6FAF"/>
    <w:rsid w:val="1EAF2075"/>
    <w:rsid w:val="1EB01FC6"/>
    <w:rsid w:val="1EB12291"/>
    <w:rsid w:val="1EB3600A"/>
    <w:rsid w:val="1EBF050A"/>
    <w:rsid w:val="1ED32208"/>
    <w:rsid w:val="1ED65DE0"/>
    <w:rsid w:val="1ED73A6B"/>
    <w:rsid w:val="1EDA3596"/>
    <w:rsid w:val="1EDB2E6A"/>
    <w:rsid w:val="1EDF06F1"/>
    <w:rsid w:val="1EE2069D"/>
    <w:rsid w:val="1EE962A6"/>
    <w:rsid w:val="1EEA12FF"/>
    <w:rsid w:val="1EED04E3"/>
    <w:rsid w:val="1EFA5738"/>
    <w:rsid w:val="1EFA7794"/>
    <w:rsid w:val="1EFE282B"/>
    <w:rsid w:val="1F0625DD"/>
    <w:rsid w:val="1F06438B"/>
    <w:rsid w:val="1F0E3240"/>
    <w:rsid w:val="1F1903A6"/>
    <w:rsid w:val="1F1D3483"/>
    <w:rsid w:val="1F271A3E"/>
    <w:rsid w:val="1F2733AF"/>
    <w:rsid w:val="1F2962CC"/>
    <w:rsid w:val="1F3A2287"/>
    <w:rsid w:val="1F3C3740"/>
    <w:rsid w:val="1F4629DA"/>
    <w:rsid w:val="1F4924CA"/>
    <w:rsid w:val="1F4D5417"/>
    <w:rsid w:val="1F51312D"/>
    <w:rsid w:val="1F5F3A9B"/>
    <w:rsid w:val="1F603A69"/>
    <w:rsid w:val="1F6D797E"/>
    <w:rsid w:val="1F713AC0"/>
    <w:rsid w:val="1F745799"/>
    <w:rsid w:val="1F7532BF"/>
    <w:rsid w:val="1F7C464D"/>
    <w:rsid w:val="1F843502"/>
    <w:rsid w:val="1F8A4FBC"/>
    <w:rsid w:val="1F8D0609"/>
    <w:rsid w:val="1F8E59B8"/>
    <w:rsid w:val="1F933745"/>
    <w:rsid w:val="1F9A0F77"/>
    <w:rsid w:val="1FA33D7E"/>
    <w:rsid w:val="1FA75BF8"/>
    <w:rsid w:val="1FB02549"/>
    <w:rsid w:val="1FB1635B"/>
    <w:rsid w:val="1FB21E1D"/>
    <w:rsid w:val="1FB262C1"/>
    <w:rsid w:val="1FBA5176"/>
    <w:rsid w:val="1FBE0B9A"/>
    <w:rsid w:val="1FC332FE"/>
    <w:rsid w:val="1FCD30FB"/>
    <w:rsid w:val="1FD56680"/>
    <w:rsid w:val="1FD66FA2"/>
    <w:rsid w:val="1FD77AD6"/>
    <w:rsid w:val="1FD9384E"/>
    <w:rsid w:val="1FDA1374"/>
    <w:rsid w:val="1FDC333E"/>
    <w:rsid w:val="1FDE0E64"/>
    <w:rsid w:val="1FE0288F"/>
    <w:rsid w:val="1FE7539E"/>
    <w:rsid w:val="1FF410A1"/>
    <w:rsid w:val="1FF65BDA"/>
    <w:rsid w:val="20036B1D"/>
    <w:rsid w:val="200A3A07"/>
    <w:rsid w:val="200A7EAB"/>
    <w:rsid w:val="200C041C"/>
    <w:rsid w:val="201120ED"/>
    <w:rsid w:val="2011502D"/>
    <w:rsid w:val="20174376"/>
    <w:rsid w:val="201C373B"/>
    <w:rsid w:val="201E74B3"/>
    <w:rsid w:val="201F18B9"/>
    <w:rsid w:val="201F799D"/>
    <w:rsid w:val="20234AC9"/>
    <w:rsid w:val="20297B89"/>
    <w:rsid w:val="202C350B"/>
    <w:rsid w:val="20340D69"/>
    <w:rsid w:val="203B66A0"/>
    <w:rsid w:val="203F7F7F"/>
    <w:rsid w:val="20453D48"/>
    <w:rsid w:val="204C04C4"/>
    <w:rsid w:val="204F58BE"/>
    <w:rsid w:val="205C739A"/>
    <w:rsid w:val="205E3447"/>
    <w:rsid w:val="205F1BFF"/>
    <w:rsid w:val="205F2F58"/>
    <w:rsid w:val="20624734"/>
    <w:rsid w:val="20671BE0"/>
    <w:rsid w:val="206F5600"/>
    <w:rsid w:val="2076109D"/>
    <w:rsid w:val="207672EF"/>
    <w:rsid w:val="20790B8D"/>
    <w:rsid w:val="20825C93"/>
    <w:rsid w:val="208445B0"/>
    <w:rsid w:val="208512E0"/>
    <w:rsid w:val="20875058"/>
    <w:rsid w:val="208A4B48"/>
    <w:rsid w:val="208E6C79"/>
    <w:rsid w:val="20923F96"/>
    <w:rsid w:val="20963CB8"/>
    <w:rsid w:val="2099122F"/>
    <w:rsid w:val="209B3E3A"/>
    <w:rsid w:val="209E23A2"/>
    <w:rsid w:val="20A81A1B"/>
    <w:rsid w:val="20A953AC"/>
    <w:rsid w:val="20B07FB6"/>
    <w:rsid w:val="20B24FB6"/>
    <w:rsid w:val="20B646FB"/>
    <w:rsid w:val="20BF0C96"/>
    <w:rsid w:val="20C05E50"/>
    <w:rsid w:val="20C55B80"/>
    <w:rsid w:val="20CB6AEC"/>
    <w:rsid w:val="20CC5161"/>
    <w:rsid w:val="20CC5F0A"/>
    <w:rsid w:val="20DA787E"/>
    <w:rsid w:val="20DD111C"/>
    <w:rsid w:val="20E62665"/>
    <w:rsid w:val="20F070A1"/>
    <w:rsid w:val="20F12E19"/>
    <w:rsid w:val="20F6042F"/>
    <w:rsid w:val="20FA1CCE"/>
    <w:rsid w:val="20FC3541"/>
    <w:rsid w:val="20FC6049"/>
    <w:rsid w:val="20FE1DFE"/>
    <w:rsid w:val="21076199"/>
    <w:rsid w:val="21146A8E"/>
    <w:rsid w:val="211663DC"/>
    <w:rsid w:val="211B1C44"/>
    <w:rsid w:val="211D3A51"/>
    <w:rsid w:val="211F2B06"/>
    <w:rsid w:val="21274A8D"/>
    <w:rsid w:val="21326348"/>
    <w:rsid w:val="21350F58"/>
    <w:rsid w:val="213845A4"/>
    <w:rsid w:val="213B74B1"/>
    <w:rsid w:val="214032A2"/>
    <w:rsid w:val="214B42D7"/>
    <w:rsid w:val="21544704"/>
    <w:rsid w:val="215A2310"/>
    <w:rsid w:val="21617F9F"/>
    <w:rsid w:val="21667DBF"/>
    <w:rsid w:val="216B2BCB"/>
    <w:rsid w:val="2170143C"/>
    <w:rsid w:val="21771570"/>
    <w:rsid w:val="217A4BBD"/>
    <w:rsid w:val="217F0425"/>
    <w:rsid w:val="21823A71"/>
    <w:rsid w:val="21845A3B"/>
    <w:rsid w:val="21894E00"/>
    <w:rsid w:val="218D5374"/>
    <w:rsid w:val="218E0668"/>
    <w:rsid w:val="219709C9"/>
    <w:rsid w:val="21A32365"/>
    <w:rsid w:val="21AB121A"/>
    <w:rsid w:val="21AD6D40"/>
    <w:rsid w:val="21BC592B"/>
    <w:rsid w:val="21BF4CC5"/>
    <w:rsid w:val="21C615AE"/>
    <w:rsid w:val="21C910B4"/>
    <w:rsid w:val="21D41512"/>
    <w:rsid w:val="21D97B35"/>
    <w:rsid w:val="21DE318A"/>
    <w:rsid w:val="21DF2C72"/>
    <w:rsid w:val="21E604A4"/>
    <w:rsid w:val="21E6121E"/>
    <w:rsid w:val="21EA3B0F"/>
    <w:rsid w:val="21EA7F94"/>
    <w:rsid w:val="21EC0C19"/>
    <w:rsid w:val="21EE1DF4"/>
    <w:rsid w:val="21EE6CFA"/>
    <w:rsid w:val="21EF5B80"/>
    <w:rsid w:val="21F1213D"/>
    <w:rsid w:val="21F7445F"/>
    <w:rsid w:val="21FA7AAB"/>
    <w:rsid w:val="21FE134A"/>
    <w:rsid w:val="21FE6183"/>
    <w:rsid w:val="22042784"/>
    <w:rsid w:val="220D5A31"/>
    <w:rsid w:val="22121299"/>
    <w:rsid w:val="22124DF5"/>
    <w:rsid w:val="22222C04"/>
    <w:rsid w:val="222339F7"/>
    <w:rsid w:val="22257C75"/>
    <w:rsid w:val="222D60D3"/>
    <w:rsid w:val="22317971"/>
    <w:rsid w:val="22394A78"/>
    <w:rsid w:val="224103D0"/>
    <w:rsid w:val="2245341D"/>
    <w:rsid w:val="224B0651"/>
    <w:rsid w:val="22576990"/>
    <w:rsid w:val="225954E7"/>
    <w:rsid w:val="225B2C40"/>
    <w:rsid w:val="2260589B"/>
    <w:rsid w:val="2265384E"/>
    <w:rsid w:val="226D18CF"/>
    <w:rsid w:val="226D4721"/>
    <w:rsid w:val="22717D6E"/>
    <w:rsid w:val="22720A33"/>
    <w:rsid w:val="22743D02"/>
    <w:rsid w:val="227E06DD"/>
    <w:rsid w:val="22803731"/>
    <w:rsid w:val="22806203"/>
    <w:rsid w:val="22877591"/>
    <w:rsid w:val="22892B2C"/>
    <w:rsid w:val="2289664E"/>
    <w:rsid w:val="229530DB"/>
    <w:rsid w:val="22963C78"/>
    <w:rsid w:val="22964297"/>
    <w:rsid w:val="229A363B"/>
    <w:rsid w:val="229B303C"/>
    <w:rsid w:val="22AA68E2"/>
    <w:rsid w:val="22AA7723"/>
    <w:rsid w:val="22B440FE"/>
    <w:rsid w:val="22BA0269"/>
    <w:rsid w:val="22BE6D2B"/>
    <w:rsid w:val="22C73E13"/>
    <w:rsid w:val="22DA0B06"/>
    <w:rsid w:val="22E03145"/>
    <w:rsid w:val="22EB7084"/>
    <w:rsid w:val="22F35816"/>
    <w:rsid w:val="22F47480"/>
    <w:rsid w:val="22F642C1"/>
    <w:rsid w:val="22F664C5"/>
    <w:rsid w:val="22FC63B5"/>
    <w:rsid w:val="230B6414"/>
    <w:rsid w:val="23104D3E"/>
    <w:rsid w:val="23131CCD"/>
    <w:rsid w:val="23160915"/>
    <w:rsid w:val="23164DB9"/>
    <w:rsid w:val="231D6147"/>
    <w:rsid w:val="231F3C6E"/>
    <w:rsid w:val="23256DAA"/>
    <w:rsid w:val="23307C29"/>
    <w:rsid w:val="23357A5F"/>
    <w:rsid w:val="23362D65"/>
    <w:rsid w:val="233D0598"/>
    <w:rsid w:val="23400260"/>
    <w:rsid w:val="23467C87"/>
    <w:rsid w:val="234B501F"/>
    <w:rsid w:val="234C07DB"/>
    <w:rsid w:val="2355143D"/>
    <w:rsid w:val="235C6CAA"/>
    <w:rsid w:val="23610966"/>
    <w:rsid w:val="236311C3"/>
    <w:rsid w:val="23731AAD"/>
    <w:rsid w:val="23736A25"/>
    <w:rsid w:val="2378210B"/>
    <w:rsid w:val="2378512C"/>
    <w:rsid w:val="237D208A"/>
    <w:rsid w:val="238433F1"/>
    <w:rsid w:val="23865A9B"/>
    <w:rsid w:val="23867F5D"/>
    <w:rsid w:val="238E44C0"/>
    <w:rsid w:val="239301B8"/>
    <w:rsid w:val="239857CE"/>
    <w:rsid w:val="239D1036"/>
    <w:rsid w:val="23A44173"/>
    <w:rsid w:val="23A87B77"/>
    <w:rsid w:val="23B343B6"/>
    <w:rsid w:val="23B7280F"/>
    <w:rsid w:val="23C05F8C"/>
    <w:rsid w:val="23C30A9D"/>
    <w:rsid w:val="23C95987"/>
    <w:rsid w:val="23CC35A5"/>
    <w:rsid w:val="23CE11F0"/>
    <w:rsid w:val="23CF5A54"/>
    <w:rsid w:val="23D42CAA"/>
    <w:rsid w:val="23DE15D6"/>
    <w:rsid w:val="23DE1C48"/>
    <w:rsid w:val="23DE58D7"/>
    <w:rsid w:val="23E1433B"/>
    <w:rsid w:val="23E32EED"/>
    <w:rsid w:val="23E45806"/>
    <w:rsid w:val="23E629DD"/>
    <w:rsid w:val="23F8626D"/>
    <w:rsid w:val="240210CD"/>
    <w:rsid w:val="2408196B"/>
    <w:rsid w:val="240D1D18"/>
    <w:rsid w:val="24156E1F"/>
    <w:rsid w:val="24172B97"/>
    <w:rsid w:val="241C63FF"/>
    <w:rsid w:val="241D411F"/>
    <w:rsid w:val="241F1A4B"/>
    <w:rsid w:val="24252EB3"/>
    <w:rsid w:val="242937D9"/>
    <w:rsid w:val="24305A06"/>
    <w:rsid w:val="2436509F"/>
    <w:rsid w:val="243F3E9B"/>
    <w:rsid w:val="24442A22"/>
    <w:rsid w:val="24456840"/>
    <w:rsid w:val="24482D50"/>
    <w:rsid w:val="244871F4"/>
    <w:rsid w:val="244B6DB4"/>
    <w:rsid w:val="244D0366"/>
    <w:rsid w:val="244D57D3"/>
    <w:rsid w:val="24507E57"/>
    <w:rsid w:val="24521E21"/>
    <w:rsid w:val="24523BCF"/>
    <w:rsid w:val="245507BF"/>
    <w:rsid w:val="24575689"/>
    <w:rsid w:val="245A2A83"/>
    <w:rsid w:val="246008A4"/>
    <w:rsid w:val="24651B54"/>
    <w:rsid w:val="246833F2"/>
    <w:rsid w:val="246B4C91"/>
    <w:rsid w:val="24763D61"/>
    <w:rsid w:val="248306A9"/>
    <w:rsid w:val="24853FA4"/>
    <w:rsid w:val="248D262D"/>
    <w:rsid w:val="249E1096"/>
    <w:rsid w:val="24A8310A"/>
    <w:rsid w:val="24AC44EC"/>
    <w:rsid w:val="24B25C8A"/>
    <w:rsid w:val="24B6415E"/>
    <w:rsid w:val="24BE3012"/>
    <w:rsid w:val="24BF09F7"/>
    <w:rsid w:val="24C70119"/>
    <w:rsid w:val="24CD7FAF"/>
    <w:rsid w:val="24D97E4C"/>
    <w:rsid w:val="24E52C95"/>
    <w:rsid w:val="24E707BB"/>
    <w:rsid w:val="24EA2059"/>
    <w:rsid w:val="24F353B2"/>
    <w:rsid w:val="24F86524"/>
    <w:rsid w:val="24FB4266"/>
    <w:rsid w:val="24FE78B3"/>
    <w:rsid w:val="25010A26"/>
    <w:rsid w:val="2503311B"/>
    <w:rsid w:val="25040928"/>
    <w:rsid w:val="250724F1"/>
    <w:rsid w:val="250E3F9A"/>
    <w:rsid w:val="251923C5"/>
    <w:rsid w:val="252B1641"/>
    <w:rsid w:val="252D53FE"/>
    <w:rsid w:val="25312E6D"/>
    <w:rsid w:val="2536704D"/>
    <w:rsid w:val="253B6ACB"/>
    <w:rsid w:val="253D0438"/>
    <w:rsid w:val="253D662D"/>
    <w:rsid w:val="25486290"/>
    <w:rsid w:val="256718FC"/>
    <w:rsid w:val="25694473"/>
    <w:rsid w:val="25735A27"/>
    <w:rsid w:val="25740EBD"/>
    <w:rsid w:val="25757B75"/>
    <w:rsid w:val="25824926"/>
    <w:rsid w:val="25864737"/>
    <w:rsid w:val="25893620"/>
    <w:rsid w:val="25A20B86"/>
    <w:rsid w:val="25A91C46"/>
    <w:rsid w:val="25B14925"/>
    <w:rsid w:val="25BC57A4"/>
    <w:rsid w:val="25BF7042"/>
    <w:rsid w:val="25C40AFC"/>
    <w:rsid w:val="25D53C59"/>
    <w:rsid w:val="25D6438C"/>
    <w:rsid w:val="25DA2D03"/>
    <w:rsid w:val="25DC734D"/>
    <w:rsid w:val="25E036DD"/>
    <w:rsid w:val="25E40BED"/>
    <w:rsid w:val="25EC2D81"/>
    <w:rsid w:val="25F62C69"/>
    <w:rsid w:val="25F7199C"/>
    <w:rsid w:val="25F80F5A"/>
    <w:rsid w:val="25F969F8"/>
    <w:rsid w:val="25FA62CC"/>
    <w:rsid w:val="25FD5DBC"/>
    <w:rsid w:val="26054A05"/>
    <w:rsid w:val="26057D67"/>
    <w:rsid w:val="260D0072"/>
    <w:rsid w:val="26105AEF"/>
    <w:rsid w:val="261475EF"/>
    <w:rsid w:val="2615454B"/>
    <w:rsid w:val="26170C2C"/>
    <w:rsid w:val="261734E0"/>
    <w:rsid w:val="261B3ED6"/>
    <w:rsid w:val="261C5B77"/>
    <w:rsid w:val="261C6F95"/>
    <w:rsid w:val="261D7B7B"/>
    <w:rsid w:val="26233A75"/>
    <w:rsid w:val="262D044F"/>
    <w:rsid w:val="262D0FFE"/>
    <w:rsid w:val="262D48F3"/>
    <w:rsid w:val="262E5F76"/>
    <w:rsid w:val="26301CEE"/>
    <w:rsid w:val="2632248D"/>
    <w:rsid w:val="263C68E5"/>
    <w:rsid w:val="265C69CC"/>
    <w:rsid w:val="265F14A3"/>
    <w:rsid w:val="26630315"/>
    <w:rsid w:val="26631367"/>
    <w:rsid w:val="26656337"/>
    <w:rsid w:val="2666570F"/>
    <w:rsid w:val="266A16A4"/>
    <w:rsid w:val="267B16AD"/>
    <w:rsid w:val="267E3B00"/>
    <w:rsid w:val="26826FA0"/>
    <w:rsid w:val="2685028B"/>
    <w:rsid w:val="268B33C8"/>
    <w:rsid w:val="268F2EB8"/>
    <w:rsid w:val="268F4C66"/>
    <w:rsid w:val="269760F4"/>
    <w:rsid w:val="26997893"/>
    <w:rsid w:val="269C34B3"/>
    <w:rsid w:val="26A01AA9"/>
    <w:rsid w:val="26A76B97"/>
    <w:rsid w:val="26AA1AA0"/>
    <w:rsid w:val="26AD77E2"/>
    <w:rsid w:val="26BB66FE"/>
    <w:rsid w:val="26BC04D1"/>
    <w:rsid w:val="26BE72FA"/>
    <w:rsid w:val="26C52DB4"/>
    <w:rsid w:val="26C54B2C"/>
    <w:rsid w:val="26C568DA"/>
    <w:rsid w:val="26C74473"/>
    <w:rsid w:val="26CD578F"/>
    <w:rsid w:val="26D42FC1"/>
    <w:rsid w:val="26D44D6F"/>
    <w:rsid w:val="26D46B1D"/>
    <w:rsid w:val="26D57D33"/>
    <w:rsid w:val="26D703BB"/>
    <w:rsid w:val="26E03714"/>
    <w:rsid w:val="26E04138"/>
    <w:rsid w:val="26E06647"/>
    <w:rsid w:val="26E15CE7"/>
    <w:rsid w:val="26EA27E4"/>
    <w:rsid w:val="26EC20B9"/>
    <w:rsid w:val="26ED0B30"/>
    <w:rsid w:val="26F23447"/>
    <w:rsid w:val="26F61189"/>
    <w:rsid w:val="26F64328"/>
    <w:rsid w:val="26FE5E6C"/>
    <w:rsid w:val="26FE6424"/>
    <w:rsid w:val="27054F28"/>
    <w:rsid w:val="270A0791"/>
    <w:rsid w:val="271B299E"/>
    <w:rsid w:val="2720212F"/>
    <w:rsid w:val="272372D1"/>
    <w:rsid w:val="272A5F01"/>
    <w:rsid w:val="273D2914"/>
    <w:rsid w:val="273E3F4D"/>
    <w:rsid w:val="27400656"/>
    <w:rsid w:val="274666AE"/>
    <w:rsid w:val="275176F4"/>
    <w:rsid w:val="27531FA3"/>
    <w:rsid w:val="2754277D"/>
    <w:rsid w:val="27565784"/>
    <w:rsid w:val="275A1718"/>
    <w:rsid w:val="27651E6B"/>
    <w:rsid w:val="276B56D3"/>
    <w:rsid w:val="277057A2"/>
    <w:rsid w:val="277327DA"/>
    <w:rsid w:val="2776664F"/>
    <w:rsid w:val="277B56F8"/>
    <w:rsid w:val="277F4D18"/>
    <w:rsid w:val="278247CB"/>
    <w:rsid w:val="27824C8B"/>
    <w:rsid w:val="278A18D2"/>
    <w:rsid w:val="278E3320"/>
    <w:rsid w:val="278E7B78"/>
    <w:rsid w:val="2795385E"/>
    <w:rsid w:val="279C2AA5"/>
    <w:rsid w:val="27A44741"/>
    <w:rsid w:val="27A6670B"/>
    <w:rsid w:val="27AC6781"/>
    <w:rsid w:val="27B16E5E"/>
    <w:rsid w:val="27B64475"/>
    <w:rsid w:val="27B801ED"/>
    <w:rsid w:val="27C26BE0"/>
    <w:rsid w:val="27CA66CF"/>
    <w:rsid w:val="27DD7C53"/>
    <w:rsid w:val="27E339BC"/>
    <w:rsid w:val="27E45486"/>
    <w:rsid w:val="27E912C3"/>
    <w:rsid w:val="27E930E8"/>
    <w:rsid w:val="27F32686"/>
    <w:rsid w:val="27F433F3"/>
    <w:rsid w:val="27F51899"/>
    <w:rsid w:val="27F51A4F"/>
    <w:rsid w:val="28050D6C"/>
    <w:rsid w:val="28081174"/>
    <w:rsid w:val="28094EEC"/>
    <w:rsid w:val="2812669E"/>
    <w:rsid w:val="28136333"/>
    <w:rsid w:val="281700FA"/>
    <w:rsid w:val="281F0EC6"/>
    <w:rsid w:val="28243AD4"/>
    <w:rsid w:val="28267B7B"/>
    <w:rsid w:val="28340559"/>
    <w:rsid w:val="28377363"/>
    <w:rsid w:val="283C7F62"/>
    <w:rsid w:val="283D1755"/>
    <w:rsid w:val="283E5F14"/>
    <w:rsid w:val="28472674"/>
    <w:rsid w:val="284952E9"/>
    <w:rsid w:val="28530AA4"/>
    <w:rsid w:val="285337E8"/>
    <w:rsid w:val="285A12A4"/>
    <w:rsid w:val="285C501C"/>
    <w:rsid w:val="286C41B3"/>
    <w:rsid w:val="286F1880"/>
    <w:rsid w:val="28754330"/>
    <w:rsid w:val="28814A83"/>
    <w:rsid w:val="28893937"/>
    <w:rsid w:val="288F76D5"/>
    <w:rsid w:val="28991DCC"/>
    <w:rsid w:val="289E4C72"/>
    <w:rsid w:val="28A10C81"/>
    <w:rsid w:val="28A40771"/>
    <w:rsid w:val="28A41F5C"/>
    <w:rsid w:val="28AA26FA"/>
    <w:rsid w:val="28B135BA"/>
    <w:rsid w:val="28B201C4"/>
    <w:rsid w:val="28B37A7B"/>
    <w:rsid w:val="28B409B4"/>
    <w:rsid w:val="28B95846"/>
    <w:rsid w:val="28BB6E5A"/>
    <w:rsid w:val="28C21F09"/>
    <w:rsid w:val="28C66939"/>
    <w:rsid w:val="28C96EB8"/>
    <w:rsid w:val="28D41056"/>
    <w:rsid w:val="28DC7F0B"/>
    <w:rsid w:val="28DD687E"/>
    <w:rsid w:val="28E374EB"/>
    <w:rsid w:val="28E62B38"/>
    <w:rsid w:val="28E6741A"/>
    <w:rsid w:val="28EE4750"/>
    <w:rsid w:val="28EF7C3E"/>
    <w:rsid w:val="28F91E42"/>
    <w:rsid w:val="28FB4835"/>
    <w:rsid w:val="28FE21EF"/>
    <w:rsid w:val="2900009D"/>
    <w:rsid w:val="29012F2F"/>
    <w:rsid w:val="290514BD"/>
    <w:rsid w:val="290851A4"/>
    <w:rsid w:val="290D4568"/>
    <w:rsid w:val="290F208E"/>
    <w:rsid w:val="29121B7F"/>
    <w:rsid w:val="291962A4"/>
    <w:rsid w:val="29200428"/>
    <w:rsid w:val="29206EB8"/>
    <w:rsid w:val="29272553"/>
    <w:rsid w:val="292A336C"/>
    <w:rsid w:val="292F0982"/>
    <w:rsid w:val="2930650D"/>
    <w:rsid w:val="293146FB"/>
    <w:rsid w:val="293164A9"/>
    <w:rsid w:val="29373393"/>
    <w:rsid w:val="293973D3"/>
    <w:rsid w:val="293D4E4D"/>
    <w:rsid w:val="293E4722"/>
    <w:rsid w:val="2940049A"/>
    <w:rsid w:val="29463B57"/>
    <w:rsid w:val="29483B02"/>
    <w:rsid w:val="294A1318"/>
    <w:rsid w:val="294E5FB9"/>
    <w:rsid w:val="29595666"/>
    <w:rsid w:val="295D104C"/>
    <w:rsid w:val="296C128F"/>
    <w:rsid w:val="29714AF7"/>
    <w:rsid w:val="2973086F"/>
    <w:rsid w:val="2976035F"/>
    <w:rsid w:val="2979616D"/>
    <w:rsid w:val="297D0F61"/>
    <w:rsid w:val="297D349C"/>
    <w:rsid w:val="29806A9C"/>
    <w:rsid w:val="29842A7C"/>
    <w:rsid w:val="29874881"/>
    <w:rsid w:val="29891E41"/>
    <w:rsid w:val="298F31CF"/>
    <w:rsid w:val="299627B0"/>
    <w:rsid w:val="299869FA"/>
    <w:rsid w:val="299A1E4A"/>
    <w:rsid w:val="299D2F06"/>
    <w:rsid w:val="299E0564"/>
    <w:rsid w:val="29A44ECD"/>
    <w:rsid w:val="29A70519"/>
    <w:rsid w:val="29AC5B2F"/>
    <w:rsid w:val="29BF5F1C"/>
    <w:rsid w:val="29C42E79"/>
    <w:rsid w:val="29C4533C"/>
    <w:rsid w:val="29C563B4"/>
    <w:rsid w:val="29C75026"/>
    <w:rsid w:val="29C76E0D"/>
    <w:rsid w:val="29CA4207"/>
    <w:rsid w:val="29CC68C8"/>
    <w:rsid w:val="29D15596"/>
    <w:rsid w:val="29D357B2"/>
    <w:rsid w:val="29D70B8E"/>
    <w:rsid w:val="29DA6B40"/>
    <w:rsid w:val="29E325E0"/>
    <w:rsid w:val="29E67293"/>
    <w:rsid w:val="29E74DB9"/>
    <w:rsid w:val="29E96262"/>
    <w:rsid w:val="29EE439A"/>
    <w:rsid w:val="29F25EA8"/>
    <w:rsid w:val="29F51284"/>
    <w:rsid w:val="29F5359D"/>
    <w:rsid w:val="29FA0F90"/>
    <w:rsid w:val="2A0660CE"/>
    <w:rsid w:val="2A0B044C"/>
    <w:rsid w:val="2A0C4820"/>
    <w:rsid w:val="2A17569E"/>
    <w:rsid w:val="2A1B6F7E"/>
    <w:rsid w:val="2A1C134D"/>
    <w:rsid w:val="2A222295"/>
    <w:rsid w:val="2A263B34"/>
    <w:rsid w:val="2A293624"/>
    <w:rsid w:val="2A316D7D"/>
    <w:rsid w:val="2A336250"/>
    <w:rsid w:val="2A3873C3"/>
    <w:rsid w:val="2A4109AE"/>
    <w:rsid w:val="2A443FBA"/>
    <w:rsid w:val="2A452503"/>
    <w:rsid w:val="2A4733C9"/>
    <w:rsid w:val="2A481CFC"/>
    <w:rsid w:val="2A4915D0"/>
    <w:rsid w:val="2A4D206D"/>
    <w:rsid w:val="2A4D5059"/>
    <w:rsid w:val="2A557F75"/>
    <w:rsid w:val="2A5E151F"/>
    <w:rsid w:val="2A6301C1"/>
    <w:rsid w:val="2A647DD0"/>
    <w:rsid w:val="2A6665E2"/>
    <w:rsid w:val="2A6D6825"/>
    <w:rsid w:val="2A745211"/>
    <w:rsid w:val="2A7F4FF2"/>
    <w:rsid w:val="2A816FBC"/>
    <w:rsid w:val="2A842639"/>
    <w:rsid w:val="2A8C29DA"/>
    <w:rsid w:val="2A906605"/>
    <w:rsid w:val="2A97058D"/>
    <w:rsid w:val="2A973C48"/>
    <w:rsid w:val="2A9A007E"/>
    <w:rsid w:val="2AA42CAA"/>
    <w:rsid w:val="2AA52955"/>
    <w:rsid w:val="2AA607D0"/>
    <w:rsid w:val="2AA8279A"/>
    <w:rsid w:val="2AAA6513"/>
    <w:rsid w:val="2AAF16FA"/>
    <w:rsid w:val="2AB253C7"/>
    <w:rsid w:val="2AB719EF"/>
    <w:rsid w:val="2AB94A7B"/>
    <w:rsid w:val="2AC05D36"/>
    <w:rsid w:val="2AC25C43"/>
    <w:rsid w:val="2AC46EA9"/>
    <w:rsid w:val="2AC84BEB"/>
    <w:rsid w:val="2ACA31E0"/>
    <w:rsid w:val="2ACA4283"/>
    <w:rsid w:val="2ACF4481"/>
    <w:rsid w:val="2AE01F34"/>
    <w:rsid w:val="2AE13EFE"/>
    <w:rsid w:val="2AE645AB"/>
    <w:rsid w:val="2AED3710"/>
    <w:rsid w:val="2AFD6352"/>
    <w:rsid w:val="2B004385"/>
    <w:rsid w:val="2B006133"/>
    <w:rsid w:val="2B050B4A"/>
    <w:rsid w:val="2B0D4CF3"/>
    <w:rsid w:val="2B2067D5"/>
    <w:rsid w:val="2B236FFF"/>
    <w:rsid w:val="2B243C3F"/>
    <w:rsid w:val="2B253DEB"/>
    <w:rsid w:val="2B317013"/>
    <w:rsid w:val="2B361B54"/>
    <w:rsid w:val="2B3D7387"/>
    <w:rsid w:val="2B400C25"/>
    <w:rsid w:val="2B465B0F"/>
    <w:rsid w:val="2B473D61"/>
    <w:rsid w:val="2B4F0B20"/>
    <w:rsid w:val="2B54647E"/>
    <w:rsid w:val="2B563FA5"/>
    <w:rsid w:val="2B577D1D"/>
    <w:rsid w:val="2B6568DD"/>
    <w:rsid w:val="2B6B0D28"/>
    <w:rsid w:val="2B6C37C8"/>
    <w:rsid w:val="2B6D70C3"/>
    <w:rsid w:val="2B6F150A"/>
    <w:rsid w:val="2B6F2A00"/>
    <w:rsid w:val="2B6F32B8"/>
    <w:rsid w:val="2B7408CF"/>
    <w:rsid w:val="2B77611A"/>
    <w:rsid w:val="2B7B7EAF"/>
    <w:rsid w:val="2B7D3D01"/>
    <w:rsid w:val="2B8318E5"/>
    <w:rsid w:val="2B8536A2"/>
    <w:rsid w:val="2B8C49C7"/>
    <w:rsid w:val="2B8C79C6"/>
    <w:rsid w:val="2B8F423A"/>
    <w:rsid w:val="2B9351F9"/>
    <w:rsid w:val="2B940F71"/>
    <w:rsid w:val="2B966A97"/>
    <w:rsid w:val="2B97636B"/>
    <w:rsid w:val="2B98280F"/>
    <w:rsid w:val="2B9D1BD3"/>
    <w:rsid w:val="2B9D4989"/>
    <w:rsid w:val="2BA6092A"/>
    <w:rsid w:val="2BA764A9"/>
    <w:rsid w:val="2BA936A8"/>
    <w:rsid w:val="2BAC5D5B"/>
    <w:rsid w:val="2BB459FD"/>
    <w:rsid w:val="2BBA09D7"/>
    <w:rsid w:val="2BBB474F"/>
    <w:rsid w:val="2BBE1B4A"/>
    <w:rsid w:val="2BC41171"/>
    <w:rsid w:val="2BCC2D4B"/>
    <w:rsid w:val="2BD0497A"/>
    <w:rsid w:val="2BD31A99"/>
    <w:rsid w:val="2BD4296D"/>
    <w:rsid w:val="2BD61589"/>
    <w:rsid w:val="2BE0768F"/>
    <w:rsid w:val="2BE27F2E"/>
    <w:rsid w:val="2BE337EE"/>
    <w:rsid w:val="2BE617CC"/>
    <w:rsid w:val="2BE74A0B"/>
    <w:rsid w:val="2BE75544"/>
    <w:rsid w:val="2BE75EA9"/>
    <w:rsid w:val="2BF1365A"/>
    <w:rsid w:val="2BF4794F"/>
    <w:rsid w:val="2BF65788"/>
    <w:rsid w:val="2BFA31C2"/>
    <w:rsid w:val="2BFA4688"/>
    <w:rsid w:val="2C0A3184"/>
    <w:rsid w:val="2C11436F"/>
    <w:rsid w:val="2C136339"/>
    <w:rsid w:val="2C1D0F66"/>
    <w:rsid w:val="2C1F77DA"/>
    <w:rsid w:val="2C2422F5"/>
    <w:rsid w:val="2C2E6764"/>
    <w:rsid w:val="2C310A69"/>
    <w:rsid w:val="2C315A5A"/>
    <w:rsid w:val="2C3437C3"/>
    <w:rsid w:val="2C471B3F"/>
    <w:rsid w:val="2C4900D0"/>
    <w:rsid w:val="2C4B1C25"/>
    <w:rsid w:val="2C5030EA"/>
    <w:rsid w:val="2C5524AE"/>
    <w:rsid w:val="2C581F9E"/>
    <w:rsid w:val="2C5A5D16"/>
    <w:rsid w:val="2C5C1A8E"/>
    <w:rsid w:val="2C5E2083"/>
    <w:rsid w:val="2C602C01"/>
    <w:rsid w:val="2C6829F1"/>
    <w:rsid w:val="2C7A0167"/>
    <w:rsid w:val="2C7C7A3B"/>
    <w:rsid w:val="2C82063F"/>
    <w:rsid w:val="2C932FD6"/>
    <w:rsid w:val="2C98683F"/>
    <w:rsid w:val="2CA1155C"/>
    <w:rsid w:val="2CA12FD5"/>
    <w:rsid w:val="2CA33DA5"/>
    <w:rsid w:val="2CAB6572"/>
    <w:rsid w:val="2CB05936"/>
    <w:rsid w:val="2CB216AE"/>
    <w:rsid w:val="2CC55886"/>
    <w:rsid w:val="2CCB451E"/>
    <w:rsid w:val="2CCD473A"/>
    <w:rsid w:val="2CD37E34"/>
    <w:rsid w:val="2CD45AC9"/>
    <w:rsid w:val="2CD84677"/>
    <w:rsid w:val="2CD91560"/>
    <w:rsid w:val="2CDB4647"/>
    <w:rsid w:val="2CE5253C"/>
    <w:rsid w:val="2CF061F0"/>
    <w:rsid w:val="2CF55D49"/>
    <w:rsid w:val="2CF85CCE"/>
    <w:rsid w:val="2CF9108B"/>
    <w:rsid w:val="2D0152C5"/>
    <w:rsid w:val="2D0253E0"/>
    <w:rsid w:val="2D046FFD"/>
    <w:rsid w:val="2D104F33"/>
    <w:rsid w:val="2D140A60"/>
    <w:rsid w:val="2D145EC5"/>
    <w:rsid w:val="2D173C07"/>
    <w:rsid w:val="2D196FBD"/>
    <w:rsid w:val="2D1A4C07"/>
    <w:rsid w:val="2D1B54A6"/>
    <w:rsid w:val="2D2643A2"/>
    <w:rsid w:val="2D2E3A92"/>
    <w:rsid w:val="2D3746AF"/>
    <w:rsid w:val="2D3E16EE"/>
    <w:rsid w:val="2D40315E"/>
    <w:rsid w:val="2D452593"/>
    <w:rsid w:val="2D4578D3"/>
    <w:rsid w:val="2D4744ED"/>
    <w:rsid w:val="2D494294"/>
    <w:rsid w:val="2D4C1B03"/>
    <w:rsid w:val="2D5704A8"/>
    <w:rsid w:val="2D590A8D"/>
    <w:rsid w:val="2D5E4CD1"/>
    <w:rsid w:val="2D6230D5"/>
    <w:rsid w:val="2D675FF9"/>
    <w:rsid w:val="2D686211"/>
    <w:rsid w:val="2D6A3D37"/>
    <w:rsid w:val="2D766B80"/>
    <w:rsid w:val="2D7A6297"/>
    <w:rsid w:val="2D7B4196"/>
    <w:rsid w:val="2D7D7F0E"/>
    <w:rsid w:val="2D852054"/>
    <w:rsid w:val="2D865AD4"/>
    <w:rsid w:val="2D8843AE"/>
    <w:rsid w:val="2D8D2243"/>
    <w:rsid w:val="2D986AF6"/>
    <w:rsid w:val="2D9A5B1A"/>
    <w:rsid w:val="2D9C5EBB"/>
    <w:rsid w:val="2D9E56F5"/>
    <w:rsid w:val="2DB41456"/>
    <w:rsid w:val="2DCA0C7A"/>
    <w:rsid w:val="2DD35D80"/>
    <w:rsid w:val="2DD6761F"/>
    <w:rsid w:val="2DDA6B1D"/>
    <w:rsid w:val="2DE071B6"/>
    <w:rsid w:val="2DE12382"/>
    <w:rsid w:val="2DE27D71"/>
    <w:rsid w:val="2DE97352"/>
    <w:rsid w:val="2DEB71E0"/>
    <w:rsid w:val="2DEC6E42"/>
    <w:rsid w:val="2DEE4968"/>
    <w:rsid w:val="2DF26BA5"/>
    <w:rsid w:val="2DF30B03"/>
    <w:rsid w:val="2DF532D7"/>
    <w:rsid w:val="2DF81343"/>
    <w:rsid w:val="2E093EF4"/>
    <w:rsid w:val="2E0E62AE"/>
    <w:rsid w:val="2E1168A9"/>
    <w:rsid w:val="2E1D6FFC"/>
    <w:rsid w:val="2E1F0FC6"/>
    <w:rsid w:val="2E363C79"/>
    <w:rsid w:val="2E36630F"/>
    <w:rsid w:val="2E3D31FA"/>
    <w:rsid w:val="2E3D769E"/>
    <w:rsid w:val="2E3E3A4B"/>
    <w:rsid w:val="2E3F3416"/>
    <w:rsid w:val="2E4647A4"/>
    <w:rsid w:val="2E5A5DFA"/>
    <w:rsid w:val="2E5D2BDD"/>
    <w:rsid w:val="2E5F5866"/>
    <w:rsid w:val="2E620EB2"/>
    <w:rsid w:val="2E627104"/>
    <w:rsid w:val="2E642E7C"/>
    <w:rsid w:val="2E66136F"/>
    <w:rsid w:val="2E667F96"/>
    <w:rsid w:val="2E67222E"/>
    <w:rsid w:val="2E6903FD"/>
    <w:rsid w:val="2E6A2883"/>
    <w:rsid w:val="2E711609"/>
    <w:rsid w:val="2E7C1194"/>
    <w:rsid w:val="2E7D75A3"/>
    <w:rsid w:val="2E8226AB"/>
    <w:rsid w:val="2E876B6B"/>
    <w:rsid w:val="2E884DBD"/>
    <w:rsid w:val="2E8C4FC8"/>
    <w:rsid w:val="2E8D3FCA"/>
    <w:rsid w:val="2E9743C6"/>
    <w:rsid w:val="2EA7075C"/>
    <w:rsid w:val="2EAB4607"/>
    <w:rsid w:val="2EB76F86"/>
    <w:rsid w:val="2EBA0CEE"/>
    <w:rsid w:val="2EBA6F40"/>
    <w:rsid w:val="2EC70374"/>
    <w:rsid w:val="2ECE6548"/>
    <w:rsid w:val="2ED31DB0"/>
    <w:rsid w:val="2ED92F24"/>
    <w:rsid w:val="2EE1627B"/>
    <w:rsid w:val="2EE35A97"/>
    <w:rsid w:val="2EE432DD"/>
    <w:rsid w:val="2EEB2E42"/>
    <w:rsid w:val="2EED4C20"/>
    <w:rsid w:val="2EF44200"/>
    <w:rsid w:val="2EF97A69"/>
    <w:rsid w:val="2EFC4E63"/>
    <w:rsid w:val="2EFD6852"/>
    <w:rsid w:val="2EFE507F"/>
    <w:rsid w:val="2EFE6E2D"/>
    <w:rsid w:val="2F070BCC"/>
    <w:rsid w:val="2F0F4AC5"/>
    <w:rsid w:val="2F106B60"/>
    <w:rsid w:val="2F120CF8"/>
    <w:rsid w:val="2F1523C9"/>
    <w:rsid w:val="2F171C9D"/>
    <w:rsid w:val="2F171E02"/>
    <w:rsid w:val="2F174684"/>
    <w:rsid w:val="2F1749E6"/>
    <w:rsid w:val="2F1A79DF"/>
    <w:rsid w:val="2F1F6DA3"/>
    <w:rsid w:val="2F220B78"/>
    <w:rsid w:val="2F285937"/>
    <w:rsid w:val="2F33533C"/>
    <w:rsid w:val="2F3918C8"/>
    <w:rsid w:val="2F3B5F94"/>
    <w:rsid w:val="2F45068A"/>
    <w:rsid w:val="2F4C0A41"/>
    <w:rsid w:val="2F4F7689"/>
    <w:rsid w:val="2F503401"/>
    <w:rsid w:val="2F511653"/>
    <w:rsid w:val="2F52759A"/>
    <w:rsid w:val="2F57653D"/>
    <w:rsid w:val="2F5922B5"/>
    <w:rsid w:val="2F690A64"/>
    <w:rsid w:val="2F6A2714"/>
    <w:rsid w:val="2F6D778C"/>
    <w:rsid w:val="2F70551E"/>
    <w:rsid w:val="2F735CB0"/>
    <w:rsid w:val="2F740E9D"/>
    <w:rsid w:val="2F754C15"/>
    <w:rsid w:val="2F811DCF"/>
    <w:rsid w:val="2F822456"/>
    <w:rsid w:val="2F8568F0"/>
    <w:rsid w:val="2F863502"/>
    <w:rsid w:val="2F875074"/>
    <w:rsid w:val="2F8848C0"/>
    <w:rsid w:val="2F8979F5"/>
    <w:rsid w:val="2F8A246F"/>
    <w:rsid w:val="2F9037FD"/>
    <w:rsid w:val="2F914F46"/>
    <w:rsid w:val="2F923A19"/>
    <w:rsid w:val="2F93220A"/>
    <w:rsid w:val="2F9432ED"/>
    <w:rsid w:val="2F971CA6"/>
    <w:rsid w:val="2F996B56"/>
    <w:rsid w:val="2FA8323D"/>
    <w:rsid w:val="2FB1675F"/>
    <w:rsid w:val="2FB35E69"/>
    <w:rsid w:val="2FB7522E"/>
    <w:rsid w:val="2FC00586"/>
    <w:rsid w:val="2FC6408E"/>
    <w:rsid w:val="2FD065E6"/>
    <w:rsid w:val="2FD858D0"/>
    <w:rsid w:val="2FD96870"/>
    <w:rsid w:val="2FDD2EE6"/>
    <w:rsid w:val="2FE36023"/>
    <w:rsid w:val="2FE7539E"/>
    <w:rsid w:val="2FEC3129"/>
    <w:rsid w:val="2FED0C50"/>
    <w:rsid w:val="2FF3270A"/>
    <w:rsid w:val="2FF95846"/>
    <w:rsid w:val="2FFD5337"/>
    <w:rsid w:val="300246FB"/>
    <w:rsid w:val="3004724F"/>
    <w:rsid w:val="30134B5A"/>
    <w:rsid w:val="30136908"/>
    <w:rsid w:val="301A5DD9"/>
    <w:rsid w:val="30230B30"/>
    <w:rsid w:val="30236850"/>
    <w:rsid w:val="30305023"/>
    <w:rsid w:val="3038636F"/>
    <w:rsid w:val="30400F0F"/>
    <w:rsid w:val="304725CE"/>
    <w:rsid w:val="30482EA2"/>
    <w:rsid w:val="304E5B92"/>
    <w:rsid w:val="30515B19"/>
    <w:rsid w:val="305742C4"/>
    <w:rsid w:val="30580BC9"/>
    <w:rsid w:val="30625C67"/>
    <w:rsid w:val="306E7FE2"/>
    <w:rsid w:val="306F69D4"/>
    <w:rsid w:val="30745626"/>
    <w:rsid w:val="307849BD"/>
    <w:rsid w:val="307A0735"/>
    <w:rsid w:val="307E568B"/>
    <w:rsid w:val="30803229"/>
    <w:rsid w:val="30817D16"/>
    <w:rsid w:val="30874C00"/>
    <w:rsid w:val="308B2942"/>
    <w:rsid w:val="308B79BF"/>
    <w:rsid w:val="309335A5"/>
    <w:rsid w:val="309F1F4A"/>
    <w:rsid w:val="30A27C8C"/>
    <w:rsid w:val="30A30433"/>
    <w:rsid w:val="30A56E8B"/>
    <w:rsid w:val="30A81DCB"/>
    <w:rsid w:val="30AE6631"/>
    <w:rsid w:val="30B579BF"/>
    <w:rsid w:val="30BC5EEC"/>
    <w:rsid w:val="30BF0A1D"/>
    <w:rsid w:val="30C145B6"/>
    <w:rsid w:val="30C85944"/>
    <w:rsid w:val="30D42CB3"/>
    <w:rsid w:val="30D616E4"/>
    <w:rsid w:val="30E520E5"/>
    <w:rsid w:val="30E97669"/>
    <w:rsid w:val="30EE62A0"/>
    <w:rsid w:val="30F5600E"/>
    <w:rsid w:val="30F67D93"/>
    <w:rsid w:val="3106646D"/>
    <w:rsid w:val="311346E6"/>
    <w:rsid w:val="311918F0"/>
    <w:rsid w:val="311E2ED7"/>
    <w:rsid w:val="31244B45"/>
    <w:rsid w:val="31283BEB"/>
    <w:rsid w:val="31327262"/>
    <w:rsid w:val="31373B61"/>
    <w:rsid w:val="313B47E7"/>
    <w:rsid w:val="313D032A"/>
    <w:rsid w:val="313E2B29"/>
    <w:rsid w:val="314E2622"/>
    <w:rsid w:val="315076E8"/>
    <w:rsid w:val="315335AD"/>
    <w:rsid w:val="31551114"/>
    <w:rsid w:val="315619EE"/>
    <w:rsid w:val="315947EF"/>
    <w:rsid w:val="315B1A32"/>
    <w:rsid w:val="315C449C"/>
    <w:rsid w:val="31603DCF"/>
    <w:rsid w:val="3163566D"/>
    <w:rsid w:val="31653193"/>
    <w:rsid w:val="31663668"/>
    <w:rsid w:val="3169782F"/>
    <w:rsid w:val="316D35E7"/>
    <w:rsid w:val="316F5DC0"/>
    <w:rsid w:val="317072B2"/>
    <w:rsid w:val="317336D2"/>
    <w:rsid w:val="317E4255"/>
    <w:rsid w:val="318729DF"/>
    <w:rsid w:val="31880C30"/>
    <w:rsid w:val="31886E82"/>
    <w:rsid w:val="31896CD8"/>
    <w:rsid w:val="31932A9B"/>
    <w:rsid w:val="319C17D8"/>
    <w:rsid w:val="31A6397F"/>
    <w:rsid w:val="31A81938"/>
    <w:rsid w:val="31B151B1"/>
    <w:rsid w:val="31B82709"/>
    <w:rsid w:val="31B859B9"/>
    <w:rsid w:val="31B9703B"/>
    <w:rsid w:val="31C37EBA"/>
    <w:rsid w:val="31C86D8E"/>
    <w:rsid w:val="31CA62EC"/>
    <w:rsid w:val="31CD6F8B"/>
    <w:rsid w:val="31D05482"/>
    <w:rsid w:val="31D125D7"/>
    <w:rsid w:val="31D60C88"/>
    <w:rsid w:val="31DA7E68"/>
    <w:rsid w:val="31E06CBE"/>
    <w:rsid w:val="31E87AD3"/>
    <w:rsid w:val="31F23DA6"/>
    <w:rsid w:val="31F43092"/>
    <w:rsid w:val="31F52C3B"/>
    <w:rsid w:val="31FD161E"/>
    <w:rsid w:val="31FE6223"/>
    <w:rsid w:val="32001474"/>
    <w:rsid w:val="32036337"/>
    <w:rsid w:val="3209173E"/>
    <w:rsid w:val="32107C3A"/>
    <w:rsid w:val="32117760"/>
    <w:rsid w:val="321270E3"/>
    <w:rsid w:val="321C7AAD"/>
    <w:rsid w:val="321F33B3"/>
    <w:rsid w:val="322272D6"/>
    <w:rsid w:val="32250B75"/>
    <w:rsid w:val="322841C1"/>
    <w:rsid w:val="32291836"/>
    <w:rsid w:val="322A562D"/>
    <w:rsid w:val="3236068C"/>
    <w:rsid w:val="32400B34"/>
    <w:rsid w:val="324049E0"/>
    <w:rsid w:val="3241412D"/>
    <w:rsid w:val="3243100D"/>
    <w:rsid w:val="32470AEB"/>
    <w:rsid w:val="32472899"/>
    <w:rsid w:val="32534937"/>
    <w:rsid w:val="325356E2"/>
    <w:rsid w:val="3253777D"/>
    <w:rsid w:val="3254318D"/>
    <w:rsid w:val="32582CF8"/>
    <w:rsid w:val="3276114B"/>
    <w:rsid w:val="32764F2C"/>
    <w:rsid w:val="3276707E"/>
    <w:rsid w:val="32794A1C"/>
    <w:rsid w:val="32963820"/>
    <w:rsid w:val="329B1F9A"/>
    <w:rsid w:val="329E6876"/>
    <w:rsid w:val="32A11231"/>
    <w:rsid w:val="32A47CEB"/>
    <w:rsid w:val="32A61CB5"/>
    <w:rsid w:val="32AA1551"/>
    <w:rsid w:val="32AE7032"/>
    <w:rsid w:val="32B1065A"/>
    <w:rsid w:val="32BC3287"/>
    <w:rsid w:val="32BC6BFA"/>
    <w:rsid w:val="32BF0681"/>
    <w:rsid w:val="32BF2D77"/>
    <w:rsid w:val="32BF68D3"/>
    <w:rsid w:val="32C0366C"/>
    <w:rsid w:val="32D14858"/>
    <w:rsid w:val="32D75F52"/>
    <w:rsid w:val="32DA76CD"/>
    <w:rsid w:val="32DC1589"/>
    <w:rsid w:val="32DD02DF"/>
    <w:rsid w:val="32EA70EF"/>
    <w:rsid w:val="32F01183"/>
    <w:rsid w:val="32F30A01"/>
    <w:rsid w:val="3308474D"/>
    <w:rsid w:val="33180F62"/>
    <w:rsid w:val="33214B47"/>
    <w:rsid w:val="33264BA4"/>
    <w:rsid w:val="332D7CE1"/>
    <w:rsid w:val="333015F2"/>
    <w:rsid w:val="33356B95"/>
    <w:rsid w:val="33380434"/>
    <w:rsid w:val="333B6518"/>
    <w:rsid w:val="33404C33"/>
    <w:rsid w:val="334177C8"/>
    <w:rsid w:val="33467A14"/>
    <w:rsid w:val="33486DAB"/>
    <w:rsid w:val="334B6320"/>
    <w:rsid w:val="334C0F77"/>
    <w:rsid w:val="33527747"/>
    <w:rsid w:val="335710EE"/>
    <w:rsid w:val="335A4A65"/>
    <w:rsid w:val="335F5D8A"/>
    <w:rsid w:val="33635433"/>
    <w:rsid w:val="33661445"/>
    <w:rsid w:val="336851BD"/>
    <w:rsid w:val="336C7D25"/>
    <w:rsid w:val="336D4581"/>
    <w:rsid w:val="336F654B"/>
    <w:rsid w:val="33721B98"/>
    <w:rsid w:val="337376BE"/>
    <w:rsid w:val="337B6B4A"/>
    <w:rsid w:val="337C47C4"/>
    <w:rsid w:val="338213DC"/>
    <w:rsid w:val="33865643"/>
    <w:rsid w:val="338800BF"/>
    <w:rsid w:val="338A355B"/>
    <w:rsid w:val="338E797F"/>
    <w:rsid w:val="33923FE8"/>
    <w:rsid w:val="33A21FEC"/>
    <w:rsid w:val="33A573D2"/>
    <w:rsid w:val="33A6308B"/>
    <w:rsid w:val="33A77124"/>
    <w:rsid w:val="33A917F9"/>
    <w:rsid w:val="33AA7583"/>
    <w:rsid w:val="33AB50A9"/>
    <w:rsid w:val="33B52B2A"/>
    <w:rsid w:val="33B814AB"/>
    <w:rsid w:val="33BB353F"/>
    <w:rsid w:val="33C1667B"/>
    <w:rsid w:val="33C66680"/>
    <w:rsid w:val="33C9214A"/>
    <w:rsid w:val="33CA5530"/>
    <w:rsid w:val="33D17DE7"/>
    <w:rsid w:val="33D51042"/>
    <w:rsid w:val="33D934D4"/>
    <w:rsid w:val="33DC625B"/>
    <w:rsid w:val="33E64529"/>
    <w:rsid w:val="33E80B61"/>
    <w:rsid w:val="33EB68F8"/>
    <w:rsid w:val="33FE2F6A"/>
    <w:rsid w:val="340053F5"/>
    <w:rsid w:val="3402116D"/>
    <w:rsid w:val="34052A0C"/>
    <w:rsid w:val="34054394"/>
    <w:rsid w:val="34093090"/>
    <w:rsid w:val="340A0022"/>
    <w:rsid w:val="340E07E5"/>
    <w:rsid w:val="341357B5"/>
    <w:rsid w:val="34140EA1"/>
    <w:rsid w:val="341449FD"/>
    <w:rsid w:val="34192013"/>
    <w:rsid w:val="341B4486"/>
    <w:rsid w:val="341D7D55"/>
    <w:rsid w:val="341E1D1F"/>
    <w:rsid w:val="341E587B"/>
    <w:rsid w:val="34235BF7"/>
    <w:rsid w:val="34256C0A"/>
    <w:rsid w:val="342804A8"/>
    <w:rsid w:val="342E4300"/>
    <w:rsid w:val="343017E0"/>
    <w:rsid w:val="34311A53"/>
    <w:rsid w:val="3437693D"/>
    <w:rsid w:val="34391824"/>
    <w:rsid w:val="343C3F54"/>
    <w:rsid w:val="3442156A"/>
    <w:rsid w:val="344352E2"/>
    <w:rsid w:val="3445105A"/>
    <w:rsid w:val="34473024"/>
    <w:rsid w:val="34475A16"/>
    <w:rsid w:val="34486A39"/>
    <w:rsid w:val="345134E8"/>
    <w:rsid w:val="3455683E"/>
    <w:rsid w:val="34563267"/>
    <w:rsid w:val="34573E45"/>
    <w:rsid w:val="345E7FB1"/>
    <w:rsid w:val="34645E1B"/>
    <w:rsid w:val="34700D72"/>
    <w:rsid w:val="34732681"/>
    <w:rsid w:val="347831DE"/>
    <w:rsid w:val="348222AE"/>
    <w:rsid w:val="34824267"/>
    <w:rsid w:val="348352DE"/>
    <w:rsid w:val="348558FB"/>
    <w:rsid w:val="34880F47"/>
    <w:rsid w:val="348B1DD7"/>
    <w:rsid w:val="348F22D5"/>
    <w:rsid w:val="34A060A7"/>
    <w:rsid w:val="34A67003"/>
    <w:rsid w:val="34AC2E87"/>
    <w:rsid w:val="34B37311"/>
    <w:rsid w:val="34B40E55"/>
    <w:rsid w:val="34B955A4"/>
    <w:rsid w:val="34C226AB"/>
    <w:rsid w:val="34C44675"/>
    <w:rsid w:val="34C6319F"/>
    <w:rsid w:val="34CA77B1"/>
    <w:rsid w:val="34CE1050"/>
    <w:rsid w:val="34D36666"/>
    <w:rsid w:val="34DA163C"/>
    <w:rsid w:val="34DA5C46"/>
    <w:rsid w:val="34DB551B"/>
    <w:rsid w:val="34E26D79"/>
    <w:rsid w:val="34E342A7"/>
    <w:rsid w:val="34E72111"/>
    <w:rsid w:val="34EC7728"/>
    <w:rsid w:val="35004F81"/>
    <w:rsid w:val="3505165F"/>
    <w:rsid w:val="350535BC"/>
    <w:rsid w:val="35087597"/>
    <w:rsid w:val="350C457C"/>
    <w:rsid w:val="350E3B42"/>
    <w:rsid w:val="351D1FD7"/>
    <w:rsid w:val="352E5F92"/>
    <w:rsid w:val="352F1CA9"/>
    <w:rsid w:val="3530432C"/>
    <w:rsid w:val="35325511"/>
    <w:rsid w:val="353500A4"/>
    <w:rsid w:val="35452190"/>
    <w:rsid w:val="354B0547"/>
    <w:rsid w:val="354B6B44"/>
    <w:rsid w:val="355A6D87"/>
    <w:rsid w:val="355C7996"/>
    <w:rsid w:val="355D1091"/>
    <w:rsid w:val="355F439E"/>
    <w:rsid w:val="35610116"/>
    <w:rsid w:val="356279EA"/>
    <w:rsid w:val="357075A6"/>
    <w:rsid w:val="35720E96"/>
    <w:rsid w:val="357A4D33"/>
    <w:rsid w:val="3586192A"/>
    <w:rsid w:val="35867B7C"/>
    <w:rsid w:val="3588204A"/>
    <w:rsid w:val="35887F1D"/>
    <w:rsid w:val="358A2C38"/>
    <w:rsid w:val="358B6F41"/>
    <w:rsid w:val="358C136B"/>
    <w:rsid w:val="358C5FA8"/>
    <w:rsid w:val="358E07DF"/>
    <w:rsid w:val="35944047"/>
    <w:rsid w:val="359C2EFC"/>
    <w:rsid w:val="359C73A0"/>
    <w:rsid w:val="35A16764"/>
    <w:rsid w:val="35A972F0"/>
    <w:rsid w:val="35AB1391"/>
    <w:rsid w:val="35AD4FF0"/>
    <w:rsid w:val="35B069A7"/>
    <w:rsid w:val="35B4432A"/>
    <w:rsid w:val="35C15DF1"/>
    <w:rsid w:val="35DA54E6"/>
    <w:rsid w:val="35E220C5"/>
    <w:rsid w:val="35E328D9"/>
    <w:rsid w:val="35ED19A9"/>
    <w:rsid w:val="35EE14A4"/>
    <w:rsid w:val="35F76384"/>
    <w:rsid w:val="35F9034E"/>
    <w:rsid w:val="35FD04F2"/>
    <w:rsid w:val="36070CBD"/>
    <w:rsid w:val="36074A7F"/>
    <w:rsid w:val="360A4586"/>
    <w:rsid w:val="360B2B82"/>
    <w:rsid w:val="360C1774"/>
    <w:rsid w:val="360D204B"/>
    <w:rsid w:val="361104EB"/>
    <w:rsid w:val="361326B7"/>
    <w:rsid w:val="36154A5C"/>
    <w:rsid w:val="36217AC0"/>
    <w:rsid w:val="362D1DA6"/>
    <w:rsid w:val="362D7FF8"/>
    <w:rsid w:val="36314ACE"/>
    <w:rsid w:val="36317AE8"/>
    <w:rsid w:val="36321AB2"/>
    <w:rsid w:val="36372C24"/>
    <w:rsid w:val="36455341"/>
    <w:rsid w:val="365B6913"/>
    <w:rsid w:val="366479D3"/>
    <w:rsid w:val="366A4DA8"/>
    <w:rsid w:val="366B79B5"/>
    <w:rsid w:val="366C3B70"/>
    <w:rsid w:val="36716136"/>
    <w:rsid w:val="36721EAF"/>
    <w:rsid w:val="36723C5D"/>
    <w:rsid w:val="367B5207"/>
    <w:rsid w:val="367D40D0"/>
    <w:rsid w:val="368045CB"/>
    <w:rsid w:val="36877A96"/>
    <w:rsid w:val="368A544A"/>
    <w:rsid w:val="368F480F"/>
    <w:rsid w:val="36923549"/>
    <w:rsid w:val="36941A6C"/>
    <w:rsid w:val="369562F3"/>
    <w:rsid w:val="369711CB"/>
    <w:rsid w:val="36972F00"/>
    <w:rsid w:val="369B1405"/>
    <w:rsid w:val="369C2C78"/>
    <w:rsid w:val="369E4A52"/>
    <w:rsid w:val="36A007CA"/>
    <w:rsid w:val="36A4650C"/>
    <w:rsid w:val="36A93B22"/>
    <w:rsid w:val="36A95955"/>
    <w:rsid w:val="36AA3EDF"/>
    <w:rsid w:val="36AB4A13"/>
    <w:rsid w:val="36AC3612"/>
    <w:rsid w:val="36B07771"/>
    <w:rsid w:val="36B25B82"/>
    <w:rsid w:val="36B424C7"/>
    <w:rsid w:val="36B4553F"/>
    <w:rsid w:val="36B6623F"/>
    <w:rsid w:val="36B75FBF"/>
    <w:rsid w:val="36B978CE"/>
    <w:rsid w:val="36BB1D6C"/>
    <w:rsid w:val="36BD0C45"/>
    <w:rsid w:val="36BD312A"/>
    <w:rsid w:val="36DB7A54"/>
    <w:rsid w:val="36E3362D"/>
    <w:rsid w:val="36E56B24"/>
    <w:rsid w:val="36EA24D6"/>
    <w:rsid w:val="36FA437E"/>
    <w:rsid w:val="36FC3581"/>
    <w:rsid w:val="36FF4AB0"/>
    <w:rsid w:val="37081797"/>
    <w:rsid w:val="370C2303"/>
    <w:rsid w:val="370E1BD7"/>
    <w:rsid w:val="37125937"/>
    <w:rsid w:val="37142F02"/>
    <w:rsid w:val="37155888"/>
    <w:rsid w:val="371A057C"/>
    <w:rsid w:val="371A67CE"/>
    <w:rsid w:val="371B7C79"/>
    <w:rsid w:val="371C198B"/>
    <w:rsid w:val="37215DAE"/>
    <w:rsid w:val="37217F7C"/>
    <w:rsid w:val="372B09DB"/>
    <w:rsid w:val="37391D72"/>
    <w:rsid w:val="373B6744"/>
    <w:rsid w:val="374452AD"/>
    <w:rsid w:val="374A1173"/>
    <w:rsid w:val="37514549"/>
    <w:rsid w:val="375872F6"/>
    <w:rsid w:val="375A306E"/>
    <w:rsid w:val="37607F59"/>
    <w:rsid w:val="376143FD"/>
    <w:rsid w:val="37667C65"/>
    <w:rsid w:val="3768578B"/>
    <w:rsid w:val="376E5A1F"/>
    <w:rsid w:val="377134F6"/>
    <w:rsid w:val="37737C8C"/>
    <w:rsid w:val="37753A04"/>
    <w:rsid w:val="37805D52"/>
    <w:rsid w:val="37846BFD"/>
    <w:rsid w:val="37871756"/>
    <w:rsid w:val="378863D3"/>
    <w:rsid w:val="378B1619"/>
    <w:rsid w:val="378C0D4E"/>
    <w:rsid w:val="378D6FA0"/>
    <w:rsid w:val="378E2D18"/>
    <w:rsid w:val="378E7178"/>
    <w:rsid w:val="379F2CA4"/>
    <w:rsid w:val="37AF33BA"/>
    <w:rsid w:val="37B05C55"/>
    <w:rsid w:val="37B2533F"/>
    <w:rsid w:val="37BE184F"/>
    <w:rsid w:val="37BF7375"/>
    <w:rsid w:val="37C130EE"/>
    <w:rsid w:val="37C14A80"/>
    <w:rsid w:val="37CC5893"/>
    <w:rsid w:val="37CD285C"/>
    <w:rsid w:val="37D045BF"/>
    <w:rsid w:val="37D75647"/>
    <w:rsid w:val="37D93CBA"/>
    <w:rsid w:val="37DA39D0"/>
    <w:rsid w:val="37DE4F11"/>
    <w:rsid w:val="37E00298"/>
    <w:rsid w:val="37E56DDC"/>
    <w:rsid w:val="37F27D0C"/>
    <w:rsid w:val="37F4701F"/>
    <w:rsid w:val="37F76B0F"/>
    <w:rsid w:val="37F92887"/>
    <w:rsid w:val="37FC516A"/>
    <w:rsid w:val="380134EA"/>
    <w:rsid w:val="38042FDA"/>
    <w:rsid w:val="380748CC"/>
    <w:rsid w:val="3807501A"/>
    <w:rsid w:val="38091AF8"/>
    <w:rsid w:val="3816278E"/>
    <w:rsid w:val="382316B2"/>
    <w:rsid w:val="383428CB"/>
    <w:rsid w:val="3834566E"/>
    <w:rsid w:val="3836588A"/>
    <w:rsid w:val="383B3CC3"/>
    <w:rsid w:val="38414922"/>
    <w:rsid w:val="38435980"/>
    <w:rsid w:val="38547ABE"/>
    <w:rsid w:val="385C2E16"/>
    <w:rsid w:val="38657F1D"/>
    <w:rsid w:val="38664899"/>
    <w:rsid w:val="386A0797"/>
    <w:rsid w:val="386A3DB4"/>
    <w:rsid w:val="386D0B7F"/>
    <w:rsid w:val="386D630B"/>
    <w:rsid w:val="3875015F"/>
    <w:rsid w:val="387E4B3B"/>
    <w:rsid w:val="38900602"/>
    <w:rsid w:val="38912AC0"/>
    <w:rsid w:val="389600D6"/>
    <w:rsid w:val="389C3213"/>
    <w:rsid w:val="389D51EB"/>
    <w:rsid w:val="389E51DD"/>
    <w:rsid w:val="389F6FD2"/>
    <w:rsid w:val="38A02D03"/>
    <w:rsid w:val="38A10829"/>
    <w:rsid w:val="38A807AA"/>
    <w:rsid w:val="38A81BB8"/>
    <w:rsid w:val="38B302F9"/>
    <w:rsid w:val="38B46719"/>
    <w:rsid w:val="38B56C50"/>
    <w:rsid w:val="38B77459"/>
    <w:rsid w:val="38C312F9"/>
    <w:rsid w:val="38C34C43"/>
    <w:rsid w:val="38C74734"/>
    <w:rsid w:val="38CA5492"/>
    <w:rsid w:val="38D151AF"/>
    <w:rsid w:val="38E40985"/>
    <w:rsid w:val="38EA0422"/>
    <w:rsid w:val="38EE1CC0"/>
    <w:rsid w:val="38EF5A38"/>
    <w:rsid w:val="38F12CD3"/>
    <w:rsid w:val="38F94775"/>
    <w:rsid w:val="38FA68B7"/>
    <w:rsid w:val="38FB36D6"/>
    <w:rsid w:val="38FC5A28"/>
    <w:rsid w:val="38FD63A7"/>
    <w:rsid w:val="38FF40E2"/>
    <w:rsid w:val="39041477"/>
    <w:rsid w:val="39111E53"/>
    <w:rsid w:val="39185E61"/>
    <w:rsid w:val="39205782"/>
    <w:rsid w:val="39213EF7"/>
    <w:rsid w:val="3925194D"/>
    <w:rsid w:val="392971ED"/>
    <w:rsid w:val="39325651"/>
    <w:rsid w:val="39395969"/>
    <w:rsid w:val="393B3C5A"/>
    <w:rsid w:val="393C6ED0"/>
    <w:rsid w:val="393D2C48"/>
    <w:rsid w:val="39445F32"/>
    <w:rsid w:val="395A1104"/>
    <w:rsid w:val="395C2929"/>
    <w:rsid w:val="39643D30"/>
    <w:rsid w:val="39691347"/>
    <w:rsid w:val="396A7EC3"/>
    <w:rsid w:val="39776BAE"/>
    <w:rsid w:val="397A220C"/>
    <w:rsid w:val="397E3158"/>
    <w:rsid w:val="39981C2C"/>
    <w:rsid w:val="399A1E48"/>
    <w:rsid w:val="399D393F"/>
    <w:rsid w:val="399F745E"/>
    <w:rsid w:val="39A03024"/>
    <w:rsid w:val="39A44DF7"/>
    <w:rsid w:val="39AB195F"/>
    <w:rsid w:val="39B2551A"/>
    <w:rsid w:val="39B54BA0"/>
    <w:rsid w:val="39B60304"/>
    <w:rsid w:val="39B747A8"/>
    <w:rsid w:val="39BA1BA2"/>
    <w:rsid w:val="39BD65FA"/>
    <w:rsid w:val="39C66799"/>
    <w:rsid w:val="39D2513E"/>
    <w:rsid w:val="39D639FE"/>
    <w:rsid w:val="39D83AD0"/>
    <w:rsid w:val="39DF5C78"/>
    <w:rsid w:val="39F3528A"/>
    <w:rsid w:val="39F82064"/>
    <w:rsid w:val="39FB6819"/>
    <w:rsid w:val="39FC4F8E"/>
    <w:rsid w:val="3A0472C2"/>
    <w:rsid w:val="3A0E1EEE"/>
    <w:rsid w:val="3A0F6392"/>
    <w:rsid w:val="3A1514CF"/>
    <w:rsid w:val="3A156CB3"/>
    <w:rsid w:val="3A233BEC"/>
    <w:rsid w:val="3A240A4F"/>
    <w:rsid w:val="3A255109"/>
    <w:rsid w:val="3A2636DC"/>
    <w:rsid w:val="3A3233F9"/>
    <w:rsid w:val="3A344802"/>
    <w:rsid w:val="3A361392"/>
    <w:rsid w:val="3A366DC1"/>
    <w:rsid w:val="3A3951BD"/>
    <w:rsid w:val="3A3B55EA"/>
    <w:rsid w:val="3A3C2EFF"/>
    <w:rsid w:val="3A4126E7"/>
    <w:rsid w:val="3A63223A"/>
    <w:rsid w:val="3A6F0BDF"/>
    <w:rsid w:val="3A7343DF"/>
    <w:rsid w:val="3A736BFA"/>
    <w:rsid w:val="3A761B04"/>
    <w:rsid w:val="3A775CE5"/>
    <w:rsid w:val="3A7A38D4"/>
    <w:rsid w:val="3A7B57D6"/>
    <w:rsid w:val="3A7C039E"/>
    <w:rsid w:val="3A7C5D33"/>
    <w:rsid w:val="3A872856"/>
    <w:rsid w:val="3A8B1791"/>
    <w:rsid w:val="3A947B69"/>
    <w:rsid w:val="3A975B5D"/>
    <w:rsid w:val="3AA034D6"/>
    <w:rsid w:val="3AAB598F"/>
    <w:rsid w:val="3AB11508"/>
    <w:rsid w:val="3AB13027"/>
    <w:rsid w:val="3ABC194A"/>
    <w:rsid w:val="3ABD274E"/>
    <w:rsid w:val="3AC151B3"/>
    <w:rsid w:val="3AC23405"/>
    <w:rsid w:val="3AC32CD9"/>
    <w:rsid w:val="3AC5600A"/>
    <w:rsid w:val="3ACD1DA9"/>
    <w:rsid w:val="3ACE0AB2"/>
    <w:rsid w:val="3AD23A4E"/>
    <w:rsid w:val="3AD273C0"/>
    <w:rsid w:val="3AD60C5E"/>
    <w:rsid w:val="3ADE7751"/>
    <w:rsid w:val="3AE74C19"/>
    <w:rsid w:val="3AE95405"/>
    <w:rsid w:val="3AEA355D"/>
    <w:rsid w:val="3AEA64B7"/>
    <w:rsid w:val="3AEB06BB"/>
    <w:rsid w:val="3AF93A4A"/>
    <w:rsid w:val="3AFE160D"/>
    <w:rsid w:val="3B021A53"/>
    <w:rsid w:val="3B051543"/>
    <w:rsid w:val="3B057795"/>
    <w:rsid w:val="3B096234"/>
    <w:rsid w:val="3B097DA0"/>
    <w:rsid w:val="3B0F5F1E"/>
    <w:rsid w:val="3B196D9D"/>
    <w:rsid w:val="3B251A0F"/>
    <w:rsid w:val="3B293484"/>
    <w:rsid w:val="3B295232"/>
    <w:rsid w:val="3B2A22CC"/>
    <w:rsid w:val="3B2C087E"/>
    <w:rsid w:val="3B2F036E"/>
    <w:rsid w:val="3B334F0C"/>
    <w:rsid w:val="3B351E28"/>
    <w:rsid w:val="3B3763D1"/>
    <w:rsid w:val="3B434C68"/>
    <w:rsid w:val="3B4402BD"/>
    <w:rsid w:val="3B5C582D"/>
    <w:rsid w:val="3B621D85"/>
    <w:rsid w:val="3B81506E"/>
    <w:rsid w:val="3B840388"/>
    <w:rsid w:val="3B8E1539"/>
    <w:rsid w:val="3B8E32E7"/>
    <w:rsid w:val="3B914B85"/>
    <w:rsid w:val="3B9672EA"/>
    <w:rsid w:val="3B9B7648"/>
    <w:rsid w:val="3BA26D92"/>
    <w:rsid w:val="3BA8115D"/>
    <w:rsid w:val="3BAD44FF"/>
    <w:rsid w:val="3BB10350"/>
    <w:rsid w:val="3BB6283D"/>
    <w:rsid w:val="3BB80364"/>
    <w:rsid w:val="3BBD597A"/>
    <w:rsid w:val="3BC211E2"/>
    <w:rsid w:val="3BC60CD2"/>
    <w:rsid w:val="3BD95A5A"/>
    <w:rsid w:val="3BDA29D0"/>
    <w:rsid w:val="3BED44B1"/>
    <w:rsid w:val="3BEF71D3"/>
    <w:rsid w:val="3BF27D19"/>
    <w:rsid w:val="3BF43FDC"/>
    <w:rsid w:val="3C0435A9"/>
    <w:rsid w:val="3C0C1CC3"/>
    <w:rsid w:val="3C0E2679"/>
    <w:rsid w:val="3C11775E"/>
    <w:rsid w:val="3C12216A"/>
    <w:rsid w:val="3C177780"/>
    <w:rsid w:val="3C1C6B44"/>
    <w:rsid w:val="3C211DCF"/>
    <w:rsid w:val="3C2B4FD9"/>
    <w:rsid w:val="3C2C1E98"/>
    <w:rsid w:val="3C2F6E1E"/>
    <w:rsid w:val="3C30439E"/>
    <w:rsid w:val="3C304DE5"/>
    <w:rsid w:val="3C37397E"/>
    <w:rsid w:val="3C3A1020"/>
    <w:rsid w:val="3C3E2F5F"/>
    <w:rsid w:val="3C4A30C0"/>
    <w:rsid w:val="3C4B11D8"/>
    <w:rsid w:val="3C4C18D2"/>
    <w:rsid w:val="3C4F64BA"/>
    <w:rsid w:val="3C526A0A"/>
    <w:rsid w:val="3C5A3B8E"/>
    <w:rsid w:val="3C5A58BF"/>
    <w:rsid w:val="3C613C13"/>
    <w:rsid w:val="3C616C4D"/>
    <w:rsid w:val="3C623D29"/>
    <w:rsid w:val="3C632AF7"/>
    <w:rsid w:val="3C6F136A"/>
    <w:rsid w:val="3C7249B6"/>
    <w:rsid w:val="3C7626F9"/>
    <w:rsid w:val="3C7921E9"/>
    <w:rsid w:val="3C8A1D00"/>
    <w:rsid w:val="3C900DB9"/>
    <w:rsid w:val="3C945B02"/>
    <w:rsid w:val="3C9613C2"/>
    <w:rsid w:val="3C9708C1"/>
    <w:rsid w:val="3C9E47A0"/>
    <w:rsid w:val="3CA07775"/>
    <w:rsid w:val="3CA23F97"/>
    <w:rsid w:val="3CA803D8"/>
    <w:rsid w:val="3CAD1E92"/>
    <w:rsid w:val="3CB1207B"/>
    <w:rsid w:val="3CB40973"/>
    <w:rsid w:val="3CBC5CAE"/>
    <w:rsid w:val="3CBE5E4E"/>
    <w:rsid w:val="3CBE78EE"/>
    <w:rsid w:val="3CCA47F2"/>
    <w:rsid w:val="3CD951D6"/>
    <w:rsid w:val="3CD967E3"/>
    <w:rsid w:val="3CDA245A"/>
    <w:rsid w:val="3CDF5051"/>
    <w:rsid w:val="3CE15331"/>
    <w:rsid w:val="3CE43A14"/>
    <w:rsid w:val="3CE5162C"/>
    <w:rsid w:val="3CEA4BE6"/>
    <w:rsid w:val="3CF04860"/>
    <w:rsid w:val="3CF14DC8"/>
    <w:rsid w:val="3CF64D2C"/>
    <w:rsid w:val="3CF70537"/>
    <w:rsid w:val="3CF93A11"/>
    <w:rsid w:val="3CFE449C"/>
    <w:rsid w:val="3D08531B"/>
    <w:rsid w:val="3D0F0457"/>
    <w:rsid w:val="3D12591E"/>
    <w:rsid w:val="3D1A0E57"/>
    <w:rsid w:val="3D1E06B7"/>
    <w:rsid w:val="3D314871"/>
    <w:rsid w:val="3D3305EA"/>
    <w:rsid w:val="3D3D6D72"/>
    <w:rsid w:val="3D3E5D33"/>
    <w:rsid w:val="3D4000E7"/>
    <w:rsid w:val="3D477BAF"/>
    <w:rsid w:val="3D485BFB"/>
    <w:rsid w:val="3D4A4E20"/>
    <w:rsid w:val="3D4A51A3"/>
    <w:rsid w:val="3D4E790B"/>
    <w:rsid w:val="3D60632F"/>
    <w:rsid w:val="3D672041"/>
    <w:rsid w:val="3D680A02"/>
    <w:rsid w:val="3D6B76D5"/>
    <w:rsid w:val="3D7309E6"/>
    <w:rsid w:val="3D74650C"/>
    <w:rsid w:val="3D764D10"/>
    <w:rsid w:val="3D766DBD"/>
    <w:rsid w:val="3D785FFC"/>
    <w:rsid w:val="3D7D2C62"/>
    <w:rsid w:val="3D8726E3"/>
    <w:rsid w:val="3D903E83"/>
    <w:rsid w:val="3D910B7F"/>
    <w:rsid w:val="3D934BE4"/>
    <w:rsid w:val="3D940555"/>
    <w:rsid w:val="3D945BA6"/>
    <w:rsid w:val="3D976766"/>
    <w:rsid w:val="3D980DA4"/>
    <w:rsid w:val="3D9923BD"/>
    <w:rsid w:val="3D994F0A"/>
    <w:rsid w:val="3DA05553"/>
    <w:rsid w:val="3DA45043"/>
    <w:rsid w:val="3DA75105"/>
    <w:rsid w:val="3DAB351D"/>
    <w:rsid w:val="3DB17760"/>
    <w:rsid w:val="3DB50FFF"/>
    <w:rsid w:val="3DB86D41"/>
    <w:rsid w:val="3DBD4B3D"/>
    <w:rsid w:val="3DBD7EB3"/>
    <w:rsid w:val="3DCB524C"/>
    <w:rsid w:val="3DD27E02"/>
    <w:rsid w:val="3DDA6CB7"/>
    <w:rsid w:val="3DDB3E54"/>
    <w:rsid w:val="3DDD5224"/>
    <w:rsid w:val="3DDE3B02"/>
    <w:rsid w:val="3DE40522"/>
    <w:rsid w:val="3DE47B36"/>
    <w:rsid w:val="3DEA67CE"/>
    <w:rsid w:val="3DEF1A42"/>
    <w:rsid w:val="3DEF5C1E"/>
    <w:rsid w:val="3DF064DB"/>
    <w:rsid w:val="3DF604AE"/>
    <w:rsid w:val="3DF83E33"/>
    <w:rsid w:val="3DFA2EB5"/>
    <w:rsid w:val="3DFC6C2D"/>
    <w:rsid w:val="3DFD1B02"/>
    <w:rsid w:val="3E047890"/>
    <w:rsid w:val="3E110C9C"/>
    <w:rsid w:val="3E123510"/>
    <w:rsid w:val="3E175815"/>
    <w:rsid w:val="3E1A5306"/>
    <w:rsid w:val="3E1E0959"/>
    <w:rsid w:val="3E242535"/>
    <w:rsid w:val="3E2E0DB1"/>
    <w:rsid w:val="3E3C527C"/>
    <w:rsid w:val="3E3F4D6C"/>
    <w:rsid w:val="3E415641"/>
    <w:rsid w:val="3E4203B8"/>
    <w:rsid w:val="3E432AAE"/>
    <w:rsid w:val="3E4B0FF4"/>
    <w:rsid w:val="3E530817"/>
    <w:rsid w:val="3E5720B6"/>
    <w:rsid w:val="3E587BDC"/>
    <w:rsid w:val="3E615D44"/>
    <w:rsid w:val="3E642A25"/>
    <w:rsid w:val="3E6622F9"/>
    <w:rsid w:val="3E6B790F"/>
    <w:rsid w:val="3E726EF0"/>
    <w:rsid w:val="3E772758"/>
    <w:rsid w:val="3E7F2385"/>
    <w:rsid w:val="3E810EE1"/>
    <w:rsid w:val="3E820684"/>
    <w:rsid w:val="3E830F49"/>
    <w:rsid w:val="3E891477"/>
    <w:rsid w:val="3E9926CE"/>
    <w:rsid w:val="3E99447C"/>
    <w:rsid w:val="3EA00269"/>
    <w:rsid w:val="3EA0606C"/>
    <w:rsid w:val="3EA42E21"/>
    <w:rsid w:val="3EAD6F0F"/>
    <w:rsid w:val="3EB56DDC"/>
    <w:rsid w:val="3EB70192"/>
    <w:rsid w:val="3EB80426"/>
    <w:rsid w:val="3EBC016B"/>
    <w:rsid w:val="3EBE3D30"/>
    <w:rsid w:val="3EBF1A09"/>
    <w:rsid w:val="3EC11C25"/>
    <w:rsid w:val="3EC3599D"/>
    <w:rsid w:val="3EC51324"/>
    <w:rsid w:val="3EC6723B"/>
    <w:rsid w:val="3EC82FB3"/>
    <w:rsid w:val="3ED6747E"/>
    <w:rsid w:val="3EDA0523"/>
    <w:rsid w:val="3EDC25BB"/>
    <w:rsid w:val="3EE14075"/>
    <w:rsid w:val="3EEC4EF4"/>
    <w:rsid w:val="3EEF6792"/>
    <w:rsid w:val="3EF31733"/>
    <w:rsid w:val="3EFE69D5"/>
    <w:rsid w:val="3F0513C7"/>
    <w:rsid w:val="3F0B77DC"/>
    <w:rsid w:val="3F19736B"/>
    <w:rsid w:val="3F1C6E5B"/>
    <w:rsid w:val="3F201494"/>
    <w:rsid w:val="3F214472"/>
    <w:rsid w:val="3F250D1A"/>
    <w:rsid w:val="3F316DAB"/>
    <w:rsid w:val="3F395C5F"/>
    <w:rsid w:val="3F422C13"/>
    <w:rsid w:val="3F473ED8"/>
    <w:rsid w:val="3F493A88"/>
    <w:rsid w:val="3F577E93"/>
    <w:rsid w:val="3F59376D"/>
    <w:rsid w:val="3F6933DE"/>
    <w:rsid w:val="3F6C2119"/>
    <w:rsid w:val="3F6F51DD"/>
    <w:rsid w:val="3F6F78D3"/>
    <w:rsid w:val="3F740A45"/>
    <w:rsid w:val="3F744DE8"/>
    <w:rsid w:val="3F7A09B7"/>
    <w:rsid w:val="3F870779"/>
    <w:rsid w:val="3F877A8D"/>
    <w:rsid w:val="3F8A64BB"/>
    <w:rsid w:val="3F9133A5"/>
    <w:rsid w:val="3F942E96"/>
    <w:rsid w:val="3F9E147C"/>
    <w:rsid w:val="3FA05CDE"/>
    <w:rsid w:val="3FA30B08"/>
    <w:rsid w:val="3FA55980"/>
    <w:rsid w:val="3FA62662"/>
    <w:rsid w:val="3FAA090B"/>
    <w:rsid w:val="3FAF7CCF"/>
    <w:rsid w:val="3FB35A12"/>
    <w:rsid w:val="3FBA0B4E"/>
    <w:rsid w:val="3FF35E0E"/>
    <w:rsid w:val="3FFD0A3B"/>
    <w:rsid w:val="3FFD7CE2"/>
    <w:rsid w:val="3FFE7A37"/>
    <w:rsid w:val="40005ECF"/>
    <w:rsid w:val="400234D6"/>
    <w:rsid w:val="400242A3"/>
    <w:rsid w:val="400718BA"/>
    <w:rsid w:val="40084C4E"/>
    <w:rsid w:val="40104987"/>
    <w:rsid w:val="40112738"/>
    <w:rsid w:val="40210BCD"/>
    <w:rsid w:val="4029552E"/>
    <w:rsid w:val="402B37FA"/>
    <w:rsid w:val="40307062"/>
    <w:rsid w:val="40342703"/>
    <w:rsid w:val="403501D5"/>
    <w:rsid w:val="40385F17"/>
    <w:rsid w:val="403C77B5"/>
    <w:rsid w:val="403E0A51"/>
    <w:rsid w:val="403F2E01"/>
    <w:rsid w:val="4049657B"/>
    <w:rsid w:val="404B3E9C"/>
    <w:rsid w:val="405C0DCE"/>
    <w:rsid w:val="40656797"/>
    <w:rsid w:val="40662A84"/>
    <w:rsid w:val="40664832"/>
    <w:rsid w:val="406D5BC1"/>
    <w:rsid w:val="406F4F58"/>
    <w:rsid w:val="40730CFD"/>
    <w:rsid w:val="4079016E"/>
    <w:rsid w:val="407A6407"/>
    <w:rsid w:val="40833636"/>
    <w:rsid w:val="408C3D93"/>
    <w:rsid w:val="4093305C"/>
    <w:rsid w:val="409376BD"/>
    <w:rsid w:val="40956EC5"/>
    <w:rsid w:val="40992CA3"/>
    <w:rsid w:val="409F1576"/>
    <w:rsid w:val="40A12470"/>
    <w:rsid w:val="40B43AD6"/>
    <w:rsid w:val="40C17CBA"/>
    <w:rsid w:val="40C8729B"/>
    <w:rsid w:val="40D00013"/>
    <w:rsid w:val="40D54E75"/>
    <w:rsid w:val="40D55514"/>
    <w:rsid w:val="40D7128C"/>
    <w:rsid w:val="40D73687"/>
    <w:rsid w:val="40DB5220"/>
    <w:rsid w:val="40E1035D"/>
    <w:rsid w:val="40E65973"/>
    <w:rsid w:val="40ED3C67"/>
    <w:rsid w:val="40EE30C6"/>
    <w:rsid w:val="40F7192E"/>
    <w:rsid w:val="40F77B80"/>
    <w:rsid w:val="40FC2CED"/>
    <w:rsid w:val="40FC5196"/>
    <w:rsid w:val="41022E1E"/>
    <w:rsid w:val="410856FF"/>
    <w:rsid w:val="41120516"/>
    <w:rsid w:val="411C1395"/>
    <w:rsid w:val="41210759"/>
    <w:rsid w:val="4124766B"/>
    <w:rsid w:val="4125649B"/>
    <w:rsid w:val="41263FC1"/>
    <w:rsid w:val="41344373"/>
    <w:rsid w:val="413466DE"/>
    <w:rsid w:val="41392C3F"/>
    <w:rsid w:val="41395AA3"/>
    <w:rsid w:val="41475C22"/>
    <w:rsid w:val="414C1C7A"/>
    <w:rsid w:val="41523008"/>
    <w:rsid w:val="415E19AD"/>
    <w:rsid w:val="4162149D"/>
    <w:rsid w:val="41650F8E"/>
    <w:rsid w:val="41677B4A"/>
    <w:rsid w:val="416829D0"/>
    <w:rsid w:val="41766631"/>
    <w:rsid w:val="417B416C"/>
    <w:rsid w:val="4182744A"/>
    <w:rsid w:val="41857776"/>
    <w:rsid w:val="418D13E5"/>
    <w:rsid w:val="419444BB"/>
    <w:rsid w:val="41953D7F"/>
    <w:rsid w:val="419D4283"/>
    <w:rsid w:val="41A05B22"/>
    <w:rsid w:val="41A25D3E"/>
    <w:rsid w:val="41A70B62"/>
    <w:rsid w:val="41AB219B"/>
    <w:rsid w:val="41AB233E"/>
    <w:rsid w:val="41AF045B"/>
    <w:rsid w:val="41B82E6B"/>
    <w:rsid w:val="41BB0B8C"/>
    <w:rsid w:val="41BB5AF1"/>
    <w:rsid w:val="41C21F3C"/>
    <w:rsid w:val="41C37A62"/>
    <w:rsid w:val="41C932CA"/>
    <w:rsid w:val="41CA7043"/>
    <w:rsid w:val="41D8263C"/>
    <w:rsid w:val="41DD2A99"/>
    <w:rsid w:val="41DE0A1F"/>
    <w:rsid w:val="41DF489C"/>
    <w:rsid w:val="41E023C2"/>
    <w:rsid w:val="41E03CE3"/>
    <w:rsid w:val="41E974C9"/>
    <w:rsid w:val="41EA5C7B"/>
    <w:rsid w:val="41F145CF"/>
    <w:rsid w:val="41F83BB0"/>
    <w:rsid w:val="4200154B"/>
    <w:rsid w:val="4200449D"/>
    <w:rsid w:val="42024A2E"/>
    <w:rsid w:val="420B44C0"/>
    <w:rsid w:val="42131EB4"/>
    <w:rsid w:val="42154762"/>
    <w:rsid w:val="42181B5C"/>
    <w:rsid w:val="422B0208"/>
    <w:rsid w:val="42333C8E"/>
    <w:rsid w:val="42345558"/>
    <w:rsid w:val="42360234"/>
    <w:rsid w:val="423A3BCC"/>
    <w:rsid w:val="423A7322"/>
    <w:rsid w:val="423B3A9C"/>
    <w:rsid w:val="423F533B"/>
    <w:rsid w:val="42424E2B"/>
    <w:rsid w:val="4245613A"/>
    <w:rsid w:val="4249440B"/>
    <w:rsid w:val="424C0EBB"/>
    <w:rsid w:val="424D3EFC"/>
    <w:rsid w:val="424E57D2"/>
    <w:rsid w:val="4253528A"/>
    <w:rsid w:val="426D634C"/>
    <w:rsid w:val="42723962"/>
    <w:rsid w:val="42731488"/>
    <w:rsid w:val="427A7A29"/>
    <w:rsid w:val="427C033D"/>
    <w:rsid w:val="427D5E63"/>
    <w:rsid w:val="427F44AC"/>
    <w:rsid w:val="427F607F"/>
    <w:rsid w:val="42832689"/>
    <w:rsid w:val="42845443"/>
    <w:rsid w:val="4286740D"/>
    <w:rsid w:val="428E62C2"/>
    <w:rsid w:val="4290203A"/>
    <w:rsid w:val="429562DA"/>
    <w:rsid w:val="429F2D3C"/>
    <w:rsid w:val="42A1213C"/>
    <w:rsid w:val="42A31D6D"/>
    <w:rsid w:val="42A41642"/>
    <w:rsid w:val="42AC2E27"/>
    <w:rsid w:val="42B06238"/>
    <w:rsid w:val="42B07FE6"/>
    <w:rsid w:val="42B26C49"/>
    <w:rsid w:val="42C23F55"/>
    <w:rsid w:val="42C83582"/>
    <w:rsid w:val="42C876CD"/>
    <w:rsid w:val="42D24401"/>
    <w:rsid w:val="42D55C9F"/>
    <w:rsid w:val="42D80EA3"/>
    <w:rsid w:val="42DB3C12"/>
    <w:rsid w:val="42EA799C"/>
    <w:rsid w:val="42EB4D42"/>
    <w:rsid w:val="42FB3958"/>
    <w:rsid w:val="43010842"/>
    <w:rsid w:val="43040332"/>
    <w:rsid w:val="430A1DED"/>
    <w:rsid w:val="430D1734"/>
    <w:rsid w:val="43156E61"/>
    <w:rsid w:val="431A1904"/>
    <w:rsid w:val="43234C5C"/>
    <w:rsid w:val="43346222"/>
    <w:rsid w:val="433479CC"/>
    <w:rsid w:val="43380BF8"/>
    <w:rsid w:val="433A6FE6"/>
    <w:rsid w:val="43480868"/>
    <w:rsid w:val="434C41B3"/>
    <w:rsid w:val="43503578"/>
    <w:rsid w:val="4350713C"/>
    <w:rsid w:val="43567FE1"/>
    <w:rsid w:val="435766B4"/>
    <w:rsid w:val="435C1F1C"/>
    <w:rsid w:val="43655275"/>
    <w:rsid w:val="436653E0"/>
    <w:rsid w:val="43671E93"/>
    <w:rsid w:val="436A06BA"/>
    <w:rsid w:val="436A288B"/>
    <w:rsid w:val="43746C5D"/>
    <w:rsid w:val="43762FDE"/>
    <w:rsid w:val="43770B04"/>
    <w:rsid w:val="437D25BE"/>
    <w:rsid w:val="43811FD9"/>
    <w:rsid w:val="438C45B0"/>
    <w:rsid w:val="438D135D"/>
    <w:rsid w:val="438F40A0"/>
    <w:rsid w:val="4390082F"/>
    <w:rsid w:val="4392593E"/>
    <w:rsid w:val="43944509"/>
    <w:rsid w:val="439C0C1F"/>
    <w:rsid w:val="439F77F0"/>
    <w:rsid w:val="43B43AC3"/>
    <w:rsid w:val="43B4768D"/>
    <w:rsid w:val="43B65BE3"/>
    <w:rsid w:val="43B901F1"/>
    <w:rsid w:val="43BB30E7"/>
    <w:rsid w:val="43BC0257"/>
    <w:rsid w:val="43BE6733"/>
    <w:rsid w:val="43C26223"/>
    <w:rsid w:val="43C4431A"/>
    <w:rsid w:val="43C55D14"/>
    <w:rsid w:val="43C95804"/>
    <w:rsid w:val="43D62C1B"/>
    <w:rsid w:val="43DA04AA"/>
    <w:rsid w:val="43DE6DD5"/>
    <w:rsid w:val="43DF2DC8"/>
    <w:rsid w:val="43EA13F8"/>
    <w:rsid w:val="43ED0597"/>
    <w:rsid w:val="43F3145D"/>
    <w:rsid w:val="43F42155"/>
    <w:rsid w:val="43F63E47"/>
    <w:rsid w:val="43F73405"/>
    <w:rsid w:val="43F860E9"/>
    <w:rsid w:val="43F87E97"/>
    <w:rsid w:val="43F959BD"/>
    <w:rsid w:val="4404683C"/>
    <w:rsid w:val="44064915"/>
    <w:rsid w:val="440950CF"/>
    <w:rsid w:val="441427F7"/>
    <w:rsid w:val="441C4494"/>
    <w:rsid w:val="44213356"/>
    <w:rsid w:val="44241685"/>
    <w:rsid w:val="442567B2"/>
    <w:rsid w:val="44352E99"/>
    <w:rsid w:val="443E65DA"/>
    <w:rsid w:val="44453DDE"/>
    <w:rsid w:val="444906F3"/>
    <w:rsid w:val="44496945"/>
    <w:rsid w:val="444E3F5B"/>
    <w:rsid w:val="444F4AE9"/>
    <w:rsid w:val="44507CD3"/>
    <w:rsid w:val="44640865"/>
    <w:rsid w:val="446B5CB5"/>
    <w:rsid w:val="44750086"/>
    <w:rsid w:val="447A6AFE"/>
    <w:rsid w:val="448160DE"/>
    <w:rsid w:val="44867251"/>
    <w:rsid w:val="44892078"/>
    <w:rsid w:val="44905151"/>
    <w:rsid w:val="44921D2E"/>
    <w:rsid w:val="4499498E"/>
    <w:rsid w:val="449E2D2B"/>
    <w:rsid w:val="44A122DD"/>
    <w:rsid w:val="44A466D4"/>
    <w:rsid w:val="44AB315B"/>
    <w:rsid w:val="44AD7011"/>
    <w:rsid w:val="44B32BF6"/>
    <w:rsid w:val="44B813D4"/>
    <w:rsid w:val="44B951CC"/>
    <w:rsid w:val="44BC0EC5"/>
    <w:rsid w:val="44C1472D"/>
    <w:rsid w:val="44C377A9"/>
    <w:rsid w:val="44CD14E0"/>
    <w:rsid w:val="44CE29A6"/>
    <w:rsid w:val="44D02BC2"/>
    <w:rsid w:val="44DA57EF"/>
    <w:rsid w:val="44DC3315"/>
    <w:rsid w:val="44DC50C3"/>
    <w:rsid w:val="44DD4305"/>
    <w:rsid w:val="44DF3121"/>
    <w:rsid w:val="44E5468B"/>
    <w:rsid w:val="44E67CEF"/>
    <w:rsid w:val="44E87F0C"/>
    <w:rsid w:val="44F20B0B"/>
    <w:rsid w:val="44F21868"/>
    <w:rsid w:val="44FC7D16"/>
    <w:rsid w:val="44FF0DB1"/>
    <w:rsid w:val="450C528F"/>
    <w:rsid w:val="450D7972"/>
    <w:rsid w:val="4517434D"/>
    <w:rsid w:val="451D4752"/>
    <w:rsid w:val="452025F6"/>
    <w:rsid w:val="45246A6A"/>
    <w:rsid w:val="45293834"/>
    <w:rsid w:val="452E5F4C"/>
    <w:rsid w:val="45326E1A"/>
    <w:rsid w:val="45356DD7"/>
    <w:rsid w:val="45362E35"/>
    <w:rsid w:val="453906C5"/>
    <w:rsid w:val="45460117"/>
    <w:rsid w:val="454728B0"/>
    <w:rsid w:val="45482758"/>
    <w:rsid w:val="45603F46"/>
    <w:rsid w:val="45605CF4"/>
    <w:rsid w:val="45612018"/>
    <w:rsid w:val="456652D4"/>
    <w:rsid w:val="45667082"/>
    <w:rsid w:val="456F4189"/>
    <w:rsid w:val="457176F9"/>
    <w:rsid w:val="45717A64"/>
    <w:rsid w:val="45796DB6"/>
    <w:rsid w:val="457A48DC"/>
    <w:rsid w:val="45815C6A"/>
    <w:rsid w:val="458946E9"/>
    <w:rsid w:val="458C58E6"/>
    <w:rsid w:val="45957CE0"/>
    <w:rsid w:val="459B6D2C"/>
    <w:rsid w:val="45A47C0E"/>
    <w:rsid w:val="45A71B75"/>
    <w:rsid w:val="45A8769B"/>
    <w:rsid w:val="45A97F18"/>
    <w:rsid w:val="45AD4CB1"/>
    <w:rsid w:val="45AE4F3B"/>
    <w:rsid w:val="45BB117C"/>
    <w:rsid w:val="45BB73CE"/>
    <w:rsid w:val="45C108A7"/>
    <w:rsid w:val="45C73FC5"/>
    <w:rsid w:val="45CC15DB"/>
    <w:rsid w:val="45CC3389"/>
    <w:rsid w:val="45CD3243"/>
    <w:rsid w:val="45CF4C28"/>
    <w:rsid w:val="45D11781"/>
    <w:rsid w:val="45D40490"/>
    <w:rsid w:val="45D434CF"/>
    <w:rsid w:val="45D466E2"/>
    <w:rsid w:val="45DA1917"/>
    <w:rsid w:val="45DC4B29"/>
    <w:rsid w:val="45DD7344"/>
    <w:rsid w:val="45E30CC2"/>
    <w:rsid w:val="45E604DC"/>
    <w:rsid w:val="45E701C3"/>
    <w:rsid w:val="45E75DDA"/>
    <w:rsid w:val="45EA380F"/>
    <w:rsid w:val="45ED1ACB"/>
    <w:rsid w:val="45EE77A4"/>
    <w:rsid w:val="45F02746"/>
    <w:rsid w:val="45F43BFF"/>
    <w:rsid w:val="45F92FA0"/>
    <w:rsid w:val="45FB788C"/>
    <w:rsid w:val="45FD1795"/>
    <w:rsid w:val="46010BDD"/>
    <w:rsid w:val="46050DCA"/>
    <w:rsid w:val="460674A4"/>
    <w:rsid w:val="460A3EB2"/>
    <w:rsid w:val="460F771A"/>
    <w:rsid w:val="46117671"/>
    <w:rsid w:val="46141AA7"/>
    <w:rsid w:val="461B1C1B"/>
    <w:rsid w:val="4622744D"/>
    <w:rsid w:val="462B4F2F"/>
    <w:rsid w:val="4638759E"/>
    <w:rsid w:val="463E3B5B"/>
    <w:rsid w:val="463F1DAD"/>
    <w:rsid w:val="4641708B"/>
    <w:rsid w:val="464F1BEA"/>
    <w:rsid w:val="464F7B16"/>
    <w:rsid w:val="46577FD6"/>
    <w:rsid w:val="465D66D7"/>
    <w:rsid w:val="46623CEE"/>
    <w:rsid w:val="46701873"/>
    <w:rsid w:val="467031F0"/>
    <w:rsid w:val="46733805"/>
    <w:rsid w:val="467354C8"/>
    <w:rsid w:val="46780480"/>
    <w:rsid w:val="4678706D"/>
    <w:rsid w:val="46794D72"/>
    <w:rsid w:val="46821C9A"/>
    <w:rsid w:val="468846E9"/>
    <w:rsid w:val="468A0B4E"/>
    <w:rsid w:val="46901B0F"/>
    <w:rsid w:val="46902609"/>
    <w:rsid w:val="469043B7"/>
    <w:rsid w:val="469519CD"/>
    <w:rsid w:val="4698326B"/>
    <w:rsid w:val="469F3F0A"/>
    <w:rsid w:val="46A11681"/>
    <w:rsid w:val="46A165C4"/>
    <w:rsid w:val="46A24EED"/>
    <w:rsid w:val="46A936CA"/>
    <w:rsid w:val="46AB7A83"/>
    <w:rsid w:val="46AD1857"/>
    <w:rsid w:val="46AE0CE1"/>
    <w:rsid w:val="46B300A5"/>
    <w:rsid w:val="46C15FBB"/>
    <w:rsid w:val="46C37C31"/>
    <w:rsid w:val="46C64F5E"/>
    <w:rsid w:val="46C9141B"/>
    <w:rsid w:val="46C91677"/>
    <w:rsid w:val="46CC1167"/>
    <w:rsid w:val="46CF18AB"/>
    <w:rsid w:val="46D06EA9"/>
    <w:rsid w:val="46D36C8F"/>
    <w:rsid w:val="46D83FB0"/>
    <w:rsid w:val="46D955A7"/>
    <w:rsid w:val="46D96EF2"/>
    <w:rsid w:val="46DD097A"/>
    <w:rsid w:val="46E75FA1"/>
    <w:rsid w:val="46EB3D58"/>
    <w:rsid w:val="46EE46A6"/>
    <w:rsid w:val="46EE732F"/>
    <w:rsid w:val="46F32B98"/>
    <w:rsid w:val="46F506BE"/>
    <w:rsid w:val="46F676FC"/>
    <w:rsid w:val="46FF7420"/>
    <w:rsid w:val="470B1C8F"/>
    <w:rsid w:val="4712301E"/>
    <w:rsid w:val="471244AD"/>
    <w:rsid w:val="47133957"/>
    <w:rsid w:val="471A08CC"/>
    <w:rsid w:val="47200A23"/>
    <w:rsid w:val="47230AC1"/>
    <w:rsid w:val="47321912"/>
    <w:rsid w:val="473236C0"/>
    <w:rsid w:val="473705AC"/>
    <w:rsid w:val="4739757E"/>
    <w:rsid w:val="473A610B"/>
    <w:rsid w:val="47490A0A"/>
    <w:rsid w:val="47495932"/>
    <w:rsid w:val="474A6C5C"/>
    <w:rsid w:val="474B29D4"/>
    <w:rsid w:val="474B4782"/>
    <w:rsid w:val="474F0FCF"/>
    <w:rsid w:val="47543636"/>
    <w:rsid w:val="475441CE"/>
    <w:rsid w:val="475F1FDB"/>
    <w:rsid w:val="475F2C88"/>
    <w:rsid w:val="47621D4A"/>
    <w:rsid w:val="47623541"/>
    <w:rsid w:val="47655050"/>
    <w:rsid w:val="476A1EDE"/>
    <w:rsid w:val="476F764D"/>
    <w:rsid w:val="47721D0E"/>
    <w:rsid w:val="477A0BC3"/>
    <w:rsid w:val="47855EE6"/>
    <w:rsid w:val="47857B85"/>
    <w:rsid w:val="47887784"/>
    <w:rsid w:val="478A7058"/>
    <w:rsid w:val="478B4B7E"/>
    <w:rsid w:val="478D4316"/>
    <w:rsid w:val="479271AB"/>
    <w:rsid w:val="47941C85"/>
    <w:rsid w:val="47981849"/>
    <w:rsid w:val="479F0324"/>
    <w:rsid w:val="47A07E0C"/>
    <w:rsid w:val="47AD21BF"/>
    <w:rsid w:val="47AD71EA"/>
    <w:rsid w:val="47BC11DC"/>
    <w:rsid w:val="47BC567F"/>
    <w:rsid w:val="47BD1863"/>
    <w:rsid w:val="47C167F2"/>
    <w:rsid w:val="47C36A0E"/>
    <w:rsid w:val="47CB6F01"/>
    <w:rsid w:val="47CF0F0F"/>
    <w:rsid w:val="47CF53B3"/>
    <w:rsid w:val="47D04464"/>
    <w:rsid w:val="47D12ED9"/>
    <w:rsid w:val="47D40B4C"/>
    <w:rsid w:val="47D76015"/>
    <w:rsid w:val="47E36768"/>
    <w:rsid w:val="47E50BAC"/>
    <w:rsid w:val="47EA69EF"/>
    <w:rsid w:val="47EC7D13"/>
    <w:rsid w:val="47ED38C0"/>
    <w:rsid w:val="47F15329"/>
    <w:rsid w:val="47F57C70"/>
    <w:rsid w:val="47FC782A"/>
    <w:rsid w:val="480D3C11"/>
    <w:rsid w:val="480F1C53"/>
    <w:rsid w:val="480F698B"/>
    <w:rsid w:val="48132128"/>
    <w:rsid w:val="481D7ECC"/>
    <w:rsid w:val="481E3C44"/>
    <w:rsid w:val="48202211"/>
    <w:rsid w:val="4820660F"/>
    <w:rsid w:val="482166FC"/>
    <w:rsid w:val="48256D81"/>
    <w:rsid w:val="4828477B"/>
    <w:rsid w:val="4828582E"/>
    <w:rsid w:val="482C6963"/>
    <w:rsid w:val="4839282C"/>
    <w:rsid w:val="483C1A8C"/>
    <w:rsid w:val="484728D5"/>
    <w:rsid w:val="484A2C8B"/>
    <w:rsid w:val="48541414"/>
    <w:rsid w:val="485458B8"/>
    <w:rsid w:val="485633DE"/>
    <w:rsid w:val="485921E8"/>
    <w:rsid w:val="48594227"/>
    <w:rsid w:val="485A0F31"/>
    <w:rsid w:val="48616187"/>
    <w:rsid w:val="48643D4D"/>
    <w:rsid w:val="486677BF"/>
    <w:rsid w:val="48693111"/>
    <w:rsid w:val="486F1126"/>
    <w:rsid w:val="4870272E"/>
    <w:rsid w:val="487815A6"/>
    <w:rsid w:val="48793ABD"/>
    <w:rsid w:val="487A3570"/>
    <w:rsid w:val="487C7EE2"/>
    <w:rsid w:val="488066AD"/>
    <w:rsid w:val="48816489"/>
    <w:rsid w:val="48855A71"/>
    <w:rsid w:val="48891AB9"/>
    <w:rsid w:val="48892C67"/>
    <w:rsid w:val="4889448E"/>
    <w:rsid w:val="488C32A4"/>
    <w:rsid w:val="4897712B"/>
    <w:rsid w:val="489A0F95"/>
    <w:rsid w:val="48A028AB"/>
    <w:rsid w:val="48A759E8"/>
    <w:rsid w:val="48AC1893"/>
    <w:rsid w:val="48AF2AEE"/>
    <w:rsid w:val="48B32931"/>
    <w:rsid w:val="48B5169B"/>
    <w:rsid w:val="48C22822"/>
    <w:rsid w:val="48C62B89"/>
    <w:rsid w:val="48CB3E5F"/>
    <w:rsid w:val="48CE52B4"/>
    <w:rsid w:val="48D170AE"/>
    <w:rsid w:val="48D20D16"/>
    <w:rsid w:val="48DA11AE"/>
    <w:rsid w:val="48E16B80"/>
    <w:rsid w:val="48E34A20"/>
    <w:rsid w:val="48E754F2"/>
    <w:rsid w:val="48EA3B26"/>
    <w:rsid w:val="48F75C9D"/>
    <w:rsid w:val="49010144"/>
    <w:rsid w:val="49041E4A"/>
    <w:rsid w:val="490948F4"/>
    <w:rsid w:val="490C4C58"/>
    <w:rsid w:val="490C74D4"/>
    <w:rsid w:val="49105031"/>
    <w:rsid w:val="491A440C"/>
    <w:rsid w:val="49207B4F"/>
    <w:rsid w:val="49281B4A"/>
    <w:rsid w:val="49301E68"/>
    <w:rsid w:val="49304650"/>
    <w:rsid w:val="4933193C"/>
    <w:rsid w:val="494151C5"/>
    <w:rsid w:val="494D4D8B"/>
    <w:rsid w:val="494F67AB"/>
    <w:rsid w:val="494F6887"/>
    <w:rsid w:val="4970227E"/>
    <w:rsid w:val="49721632"/>
    <w:rsid w:val="49785DC5"/>
    <w:rsid w:val="497F4AA1"/>
    <w:rsid w:val="497F6965"/>
    <w:rsid w:val="498126DD"/>
    <w:rsid w:val="49845D29"/>
    <w:rsid w:val="49851E5F"/>
    <w:rsid w:val="498705A3"/>
    <w:rsid w:val="49875199"/>
    <w:rsid w:val="498B4136"/>
    <w:rsid w:val="49900B72"/>
    <w:rsid w:val="49941865"/>
    <w:rsid w:val="49975A5C"/>
    <w:rsid w:val="49B13E38"/>
    <w:rsid w:val="49B32846"/>
    <w:rsid w:val="49B334D9"/>
    <w:rsid w:val="49B760FE"/>
    <w:rsid w:val="49C01457"/>
    <w:rsid w:val="49C046F1"/>
    <w:rsid w:val="49C20131"/>
    <w:rsid w:val="49C32CF5"/>
    <w:rsid w:val="49C376F0"/>
    <w:rsid w:val="49CB3958"/>
    <w:rsid w:val="49CB7B4B"/>
    <w:rsid w:val="49D22F38"/>
    <w:rsid w:val="49D30BCF"/>
    <w:rsid w:val="49D57801"/>
    <w:rsid w:val="49D62A28"/>
    <w:rsid w:val="49DC7715"/>
    <w:rsid w:val="49E60792"/>
    <w:rsid w:val="49E62540"/>
    <w:rsid w:val="49EB7B56"/>
    <w:rsid w:val="49ED15CE"/>
    <w:rsid w:val="49EF479F"/>
    <w:rsid w:val="49F20EE5"/>
    <w:rsid w:val="49F509D5"/>
    <w:rsid w:val="49F64E79"/>
    <w:rsid w:val="4A0150AF"/>
    <w:rsid w:val="4A023139"/>
    <w:rsid w:val="4A084BAC"/>
    <w:rsid w:val="4A0A0924"/>
    <w:rsid w:val="4A0B6D7E"/>
    <w:rsid w:val="4A1A56BC"/>
    <w:rsid w:val="4A1E617D"/>
    <w:rsid w:val="4A2178D2"/>
    <w:rsid w:val="4A266DE0"/>
    <w:rsid w:val="4A2A2D74"/>
    <w:rsid w:val="4A2E583B"/>
    <w:rsid w:val="4A371FA0"/>
    <w:rsid w:val="4A3D4856"/>
    <w:rsid w:val="4A435BE4"/>
    <w:rsid w:val="4A484FA8"/>
    <w:rsid w:val="4A4C6847"/>
    <w:rsid w:val="4A4F27DB"/>
    <w:rsid w:val="4A613290"/>
    <w:rsid w:val="4A6201D3"/>
    <w:rsid w:val="4A63501B"/>
    <w:rsid w:val="4A653DAC"/>
    <w:rsid w:val="4A6E0EB3"/>
    <w:rsid w:val="4A742241"/>
    <w:rsid w:val="4A746B40"/>
    <w:rsid w:val="4A7638C4"/>
    <w:rsid w:val="4A7B0214"/>
    <w:rsid w:val="4A7B576F"/>
    <w:rsid w:val="4A7C1915"/>
    <w:rsid w:val="4A840031"/>
    <w:rsid w:val="4A873D23"/>
    <w:rsid w:val="4A8C758B"/>
    <w:rsid w:val="4A934476"/>
    <w:rsid w:val="4A941ED6"/>
    <w:rsid w:val="4A987CDE"/>
    <w:rsid w:val="4A9B05A9"/>
    <w:rsid w:val="4AA30431"/>
    <w:rsid w:val="4AA448D5"/>
    <w:rsid w:val="4AA93C99"/>
    <w:rsid w:val="4AB12B4E"/>
    <w:rsid w:val="4AB670D1"/>
    <w:rsid w:val="4AC130EB"/>
    <w:rsid w:val="4AC93000"/>
    <w:rsid w:val="4AC9449C"/>
    <w:rsid w:val="4ACD36E9"/>
    <w:rsid w:val="4ACE54AE"/>
    <w:rsid w:val="4AD60806"/>
    <w:rsid w:val="4AE662A3"/>
    <w:rsid w:val="4AEE78FE"/>
    <w:rsid w:val="4AEF2EEA"/>
    <w:rsid w:val="4AF4475B"/>
    <w:rsid w:val="4AF561A9"/>
    <w:rsid w:val="4AF64982"/>
    <w:rsid w:val="4AF8077D"/>
    <w:rsid w:val="4AFB2458"/>
    <w:rsid w:val="4AFD5D93"/>
    <w:rsid w:val="4B0610EB"/>
    <w:rsid w:val="4B0C4228"/>
    <w:rsid w:val="4B101F6A"/>
    <w:rsid w:val="4B1574A1"/>
    <w:rsid w:val="4B157580"/>
    <w:rsid w:val="4B1E0329"/>
    <w:rsid w:val="4B2108F3"/>
    <w:rsid w:val="4B2477C4"/>
    <w:rsid w:val="4B29302C"/>
    <w:rsid w:val="4B313C8F"/>
    <w:rsid w:val="4B35377F"/>
    <w:rsid w:val="4B375749"/>
    <w:rsid w:val="4B3B68BB"/>
    <w:rsid w:val="4B3C2D5F"/>
    <w:rsid w:val="4B410375"/>
    <w:rsid w:val="4B41730E"/>
    <w:rsid w:val="4B425E9C"/>
    <w:rsid w:val="4B457FAC"/>
    <w:rsid w:val="4B4832C5"/>
    <w:rsid w:val="4B4907E0"/>
    <w:rsid w:val="4B555BCF"/>
    <w:rsid w:val="4B5A4F93"/>
    <w:rsid w:val="4B5B3532"/>
    <w:rsid w:val="4B5E27BB"/>
    <w:rsid w:val="4B6127C6"/>
    <w:rsid w:val="4B661B8A"/>
    <w:rsid w:val="4B666755"/>
    <w:rsid w:val="4B72052F"/>
    <w:rsid w:val="4B771FE9"/>
    <w:rsid w:val="4B797B0F"/>
    <w:rsid w:val="4B7A3887"/>
    <w:rsid w:val="4B810772"/>
    <w:rsid w:val="4B840D2C"/>
    <w:rsid w:val="4B842010"/>
    <w:rsid w:val="4B871B00"/>
    <w:rsid w:val="4B887D52"/>
    <w:rsid w:val="4B9425A7"/>
    <w:rsid w:val="4B9745A8"/>
    <w:rsid w:val="4B9C55AC"/>
    <w:rsid w:val="4B9D0613"/>
    <w:rsid w:val="4BA12BC2"/>
    <w:rsid w:val="4BA601D9"/>
    <w:rsid w:val="4BAF0B9A"/>
    <w:rsid w:val="4BB435D4"/>
    <w:rsid w:val="4BB936DD"/>
    <w:rsid w:val="4BBF74EC"/>
    <w:rsid w:val="4BC226CA"/>
    <w:rsid w:val="4BC36FDC"/>
    <w:rsid w:val="4BCD08BF"/>
    <w:rsid w:val="4BCE4C57"/>
    <w:rsid w:val="4BD048BE"/>
    <w:rsid w:val="4BD50ABE"/>
    <w:rsid w:val="4BDC7009"/>
    <w:rsid w:val="4BDD550A"/>
    <w:rsid w:val="4BDE4FE9"/>
    <w:rsid w:val="4BE12A65"/>
    <w:rsid w:val="4BE56F53"/>
    <w:rsid w:val="4BEA671C"/>
    <w:rsid w:val="4BEB0C49"/>
    <w:rsid w:val="4BED4059"/>
    <w:rsid w:val="4BF076A6"/>
    <w:rsid w:val="4BF947AC"/>
    <w:rsid w:val="4C022A77"/>
    <w:rsid w:val="4C024B37"/>
    <w:rsid w:val="4C082C41"/>
    <w:rsid w:val="4C0945CB"/>
    <w:rsid w:val="4C10454B"/>
    <w:rsid w:val="4C16297D"/>
    <w:rsid w:val="4C1A3D1A"/>
    <w:rsid w:val="4C1C493F"/>
    <w:rsid w:val="4C1E06B7"/>
    <w:rsid w:val="4C225E2E"/>
    <w:rsid w:val="4C231829"/>
    <w:rsid w:val="4C261319"/>
    <w:rsid w:val="4C324162"/>
    <w:rsid w:val="4C3733E4"/>
    <w:rsid w:val="4C447BCA"/>
    <w:rsid w:val="4C461DFB"/>
    <w:rsid w:val="4C485734"/>
    <w:rsid w:val="4C4874E2"/>
    <w:rsid w:val="4C4A0649"/>
    <w:rsid w:val="4C4F261E"/>
    <w:rsid w:val="4C547C35"/>
    <w:rsid w:val="4C56430C"/>
    <w:rsid w:val="4C577725"/>
    <w:rsid w:val="4C577F9F"/>
    <w:rsid w:val="4C597873"/>
    <w:rsid w:val="4C5B0FC3"/>
    <w:rsid w:val="4C617F8F"/>
    <w:rsid w:val="4C7979DA"/>
    <w:rsid w:val="4C7A2A2A"/>
    <w:rsid w:val="4C7E5ECA"/>
    <w:rsid w:val="4C876AA5"/>
    <w:rsid w:val="4C894980"/>
    <w:rsid w:val="4C8A18A8"/>
    <w:rsid w:val="4C8B0D95"/>
    <w:rsid w:val="4C90449D"/>
    <w:rsid w:val="4C934BC0"/>
    <w:rsid w:val="4C942727"/>
    <w:rsid w:val="4C957630"/>
    <w:rsid w:val="4C975D73"/>
    <w:rsid w:val="4C991C31"/>
    <w:rsid w:val="4C9E5324"/>
    <w:rsid w:val="4CA72724"/>
    <w:rsid w:val="4CAE1A3B"/>
    <w:rsid w:val="4CAF130F"/>
    <w:rsid w:val="4CAF7561"/>
    <w:rsid w:val="4CB0637D"/>
    <w:rsid w:val="4CB15087"/>
    <w:rsid w:val="4CB614C5"/>
    <w:rsid w:val="4CB6167B"/>
    <w:rsid w:val="4CC0351C"/>
    <w:rsid w:val="4CC76658"/>
    <w:rsid w:val="4CCC0113"/>
    <w:rsid w:val="4CCF19B1"/>
    <w:rsid w:val="4CCF20E6"/>
    <w:rsid w:val="4CD13DFC"/>
    <w:rsid w:val="4CD2722C"/>
    <w:rsid w:val="4CD90E06"/>
    <w:rsid w:val="4CDB40C2"/>
    <w:rsid w:val="4CE4545C"/>
    <w:rsid w:val="4CEE2238"/>
    <w:rsid w:val="4CF136D5"/>
    <w:rsid w:val="4CF5766A"/>
    <w:rsid w:val="4CFE5DF2"/>
    <w:rsid w:val="4D001B6A"/>
    <w:rsid w:val="4D011B23"/>
    <w:rsid w:val="4D0258E3"/>
    <w:rsid w:val="4D0623E1"/>
    <w:rsid w:val="4D0E00FB"/>
    <w:rsid w:val="4D1473C4"/>
    <w:rsid w:val="4D176606"/>
    <w:rsid w:val="4D177F39"/>
    <w:rsid w:val="4D1D096E"/>
    <w:rsid w:val="4D1D271C"/>
    <w:rsid w:val="4D1E600B"/>
    <w:rsid w:val="4D225F85"/>
    <w:rsid w:val="4D2910C1"/>
    <w:rsid w:val="4D2B59BB"/>
    <w:rsid w:val="4D381304"/>
    <w:rsid w:val="4D3A32CE"/>
    <w:rsid w:val="4D3D278C"/>
    <w:rsid w:val="4D3D4ECE"/>
    <w:rsid w:val="4D4052E5"/>
    <w:rsid w:val="4D4952BF"/>
    <w:rsid w:val="4D4A6024"/>
    <w:rsid w:val="4D4C2D04"/>
    <w:rsid w:val="4D4E28D6"/>
    <w:rsid w:val="4D50664E"/>
    <w:rsid w:val="4D515160"/>
    <w:rsid w:val="4D547523"/>
    <w:rsid w:val="4D5679DC"/>
    <w:rsid w:val="4D5D01DD"/>
    <w:rsid w:val="4D650DBF"/>
    <w:rsid w:val="4D6B20E8"/>
    <w:rsid w:val="4D6C3E74"/>
    <w:rsid w:val="4D6C7200"/>
    <w:rsid w:val="4D6E4FF6"/>
    <w:rsid w:val="4D7B7443"/>
    <w:rsid w:val="4D7C5695"/>
    <w:rsid w:val="4D7D31BB"/>
    <w:rsid w:val="4D834C75"/>
    <w:rsid w:val="4D8409ED"/>
    <w:rsid w:val="4D8B58D8"/>
    <w:rsid w:val="4D92309B"/>
    <w:rsid w:val="4D9C4497"/>
    <w:rsid w:val="4D9E1AAF"/>
    <w:rsid w:val="4DA16EA9"/>
    <w:rsid w:val="4DA22CB7"/>
    <w:rsid w:val="4DA34D7A"/>
    <w:rsid w:val="4DAB36F0"/>
    <w:rsid w:val="4DB51CAD"/>
    <w:rsid w:val="4DBA7B4A"/>
    <w:rsid w:val="4DC42B98"/>
    <w:rsid w:val="4DC86B2C"/>
    <w:rsid w:val="4DCA0138"/>
    <w:rsid w:val="4DDA166F"/>
    <w:rsid w:val="4DDC25D7"/>
    <w:rsid w:val="4DDD3C5A"/>
    <w:rsid w:val="4DE67FBD"/>
    <w:rsid w:val="4DEA6AA2"/>
    <w:rsid w:val="4DEB6377"/>
    <w:rsid w:val="4DEC4FB0"/>
    <w:rsid w:val="4DF0545E"/>
    <w:rsid w:val="4DF3347D"/>
    <w:rsid w:val="4E015B9A"/>
    <w:rsid w:val="4E075D8A"/>
    <w:rsid w:val="4E086F29"/>
    <w:rsid w:val="4E090986"/>
    <w:rsid w:val="4E1458CD"/>
    <w:rsid w:val="4E194E4F"/>
    <w:rsid w:val="4E1B2ED6"/>
    <w:rsid w:val="4E1B3100"/>
    <w:rsid w:val="4E216BF6"/>
    <w:rsid w:val="4E255C4E"/>
    <w:rsid w:val="4E263853"/>
    <w:rsid w:val="4E2B0E69"/>
    <w:rsid w:val="4E3E6DEE"/>
    <w:rsid w:val="4E4D0DDF"/>
    <w:rsid w:val="4E5263F6"/>
    <w:rsid w:val="4E544666"/>
    <w:rsid w:val="4E577EB0"/>
    <w:rsid w:val="4E5D7793"/>
    <w:rsid w:val="4E682ACC"/>
    <w:rsid w:val="4E683E6B"/>
    <w:rsid w:val="4E6A7A98"/>
    <w:rsid w:val="4E6D2B88"/>
    <w:rsid w:val="4E6E44AF"/>
    <w:rsid w:val="4E726A98"/>
    <w:rsid w:val="4E74636C"/>
    <w:rsid w:val="4E775E5C"/>
    <w:rsid w:val="4E7E2024"/>
    <w:rsid w:val="4E8559DE"/>
    <w:rsid w:val="4E8F764A"/>
    <w:rsid w:val="4E974E4A"/>
    <w:rsid w:val="4E982DE8"/>
    <w:rsid w:val="4E984750"/>
    <w:rsid w:val="4E9C23D7"/>
    <w:rsid w:val="4E9C4757"/>
    <w:rsid w:val="4E9C58C3"/>
    <w:rsid w:val="4EA36C51"/>
    <w:rsid w:val="4EB67DC0"/>
    <w:rsid w:val="4EB80D4F"/>
    <w:rsid w:val="4EB946C7"/>
    <w:rsid w:val="4EC00FAD"/>
    <w:rsid w:val="4ECF0762"/>
    <w:rsid w:val="4ED14827"/>
    <w:rsid w:val="4ED35788"/>
    <w:rsid w:val="4ED66FBD"/>
    <w:rsid w:val="4ED97418"/>
    <w:rsid w:val="4EDB288F"/>
    <w:rsid w:val="4EDE5EDB"/>
    <w:rsid w:val="4EDF237F"/>
    <w:rsid w:val="4EE31744"/>
    <w:rsid w:val="4EE51E06"/>
    <w:rsid w:val="4EEC23A6"/>
    <w:rsid w:val="4EF74C52"/>
    <w:rsid w:val="4F041DE6"/>
    <w:rsid w:val="4F0A3DCE"/>
    <w:rsid w:val="4F194B69"/>
    <w:rsid w:val="4F1E2EF2"/>
    <w:rsid w:val="4F1F3E10"/>
    <w:rsid w:val="4F2E58FF"/>
    <w:rsid w:val="4F363F69"/>
    <w:rsid w:val="4F3B3247"/>
    <w:rsid w:val="4F3D0E54"/>
    <w:rsid w:val="4F3D6282"/>
    <w:rsid w:val="4F42646A"/>
    <w:rsid w:val="4F451B8F"/>
    <w:rsid w:val="4F4B110E"/>
    <w:rsid w:val="4F4F2935"/>
    <w:rsid w:val="4F5166AD"/>
    <w:rsid w:val="4F532425"/>
    <w:rsid w:val="4F5435BF"/>
    <w:rsid w:val="4F560168"/>
    <w:rsid w:val="4F561F16"/>
    <w:rsid w:val="4F5A605D"/>
    <w:rsid w:val="4F5F0DCA"/>
    <w:rsid w:val="4F610FE6"/>
    <w:rsid w:val="4F6267DE"/>
    <w:rsid w:val="4F63587C"/>
    <w:rsid w:val="4F642884"/>
    <w:rsid w:val="4F664926"/>
    <w:rsid w:val="4F6A4411"/>
    <w:rsid w:val="4F6B7902"/>
    <w:rsid w:val="4F754A92"/>
    <w:rsid w:val="4F770156"/>
    <w:rsid w:val="4F7D2F66"/>
    <w:rsid w:val="4F7D7924"/>
    <w:rsid w:val="4F7F0F85"/>
    <w:rsid w:val="4F815FEA"/>
    <w:rsid w:val="4F840831"/>
    <w:rsid w:val="4F894099"/>
    <w:rsid w:val="4F912F4E"/>
    <w:rsid w:val="4F98252E"/>
    <w:rsid w:val="4F9843DC"/>
    <w:rsid w:val="4F9E57D4"/>
    <w:rsid w:val="4F9E6E5A"/>
    <w:rsid w:val="4F9F1B0F"/>
    <w:rsid w:val="4FA50603"/>
    <w:rsid w:val="4FA62E9D"/>
    <w:rsid w:val="4FAA7657"/>
    <w:rsid w:val="4FB015A6"/>
    <w:rsid w:val="4FB541B4"/>
    <w:rsid w:val="4FBE7D1A"/>
    <w:rsid w:val="4FC62A8C"/>
    <w:rsid w:val="4FCB2904"/>
    <w:rsid w:val="4FCC3F86"/>
    <w:rsid w:val="4FD55530"/>
    <w:rsid w:val="4FDE2957"/>
    <w:rsid w:val="4FE17A31"/>
    <w:rsid w:val="4FE20F0D"/>
    <w:rsid w:val="4FE51552"/>
    <w:rsid w:val="4FE85264"/>
    <w:rsid w:val="4FE90FDC"/>
    <w:rsid w:val="4FEC4E73"/>
    <w:rsid w:val="4FF36569"/>
    <w:rsid w:val="4FF45606"/>
    <w:rsid w:val="4FFF435B"/>
    <w:rsid w:val="50007949"/>
    <w:rsid w:val="5001724C"/>
    <w:rsid w:val="5003209D"/>
    <w:rsid w:val="50033E4B"/>
    <w:rsid w:val="500A3750"/>
    <w:rsid w:val="5012408F"/>
    <w:rsid w:val="50133CA3"/>
    <w:rsid w:val="50137E07"/>
    <w:rsid w:val="5017639B"/>
    <w:rsid w:val="5019541D"/>
    <w:rsid w:val="501C7D9B"/>
    <w:rsid w:val="50211CFB"/>
    <w:rsid w:val="502733DA"/>
    <w:rsid w:val="50275849"/>
    <w:rsid w:val="50343E72"/>
    <w:rsid w:val="50395ABF"/>
    <w:rsid w:val="504306EC"/>
    <w:rsid w:val="50442DA8"/>
    <w:rsid w:val="50491E16"/>
    <w:rsid w:val="504F0E3F"/>
    <w:rsid w:val="504F7864"/>
    <w:rsid w:val="50504C4B"/>
    <w:rsid w:val="5051105B"/>
    <w:rsid w:val="50521ABD"/>
    <w:rsid w:val="50584677"/>
    <w:rsid w:val="505C5A1E"/>
    <w:rsid w:val="50677322"/>
    <w:rsid w:val="506A38CC"/>
    <w:rsid w:val="50715CFC"/>
    <w:rsid w:val="5076286F"/>
    <w:rsid w:val="50787EF9"/>
    <w:rsid w:val="50792340"/>
    <w:rsid w:val="50855379"/>
    <w:rsid w:val="50871711"/>
    <w:rsid w:val="508A58C1"/>
    <w:rsid w:val="50903205"/>
    <w:rsid w:val="50930BAE"/>
    <w:rsid w:val="5099655E"/>
    <w:rsid w:val="509B4084"/>
    <w:rsid w:val="509C6E7C"/>
    <w:rsid w:val="50B04608"/>
    <w:rsid w:val="50B43398"/>
    <w:rsid w:val="50C1529D"/>
    <w:rsid w:val="50C25AB5"/>
    <w:rsid w:val="50C335DB"/>
    <w:rsid w:val="50C541CF"/>
    <w:rsid w:val="50C64E79"/>
    <w:rsid w:val="50CA4969"/>
    <w:rsid w:val="50CD5904"/>
    <w:rsid w:val="50D378D2"/>
    <w:rsid w:val="50D50081"/>
    <w:rsid w:val="50D5051C"/>
    <w:rsid w:val="50D650BC"/>
    <w:rsid w:val="50D77086"/>
    <w:rsid w:val="50DE21C3"/>
    <w:rsid w:val="50E10904"/>
    <w:rsid w:val="50E21D53"/>
    <w:rsid w:val="50E852B1"/>
    <w:rsid w:val="50F814D6"/>
    <w:rsid w:val="51053BF3"/>
    <w:rsid w:val="51063B27"/>
    <w:rsid w:val="510A2FB8"/>
    <w:rsid w:val="510D2AA8"/>
    <w:rsid w:val="510D4856"/>
    <w:rsid w:val="511354FE"/>
    <w:rsid w:val="51163C99"/>
    <w:rsid w:val="511856D5"/>
    <w:rsid w:val="512C73D2"/>
    <w:rsid w:val="512E3738"/>
    <w:rsid w:val="512E4EF8"/>
    <w:rsid w:val="51310276"/>
    <w:rsid w:val="513149E8"/>
    <w:rsid w:val="51321F21"/>
    <w:rsid w:val="51337C64"/>
    <w:rsid w:val="513C1A1F"/>
    <w:rsid w:val="513D15DF"/>
    <w:rsid w:val="513D513B"/>
    <w:rsid w:val="513F7105"/>
    <w:rsid w:val="514752F0"/>
    <w:rsid w:val="514C1822"/>
    <w:rsid w:val="51513D64"/>
    <w:rsid w:val="51581F75"/>
    <w:rsid w:val="51590CC2"/>
    <w:rsid w:val="5162104E"/>
    <w:rsid w:val="516E3547"/>
    <w:rsid w:val="516E6ED8"/>
    <w:rsid w:val="516E79EA"/>
    <w:rsid w:val="517441D0"/>
    <w:rsid w:val="518420AA"/>
    <w:rsid w:val="5187446D"/>
    <w:rsid w:val="51961864"/>
    <w:rsid w:val="51976F41"/>
    <w:rsid w:val="51991216"/>
    <w:rsid w:val="519A433C"/>
    <w:rsid w:val="519B6306"/>
    <w:rsid w:val="51AC22C1"/>
    <w:rsid w:val="51B01DB1"/>
    <w:rsid w:val="51B573C7"/>
    <w:rsid w:val="51B6604B"/>
    <w:rsid w:val="51C47ACD"/>
    <w:rsid w:val="51CC64BF"/>
    <w:rsid w:val="51CE2181"/>
    <w:rsid w:val="51DA0BDC"/>
    <w:rsid w:val="51DF2696"/>
    <w:rsid w:val="51E23F34"/>
    <w:rsid w:val="51E41A5B"/>
    <w:rsid w:val="51E732F9"/>
    <w:rsid w:val="51E8779D"/>
    <w:rsid w:val="51F36142"/>
    <w:rsid w:val="520D40A7"/>
    <w:rsid w:val="520E761E"/>
    <w:rsid w:val="521275E5"/>
    <w:rsid w:val="52195BA8"/>
    <w:rsid w:val="521E54EC"/>
    <w:rsid w:val="521F6F37"/>
    <w:rsid w:val="522037C5"/>
    <w:rsid w:val="52224F53"/>
    <w:rsid w:val="522307D5"/>
    <w:rsid w:val="52287481"/>
    <w:rsid w:val="522A0746"/>
    <w:rsid w:val="522B7EBA"/>
    <w:rsid w:val="522C6DA2"/>
    <w:rsid w:val="523227C6"/>
    <w:rsid w:val="5233653E"/>
    <w:rsid w:val="52380713"/>
    <w:rsid w:val="523A55D3"/>
    <w:rsid w:val="523F39FE"/>
    <w:rsid w:val="524474E5"/>
    <w:rsid w:val="52484447"/>
    <w:rsid w:val="52493D5C"/>
    <w:rsid w:val="52524271"/>
    <w:rsid w:val="525564B4"/>
    <w:rsid w:val="525766D1"/>
    <w:rsid w:val="526B5CD8"/>
    <w:rsid w:val="52727066"/>
    <w:rsid w:val="52754DA9"/>
    <w:rsid w:val="527A5743"/>
    <w:rsid w:val="527E1EAF"/>
    <w:rsid w:val="52834B78"/>
    <w:rsid w:val="52860D64"/>
    <w:rsid w:val="528F4686"/>
    <w:rsid w:val="529620AE"/>
    <w:rsid w:val="52990A97"/>
    <w:rsid w:val="529F5982"/>
    <w:rsid w:val="52A03BD4"/>
    <w:rsid w:val="52A42F98"/>
    <w:rsid w:val="52A77A34"/>
    <w:rsid w:val="52A87720"/>
    <w:rsid w:val="52AA41E6"/>
    <w:rsid w:val="52AD4542"/>
    <w:rsid w:val="52AF3E17"/>
    <w:rsid w:val="52B027A0"/>
    <w:rsid w:val="52B07B8F"/>
    <w:rsid w:val="52BE7978"/>
    <w:rsid w:val="52C118CB"/>
    <w:rsid w:val="52C33D66"/>
    <w:rsid w:val="52C5363A"/>
    <w:rsid w:val="52CA25D7"/>
    <w:rsid w:val="52D03D8D"/>
    <w:rsid w:val="52D27B05"/>
    <w:rsid w:val="52D8548B"/>
    <w:rsid w:val="52DB10B0"/>
    <w:rsid w:val="52E066C6"/>
    <w:rsid w:val="52E2243E"/>
    <w:rsid w:val="52E86C96"/>
    <w:rsid w:val="52EB0BC7"/>
    <w:rsid w:val="52EC18A2"/>
    <w:rsid w:val="52EF6909"/>
    <w:rsid w:val="52F7761E"/>
    <w:rsid w:val="52F87979"/>
    <w:rsid w:val="52FE6B4C"/>
    <w:rsid w:val="53010FA5"/>
    <w:rsid w:val="5302663C"/>
    <w:rsid w:val="53051C89"/>
    <w:rsid w:val="5305244D"/>
    <w:rsid w:val="53057EDB"/>
    <w:rsid w:val="530712A7"/>
    <w:rsid w:val="530A3743"/>
    <w:rsid w:val="53114AD1"/>
    <w:rsid w:val="531204C0"/>
    <w:rsid w:val="531225F7"/>
    <w:rsid w:val="53174242"/>
    <w:rsid w:val="531B14AC"/>
    <w:rsid w:val="531D5787"/>
    <w:rsid w:val="53226F6B"/>
    <w:rsid w:val="532742F5"/>
    <w:rsid w:val="532A66F6"/>
    <w:rsid w:val="533C1542"/>
    <w:rsid w:val="533C62EE"/>
    <w:rsid w:val="534043BC"/>
    <w:rsid w:val="5347641B"/>
    <w:rsid w:val="53524E4C"/>
    <w:rsid w:val="53592524"/>
    <w:rsid w:val="53667057"/>
    <w:rsid w:val="536757CC"/>
    <w:rsid w:val="5367649F"/>
    <w:rsid w:val="536A41E2"/>
    <w:rsid w:val="536B2C7B"/>
    <w:rsid w:val="536C1D08"/>
    <w:rsid w:val="536C23EF"/>
    <w:rsid w:val="536F35A6"/>
    <w:rsid w:val="537047AF"/>
    <w:rsid w:val="53740BBC"/>
    <w:rsid w:val="537868FE"/>
    <w:rsid w:val="537A08C9"/>
    <w:rsid w:val="53877FA0"/>
    <w:rsid w:val="538A1638"/>
    <w:rsid w:val="538B66AA"/>
    <w:rsid w:val="53A039CC"/>
    <w:rsid w:val="53A1505A"/>
    <w:rsid w:val="53A72D40"/>
    <w:rsid w:val="53AC47FA"/>
    <w:rsid w:val="53AD47DF"/>
    <w:rsid w:val="53BC2CAC"/>
    <w:rsid w:val="53C12719"/>
    <w:rsid w:val="53CD1472"/>
    <w:rsid w:val="53CE468B"/>
    <w:rsid w:val="53DE791F"/>
    <w:rsid w:val="53E108E3"/>
    <w:rsid w:val="53E53180"/>
    <w:rsid w:val="53EF6DA5"/>
    <w:rsid w:val="53F54C32"/>
    <w:rsid w:val="53FD2283"/>
    <w:rsid w:val="53FF34F5"/>
    <w:rsid w:val="540006A2"/>
    <w:rsid w:val="54055CEE"/>
    <w:rsid w:val="54063E08"/>
    <w:rsid w:val="540957A8"/>
    <w:rsid w:val="540C3689"/>
    <w:rsid w:val="540C500F"/>
    <w:rsid w:val="540E1011"/>
    <w:rsid w:val="540E52E5"/>
    <w:rsid w:val="54172B75"/>
    <w:rsid w:val="541A1764"/>
    <w:rsid w:val="541C60C8"/>
    <w:rsid w:val="541C78C1"/>
    <w:rsid w:val="5422686A"/>
    <w:rsid w:val="5426635A"/>
    <w:rsid w:val="543437E8"/>
    <w:rsid w:val="54370568"/>
    <w:rsid w:val="543E469C"/>
    <w:rsid w:val="543F741C"/>
    <w:rsid w:val="544249E0"/>
    <w:rsid w:val="54446715"/>
    <w:rsid w:val="54482775"/>
    <w:rsid w:val="5448610D"/>
    <w:rsid w:val="544D7D8B"/>
    <w:rsid w:val="545509EE"/>
    <w:rsid w:val="545E3D46"/>
    <w:rsid w:val="545F361A"/>
    <w:rsid w:val="54612375"/>
    <w:rsid w:val="546B1FBF"/>
    <w:rsid w:val="546D3F89"/>
    <w:rsid w:val="546D5D37"/>
    <w:rsid w:val="5472094E"/>
    <w:rsid w:val="547F3CBD"/>
    <w:rsid w:val="548062A4"/>
    <w:rsid w:val="5481288A"/>
    <w:rsid w:val="54857525"/>
    <w:rsid w:val="548B26CA"/>
    <w:rsid w:val="548C46A1"/>
    <w:rsid w:val="54905ECA"/>
    <w:rsid w:val="549A28A4"/>
    <w:rsid w:val="549E05E7"/>
    <w:rsid w:val="549E0BB6"/>
    <w:rsid w:val="54A05A99"/>
    <w:rsid w:val="54A133DF"/>
    <w:rsid w:val="54A92AE8"/>
    <w:rsid w:val="54AB6860"/>
    <w:rsid w:val="54BE2A37"/>
    <w:rsid w:val="54C309F6"/>
    <w:rsid w:val="54C618EB"/>
    <w:rsid w:val="54C65448"/>
    <w:rsid w:val="54D04518"/>
    <w:rsid w:val="54D05D83"/>
    <w:rsid w:val="54D20290"/>
    <w:rsid w:val="54D2203E"/>
    <w:rsid w:val="54D238FF"/>
    <w:rsid w:val="54D37812"/>
    <w:rsid w:val="54D67D81"/>
    <w:rsid w:val="54E104D3"/>
    <w:rsid w:val="54E92B82"/>
    <w:rsid w:val="54EA55DA"/>
    <w:rsid w:val="54EC75A4"/>
    <w:rsid w:val="54ED0C26"/>
    <w:rsid w:val="54ED1867"/>
    <w:rsid w:val="54F621D1"/>
    <w:rsid w:val="54F72DDC"/>
    <w:rsid w:val="54F73313"/>
    <w:rsid w:val="54F80955"/>
    <w:rsid w:val="54F97CC6"/>
    <w:rsid w:val="54FC14F4"/>
    <w:rsid w:val="54FC355F"/>
    <w:rsid w:val="54FE72D7"/>
    <w:rsid w:val="55010852"/>
    <w:rsid w:val="55060445"/>
    <w:rsid w:val="55060494"/>
    <w:rsid w:val="55061CE8"/>
    <w:rsid w:val="55087EA1"/>
    <w:rsid w:val="550B72FE"/>
    <w:rsid w:val="55195EBF"/>
    <w:rsid w:val="552532DE"/>
    <w:rsid w:val="552705DC"/>
    <w:rsid w:val="552B265F"/>
    <w:rsid w:val="552F7491"/>
    <w:rsid w:val="55314FB7"/>
    <w:rsid w:val="553C395C"/>
    <w:rsid w:val="5540344C"/>
    <w:rsid w:val="55480F58"/>
    <w:rsid w:val="554910A0"/>
    <w:rsid w:val="554A3878"/>
    <w:rsid w:val="554C0043"/>
    <w:rsid w:val="555170A7"/>
    <w:rsid w:val="55584B6A"/>
    <w:rsid w:val="555C085E"/>
    <w:rsid w:val="555D5DAC"/>
    <w:rsid w:val="555E38D2"/>
    <w:rsid w:val="556709D9"/>
    <w:rsid w:val="556D1D67"/>
    <w:rsid w:val="55713605"/>
    <w:rsid w:val="55717AA9"/>
    <w:rsid w:val="55742BA6"/>
    <w:rsid w:val="557C1FAA"/>
    <w:rsid w:val="557D644E"/>
    <w:rsid w:val="5583158B"/>
    <w:rsid w:val="5587536D"/>
    <w:rsid w:val="55886BA1"/>
    <w:rsid w:val="558A46C7"/>
    <w:rsid w:val="558E2409"/>
    <w:rsid w:val="559B174B"/>
    <w:rsid w:val="559B68D4"/>
    <w:rsid w:val="55A00BE7"/>
    <w:rsid w:val="55A04AF4"/>
    <w:rsid w:val="55A41C2D"/>
    <w:rsid w:val="55A439DB"/>
    <w:rsid w:val="55B33C1E"/>
    <w:rsid w:val="55BA1450"/>
    <w:rsid w:val="55BB2AD2"/>
    <w:rsid w:val="55C73951"/>
    <w:rsid w:val="55CA0F67"/>
    <w:rsid w:val="55CA0F6B"/>
    <w:rsid w:val="55CE0CF4"/>
    <w:rsid w:val="55CE1D99"/>
    <w:rsid w:val="55D50038"/>
    <w:rsid w:val="55E66EAF"/>
    <w:rsid w:val="55EC341A"/>
    <w:rsid w:val="55F36710"/>
    <w:rsid w:val="55F67FAE"/>
    <w:rsid w:val="561072C2"/>
    <w:rsid w:val="56114DE8"/>
    <w:rsid w:val="561C5A46"/>
    <w:rsid w:val="561D553B"/>
    <w:rsid w:val="562118B8"/>
    <w:rsid w:val="56293EE0"/>
    <w:rsid w:val="562E14F6"/>
    <w:rsid w:val="56334D5F"/>
    <w:rsid w:val="563C00B7"/>
    <w:rsid w:val="563E46A3"/>
    <w:rsid w:val="56440D1A"/>
    <w:rsid w:val="564C2DAB"/>
    <w:rsid w:val="564E7DEA"/>
    <w:rsid w:val="565F3DA6"/>
    <w:rsid w:val="56666EE2"/>
    <w:rsid w:val="566B19EC"/>
    <w:rsid w:val="566C7E86"/>
    <w:rsid w:val="567426CC"/>
    <w:rsid w:val="567B3F65"/>
    <w:rsid w:val="56811F6E"/>
    <w:rsid w:val="56815ACA"/>
    <w:rsid w:val="56847368"/>
    <w:rsid w:val="56894AC6"/>
    <w:rsid w:val="568A07D6"/>
    <w:rsid w:val="56911ADB"/>
    <w:rsid w:val="569D09CA"/>
    <w:rsid w:val="56A143BE"/>
    <w:rsid w:val="56A92FFB"/>
    <w:rsid w:val="56AB2B47"/>
    <w:rsid w:val="56B22A9C"/>
    <w:rsid w:val="56B935C4"/>
    <w:rsid w:val="56C105BC"/>
    <w:rsid w:val="56C16BEB"/>
    <w:rsid w:val="56C24012"/>
    <w:rsid w:val="56C87388"/>
    <w:rsid w:val="56C87B9D"/>
    <w:rsid w:val="56D93EEB"/>
    <w:rsid w:val="56D96861"/>
    <w:rsid w:val="56DE2F3F"/>
    <w:rsid w:val="56E61DD1"/>
    <w:rsid w:val="56E66275"/>
    <w:rsid w:val="56F97D56"/>
    <w:rsid w:val="57034731"/>
    <w:rsid w:val="57087F99"/>
    <w:rsid w:val="570A77E8"/>
    <w:rsid w:val="57152A47"/>
    <w:rsid w:val="57193F55"/>
    <w:rsid w:val="571C57F3"/>
    <w:rsid w:val="571E156B"/>
    <w:rsid w:val="57216E31"/>
    <w:rsid w:val="57234DD3"/>
    <w:rsid w:val="5726041F"/>
    <w:rsid w:val="57270276"/>
    <w:rsid w:val="57281F5C"/>
    <w:rsid w:val="572A43B4"/>
    <w:rsid w:val="572D6D52"/>
    <w:rsid w:val="572F3CE6"/>
    <w:rsid w:val="573214BA"/>
    <w:rsid w:val="5733001D"/>
    <w:rsid w:val="573963A5"/>
    <w:rsid w:val="573D3607"/>
    <w:rsid w:val="57405985"/>
    <w:rsid w:val="57444C2E"/>
    <w:rsid w:val="57460AC2"/>
    <w:rsid w:val="57477404"/>
    <w:rsid w:val="575431DF"/>
    <w:rsid w:val="575D21D1"/>
    <w:rsid w:val="575E2A44"/>
    <w:rsid w:val="5765441B"/>
    <w:rsid w:val="57662807"/>
    <w:rsid w:val="57664CC0"/>
    <w:rsid w:val="57666C41"/>
    <w:rsid w:val="57674E55"/>
    <w:rsid w:val="576A0C54"/>
    <w:rsid w:val="576A2D00"/>
    <w:rsid w:val="576A47B0"/>
    <w:rsid w:val="576D604E"/>
    <w:rsid w:val="57721191"/>
    <w:rsid w:val="577E200A"/>
    <w:rsid w:val="57885E70"/>
    <w:rsid w:val="5789732C"/>
    <w:rsid w:val="578A6FDC"/>
    <w:rsid w:val="578C0BCA"/>
    <w:rsid w:val="578C4726"/>
    <w:rsid w:val="578F06BB"/>
    <w:rsid w:val="579036DE"/>
    <w:rsid w:val="57915B55"/>
    <w:rsid w:val="579251E4"/>
    <w:rsid w:val="579405E2"/>
    <w:rsid w:val="57952675"/>
    <w:rsid w:val="579655A5"/>
    <w:rsid w:val="579E26AC"/>
    <w:rsid w:val="57A9177C"/>
    <w:rsid w:val="57AB276B"/>
    <w:rsid w:val="57AB49EF"/>
    <w:rsid w:val="57B420FD"/>
    <w:rsid w:val="57B63E99"/>
    <w:rsid w:val="57B72A76"/>
    <w:rsid w:val="57BA562E"/>
    <w:rsid w:val="57BC36B3"/>
    <w:rsid w:val="57BD0D84"/>
    <w:rsid w:val="57C033F7"/>
    <w:rsid w:val="57C3426C"/>
    <w:rsid w:val="57CE1F93"/>
    <w:rsid w:val="57DE0CFA"/>
    <w:rsid w:val="57E47A9A"/>
    <w:rsid w:val="57E61CE1"/>
    <w:rsid w:val="57E74053"/>
    <w:rsid w:val="57E9247C"/>
    <w:rsid w:val="57E95E6D"/>
    <w:rsid w:val="57E9601D"/>
    <w:rsid w:val="57EF2F07"/>
    <w:rsid w:val="57F10A2D"/>
    <w:rsid w:val="57F86260"/>
    <w:rsid w:val="57F93041"/>
    <w:rsid w:val="57FA1ED8"/>
    <w:rsid w:val="58084019"/>
    <w:rsid w:val="58090EEF"/>
    <w:rsid w:val="580E15DF"/>
    <w:rsid w:val="58146B79"/>
    <w:rsid w:val="58150BC0"/>
    <w:rsid w:val="581954C0"/>
    <w:rsid w:val="58242BB1"/>
    <w:rsid w:val="582C415B"/>
    <w:rsid w:val="582F1EC3"/>
    <w:rsid w:val="58304C51"/>
    <w:rsid w:val="583F0740"/>
    <w:rsid w:val="583F5C3D"/>
    <w:rsid w:val="58405511"/>
    <w:rsid w:val="5842572D"/>
    <w:rsid w:val="5852504D"/>
    <w:rsid w:val="58536FD9"/>
    <w:rsid w:val="58547A54"/>
    <w:rsid w:val="585E7D84"/>
    <w:rsid w:val="58602DEB"/>
    <w:rsid w:val="58625D61"/>
    <w:rsid w:val="586631C9"/>
    <w:rsid w:val="586A3A44"/>
    <w:rsid w:val="586B07E0"/>
    <w:rsid w:val="586E207E"/>
    <w:rsid w:val="587578B0"/>
    <w:rsid w:val="587C29ED"/>
    <w:rsid w:val="587F6039"/>
    <w:rsid w:val="588412A1"/>
    <w:rsid w:val="5886360C"/>
    <w:rsid w:val="588743D1"/>
    <w:rsid w:val="5887701A"/>
    <w:rsid w:val="588806CE"/>
    <w:rsid w:val="58896EB8"/>
    <w:rsid w:val="58920462"/>
    <w:rsid w:val="589760B9"/>
    <w:rsid w:val="589D1F31"/>
    <w:rsid w:val="589D2963"/>
    <w:rsid w:val="58A27F7A"/>
    <w:rsid w:val="58A67A6A"/>
    <w:rsid w:val="58AB32D2"/>
    <w:rsid w:val="58AB5080"/>
    <w:rsid w:val="58C12AF6"/>
    <w:rsid w:val="58CF5213"/>
    <w:rsid w:val="58D17AEF"/>
    <w:rsid w:val="58D740C7"/>
    <w:rsid w:val="58DF2304"/>
    <w:rsid w:val="58F24A5D"/>
    <w:rsid w:val="58F46E03"/>
    <w:rsid w:val="58F5279F"/>
    <w:rsid w:val="58F61CCC"/>
    <w:rsid w:val="58FA6008"/>
    <w:rsid w:val="58FF717A"/>
    <w:rsid w:val="59052A62"/>
    <w:rsid w:val="590D1897"/>
    <w:rsid w:val="59113C10"/>
    <w:rsid w:val="591250FF"/>
    <w:rsid w:val="59126EAD"/>
    <w:rsid w:val="591E1CF6"/>
    <w:rsid w:val="591E5852"/>
    <w:rsid w:val="59266DFD"/>
    <w:rsid w:val="592D3CE7"/>
    <w:rsid w:val="59301A29"/>
    <w:rsid w:val="5935645A"/>
    <w:rsid w:val="59412B2A"/>
    <w:rsid w:val="5946158C"/>
    <w:rsid w:val="595079D6"/>
    <w:rsid w:val="59597927"/>
    <w:rsid w:val="595B5AF2"/>
    <w:rsid w:val="595D6DC9"/>
    <w:rsid w:val="59615F2E"/>
    <w:rsid w:val="5963595B"/>
    <w:rsid w:val="5967300B"/>
    <w:rsid w:val="59682F71"/>
    <w:rsid w:val="596B4729"/>
    <w:rsid w:val="59710078"/>
    <w:rsid w:val="5972012C"/>
    <w:rsid w:val="598F04FE"/>
    <w:rsid w:val="598F49A2"/>
    <w:rsid w:val="598F6750"/>
    <w:rsid w:val="59946F61"/>
    <w:rsid w:val="59975605"/>
    <w:rsid w:val="5999137D"/>
    <w:rsid w:val="59A044B9"/>
    <w:rsid w:val="59A321FB"/>
    <w:rsid w:val="59A85A64"/>
    <w:rsid w:val="59AE560A"/>
    <w:rsid w:val="59B56E65"/>
    <w:rsid w:val="59BA57EA"/>
    <w:rsid w:val="59BB5797"/>
    <w:rsid w:val="59C0439F"/>
    <w:rsid w:val="59C75EEA"/>
    <w:rsid w:val="59C81C62"/>
    <w:rsid w:val="59CC1752"/>
    <w:rsid w:val="59D40607"/>
    <w:rsid w:val="59DD395F"/>
    <w:rsid w:val="59DF0C90"/>
    <w:rsid w:val="59E545C2"/>
    <w:rsid w:val="59EA7E2A"/>
    <w:rsid w:val="59EC5696"/>
    <w:rsid w:val="59EF71EF"/>
    <w:rsid w:val="59F12F67"/>
    <w:rsid w:val="59F45DB1"/>
    <w:rsid w:val="59F9534A"/>
    <w:rsid w:val="5A0354BA"/>
    <w:rsid w:val="5A0507C0"/>
    <w:rsid w:val="5A054C64"/>
    <w:rsid w:val="5A144EA7"/>
    <w:rsid w:val="5A147A38"/>
    <w:rsid w:val="5A1530F9"/>
    <w:rsid w:val="5A1C6544"/>
    <w:rsid w:val="5A1F7AD4"/>
    <w:rsid w:val="5A21067D"/>
    <w:rsid w:val="5A2A6479"/>
    <w:rsid w:val="5A3442E8"/>
    <w:rsid w:val="5A371465"/>
    <w:rsid w:val="5A374C99"/>
    <w:rsid w:val="5A3B41BB"/>
    <w:rsid w:val="5A3D0EC9"/>
    <w:rsid w:val="5A47527D"/>
    <w:rsid w:val="5A490FF5"/>
    <w:rsid w:val="5A4D5620"/>
    <w:rsid w:val="5A53777D"/>
    <w:rsid w:val="5A6C083F"/>
    <w:rsid w:val="5A6D6E55"/>
    <w:rsid w:val="5A736D06"/>
    <w:rsid w:val="5A762E3E"/>
    <w:rsid w:val="5A7E1D74"/>
    <w:rsid w:val="5A843DDB"/>
    <w:rsid w:val="5A867B53"/>
    <w:rsid w:val="5A871B1D"/>
    <w:rsid w:val="5A8913F1"/>
    <w:rsid w:val="5A8E5D57"/>
    <w:rsid w:val="5A947624"/>
    <w:rsid w:val="5A975B2D"/>
    <w:rsid w:val="5A9A1850"/>
    <w:rsid w:val="5AA143CA"/>
    <w:rsid w:val="5AA36952"/>
    <w:rsid w:val="5AA62C92"/>
    <w:rsid w:val="5AAB580B"/>
    <w:rsid w:val="5AAC50E0"/>
    <w:rsid w:val="5AAD1584"/>
    <w:rsid w:val="5AB13C9A"/>
    <w:rsid w:val="5AB3646E"/>
    <w:rsid w:val="5AB67D0C"/>
    <w:rsid w:val="5AB741B0"/>
    <w:rsid w:val="5AB87F28"/>
    <w:rsid w:val="5ABE2233"/>
    <w:rsid w:val="5AC13523"/>
    <w:rsid w:val="5AC226A1"/>
    <w:rsid w:val="5AC40FFA"/>
    <w:rsid w:val="5AC86513"/>
    <w:rsid w:val="5AD563E4"/>
    <w:rsid w:val="5ADA0244"/>
    <w:rsid w:val="5ADB1E06"/>
    <w:rsid w:val="5ADC5E19"/>
    <w:rsid w:val="5ADC7773"/>
    <w:rsid w:val="5ADF1011"/>
    <w:rsid w:val="5ADF3707"/>
    <w:rsid w:val="5AE07DE0"/>
    <w:rsid w:val="5AE34FA5"/>
    <w:rsid w:val="5AEB3E5A"/>
    <w:rsid w:val="5AED1980"/>
    <w:rsid w:val="5AF516E1"/>
    <w:rsid w:val="5AFD79A2"/>
    <w:rsid w:val="5B0303B2"/>
    <w:rsid w:val="5B070568"/>
    <w:rsid w:val="5B0B0058"/>
    <w:rsid w:val="5B1770D7"/>
    <w:rsid w:val="5B24736C"/>
    <w:rsid w:val="5B2C46EC"/>
    <w:rsid w:val="5B330DB9"/>
    <w:rsid w:val="5B39530C"/>
    <w:rsid w:val="5B441028"/>
    <w:rsid w:val="5B487F38"/>
    <w:rsid w:val="5B5648CD"/>
    <w:rsid w:val="5B593D82"/>
    <w:rsid w:val="5B5B0FE0"/>
    <w:rsid w:val="5B5B1A99"/>
    <w:rsid w:val="5B631C42"/>
    <w:rsid w:val="5B646A46"/>
    <w:rsid w:val="5B720B73"/>
    <w:rsid w:val="5B726329"/>
    <w:rsid w:val="5B7839DE"/>
    <w:rsid w:val="5B793214"/>
    <w:rsid w:val="5B834092"/>
    <w:rsid w:val="5B8442E7"/>
    <w:rsid w:val="5B8D6CBF"/>
    <w:rsid w:val="5B90055D"/>
    <w:rsid w:val="5B922527"/>
    <w:rsid w:val="5B951068"/>
    <w:rsid w:val="5B9F0927"/>
    <w:rsid w:val="5BA26C0E"/>
    <w:rsid w:val="5BA72CE5"/>
    <w:rsid w:val="5BAB6A1D"/>
    <w:rsid w:val="5BAC35E9"/>
    <w:rsid w:val="5BAD55B3"/>
    <w:rsid w:val="5BAE39D4"/>
    <w:rsid w:val="5BB16E51"/>
    <w:rsid w:val="5BB6611F"/>
    <w:rsid w:val="5BC052E6"/>
    <w:rsid w:val="5BC112B9"/>
    <w:rsid w:val="5BC16969"/>
    <w:rsid w:val="5BC25B03"/>
    <w:rsid w:val="5BCA3A6F"/>
    <w:rsid w:val="5BCA7F13"/>
    <w:rsid w:val="5BD60FBC"/>
    <w:rsid w:val="5BDC19F5"/>
    <w:rsid w:val="5BDE625E"/>
    <w:rsid w:val="5BDF5D95"/>
    <w:rsid w:val="5BEC1C38"/>
    <w:rsid w:val="5BEF1DBF"/>
    <w:rsid w:val="5BF07EDE"/>
    <w:rsid w:val="5BF3746A"/>
    <w:rsid w:val="5BF73DEC"/>
    <w:rsid w:val="5BFC5BF3"/>
    <w:rsid w:val="5BFC633D"/>
    <w:rsid w:val="5BFE7528"/>
    <w:rsid w:val="5C1024BF"/>
    <w:rsid w:val="5C190553"/>
    <w:rsid w:val="5C1E6167"/>
    <w:rsid w:val="5C237623"/>
    <w:rsid w:val="5C263B2D"/>
    <w:rsid w:val="5C2665C3"/>
    <w:rsid w:val="5C311D40"/>
    <w:rsid w:val="5C3B496D"/>
    <w:rsid w:val="5C3C025E"/>
    <w:rsid w:val="5C3D6937"/>
    <w:rsid w:val="5C4178D2"/>
    <w:rsid w:val="5C45759A"/>
    <w:rsid w:val="5C471564"/>
    <w:rsid w:val="5C4952DC"/>
    <w:rsid w:val="5C4E7358"/>
    <w:rsid w:val="5C4F3F3D"/>
    <w:rsid w:val="5C5679F9"/>
    <w:rsid w:val="5C5A2B95"/>
    <w:rsid w:val="5C5D48E3"/>
    <w:rsid w:val="5C5E440D"/>
    <w:rsid w:val="5C645C72"/>
    <w:rsid w:val="5C64723B"/>
    <w:rsid w:val="5C6711A6"/>
    <w:rsid w:val="5C6739B4"/>
    <w:rsid w:val="5C675762"/>
    <w:rsid w:val="5C78171D"/>
    <w:rsid w:val="5C7A36E7"/>
    <w:rsid w:val="5C7F2AAC"/>
    <w:rsid w:val="5C84211D"/>
    <w:rsid w:val="5C844510"/>
    <w:rsid w:val="5C885D49"/>
    <w:rsid w:val="5C8C341B"/>
    <w:rsid w:val="5C902F0B"/>
    <w:rsid w:val="5C954AC5"/>
    <w:rsid w:val="5C9D7CF4"/>
    <w:rsid w:val="5CAB6A20"/>
    <w:rsid w:val="5CB07976"/>
    <w:rsid w:val="5CB14C2F"/>
    <w:rsid w:val="5CB63FF4"/>
    <w:rsid w:val="5CBB0FE6"/>
    <w:rsid w:val="5CBE327B"/>
    <w:rsid w:val="5CBF10FA"/>
    <w:rsid w:val="5CCB3F43"/>
    <w:rsid w:val="5CD05E1D"/>
    <w:rsid w:val="5CD21C98"/>
    <w:rsid w:val="5CD269CC"/>
    <w:rsid w:val="5CD36B0B"/>
    <w:rsid w:val="5CDB3A5A"/>
    <w:rsid w:val="5CE45005"/>
    <w:rsid w:val="5CE62B2B"/>
    <w:rsid w:val="5CE768A3"/>
    <w:rsid w:val="5CEC5C67"/>
    <w:rsid w:val="5CEE5E83"/>
    <w:rsid w:val="5CF3349A"/>
    <w:rsid w:val="5CFA4828"/>
    <w:rsid w:val="5CFD21A5"/>
    <w:rsid w:val="5CFE392D"/>
    <w:rsid w:val="5D042FB1"/>
    <w:rsid w:val="5D0B07E3"/>
    <w:rsid w:val="5D0D455B"/>
    <w:rsid w:val="5D121B72"/>
    <w:rsid w:val="5D13683A"/>
    <w:rsid w:val="5D1551BE"/>
    <w:rsid w:val="5D1F5277"/>
    <w:rsid w:val="5D213E13"/>
    <w:rsid w:val="5D2418A5"/>
    <w:rsid w:val="5D242F88"/>
    <w:rsid w:val="5D243653"/>
    <w:rsid w:val="5D245401"/>
    <w:rsid w:val="5D265A33"/>
    <w:rsid w:val="5D423753"/>
    <w:rsid w:val="5D504448"/>
    <w:rsid w:val="5D557CB0"/>
    <w:rsid w:val="5D563B01"/>
    <w:rsid w:val="5D5850AB"/>
    <w:rsid w:val="5D691D08"/>
    <w:rsid w:val="5D6E5996"/>
    <w:rsid w:val="5D700646"/>
    <w:rsid w:val="5D715455"/>
    <w:rsid w:val="5D7243BE"/>
    <w:rsid w:val="5D7974FF"/>
    <w:rsid w:val="5D834881"/>
    <w:rsid w:val="5D893BCB"/>
    <w:rsid w:val="5D8A5BAC"/>
    <w:rsid w:val="5D8C2B4C"/>
    <w:rsid w:val="5D924A61"/>
    <w:rsid w:val="5D92680F"/>
    <w:rsid w:val="5D997CE6"/>
    <w:rsid w:val="5DA327CA"/>
    <w:rsid w:val="5DA87DE0"/>
    <w:rsid w:val="5DB37B76"/>
    <w:rsid w:val="5DB6074F"/>
    <w:rsid w:val="5DB60B30"/>
    <w:rsid w:val="5DB7095E"/>
    <w:rsid w:val="5DB93D9B"/>
    <w:rsid w:val="5DBF512A"/>
    <w:rsid w:val="5DC310BE"/>
    <w:rsid w:val="5DC34C1A"/>
    <w:rsid w:val="5DC41C43"/>
    <w:rsid w:val="5DC57CD1"/>
    <w:rsid w:val="5DC866D4"/>
    <w:rsid w:val="5DE760D8"/>
    <w:rsid w:val="5DED613B"/>
    <w:rsid w:val="5DF47E0F"/>
    <w:rsid w:val="5DF66D9E"/>
    <w:rsid w:val="5DF748C4"/>
    <w:rsid w:val="5DFA32E2"/>
    <w:rsid w:val="5DFB5F86"/>
    <w:rsid w:val="5E03770C"/>
    <w:rsid w:val="5E062D59"/>
    <w:rsid w:val="5E0771FD"/>
    <w:rsid w:val="5E080586"/>
    <w:rsid w:val="5E086AD1"/>
    <w:rsid w:val="5E0B4D95"/>
    <w:rsid w:val="5E0F60B1"/>
    <w:rsid w:val="5E2107F4"/>
    <w:rsid w:val="5E2467F1"/>
    <w:rsid w:val="5E252280"/>
    <w:rsid w:val="5E3873B6"/>
    <w:rsid w:val="5E3E24F3"/>
    <w:rsid w:val="5E457D25"/>
    <w:rsid w:val="5E4A0025"/>
    <w:rsid w:val="5E4D401A"/>
    <w:rsid w:val="5E5166CA"/>
    <w:rsid w:val="5E526DBA"/>
    <w:rsid w:val="5E56783C"/>
    <w:rsid w:val="5E5E7F75"/>
    <w:rsid w:val="5E677C9B"/>
    <w:rsid w:val="5E6A3A56"/>
    <w:rsid w:val="5E6D4B86"/>
    <w:rsid w:val="5E710B1A"/>
    <w:rsid w:val="5E7D2FED"/>
    <w:rsid w:val="5E7D301B"/>
    <w:rsid w:val="5E84188B"/>
    <w:rsid w:val="5E8D6542"/>
    <w:rsid w:val="5E8E347A"/>
    <w:rsid w:val="5E987E55"/>
    <w:rsid w:val="5E9A1E1F"/>
    <w:rsid w:val="5EA319F1"/>
    <w:rsid w:val="5EA74983"/>
    <w:rsid w:val="5EB6477F"/>
    <w:rsid w:val="5EB82366"/>
    <w:rsid w:val="5ECE7D1A"/>
    <w:rsid w:val="5ED05841"/>
    <w:rsid w:val="5ED631FE"/>
    <w:rsid w:val="5EE4257E"/>
    <w:rsid w:val="5EE60C28"/>
    <w:rsid w:val="5EE671F7"/>
    <w:rsid w:val="5EE74938"/>
    <w:rsid w:val="5EEB4428"/>
    <w:rsid w:val="5EF07C91"/>
    <w:rsid w:val="5EF3300D"/>
    <w:rsid w:val="5EF64B7B"/>
    <w:rsid w:val="5EF95EB4"/>
    <w:rsid w:val="5EFD23AE"/>
    <w:rsid w:val="5F013C4C"/>
    <w:rsid w:val="5F025C16"/>
    <w:rsid w:val="5F047298"/>
    <w:rsid w:val="5F053010"/>
    <w:rsid w:val="5F08322C"/>
    <w:rsid w:val="5F0B4ACB"/>
    <w:rsid w:val="5F0B6F9A"/>
    <w:rsid w:val="5F126D6B"/>
    <w:rsid w:val="5F156A37"/>
    <w:rsid w:val="5F182D44"/>
    <w:rsid w:val="5F1A2B43"/>
    <w:rsid w:val="5F1D2E7B"/>
    <w:rsid w:val="5F1D3BAD"/>
    <w:rsid w:val="5F1D65AC"/>
    <w:rsid w:val="5F276A30"/>
    <w:rsid w:val="5F2A00A0"/>
    <w:rsid w:val="5F334021"/>
    <w:rsid w:val="5F337B7D"/>
    <w:rsid w:val="5F357D99"/>
    <w:rsid w:val="5F36141C"/>
    <w:rsid w:val="5F381638"/>
    <w:rsid w:val="5F3B7088"/>
    <w:rsid w:val="5F3F3148"/>
    <w:rsid w:val="5F41229A"/>
    <w:rsid w:val="5F473629"/>
    <w:rsid w:val="5F48187B"/>
    <w:rsid w:val="5F4973A1"/>
    <w:rsid w:val="5F4C0C3F"/>
    <w:rsid w:val="5F4E1CA1"/>
    <w:rsid w:val="5F5359FD"/>
    <w:rsid w:val="5F580348"/>
    <w:rsid w:val="5F5E1B86"/>
    <w:rsid w:val="5F5E21EA"/>
    <w:rsid w:val="5F5E7096"/>
    <w:rsid w:val="5F645F89"/>
    <w:rsid w:val="5F742670"/>
    <w:rsid w:val="5F7470DF"/>
    <w:rsid w:val="5F85487D"/>
    <w:rsid w:val="5F8E3006"/>
    <w:rsid w:val="5F93061C"/>
    <w:rsid w:val="5F994093"/>
    <w:rsid w:val="5F9F5897"/>
    <w:rsid w:val="5FAF36A8"/>
    <w:rsid w:val="5FB213EA"/>
    <w:rsid w:val="5FB41298"/>
    <w:rsid w:val="5FB52C88"/>
    <w:rsid w:val="5FB7255D"/>
    <w:rsid w:val="5FB837BB"/>
    <w:rsid w:val="5FBA204D"/>
    <w:rsid w:val="5FBB029F"/>
    <w:rsid w:val="5FC133DB"/>
    <w:rsid w:val="5FC829BC"/>
    <w:rsid w:val="5FC921B9"/>
    <w:rsid w:val="5FD2230E"/>
    <w:rsid w:val="5FD35F04"/>
    <w:rsid w:val="5FD44EBD"/>
    <w:rsid w:val="5FD70E51"/>
    <w:rsid w:val="5FD90725"/>
    <w:rsid w:val="5FDD388C"/>
    <w:rsid w:val="5FDF5FA0"/>
    <w:rsid w:val="5FE4471A"/>
    <w:rsid w:val="5FE6666A"/>
    <w:rsid w:val="5FE75CE6"/>
    <w:rsid w:val="5FEA280D"/>
    <w:rsid w:val="5FEB2206"/>
    <w:rsid w:val="5FF21749"/>
    <w:rsid w:val="6001133A"/>
    <w:rsid w:val="600339F4"/>
    <w:rsid w:val="6005151A"/>
    <w:rsid w:val="6005237A"/>
    <w:rsid w:val="60067040"/>
    <w:rsid w:val="600B656A"/>
    <w:rsid w:val="600F266C"/>
    <w:rsid w:val="60107EBF"/>
    <w:rsid w:val="60114363"/>
    <w:rsid w:val="60121E89"/>
    <w:rsid w:val="60184992"/>
    <w:rsid w:val="601856F1"/>
    <w:rsid w:val="601C57A4"/>
    <w:rsid w:val="60220345"/>
    <w:rsid w:val="60261376"/>
    <w:rsid w:val="602B6AA7"/>
    <w:rsid w:val="602C20EB"/>
    <w:rsid w:val="602C2F4B"/>
    <w:rsid w:val="603051EA"/>
    <w:rsid w:val="60310561"/>
    <w:rsid w:val="60365B77"/>
    <w:rsid w:val="60367925"/>
    <w:rsid w:val="603A3F6B"/>
    <w:rsid w:val="603E4A2C"/>
    <w:rsid w:val="604005D6"/>
    <w:rsid w:val="60432042"/>
    <w:rsid w:val="605229AF"/>
    <w:rsid w:val="60602BF4"/>
    <w:rsid w:val="60610F2B"/>
    <w:rsid w:val="60634492"/>
    <w:rsid w:val="606721D5"/>
    <w:rsid w:val="60695CC3"/>
    <w:rsid w:val="606C266E"/>
    <w:rsid w:val="606D70BF"/>
    <w:rsid w:val="607246D5"/>
    <w:rsid w:val="60781667"/>
    <w:rsid w:val="60781824"/>
    <w:rsid w:val="60793CB6"/>
    <w:rsid w:val="607E12CC"/>
    <w:rsid w:val="60806DF2"/>
    <w:rsid w:val="608143A4"/>
    <w:rsid w:val="608368E3"/>
    <w:rsid w:val="60870181"/>
    <w:rsid w:val="60963595"/>
    <w:rsid w:val="609B1E7E"/>
    <w:rsid w:val="609D79A4"/>
    <w:rsid w:val="60AA3E6F"/>
    <w:rsid w:val="60AE7E03"/>
    <w:rsid w:val="60B06019"/>
    <w:rsid w:val="60B71822"/>
    <w:rsid w:val="60BD3BA3"/>
    <w:rsid w:val="60C170FF"/>
    <w:rsid w:val="60C56EFB"/>
    <w:rsid w:val="60C83197"/>
    <w:rsid w:val="60C969EB"/>
    <w:rsid w:val="60CC405A"/>
    <w:rsid w:val="60CF38D6"/>
    <w:rsid w:val="60D158A0"/>
    <w:rsid w:val="60D1764E"/>
    <w:rsid w:val="60D62EB6"/>
    <w:rsid w:val="60DB7E36"/>
    <w:rsid w:val="60E25095"/>
    <w:rsid w:val="60E27AAD"/>
    <w:rsid w:val="60E455D3"/>
    <w:rsid w:val="60E53520"/>
    <w:rsid w:val="60E5436F"/>
    <w:rsid w:val="60EC4488"/>
    <w:rsid w:val="60F31CBA"/>
    <w:rsid w:val="60F344DB"/>
    <w:rsid w:val="60F4333C"/>
    <w:rsid w:val="60F44BB2"/>
    <w:rsid w:val="60FD5EC0"/>
    <w:rsid w:val="61021EFD"/>
    <w:rsid w:val="61127C0B"/>
    <w:rsid w:val="61151C31"/>
    <w:rsid w:val="61167757"/>
    <w:rsid w:val="6122434D"/>
    <w:rsid w:val="612754C0"/>
    <w:rsid w:val="613100ED"/>
    <w:rsid w:val="61390342"/>
    <w:rsid w:val="613F5773"/>
    <w:rsid w:val="61404A90"/>
    <w:rsid w:val="6142054C"/>
    <w:rsid w:val="614479B7"/>
    <w:rsid w:val="614D65F1"/>
    <w:rsid w:val="616357D0"/>
    <w:rsid w:val="61644AE5"/>
    <w:rsid w:val="61654112"/>
    <w:rsid w:val="61675B66"/>
    <w:rsid w:val="61684674"/>
    <w:rsid w:val="616C5E36"/>
    <w:rsid w:val="6170330B"/>
    <w:rsid w:val="6172131F"/>
    <w:rsid w:val="61783F6D"/>
    <w:rsid w:val="61812E22"/>
    <w:rsid w:val="6182776A"/>
    <w:rsid w:val="618741B1"/>
    <w:rsid w:val="618B245A"/>
    <w:rsid w:val="618C4A8A"/>
    <w:rsid w:val="618E3DC1"/>
    <w:rsid w:val="61926FCF"/>
    <w:rsid w:val="61932B55"/>
    <w:rsid w:val="61970898"/>
    <w:rsid w:val="619D39D4"/>
    <w:rsid w:val="619E7FBB"/>
    <w:rsid w:val="619F774C"/>
    <w:rsid w:val="61A23989"/>
    <w:rsid w:val="61A80257"/>
    <w:rsid w:val="61A830E4"/>
    <w:rsid w:val="61B529F2"/>
    <w:rsid w:val="61B52ACC"/>
    <w:rsid w:val="61B65003"/>
    <w:rsid w:val="61BC3CA7"/>
    <w:rsid w:val="61BD297C"/>
    <w:rsid w:val="61C94029"/>
    <w:rsid w:val="61CB5A43"/>
    <w:rsid w:val="61D6567B"/>
    <w:rsid w:val="61DB6D9C"/>
    <w:rsid w:val="61DD2A6C"/>
    <w:rsid w:val="61E06FA6"/>
    <w:rsid w:val="61E215D8"/>
    <w:rsid w:val="61E41603"/>
    <w:rsid w:val="61EA4375"/>
    <w:rsid w:val="61F01D56"/>
    <w:rsid w:val="61F167F3"/>
    <w:rsid w:val="62013F63"/>
    <w:rsid w:val="62020858"/>
    <w:rsid w:val="62083543"/>
    <w:rsid w:val="620843BC"/>
    <w:rsid w:val="620D0B5A"/>
    <w:rsid w:val="620F4D23"/>
    <w:rsid w:val="621A6DD3"/>
    <w:rsid w:val="621B3775"/>
    <w:rsid w:val="62214605"/>
    <w:rsid w:val="622A170C"/>
    <w:rsid w:val="622E68B7"/>
    <w:rsid w:val="62364782"/>
    <w:rsid w:val="6236783E"/>
    <w:rsid w:val="62373E29"/>
    <w:rsid w:val="62397BA1"/>
    <w:rsid w:val="62405E95"/>
    <w:rsid w:val="62416B17"/>
    <w:rsid w:val="62461C8A"/>
    <w:rsid w:val="624A590A"/>
    <w:rsid w:val="62555001"/>
    <w:rsid w:val="62586279"/>
    <w:rsid w:val="62593606"/>
    <w:rsid w:val="625A74DD"/>
    <w:rsid w:val="625D388F"/>
    <w:rsid w:val="6263077A"/>
    <w:rsid w:val="62683FE2"/>
    <w:rsid w:val="627110E9"/>
    <w:rsid w:val="62726C0F"/>
    <w:rsid w:val="62740BD9"/>
    <w:rsid w:val="627604AD"/>
    <w:rsid w:val="62775FD3"/>
    <w:rsid w:val="627911C5"/>
    <w:rsid w:val="627D5CDF"/>
    <w:rsid w:val="62816E52"/>
    <w:rsid w:val="628A3F58"/>
    <w:rsid w:val="6291178B"/>
    <w:rsid w:val="629278F2"/>
    <w:rsid w:val="629628FD"/>
    <w:rsid w:val="629C752D"/>
    <w:rsid w:val="62A019CE"/>
    <w:rsid w:val="62A82630"/>
    <w:rsid w:val="62AF7E63"/>
    <w:rsid w:val="62B45479"/>
    <w:rsid w:val="62B6566B"/>
    <w:rsid w:val="62B94A5C"/>
    <w:rsid w:val="62BD4E12"/>
    <w:rsid w:val="62C236F2"/>
    <w:rsid w:val="62C54369"/>
    <w:rsid w:val="62CF2A1E"/>
    <w:rsid w:val="62CF5E0F"/>
    <w:rsid w:val="62DB47B4"/>
    <w:rsid w:val="62DE3973"/>
    <w:rsid w:val="62E47B0C"/>
    <w:rsid w:val="62E80F92"/>
    <w:rsid w:val="62F15D85"/>
    <w:rsid w:val="62FA10DE"/>
    <w:rsid w:val="62FB497A"/>
    <w:rsid w:val="62FD0BCE"/>
    <w:rsid w:val="6303702A"/>
    <w:rsid w:val="630E2DDB"/>
    <w:rsid w:val="630F26B0"/>
    <w:rsid w:val="631B72A6"/>
    <w:rsid w:val="631C0571"/>
    <w:rsid w:val="632A1297"/>
    <w:rsid w:val="6336510F"/>
    <w:rsid w:val="63391F7B"/>
    <w:rsid w:val="63392708"/>
    <w:rsid w:val="633B16F7"/>
    <w:rsid w:val="633B5446"/>
    <w:rsid w:val="634475E8"/>
    <w:rsid w:val="63465C84"/>
    <w:rsid w:val="63495BC1"/>
    <w:rsid w:val="634F2F3D"/>
    <w:rsid w:val="63512ABE"/>
    <w:rsid w:val="63525D02"/>
    <w:rsid w:val="63532554"/>
    <w:rsid w:val="6353259C"/>
    <w:rsid w:val="635806D4"/>
    <w:rsid w:val="6361115D"/>
    <w:rsid w:val="63612F0B"/>
    <w:rsid w:val="63671A75"/>
    <w:rsid w:val="636C7B02"/>
    <w:rsid w:val="636D7CFA"/>
    <w:rsid w:val="63716EC6"/>
    <w:rsid w:val="637476D0"/>
    <w:rsid w:val="63755142"/>
    <w:rsid w:val="63770981"/>
    <w:rsid w:val="637A3FCD"/>
    <w:rsid w:val="637C49ED"/>
    <w:rsid w:val="63807A43"/>
    <w:rsid w:val="63827325"/>
    <w:rsid w:val="6394356A"/>
    <w:rsid w:val="639D5F0D"/>
    <w:rsid w:val="639E415F"/>
    <w:rsid w:val="63A23982"/>
    <w:rsid w:val="63A44570"/>
    <w:rsid w:val="63A728E8"/>
    <w:rsid w:val="63AB4186"/>
    <w:rsid w:val="63AD43A2"/>
    <w:rsid w:val="63B422FC"/>
    <w:rsid w:val="63B62F7D"/>
    <w:rsid w:val="63BF6085"/>
    <w:rsid w:val="63C60FC0"/>
    <w:rsid w:val="63C61B2C"/>
    <w:rsid w:val="63C72EE3"/>
    <w:rsid w:val="63CB65D6"/>
    <w:rsid w:val="63CC2177"/>
    <w:rsid w:val="63D062E3"/>
    <w:rsid w:val="63D40BE9"/>
    <w:rsid w:val="63D6044B"/>
    <w:rsid w:val="63D77671"/>
    <w:rsid w:val="63DA4A6C"/>
    <w:rsid w:val="63DA60A6"/>
    <w:rsid w:val="63DE2FB6"/>
    <w:rsid w:val="63E07A4B"/>
    <w:rsid w:val="63EA73A4"/>
    <w:rsid w:val="63EE6769"/>
    <w:rsid w:val="63EF3CB2"/>
    <w:rsid w:val="63EF49BB"/>
    <w:rsid w:val="63F17E5D"/>
    <w:rsid w:val="63F73101"/>
    <w:rsid w:val="64002B66"/>
    <w:rsid w:val="640D4E41"/>
    <w:rsid w:val="640E26C8"/>
    <w:rsid w:val="64102431"/>
    <w:rsid w:val="64137F7D"/>
    <w:rsid w:val="64151F48"/>
    <w:rsid w:val="641A130C"/>
    <w:rsid w:val="642108EC"/>
    <w:rsid w:val="64251078"/>
    <w:rsid w:val="64252409"/>
    <w:rsid w:val="64267CB1"/>
    <w:rsid w:val="642E31A5"/>
    <w:rsid w:val="643600D6"/>
    <w:rsid w:val="64371EBE"/>
    <w:rsid w:val="64395A85"/>
    <w:rsid w:val="643E5896"/>
    <w:rsid w:val="644C7018"/>
    <w:rsid w:val="64561788"/>
    <w:rsid w:val="646031C3"/>
    <w:rsid w:val="64616F3B"/>
    <w:rsid w:val="64632CB3"/>
    <w:rsid w:val="646670BD"/>
    <w:rsid w:val="64681176"/>
    <w:rsid w:val="64694B64"/>
    <w:rsid w:val="646E3B0C"/>
    <w:rsid w:val="64746FAD"/>
    <w:rsid w:val="64754395"/>
    <w:rsid w:val="64786EB7"/>
    <w:rsid w:val="64826B1E"/>
    <w:rsid w:val="64850E7B"/>
    <w:rsid w:val="648669A1"/>
    <w:rsid w:val="648860EB"/>
    <w:rsid w:val="648C220A"/>
    <w:rsid w:val="64915A72"/>
    <w:rsid w:val="649461E7"/>
    <w:rsid w:val="649F0642"/>
    <w:rsid w:val="64A043B8"/>
    <w:rsid w:val="64A4523A"/>
    <w:rsid w:val="64A5243A"/>
    <w:rsid w:val="64AA7A10"/>
    <w:rsid w:val="64AD3F2E"/>
    <w:rsid w:val="64AF2604"/>
    <w:rsid w:val="64B33C3A"/>
    <w:rsid w:val="64BB2AEF"/>
    <w:rsid w:val="64BD0615"/>
    <w:rsid w:val="64C51278"/>
    <w:rsid w:val="64C71494"/>
    <w:rsid w:val="64CC310D"/>
    <w:rsid w:val="64D50816"/>
    <w:rsid w:val="64D63485"/>
    <w:rsid w:val="64D771FD"/>
    <w:rsid w:val="64DE67DD"/>
    <w:rsid w:val="64E37F22"/>
    <w:rsid w:val="64E47BA1"/>
    <w:rsid w:val="64F102BF"/>
    <w:rsid w:val="64F31B3F"/>
    <w:rsid w:val="64F34037"/>
    <w:rsid w:val="64F531DE"/>
    <w:rsid w:val="64FB6A08"/>
    <w:rsid w:val="64FD4EB5"/>
    <w:rsid w:val="650049A6"/>
    <w:rsid w:val="65017D92"/>
    <w:rsid w:val="650C334B"/>
    <w:rsid w:val="650C6EA7"/>
    <w:rsid w:val="65172277"/>
    <w:rsid w:val="651C3B52"/>
    <w:rsid w:val="651E3C8E"/>
    <w:rsid w:val="6523084E"/>
    <w:rsid w:val="65295CAB"/>
    <w:rsid w:val="652C579B"/>
    <w:rsid w:val="652F0974"/>
    <w:rsid w:val="6531690D"/>
    <w:rsid w:val="6535464F"/>
    <w:rsid w:val="65373578"/>
    <w:rsid w:val="653D7A86"/>
    <w:rsid w:val="653F2763"/>
    <w:rsid w:val="653F54CE"/>
    <w:rsid w:val="65404DA2"/>
    <w:rsid w:val="654523B9"/>
    <w:rsid w:val="654D3865"/>
    <w:rsid w:val="654E3963"/>
    <w:rsid w:val="65570421"/>
    <w:rsid w:val="65576140"/>
    <w:rsid w:val="655F791E"/>
    <w:rsid w:val="65664300"/>
    <w:rsid w:val="656767D3"/>
    <w:rsid w:val="65711400"/>
    <w:rsid w:val="657213FC"/>
    <w:rsid w:val="6582360D"/>
    <w:rsid w:val="658253BB"/>
    <w:rsid w:val="65832956"/>
    <w:rsid w:val="65890E41"/>
    <w:rsid w:val="65896749"/>
    <w:rsid w:val="659772A6"/>
    <w:rsid w:val="65983469"/>
    <w:rsid w:val="659C2D45"/>
    <w:rsid w:val="659F7D1B"/>
    <w:rsid w:val="65A36856"/>
    <w:rsid w:val="65A9216A"/>
    <w:rsid w:val="65A951B7"/>
    <w:rsid w:val="65AC068A"/>
    <w:rsid w:val="65AE5CD2"/>
    <w:rsid w:val="65AF7F1D"/>
    <w:rsid w:val="65B01F28"/>
    <w:rsid w:val="65B273A0"/>
    <w:rsid w:val="65BF03BD"/>
    <w:rsid w:val="65BF1961"/>
    <w:rsid w:val="65BF216B"/>
    <w:rsid w:val="65C634F9"/>
    <w:rsid w:val="65C82528"/>
    <w:rsid w:val="65CD232B"/>
    <w:rsid w:val="65DF697B"/>
    <w:rsid w:val="65E322FD"/>
    <w:rsid w:val="65EC4205"/>
    <w:rsid w:val="65F21CA1"/>
    <w:rsid w:val="65F30067"/>
    <w:rsid w:val="65FB27D8"/>
    <w:rsid w:val="65FC33BF"/>
    <w:rsid w:val="660404C6"/>
    <w:rsid w:val="66061B48"/>
    <w:rsid w:val="660D4F89"/>
    <w:rsid w:val="661029C7"/>
    <w:rsid w:val="66195D1F"/>
    <w:rsid w:val="661A55F3"/>
    <w:rsid w:val="66215C34"/>
    <w:rsid w:val="66236B9E"/>
    <w:rsid w:val="662674F5"/>
    <w:rsid w:val="66285F62"/>
    <w:rsid w:val="66286A3B"/>
    <w:rsid w:val="66293A88"/>
    <w:rsid w:val="662B0AAA"/>
    <w:rsid w:val="663E7D2D"/>
    <w:rsid w:val="66401FD1"/>
    <w:rsid w:val="66467354"/>
    <w:rsid w:val="66476E7B"/>
    <w:rsid w:val="664D46E2"/>
    <w:rsid w:val="66552ACF"/>
    <w:rsid w:val="66573387"/>
    <w:rsid w:val="66651F07"/>
    <w:rsid w:val="66652D12"/>
    <w:rsid w:val="666D1BC7"/>
    <w:rsid w:val="666F3B91"/>
    <w:rsid w:val="66716EBE"/>
    <w:rsid w:val="66742F55"/>
    <w:rsid w:val="667665FE"/>
    <w:rsid w:val="66842733"/>
    <w:rsid w:val="66891A62"/>
    <w:rsid w:val="668C1178"/>
    <w:rsid w:val="668F7D8F"/>
    <w:rsid w:val="66925AD1"/>
    <w:rsid w:val="66996EEE"/>
    <w:rsid w:val="669F3BDF"/>
    <w:rsid w:val="66A54E5D"/>
    <w:rsid w:val="66AD46B9"/>
    <w:rsid w:val="66AE0FCF"/>
    <w:rsid w:val="66AF0431"/>
    <w:rsid w:val="66B07D06"/>
    <w:rsid w:val="66B47843"/>
    <w:rsid w:val="66B7277F"/>
    <w:rsid w:val="66BE0674"/>
    <w:rsid w:val="66C148BB"/>
    <w:rsid w:val="66C51A03"/>
    <w:rsid w:val="66CA300B"/>
    <w:rsid w:val="66CD08B8"/>
    <w:rsid w:val="66D21400"/>
    <w:rsid w:val="66D85B53"/>
    <w:rsid w:val="66D9365A"/>
    <w:rsid w:val="66EC51E2"/>
    <w:rsid w:val="66EC6F90"/>
    <w:rsid w:val="67010561"/>
    <w:rsid w:val="67053752"/>
    <w:rsid w:val="670A38BA"/>
    <w:rsid w:val="670C5E0A"/>
    <w:rsid w:val="670F7122"/>
    <w:rsid w:val="67111C49"/>
    <w:rsid w:val="671464E6"/>
    <w:rsid w:val="67165294"/>
    <w:rsid w:val="67184229"/>
    <w:rsid w:val="671958AB"/>
    <w:rsid w:val="671B7875"/>
    <w:rsid w:val="671F124A"/>
    <w:rsid w:val="671F1F13"/>
    <w:rsid w:val="672203E0"/>
    <w:rsid w:val="67404958"/>
    <w:rsid w:val="67430B73"/>
    <w:rsid w:val="6747066A"/>
    <w:rsid w:val="67472418"/>
    <w:rsid w:val="6748516D"/>
    <w:rsid w:val="67502B0F"/>
    <w:rsid w:val="6752035C"/>
    <w:rsid w:val="67542D87"/>
    <w:rsid w:val="67544B35"/>
    <w:rsid w:val="6762105F"/>
    <w:rsid w:val="6764198F"/>
    <w:rsid w:val="67673482"/>
    <w:rsid w:val="676F1B28"/>
    <w:rsid w:val="676F3894"/>
    <w:rsid w:val="6770247D"/>
    <w:rsid w:val="67705E13"/>
    <w:rsid w:val="67750B04"/>
    <w:rsid w:val="677A0A3F"/>
    <w:rsid w:val="677A33C6"/>
    <w:rsid w:val="677C3AAE"/>
    <w:rsid w:val="677D5E3A"/>
    <w:rsid w:val="67801959"/>
    <w:rsid w:val="67840CA7"/>
    <w:rsid w:val="678B1883"/>
    <w:rsid w:val="678B49FB"/>
    <w:rsid w:val="678E6E7F"/>
    <w:rsid w:val="679B1133"/>
    <w:rsid w:val="67A23AF2"/>
    <w:rsid w:val="67A27F96"/>
    <w:rsid w:val="67A47A2E"/>
    <w:rsid w:val="67AB6E7B"/>
    <w:rsid w:val="67B53825"/>
    <w:rsid w:val="67C73559"/>
    <w:rsid w:val="67C779FD"/>
    <w:rsid w:val="67CD5013"/>
    <w:rsid w:val="67CE0D8B"/>
    <w:rsid w:val="67D466CF"/>
    <w:rsid w:val="67D96467"/>
    <w:rsid w:val="67DF6B55"/>
    <w:rsid w:val="67DF6D0B"/>
    <w:rsid w:val="67E97973"/>
    <w:rsid w:val="67EA3883"/>
    <w:rsid w:val="67F30F00"/>
    <w:rsid w:val="67F85E08"/>
    <w:rsid w:val="6804655B"/>
    <w:rsid w:val="6810067C"/>
    <w:rsid w:val="68143ADE"/>
    <w:rsid w:val="68150768"/>
    <w:rsid w:val="681D13CB"/>
    <w:rsid w:val="681E586F"/>
    <w:rsid w:val="681F6961"/>
    <w:rsid w:val="68262975"/>
    <w:rsid w:val="68273612"/>
    <w:rsid w:val="68365553"/>
    <w:rsid w:val="683F7593"/>
    <w:rsid w:val="68456C28"/>
    <w:rsid w:val="6846463E"/>
    <w:rsid w:val="68487C65"/>
    <w:rsid w:val="684E5A28"/>
    <w:rsid w:val="6850354E"/>
    <w:rsid w:val="685D1552"/>
    <w:rsid w:val="68610A2F"/>
    <w:rsid w:val="68636F31"/>
    <w:rsid w:val="68666B58"/>
    <w:rsid w:val="686A0AB4"/>
    <w:rsid w:val="686D4100"/>
    <w:rsid w:val="686F6420"/>
    <w:rsid w:val="68805514"/>
    <w:rsid w:val="6881195A"/>
    <w:rsid w:val="688431F8"/>
    <w:rsid w:val="68866F70"/>
    <w:rsid w:val="68896A60"/>
    <w:rsid w:val="689B2E24"/>
    <w:rsid w:val="689B3951"/>
    <w:rsid w:val="689F44DE"/>
    <w:rsid w:val="68A5389A"/>
    <w:rsid w:val="68A55796"/>
    <w:rsid w:val="68A84004"/>
    <w:rsid w:val="68AB69D7"/>
    <w:rsid w:val="68AD274F"/>
    <w:rsid w:val="68AF4719"/>
    <w:rsid w:val="68B03FED"/>
    <w:rsid w:val="68BA4E6C"/>
    <w:rsid w:val="68BE2BAE"/>
    <w:rsid w:val="68C14178"/>
    <w:rsid w:val="68C7047F"/>
    <w:rsid w:val="68C74AE6"/>
    <w:rsid w:val="68CB39A0"/>
    <w:rsid w:val="68CB7079"/>
    <w:rsid w:val="68E21FF0"/>
    <w:rsid w:val="68ED60DB"/>
    <w:rsid w:val="68EF0FB9"/>
    <w:rsid w:val="68EF4B15"/>
    <w:rsid w:val="68F93BE6"/>
    <w:rsid w:val="68FD36D6"/>
    <w:rsid w:val="68FE2FAA"/>
    <w:rsid w:val="68FE3278"/>
    <w:rsid w:val="68FE5C6A"/>
    <w:rsid w:val="69051ED0"/>
    <w:rsid w:val="690F6F65"/>
    <w:rsid w:val="691427CE"/>
    <w:rsid w:val="69166546"/>
    <w:rsid w:val="691B0000"/>
    <w:rsid w:val="691B43CA"/>
    <w:rsid w:val="691D54FB"/>
    <w:rsid w:val="691D5B26"/>
    <w:rsid w:val="691E189E"/>
    <w:rsid w:val="691E53FA"/>
    <w:rsid w:val="69216C99"/>
    <w:rsid w:val="69224EEB"/>
    <w:rsid w:val="69270753"/>
    <w:rsid w:val="69280027"/>
    <w:rsid w:val="69316E2F"/>
    <w:rsid w:val="69342E70"/>
    <w:rsid w:val="693D7F76"/>
    <w:rsid w:val="694A61EF"/>
    <w:rsid w:val="694E2071"/>
    <w:rsid w:val="695452C0"/>
    <w:rsid w:val="69572CC9"/>
    <w:rsid w:val="69574D0D"/>
    <w:rsid w:val="6958573D"/>
    <w:rsid w:val="69595134"/>
    <w:rsid w:val="6961756C"/>
    <w:rsid w:val="6964442F"/>
    <w:rsid w:val="696857DB"/>
    <w:rsid w:val="696A60B8"/>
    <w:rsid w:val="696E760A"/>
    <w:rsid w:val="69763488"/>
    <w:rsid w:val="69766163"/>
    <w:rsid w:val="697A3B33"/>
    <w:rsid w:val="697B284D"/>
    <w:rsid w:val="698267FA"/>
    <w:rsid w:val="69902B4D"/>
    <w:rsid w:val="699839F0"/>
    <w:rsid w:val="699F2771"/>
    <w:rsid w:val="699F478D"/>
    <w:rsid w:val="69A93098"/>
    <w:rsid w:val="69AC0C58"/>
    <w:rsid w:val="69BD3298"/>
    <w:rsid w:val="69C16928"/>
    <w:rsid w:val="69CE51D8"/>
    <w:rsid w:val="69CF4947"/>
    <w:rsid w:val="69D44760"/>
    <w:rsid w:val="69D52819"/>
    <w:rsid w:val="69D73AC6"/>
    <w:rsid w:val="69D9075E"/>
    <w:rsid w:val="69E421A0"/>
    <w:rsid w:val="69F00E56"/>
    <w:rsid w:val="69F078E4"/>
    <w:rsid w:val="69F43C85"/>
    <w:rsid w:val="69F543AD"/>
    <w:rsid w:val="69F54873"/>
    <w:rsid w:val="69FC398E"/>
    <w:rsid w:val="6A0C7949"/>
    <w:rsid w:val="6A1011E7"/>
    <w:rsid w:val="6A13107A"/>
    <w:rsid w:val="6A162576"/>
    <w:rsid w:val="6A184540"/>
    <w:rsid w:val="6A191D4E"/>
    <w:rsid w:val="6A1D3904"/>
    <w:rsid w:val="6A203D51"/>
    <w:rsid w:val="6A220F1A"/>
    <w:rsid w:val="6A2627B9"/>
    <w:rsid w:val="6A266340"/>
    <w:rsid w:val="6A2D62D3"/>
    <w:rsid w:val="6A325601"/>
    <w:rsid w:val="6A330664"/>
    <w:rsid w:val="6A350C4E"/>
    <w:rsid w:val="6A352F84"/>
    <w:rsid w:val="6A3A6491"/>
    <w:rsid w:val="6A3B0848"/>
    <w:rsid w:val="6A3F38D9"/>
    <w:rsid w:val="6A4B221F"/>
    <w:rsid w:val="6A4E3ABD"/>
    <w:rsid w:val="6A520EC7"/>
    <w:rsid w:val="6A535578"/>
    <w:rsid w:val="6A5938AC"/>
    <w:rsid w:val="6A5C442C"/>
    <w:rsid w:val="6A5D6907"/>
    <w:rsid w:val="6A6362C3"/>
    <w:rsid w:val="6A646A97"/>
    <w:rsid w:val="6A65178A"/>
    <w:rsid w:val="6A6A103C"/>
    <w:rsid w:val="6A6B0B13"/>
    <w:rsid w:val="6A6E6628"/>
    <w:rsid w:val="6A745C1A"/>
    <w:rsid w:val="6A765DB5"/>
    <w:rsid w:val="6A77517C"/>
    <w:rsid w:val="6A7A48B2"/>
    <w:rsid w:val="6A883473"/>
    <w:rsid w:val="6A885221"/>
    <w:rsid w:val="6A894DD0"/>
    <w:rsid w:val="6A9C0CCD"/>
    <w:rsid w:val="6A9E2EDE"/>
    <w:rsid w:val="6AA10091"/>
    <w:rsid w:val="6AAA163C"/>
    <w:rsid w:val="6AB478F9"/>
    <w:rsid w:val="6AB81F5F"/>
    <w:rsid w:val="6AB853DB"/>
    <w:rsid w:val="6AC16985"/>
    <w:rsid w:val="6AC27EAE"/>
    <w:rsid w:val="6AC46D4D"/>
    <w:rsid w:val="6AC54093"/>
    <w:rsid w:val="6AC975E8"/>
    <w:rsid w:val="6AD06BC8"/>
    <w:rsid w:val="6AD14E1A"/>
    <w:rsid w:val="6AD93CCF"/>
    <w:rsid w:val="6AEB57B0"/>
    <w:rsid w:val="6AED7F32"/>
    <w:rsid w:val="6AEF704E"/>
    <w:rsid w:val="6AF705F9"/>
    <w:rsid w:val="6AF87E20"/>
    <w:rsid w:val="6AF91789"/>
    <w:rsid w:val="6AF91C7B"/>
    <w:rsid w:val="6AFE54E3"/>
    <w:rsid w:val="6AFF68D3"/>
    <w:rsid w:val="6B0074AE"/>
    <w:rsid w:val="6B015FC4"/>
    <w:rsid w:val="6B056872"/>
    <w:rsid w:val="6B0D3978"/>
    <w:rsid w:val="6B152326"/>
    <w:rsid w:val="6B1C56DA"/>
    <w:rsid w:val="6B1F56F1"/>
    <w:rsid w:val="6B1F76F3"/>
    <w:rsid w:val="6B2A277C"/>
    <w:rsid w:val="6B2F1B41"/>
    <w:rsid w:val="6B301415"/>
    <w:rsid w:val="6B322639"/>
    <w:rsid w:val="6B340F05"/>
    <w:rsid w:val="6B381508"/>
    <w:rsid w:val="6B3B7EE9"/>
    <w:rsid w:val="6B432AA4"/>
    <w:rsid w:val="6B532B05"/>
    <w:rsid w:val="6B555ED8"/>
    <w:rsid w:val="6B560D52"/>
    <w:rsid w:val="6B5B46E4"/>
    <w:rsid w:val="6B6A4927"/>
    <w:rsid w:val="6B6D177C"/>
    <w:rsid w:val="6B6D2669"/>
    <w:rsid w:val="6B7B2FD8"/>
    <w:rsid w:val="6B827EC3"/>
    <w:rsid w:val="6B833C3B"/>
    <w:rsid w:val="6B8D71AD"/>
    <w:rsid w:val="6B8E2D0B"/>
    <w:rsid w:val="6B916358"/>
    <w:rsid w:val="6B945E48"/>
    <w:rsid w:val="6B980B43"/>
    <w:rsid w:val="6B9876E6"/>
    <w:rsid w:val="6B9D2F4E"/>
    <w:rsid w:val="6BA8544F"/>
    <w:rsid w:val="6BAD1411"/>
    <w:rsid w:val="6BB257FD"/>
    <w:rsid w:val="6BB65DBE"/>
    <w:rsid w:val="6BB80373"/>
    <w:rsid w:val="6BC404DB"/>
    <w:rsid w:val="6BC51DE3"/>
    <w:rsid w:val="6BC71D79"/>
    <w:rsid w:val="6BCB0276"/>
    <w:rsid w:val="6BCC55E2"/>
    <w:rsid w:val="6BD050D2"/>
    <w:rsid w:val="6BD149A6"/>
    <w:rsid w:val="6BD9636F"/>
    <w:rsid w:val="6BE02E3B"/>
    <w:rsid w:val="6BE734D8"/>
    <w:rsid w:val="6BF25B97"/>
    <w:rsid w:val="6BF84629"/>
    <w:rsid w:val="6BF95087"/>
    <w:rsid w:val="6BFF1513"/>
    <w:rsid w:val="6C0022F4"/>
    <w:rsid w:val="6C0F0498"/>
    <w:rsid w:val="6C1A00FB"/>
    <w:rsid w:val="6C1A459F"/>
    <w:rsid w:val="6C225202"/>
    <w:rsid w:val="6C236402"/>
    <w:rsid w:val="6C2471CC"/>
    <w:rsid w:val="6C276CBC"/>
    <w:rsid w:val="6C2F0BC6"/>
    <w:rsid w:val="6C384A25"/>
    <w:rsid w:val="6C3A079D"/>
    <w:rsid w:val="6C450EF0"/>
    <w:rsid w:val="6C474C68"/>
    <w:rsid w:val="6C4B29AA"/>
    <w:rsid w:val="6C4C4DD4"/>
    <w:rsid w:val="6C501D6F"/>
    <w:rsid w:val="6C5166A9"/>
    <w:rsid w:val="6C520D5F"/>
    <w:rsid w:val="6C585476"/>
    <w:rsid w:val="6C5C425E"/>
    <w:rsid w:val="6C6015D0"/>
    <w:rsid w:val="6C636C38"/>
    <w:rsid w:val="6C686B68"/>
    <w:rsid w:val="6C745B47"/>
    <w:rsid w:val="6C77379F"/>
    <w:rsid w:val="6C7F43ED"/>
    <w:rsid w:val="6C8163CC"/>
    <w:rsid w:val="6C835B15"/>
    <w:rsid w:val="6C8A3532"/>
    <w:rsid w:val="6C8D4D9A"/>
    <w:rsid w:val="6C8D6BB3"/>
    <w:rsid w:val="6C951E77"/>
    <w:rsid w:val="6C9C4FB4"/>
    <w:rsid w:val="6CA10D6E"/>
    <w:rsid w:val="6CA64085"/>
    <w:rsid w:val="6CAE6A95"/>
    <w:rsid w:val="6CAF118B"/>
    <w:rsid w:val="6CB611D0"/>
    <w:rsid w:val="6CBC11B2"/>
    <w:rsid w:val="6CBE13CE"/>
    <w:rsid w:val="6CBF0DF2"/>
    <w:rsid w:val="6CCA3CD2"/>
    <w:rsid w:val="6CCD7863"/>
    <w:rsid w:val="6CCF5389"/>
    <w:rsid w:val="6CD12492"/>
    <w:rsid w:val="6CD24E7A"/>
    <w:rsid w:val="6CD8449D"/>
    <w:rsid w:val="6CD96208"/>
    <w:rsid w:val="6CDE381F"/>
    <w:rsid w:val="6CDF186C"/>
    <w:rsid w:val="6CE35978"/>
    <w:rsid w:val="6CE64481"/>
    <w:rsid w:val="6CED1BF5"/>
    <w:rsid w:val="6CED41BB"/>
    <w:rsid w:val="6CED5510"/>
    <w:rsid w:val="6CF3094C"/>
    <w:rsid w:val="6CF50490"/>
    <w:rsid w:val="6CF545CF"/>
    <w:rsid w:val="6CFE5C6F"/>
    <w:rsid w:val="6D0019E7"/>
    <w:rsid w:val="6D090170"/>
    <w:rsid w:val="6D0E6F8F"/>
    <w:rsid w:val="6D11251F"/>
    <w:rsid w:val="6D1159A2"/>
    <w:rsid w:val="6D142D9C"/>
    <w:rsid w:val="6D1430A1"/>
    <w:rsid w:val="6D170ADE"/>
    <w:rsid w:val="6D1856D2"/>
    <w:rsid w:val="6D192AA9"/>
    <w:rsid w:val="6D21161F"/>
    <w:rsid w:val="6D21195D"/>
    <w:rsid w:val="6D3144FE"/>
    <w:rsid w:val="6D350D33"/>
    <w:rsid w:val="6D3D5F38"/>
    <w:rsid w:val="6D413DAD"/>
    <w:rsid w:val="6D4318D3"/>
    <w:rsid w:val="6D437B25"/>
    <w:rsid w:val="6D45389E"/>
    <w:rsid w:val="6D45564C"/>
    <w:rsid w:val="6D480C98"/>
    <w:rsid w:val="6D490077"/>
    <w:rsid w:val="6D4F64CA"/>
    <w:rsid w:val="6D550B77"/>
    <w:rsid w:val="6D5533B5"/>
    <w:rsid w:val="6D635AD2"/>
    <w:rsid w:val="6D6655C2"/>
    <w:rsid w:val="6D77332B"/>
    <w:rsid w:val="6D7777CF"/>
    <w:rsid w:val="6D7F4B76"/>
    <w:rsid w:val="6D82770E"/>
    <w:rsid w:val="6D842652"/>
    <w:rsid w:val="6D866D2E"/>
    <w:rsid w:val="6D8C5028"/>
    <w:rsid w:val="6D8D7308"/>
    <w:rsid w:val="6D8E6A7C"/>
    <w:rsid w:val="6D987FF5"/>
    <w:rsid w:val="6D9F345B"/>
    <w:rsid w:val="6DA07D03"/>
    <w:rsid w:val="6DA22804"/>
    <w:rsid w:val="6DA8615D"/>
    <w:rsid w:val="6DB037F2"/>
    <w:rsid w:val="6DB34098"/>
    <w:rsid w:val="6DB545B6"/>
    <w:rsid w:val="6DBB2AE7"/>
    <w:rsid w:val="6DBF53A0"/>
    <w:rsid w:val="6DC32345"/>
    <w:rsid w:val="6DC63EEA"/>
    <w:rsid w:val="6DCA2A9C"/>
    <w:rsid w:val="6DD10C8D"/>
    <w:rsid w:val="6DDB1B0C"/>
    <w:rsid w:val="6DE02FB4"/>
    <w:rsid w:val="6DE54A49"/>
    <w:rsid w:val="6DEC505A"/>
    <w:rsid w:val="6DF11649"/>
    <w:rsid w:val="6DF56417"/>
    <w:rsid w:val="6DF57072"/>
    <w:rsid w:val="6DF66946"/>
    <w:rsid w:val="6DFD5F26"/>
    <w:rsid w:val="6E0D0685"/>
    <w:rsid w:val="6E123718"/>
    <w:rsid w:val="6E1342B7"/>
    <w:rsid w:val="6E13574A"/>
    <w:rsid w:val="6E1374F8"/>
    <w:rsid w:val="6E155924"/>
    <w:rsid w:val="6E160D96"/>
    <w:rsid w:val="6E195887"/>
    <w:rsid w:val="6E1B45FE"/>
    <w:rsid w:val="6E1D2124"/>
    <w:rsid w:val="6E223278"/>
    <w:rsid w:val="6E245261"/>
    <w:rsid w:val="6E273436"/>
    <w:rsid w:val="6E2A4841"/>
    <w:rsid w:val="6E2E60E0"/>
    <w:rsid w:val="6E2F7E7D"/>
    <w:rsid w:val="6E313E22"/>
    <w:rsid w:val="6E337B9A"/>
    <w:rsid w:val="6E3B07FD"/>
    <w:rsid w:val="6E3F209B"/>
    <w:rsid w:val="6E405E13"/>
    <w:rsid w:val="6E470F4F"/>
    <w:rsid w:val="6E4A555D"/>
    <w:rsid w:val="6E4C770B"/>
    <w:rsid w:val="6E5042A8"/>
    <w:rsid w:val="6E511DCE"/>
    <w:rsid w:val="6E514CED"/>
    <w:rsid w:val="6E5D69C5"/>
    <w:rsid w:val="6E6715F2"/>
    <w:rsid w:val="6E677844"/>
    <w:rsid w:val="6E6829CA"/>
    <w:rsid w:val="6E6B10E2"/>
    <w:rsid w:val="6E7A1CD3"/>
    <w:rsid w:val="6E810905"/>
    <w:rsid w:val="6E84783C"/>
    <w:rsid w:val="6E862D78"/>
    <w:rsid w:val="6E8729AA"/>
    <w:rsid w:val="6E8825D4"/>
    <w:rsid w:val="6E8E1041"/>
    <w:rsid w:val="6E9217B4"/>
    <w:rsid w:val="6E943959"/>
    <w:rsid w:val="6E9C573F"/>
    <w:rsid w:val="6E9E14B7"/>
    <w:rsid w:val="6E9E6A78"/>
    <w:rsid w:val="6E9F4DC8"/>
    <w:rsid w:val="6EA03C18"/>
    <w:rsid w:val="6EB06071"/>
    <w:rsid w:val="6EB26D11"/>
    <w:rsid w:val="6EB365E5"/>
    <w:rsid w:val="6EB563D5"/>
    <w:rsid w:val="6EBB1F26"/>
    <w:rsid w:val="6EC27D0D"/>
    <w:rsid w:val="6EC86624"/>
    <w:rsid w:val="6ECE536B"/>
    <w:rsid w:val="6ECF25E3"/>
    <w:rsid w:val="6ED22F0F"/>
    <w:rsid w:val="6ED44ED9"/>
    <w:rsid w:val="6ED52B8A"/>
    <w:rsid w:val="6ED61147"/>
    <w:rsid w:val="6ED92677"/>
    <w:rsid w:val="6EDE7D98"/>
    <w:rsid w:val="6EE113A4"/>
    <w:rsid w:val="6EE90259"/>
    <w:rsid w:val="6EEB6121"/>
    <w:rsid w:val="6EF015E7"/>
    <w:rsid w:val="6EF2535F"/>
    <w:rsid w:val="6EF67A7E"/>
    <w:rsid w:val="6EF81D81"/>
    <w:rsid w:val="6EFA2466"/>
    <w:rsid w:val="6F010796"/>
    <w:rsid w:val="6F012FA0"/>
    <w:rsid w:val="6F045C56"/>
    <w:rsid w:val="6F086931"/>
    <w:rsid w:val="6F0F381E"/>
    <w:rsid w:val="6F11762D"/>
    <w:rsid w:val="6F12155D"/>
    <w:rsid w:val="6F1352D6"/>
    <w:rsid w:val="6F1E7F02"/>
    <w:rsid w:val="6F225983"/>
    <w:rsid w:val="6F26497C"/>
    <w:rsid w:val="6F322A0D"/>
    <w:rsid w:val="6F381F19"/>
    <w:rsid w:val="6F385CDC"/>
    <w:rsid w:val="6F423C82"/>
    <w:rsid w:val="6F433E0D"/>
    <w:rsid w:val="6F451933"/>
    <w:rsid w:val="6F4F630E"/>
    <w:rsid w:val="6F500FA7"/>
    <w:rsid w:val="6F504421"/>
    <w:rsid w:val="6F5F0EF2"/>
    <w:rsid w:val="6F655B31"/>
    <w:rsid w:val="6F6666AE"/>
    <w:rsid w:val="6F767D3E"/>
    <w:rsid w:val="6F854425"/>
    <w:rsid w:val="6F8D6E36"/>
    <w:rsid w:val="6F912DCA"/>
    <w:rsid w:val="6F935F13"/>
    <w:rsid w:val="6FA32AFD"/>
    <w:rsid w:val="6FB31B6B"/>
    <w:rsid w:val="6FB50862"/>
    <w:rsid w:val="6FBB1BF5"/>
    <w:rsid w:val="6FC33FD3"/>
    <w:rsid w:val="6FD21104"/>
    <w:rsid w:val="6FD607DD"/>
    <w:rsid w:val="6FDA4340"/>
    <w:rsid w:val="6FE253D4"/>
    <w:rsid w:val="6FEF5D43"/>
    <w:rsid w:val="6FEF6C87"/>
    <w:rsid w:val="6FF04C94"/>
    <w:rsid w:val="6FF07311"/>
    <w:rsid w:val="6FF22D39"/>
    <w:rsid w:val="6FF33715"/>
    <w:rsid w:val="6FF80A3A"/>
    <w:rsid w:val="6FFC5590"/>
    <w:rsid w:val="6FFD045F"/>
    <w:rsid w:val="700215D2"/>
    <w:rsid w:val="70057314"/>
    <w:rsid w:val="700F0193"/>
    <w:rsid w:val="701B2694"/>
    <w:rsid w:val="70207CAA"/>
    <w:rsid w:val="70226920"/>
    <w:rsid w:val="70271038"/>
    <w:rsid w:val="702A1D3D"/>
    <w:rsid w:val="702B176E"/>
    <w:rsid w:val="702D2616"/>
    <w:rsid w:val="70313C65"/>
    <w:rsid w:val="70335C2F"/>
    <w:rsid w:val="703A5D5A"/>
    <w:rsid w:val="703D1E9A"/>
    <w:rsid w:val="703F2826"/>
    <w:rsid w:val="70457711"/>
    <w:rsid w:val="704F058F"/>
    <w:rsid w:val="705029FA"/>
    <w:rsid w:val="706C06C5"/>
    <w:rsid w:val="706D1DD0"/>
    <w:rsid w:val="707029DF"/>
    <w:rsid w:val="707149AA"/>
    <w:rsid w:val="70716FD7"/>
    <w:rsid w:val="7072435E"/>
    <w:rsid w:val="70781894"/>
    <w:rsid w:val="70785D38"/>
    <w:rsid w:val="707A1AB0"/>
    <w:rsid w:val="707F017C"/>
    <w:rsid w:val="70856B87"/>
    <w:rsid w:val="708B7819"/>
    <w:rsid w:val="708C3591"/>
    <w:rsid w:val="70902959"/>
    <w:rsid w:val="709F5073"/>
    <w:rsid w:val="70A1528F"/>
    <w:rsid w:val="70A42689"/>
    <w:rsid w:val="70B12FF8"/>
    <w:rsid w:val="70B30B1E"/>
    <w:rsid w:val="70B36D70"/>
    <w:rsid w:val="70B623BC"/>
    <w:rsid w:val="70BC3E77"/>
    <w:rsid w:val="70C25B12"/>
    <w:rsid w:val="70C8102F"/>
    <w:rsid w:val="70C94717"/>
    <w:rsid w:val="70CD516E"/>
    <w:rsid w:val="70CD6084"/>
    <w:rsid w:val="70D527EE"/>
    <w:rsid w:val="70D71757"/>
    <w:rsid w:val="70D95DDC"/>
    <w:rsid w:val="70DA42FD"/>
    <w:rsid w:val="70DE203F"/>
    <w:rsid w:val="70DF2550"/>
    <w:rsid w:val="70E32CAA"/>
    <w:rsid w:val="70FD7FEB"/>
    <w:rsid w:val="7101082B"/>
    <w:rsid w:val="71013303"/>
    <w:rsid w:val="71036841"/>
    <w:rsid w:val="71044CE8"/>
    <w:rsid w:val="710475CC"/>
    <w:rsid w:val="71060233"/>
    <w:rsid w:val="7106481B"/>
    <w:rsid w:val="71107D1F"/>
    <w:rsid w:val="71145A61"/>
    <w:rsid w:val="711A6BAD"/>
    <w:rsid w:val="71213CDA"/>
    <w:rsid w:val="71215AFF"/>
    <w:rsid w:val="71290DE0"/>
    <w:rsid w:val="712C12B9"/>
    <w:rsid w:val="712D08D1"/>
    <w:rsid w:val="71325EE7"/>
    <w:rsid w:val="713E6AA6"/>
    <w:rsid w:val="7141517B"/>
    <w:rsid w:val="714A76D4"/>
    <w:rsid w:val="714B51FB"/>
    <w:rsid w:val="714C1439"/>
    <w:rsid w:val="714F6A99"/>
    <w:rsid w:val="715A1560"/>
    <w:rsid w:val="715B5300"/>
    <w:rsid w:val="716167CC"/>
    <w:rsid w:val="71810C1C"/>
    <w:rsid w:val="718524BB"/>
    <w:rsid w:val="718F6E95"/>
    <w:rsid w:val="719C15B2"/>
    <w:rsid w:val="71A46D2F"/>
    <w:rsid w:val="71A768D5"/>
    <w:rsid w:val="71AC3EEB"/>
    <w:rsid w:val="71B763EC"/>
    <w:rsid w:val="71C07997"/>
    <w:rsid w:val="71C1506F"/>
    <w:rsid w:val="71C96148"/>
    <w:rsid w:val="71D23226"/>
    <w:rsid w:val="71D27F8A"/>
    <w:rsid w:val="71DB30CA"/>
    <w:rsid w:val="71DC7B04"/>
    <w:rsid w:val="71DD1188"/>
    <w:rsid w:val="71DE6D28"/>
    <w:rsid w:val="71DE7E1D"/>
    <w:rsid w:val="71E2348D"/>
    <w:rsid w:val="71E55BC5"/>
    <w:rsid w:val="71E74F23"/>
    <w:rsid w:val="71E80C9B"/>
    <w:rsid w:val="71ED0060"/>
    <w:rsid w:val="71FE401B"/>
    <w:rsid w:val="720158B9"/>
    <w:rsid w:val="720F6228"/>
    <w:rsid w:val="721455EC"/>
    <w:rsid w:val="72166784"/>
    <w:rsid w:val="7217789A"/>
    <w:rsid w:val="72181581"/>
    <w:rsid w:val="721B3607"/>
    <w:rsid w:val="721B4BCD"/>
    <w:rsid w:val="72203F91"/>
    <w:rsid w:val="72253C9E"/>
    <w:rsid w:val="722A12B4"/>
    <w:rsid w:val="722A4E10"/>
    <w:rsid w:val="722F68CA"/>
    <w:rsid w:val="723D2D95"/>
    <w:rsid w:val="72426F0E"/>
    <w:rsid w:val="72435ED2"/>
    <w:rsid w:val="724B52D9"/>
    <w:rsid w:val="724C3343"/>
    <w:rsid w:val="724E4FA2"/>
    <w:rsid w:val="724F4877"/>
    <w:rsid w:val="725105EF"/>
    <w:rsid w:val="7251239D"/>
    <w:rsid w:val="725400DF"/>
    <w:rsid w:val="72553024"/>
    <w:rsid w:val="725974A3"/>
    <w:rsid w:val="725D1CCF"/>
    <w:rsid w:val="725E10D7"/>
    <w:rsid w:val="726A16B0"/>
    <w:rsid w:val="726A345E"/>
    <w:rsid w:val="726C5429"/>
    <w:rsid w:val="726F4F19"/>
    <w:rsid w:val="726F6CC7"/>
    <w:rsid w:val="727442DD"/>
    <w:rsid w:val="7275610E"/>
    <w:rsid w:val="72760AA9"/>
    <w:rsid w:val="727644F9"/>
    <w:rsid w:val="727662A7"/>
    <w:rsid w:val="72843A03"/>
    <w:rsid w:val="72855F71"/>
    <w:rsid w:val="728704B4"/>
    <w:rsid w:val="72872262"/>
    <w:rsid w:val="728C1627"/>
    <w:rsid w:val="728C4DF1"/>
    <w:rsid w:val="728F1117"/>
    <w:rsid w:val="72914E8F"/>
    <w:rsid w:val="7294784F"/>
    <w:rsid w:val="729606F7"/>
    <w:rsid w:val="729C539E"/>
    <w:rsid w:val="72A4298A"/>
    <w:rsid w:val="72AE2CD6"/>
    <w:rsid w:val="72B90194"/>
    <w:rsid w:val="72BD5C84"/>
    <w:rsid w:val="72C139C6"/>
    <w:rsid w:val="72C62D8B"/>
    <w:rsid w:val="72D221EC"/>
    <w:rsid w:val="72D761FB"/>
    <w:rsid w:val="72E033F9"/>
    <w:rsid w:val="72E27499"/>
    <w:rsid w:val="72E82720"/>
    <w:rsid w:val="72F37330"/>
    <w:rsid w:val="72F724DA"/>
    <w:rsid w:val="72FE3FEA"/>
    <w:rsid w:val="73012015"/>
    <w:rsid w:val="73026629"/>
    <w:rsid w:val="7304598C"/>
    <w:rsid w:val="730668DC"/>
    <w:rsid w:val="73075151"/>
    <w:rsid w:val="73122968"/>
    <w:rsid w:val="731F5D5E"/>
    <w:rsid w:val="731F693F"/>
    <w:rsid w:val="73225B94"/>
    <w:rsid w:val="73277640"/>
    <w:rsid w:val="732C6966"/>
    <w:rsid w:val="733028FA"/>
    <w:rsid w:val="73306456"/>
    <w:rsid w:val="73313462"/>
    <w:rsid w:val="73326672"/>
    <w:rsid w:val="734623EF"/>
    <w:rsid w:val="734A1D78"/>
    <w:rsid w:val="734A1F2E"/>
    <w:rsid w:val="734E2D80"/>
    <w:rsid w:val="734F7787"/>
    <w:rsid w:val="735008A6"/>
    <w:rsid w:val="73502E3D"/>
    <w:rsid w:val="73503331"/>
    <w:rsid w:val="73516ED9"/>
    <w:rsid w:val="7355410F"/>
    <w:rsid w:val="735A0201"/>
    <w:rsid w:val="735C724B"/>
    <w:rsid w:val="736023F4"/>
    <w:rsid w:val="73614FE2"/>
    <w:rsid w:val="736600CA"/>
    <w:rsid w:val="737050E7"/>
    <w:rsid w:val="7370719A"/>
    <w:rsid w:val="73724CC1"/>
    <w:rsid w:val="737450E0"/>
    <w:rsid w:val="737767FA"/>
    <w:rsid w:val="737C78ED"/>
    <w:rsid w:val="737F106C"/>
    <w:rsid w:val="73836ECE"/>
    <w:rsid w:val="73852C46"/>
    <w:rsid w:val="738547D2"/>
    <w:rsid w:val="7387200B"/>
    <w:rsid w:val="738A025C"/>
    <w:rsid w:val="738E13CF"/>
    <w:rsid w:val="739764D5"/>
    <w:rsid w:val="739A5FC5"/>
    <w:rsid w:val="739C3AEB"/>
    <w:rsid w:val="739E0DE3"/>
    <w:rsid w:val="73A3131E"/>
    <w:rsid w:val="73A40BF2"/>
    <w:rsid w:val="73B14241"/>
    <w:rsid w:val="73B1673D"/>
    <w:rsid w:val="73B40A19"/>
    <w:rsid w:val="73B40E35"/>
    <w:rsid w:val="73B76B77"/>
    <w:rsid w:val="73B9469D"/>
    <w:rsid w:val="73BE46E9"/>
    <w:rsid w:val="73BE7F06"/>
    <w:rsid w:val="73C03C7E"/>
    <w:rsid w:val="73C17990"/>
    <w:rsid w:val="73C51AD5"/>
    <w:rsid w:val="73CE6CD2"/>
    <w:rsid w:val="73D43285"/>
    <w:rsid w:val="73D8682C"/>
    <w:rsid w:val="73E0367D"/>
    <w:rsid w:val="73E060CE"/>
    <w:rsid w:val="73EE611A"/>
    <w:rsid w:val="73F2603B"/>
    <w:rsid w:val="73F32E12"/>
    <w:rsid w:val="73F37EE5"/>
    <w:rsid w:val="73F51937"/>
    <w:rsid w:val="73F6144E"/>
    <w:rsid w:val="73F76F74"/>
    <w:rsid w:val="73F85D10"/>
    <w:rsid w:val="73FA2467"/>
    <w:rsid w:val="73FA3D49"/>
    <w:rsid w:val="73FA4018"/>
    <w:rsid w:val="73FB6758"/>
    <w:rsid w:val="73FB67E5"/>
    <w:rsid w:val="73FC27DC"/>
    <w:rsid w:val="740578E3"/>
    <w:rsid w:val="740A4EF9"/>
    <w:rsid w:val="740B037A"/>
    <w:rsid w:val="741144D9"/>
    <w:rsid w:val="74172CC0"/>
    <w:rsid w:val="741A4194"/>
    <w:rsid w:val="741B2C62"/>
    <w:rsid w:val="741C14A9"/>
    <w:rsid w:val="741C69DA"/>
    <w:rsid w:val="741E793C"/>
    <w:rsid w:val="742C4E6F"/>
    <w:rsid w:val="742E6DC8"/>
    <w:rsid w:val="743F75B0"/>
    <w:rsid w:val="744834A7"/>
    <w:rsid w:val="74486D25"/>
    <w:rsid w:val="744966C1"/>
    <w:rsid w:val="74577A11"/>
    <w:rsid w:val="745E3944"/>
    <w:rsid w:val="7463285B"/>
    <w:rsid w:val="7464128A"/>
    <w:rsid w:val="74692370"/>
    <w:rsid w:val="746A3BEA"/>
    <w:rsid w:val="74770050"/>
    <w:rsid w:val="747846C3"/>
    <w:rsid w:val="747B25E5"/>
    <w:rsid w:val="747B2BE8"/>
    <w:rsid w:val="747D1B6F"/>
    <w:rsid w:val="748879F1"/>
    <w:rsid w:val="749D5D6D"/>
    <w:rsid w:val="749E5641"/>
    <w:rsid w:val="74AC4202"/>
    <w:rsid w:val="74AF43A5"/>
    <w:rsid w:val="74B2597D"/>
    <w:rsid w:val="74B47D52"/>
    <w:rsid w:val="74B93B6F"/>
    <w:rsid w:val="74BF3F35"/>
    <w:rsid w:val="74C57072"/>
    <w:rsid w:val="74CD7CDC"/>
    <w:rsid w:val="74D61139"/>
    <w:rsid w:val="74E03DD3"/>
    <w:rsid w:val="74E240AE"/>
    <w:rsid w:val="74E26E5B"/>
    <w:rsid w:val="74E41BEE"/>
    <w:rsid w:val="74EE6AD0"/>
    <w:rsid w:val="74F13183"/>
    <w:rsid w:val="74F160B9"/>
    <w:rsid w:val="74F57957"/>
    <w:rsid w:val="74FE1728"/>
    <w:rsid w:val="750202C6"/>
    <w:rsid w:val="75091655"/>
    <w:rsid w:val="75151DA7"/>
    <w:rsid w:val="751B6C3F"/>
    <w:rsid w:val="75220020"/>
    <w:rsid w:val="75232716"/>
    <w:rsid w:val="75270700"/>
    <w:rsid w:val="752E6F2F"/>
    <w:rsid w:val="7530098F"/>
    <w:rsid w:val="75304259"/>
    <w:rsid w:val="75305D49"/>
    <w:rsid w:val="75345FBE"/>
    <w:rsid w:val="75355E65"/>
    <w:rsid w:val="753C5586"/>
    <w:rsid w:val="7546251E"/>
    <w:rsid w:val="75477F0F"/>
    <w:rsid w:val="754A7097"/>
    <w:rsid w:val="754B7577"/>
    <w:rsid w:val="755144E1"/>
    <w:rsid w:val="75572263"/>
    <w:rsid w:val="75587EE6"/>
    <w:rsid w:val="755B0EDD"/>
    <w:rsid w:val="75603703"/>
    <w:rsid w:val="75616D9B"/>
    <w:rsid w:val="75660855"/>
    <w:rsid w:val="75690ED6"/>
    <w:rsid w:val="75693EA1"/>
    <w:rsid w:val="756A7049"/>
    <w:rsid w:val="756D573F"/>
    <w:rsid w:val="75736F2C"/>
    <w:rsid w:val="75750A98"/>
    <w:rsid w:val="75752FE2"/>
    <w:rsid w:val="75887F12"/>
    <w:rsid w:val="758B796E"/>
    <w:rsid w:val="758F2B31"/>
    <w:rsid w:val="759C7DD3"/>
    <w:rsid w:val="75A606A0"/>
    <w:rsid w:val="75B74C0D"/>
    <w:rsid w:val="75B94E29"/>
    <w:rsid w:val="75B96BD7"/>
    <w:rsid w:val="75BA6E2C"/>
    <w:rsid w:val="75BC566D"/>
    <w:rsid w:val="75C8506C"/>
    <w:rsid w:val="75D24EDD"/>
    <w:rsid w:val="75D27A87"/>
    <w:rsid w:val="75D51537"/>
    <w:rsid w:val="75D94B83"/>
    <w:rsid w:val="75DC0B17"/>
    <w:rsid w:val="75DF0D15"/>
    <w:rsid w:val="75DF5F11"/>
    <w:rsid w:val="75EB1C30"/>
    <w:rsid w:val="75F419BD"/>
    <w:rsid w:val="76065B94"/>
    <w:rsid w:val="760F4A49"/>
    <w:rsid w:val="7610256F"/>
    <w:rsid w:val="7614728E"/>
    <w:rsid w:val="76157C7D"/>
    <w:rsid w:val="762304F4"/>
    <w:rsid w:val="762759B6"/>
    <w:rsid w:val="76277FE4"/>
    <w:rsid w:val="762A53DF"/>
    <w:rsid w:val="762D61C2"/>
    <w:rsid w:val="76312C11"/>
    <w:rsid w:val="76317817"/>
    <w:rsid w:val="7635099D"/>
    <w:rsid w:val="763B75EC"/>
    <w:rsid w:val="76402E54"/>
    <w:rsid w:val="76404C02"/>
    <w:rsid w:val="7641772F"/>
    <w:rsid w:val="764221C2"/>
    <w:rsid w:val="76446420"/>
    <w:rsid w:val="76465F91"/>
    <w:rsid w:val="764C5E0A"/>
    <w:rsid w:val="764D5571"/>
    <w:rsid w:val="766537ED"/>
    <w:rsid w:val="76682F7A"/>
    <w:rsid w:val="766A1C7F"/>
    <w:rsid w:val="766A7EC3"/>
    <w:rsid w:val="76735D63"/>
    <w:rsid w:val="767945B8"/>
    <w:rsid w:val="7680603B"/>
    <w:rsid w:val="76830F93"/>
    <w:rsid w:val="768371E5"/>
    <w:rsid w:val="76927450"/>
    <w:rsid w:val="76944BF2"/>
    <w:rsid w:val="769907B6"/>
    <w:rsid w:val="769B54C8"/>
    <w:rsid w:val="76A72ED3"/>
    <w:rsid w:val="76AA29C3"/>
    <w:rsid w:val="76AC2297"/>
    <w:rsid w:val="76B928AB"/>
    <w:rsid w:val="76BD26BC"/>
    <w:rsid w:val="76BF021D"/>
    <w:rsid w:val="76C03F95"/>
    <w:rsid w:val="76C05D43"/>
    <w:rsid w:val="76C26D16"/>
    <w:rsid w:val="76C577FD"/>
    <w:rsid w:val="76C76129"/>
    <w:rsid w:val="76CB4FE2"/>
    <w:rsid w:val="76D079EC"/>
    <w:rsid w:val="76DA1054"/>
    <w:rsid w:val="76DD4B47"/>
    <w:rsid w:val="76E25CB9"/>
    <w:rsid w:val="76E94FCC"/>
    <w:rsid w:val="76F7737E"/>
    <w:rsid w:val="770059EF"/>
    <w:rsid w:val="77020109"/>
    <w:rsid w:val="77083569"/>
    <w:rsid w:val="770C262E"/>
    <w:rsid w:val="770F2826"/>
    <w:rsid w:val="771439B4"/>
    <w:rsid w:val="771A7603"/>
    <w:rsid w:val="771D13E7"/>
    <w:rsid w:val="771F0CBB"/>
    <w:rsid w:val="77266D5B"/>
    <w:rsid w:val="772A4F34"/>
    <w:rsid w:val="77343640"/>
    <w:rsid w:val="773521BD"/>
    <w:rsid w:val="77400721"/>
    <w:rsid w:val="77432967"/>
    <w:rsid w:val="77453DA3"/>
    <w:rsid w:val="774677D5"/>
    <w:rsid w:val="77470212"/>
    <w:rsid w:val="77560455"/>
    <w:rsid w:val="775766A7"/>
    <w:rsid w:val="77664B3C"/>
    <w:rsid w:val="7767447D"/>
    <w:rsid w:val="776808B4"/>
    <w:rsid w:val="776A0B8D"/>
    <w:rsid w:val="77703019"/>
    <w:rsid w:val="77762421"/>
    <w:rsid w:val="777811D4"/>
    <w:rsid w:val="77836141"/>
    <w:rsid w:val="77844FC2"/>
    <w:rsid w:val="77876861"/>
    <w:rsid w:val="778E46AA"/>
    <w:rsid w:val="779416A9"/>
    <w:rsid w:val="77976DD6"/>
    <w:rsid w:val="7798281C"/>
    <w:rsid w:val="779C4929"/>
    <w:rsid w:val="779F59E3"/>
    <w:rsid w:val="77A13DC6"/>
    <w:rsid w:val="77A1474F"/>
    <w:rsid w:val="77A8708E"/>
    <w:rsid w:val="77AD276B"/>
    <w:rsid w:val="77AD62C7"/>
    <w:rsid w:val="77B21B30"/>
    <w:rsid w:val="77B56B1F"/>
    <w:rsid w:val="77BC77E7"/>
    <w:rsid w:val="77BF424C"/>
    <w:rsid w:val="77C3377A"/>
    <w:rsid w:val="77C577DB"/>
    <w:rsid w:val="77D45F4A"/>
    <w:rsid w:val="77DA1086"/>
    <w:rsid w:val="77DE2925"/>
    <w:rsid w:val="77E05325"/>
    <w:rsid w:val="77E12415"/>
    <w:rsid w:val="77E403A0"/>
    <w:rsid w:val="77E5746E"/>
    <w:rsid w:val="77E65C7D"/>
    <w:rsid w:val="77E8008A"/>
    <w:rsid w:val="77EC482E"/>
    <w:rsid w:val="77EE17B1"/>
    <w:rsid w:val="77EF4B32"/>
    <w:rsid w:val="77EF68E0"/>
    <w:rsid w:val="77F2017E"/>
    <w:rsid w:val="77F40FB7"/>
    <w:rsid w:val="77F75794"/>
    <w:rsid w:val="78000AED"/>
    <w:rsid w:val="7800708B"/>
    <w:rsid w:val="7802777D"/>
    <w:rsid w:val="780305DD"/>
    <w:rsid w:val="780619A0"/>
    <w:rsid w:val="780C2DEC"/>
    <w:rsid w:val="780D5B39"/>
    <w:rsid w:val="780F09F4"/>
    <w:rsid w:val="781E5417"/>
    <w:rsid w:val="78267E28"/>
    <w:rsid w:val="783023F4"/>
    <w:rsid w:val="78322C70"/>
    <w:rsid w:val="78340796"/>
    <w:rsid w:val="78392094"/>
    <w:rsid w:val="783C589D"/>
    <w:rsid w:val="783F69DF"/>
    <w:rsid w:val="784941AA"/>
    <w:rsid w:val="784B5B0C"/>
    <w:rsid w:val="784C5483"/>
    <w:rsid w:val="78546FDB"/>
    <w:rsid w:val="7855070D"/>
    <w:rsid w:val="78560867"/>
    <w:rsid w:val="785901FD"/>
    <w:rsid w:val="786279D0"/>
    <w:rsid w:val="78663703"/>
    <w:rsid w:val="787B4617"/>
    <w:rsid w:val="787E1A12"/>
    <w:rsid w:val="788929D8"/>
    <w:rsid w:val="788C0F3B"/>
    <w:rsid w:val="788D72A3"/>
    <w:rsid w:val="78931BCD"/>
    <w:rsid w:val="78997F6D"/>
    <w:rsid w:val="78A411DB"/>
    <w:rsid w:val="78A551F0"/>
    <w:rsid w:val="78A90480"/>
    <w:rsid w:val="78AC2A23"/>
    <w:rsid w:val="78AD22F7"/>
    <w:rsid w:val="78B638A1"/>
    <w:rsid w:val="78B80D62"/>
    <w:rsid w:val="78BB0EB8"/>
    <w:rsid w:val="78C113F3"/>
    <w:rsid w:val="78C43B9A"/>
    <w:rsid w:val="78CC2258"/>
    <w:rsid w:val="78CF04BF"/>
    <w:rsid w:val="78CF226D"/>
    <w:rsid w:val="78CF3981"/>
    <w:rsid w:val="78CF6711"/>
    <w:rsid w:val="78D14237"/>
    <w:rsid w:val="78D3568E"/>
    <w:rsid w:val="78D40EC2"/>
    <w:rsid w:val="78D43D28"/>
    <w:rsid w:val="78D7301B"/>
    <w:rsid w:val="78DA6BAA"/>
    <w:rsid w:val="78E0091E"/>
    <w:rsid w:val="78E676C0"/>
    <w:rsid w:val="78E804B2"/>
    <w:rsid w:val="78E81443"/>
    <w:rsid w:val="78EA7BAF"/>
    <w:rsid w:val="78EB5EB3"/>
    <w:rsid w:val="78F1120A"/>
    <w:rsid w:val="78F425F8"/>
    <w:rsid w:val="78F9378E"/>
    <w:rsid w:val="78F95039"/>
    <w:rsid w:val="79004008"/>
    <w:rsid w:val="79020658"/>
    <w:rsid w:val="7904460D"/>
    <w:rsid w:val="791079EB"/>
    <w:rsid w:val="79183C14"/>
    <w:rsid w:val="791B54B2"/>
    <w:rsid w:val="79206D02"/>
    <w:rsid w:val="79224A93"/>
    <w:rsid w:val="79257C48"/>
    <w:rsid w:val="79273628"/>
    <w:rsid w:val="792C3B64"/>
    <w:rsid w:val="793842B6"/>
    <w:rsid w:val="793D367B"/>
    <w:rsid w:val="79415ED0"/>
    <w:rsid w:val="79440EAD"/>
    <w:rsid w:val="794964C4"/>
    <w:rsid w:val="79501191"/>
    <w:rsid w:val="79645483"/>
    <w:rsid w:val="796E1A86"/>
    <w:rsid w:val="796E3278"/>
    <w:rsid w:val="796E798B"/>
    <w:rsid w:val="797177C8"/>
    <w:rsid w:val="79764DDF"/>
    <w:rsid w:val="797C64B0"/>
    <w:rsid w:val="798175E5"/>
    <w:rsid w:val="79A100AE"/>
    <w:rsid w:val="79A22FCC"/>
    <w:rsid w:val="79A33E26"/>
    <w:rsid w:val="79A47B9E"/>
    <w:rsid w:val="79B06543"/>
    <w:rsid w:val="79BF19B6"/>
    <w:rsid w:val="79C21DD2"/>
    <w:rsid w:val="79CE69C9"/>
    <w:rsid w:val="79D03B0F"/>
    <w:rsid w:val="79D51B05"/>
    <w:rsid w:val="79D57D57"/>
    <w:rsid w:val="79D7587D"/>
    <w:rsid w:val="79D815F5"/>
    <w:rsid w:val="79DE46D7"/>
    <w:rsid w:val="79FE105C"/>
    <w:rsid w:val="7A094344"/>
    <w:rsid w:val="7A0B380B"/>
    <w:rsid w:val="7A1940E8"/>
    <w:rsid w:val="7A22278A"/>
    <w:rsid w:val="7A232871"/>
    <w:rsid w:val="7A2A25EE"/>
    <w:rsid w:val="7A2B1D62"/>
    <w:rsid w:val="7A322657"/>
    <w:rsid w:val="7A364017"/>
    <w:rsid w:val="7A3736D3"/>
    <w:rsid w:val="7A3A5E0C"/>
    <w:rsid w:val="7A3B22B0"/>
    <w:rsid w:val="7A44638C"/>
    <w:rsid w:val="7A49604F"/>
    <w:rsid w:val="7A4D5B40"/>
    <w:rsid w:val="7A4E463A"/>
    <w:rsid w:val="7A551C2F"/>
    <w:rsid w:val="7A5522A6"/>
    <w:rsid w:val="7A5C314A"/>
    <w:rsid w:val="7A5D252C"/>
    <w:rsid w:val="7A6E38A0"/>
    <w:rsid w:val="7A7A445B"/>
    <w:rsid w:val="7A7E3F4B"/>
    <w:rsid w:val="7A8265E1"/>
    <w:rsid w:val="7A837B94"/>
    <w:rsid w:val="7A860D31"/>
    <w:rsid w:val="7A8A28F0"/>
    <w:rsid w:val="7A8C5617"/>
    <w:rsid w:val="7A922676"/>
    <w:rsid w:val="7A923E9A"/>
    <w:rsid w:val="7A96424F"/>
    <w:rsid w:val="7A9674E6"/>
    <w:rsid w:val="7AA06976"/>
    <w:rsid w:val="7AA8546C"/>
    <w:rsid w:val="7AAA042A"/>
    <w:rsid w:val="7AAC0AB8"/>
    <w:rsid w:val="7AAD2296"/>
    <w:rsid w:val="7ABB58A9"/>
    <w:rsid w:val="7AC3318A"/>
    <w:rsid w:val="7AC64AA5"/>
    <w:rsid w:val="7AC95903"/>
    <w:rsid w:val="7AD47ACF"/>
    <w:rsid w:val="7AD53024"/>
    <w:rsid w:val="7AD7365B"/>
    <w:rsid w:val="7AE26DAA"/>
    <w:rsid w:val="7AED2E7F"/>
    <w:rsid w:val="7AF406B1"/>
    <w:rsid w:val="7AFB1A3F"/>
    <w:rsid w:val="7B0C47DA"/>
    <w:rsid w:val="7B1B3AB6"/>
    <w:rsid w:val="7B1B79EC"/>
    <w:rsid w:val="7B1D3764"/>
    <w:rsid w:val="7B242D44"/>
    <w:rsid w:val="7B25086A"/>
    <w:rsid w:val="7B262C34"/>
    <w:rsid w:val="7B2C328B"/>
    <w:rsid w:val="7B2E5971"/>
    <w:rsid w:val="7B2F0CBD"/>
    <w:rsid w:val="7B3C1689"/>
    <w:rsid w:val="7B3F4283"/>
    <w:rsid w:val="7B4B77A3"/>
    <w:rsid w:val="7B500299"/>
    <w:rsid w:val="7B503531"/>
    <w:rsid w:val="7B594FCC"/>
    <w:rsid w:val="7B5B603A"/>
    <w:rsid w:val="7B5C6939"/>
    <w:rsid w:val="7B635E88"/>
    <w:rsid w:val="7B686D42"/>
    <w:rsid w:val="7B6A7E1A"/>
    <w:rsid w:val="7B75534E"/>
    <w:rsid w:val="7B827A6B"/>
    <w:rsid w:val="7B841746"/>
    <w:rsid w:val="7B9D6653"/>
    <w:rsid w:val="7BA21EBB"/>
    <w:rsid w:val="7BA304F0"/>
    <w:rsid w:val="7BA774D1"/>
    <w:rsid w:val="7BB10350"/>
    <w:rsid w:val="7BB221D7"/>
    <w:rsid w:val="7BB5399C"/>
    <w:rsid w:val="7BB74544"/>
    <w:rsid w:val="7BB87071"/>
    <w:rsid w:val="7BBA159E"/>
    <w:rsid w:val="7BBF13B3"/>
    <w:rsid w:val="7BBF2A6D"/>
    <w:rsid w:val="7BC23531"/>
    <w:rsid w:val="7BC462D5"/>
    <w:rsid w:val="7BCF7586"/>
    <w:rsid w:val="7BD1454E"/>
    <w:rsid w:val="7BD52290"/>
    <w:rsid w:val="7BDA440B"/>
    <w:rsid w:val="7BE40725"/>
    <w:rsid w:val="7BE6299D"/>
    <w:rsid w:val="7BE95D3C"/>
    <w:rsid w:val="7BEA3628"/>
    <w:rsid w:val="7BF2699E"/>
    <w:rsid w:val="7BFD34AD"/>
    <w:rsid w:val="7C04092D"/>
    <w:rsid w:val="7C077F70"/>
    <w:rsid w:val="7C0C417E"/>
    <w:rsid w:val="7C120DEF"/>
    <w:rsid w:val="7C122B9D"/>
    <w:rsid w:val="7C124AED"/>
    <w:rsid w:val="7C1D7794"/>
    <w:rsid w:val="7C1F6EE0"/>
    <w:rsid w:val="7C267368"/>
    <w:rsid w:val="7C2A25DC"/>
    <w:rsid w:val="7C3513D5"/>
    <w:rsid w:val="7C3A6CCC"/>
    <w:rsid w:val="7C3B232D"/>
    <w:rsid w:val="7C4F3DF1"/>
    <w:rsid w:val="7C4F582A"/>
    <w:rsid w:val="7C510CBF"/>
    <w:rsid w:val="7C573CB5"/>
    <w:rsid w:val="7C583A7F"/>
    <w:rsid w:val="7C5D6DD4"/>
    <w:rsid w:val="7C601F61"/>
    <w:rsid w:val="7C6C5AC7"/>
    <w:rsid w:val="7C7302D4"/>
    <w:rsid w:val="7C745605"/>
    <w:rsid w:val="7C7E6484"/>
    <w:rsid w:val="7C835849"/>
    <w:rsid w:val="7C857813"/>
    <w:rsid w:val="7C8617DD"/>
    <w:rsid w:val="7C990E17"/>
    <w:rsid w:val="7C9C0889"/>
    <w:rsid w:val="7CA0289E"/>
    <w:rsid w:val="7CA11962"/>
    <w:rsid w:val="7CAA731F"/>
    <w:rsid w:val="7CAE3639"/>
    <w:rsid w:val="7CAE37FE"/>
    <w:rsid w:val="7CB63E70"/>
    <w:rsid w:val="7CB95EE4"/>
    <w:rsid w:val="7CBA4636"/>
    <w:rsid w:val="7CC540B3"/>
    <w:rsid w:val="7CC55E61"/>
    <w:rsid w:val="7CC5620D"/>
    <w:rsid w:val="7CC6544B"/>
    <w:rsid w:val="7CCA16C9"/>
    <w:rsid w:val="7CD4134B"/>
    <w:rsid w:val="7CE0713F"/>
    <w:rsid w:val="7CED7166"/>
    <w:rsid w:val="7CF3630F"/>
    <w:rsid w:val="7CF4115F"/>
    <w:rsid w:val="7CF46746"/>
    <w:rsid w:val="7CFA4FEC"/>
    <w:rsid w:val="7D0239FF"/>
    <w:rsid w:val="7D0335AA"/>
    <w:rsid w:val="7D056BA5"/>
    <w:rsid w:val="7D0D7808"/>
    <w:rsid w:val="7D10781E"/>
    <w:rsid w:val="7D11222D"/>
    <w:rsid w:val="7D11554A"/>
    <w:rsid w:val="7D14662D"/>
    <w:rsid w:val="7D1868D9"/>
    <w:rsid w:val="7D1B1F25"/>
    <w:rsid w:val="7D1D49F8"/>
    <w:rsid w:val="7D1F7C67"/>
    <w:rsid w:val="7D20753B"/>
    <w:rsid w:val="7D230DDA"/>
    <w:rsid w:val="7D233734"/>
    <w:rsid w:val="7D24527D"/>
    <w:rsid w:val="7D2A03BA"/>
    <w:rsid w:val="7D2C4DB9"/>
    <w:rsid w:val="7D377BC1"/>
    <w:rsid w:val="7D383C2E"/>
    <w:rsid w:val="7D3B093C"/>
    <w:rsid w:val="7D3B4375"/>
    <w:rsid w:val="7D3E79C1"/>
    <w:rsid w:val="7D4476CE"/>
    <w:rsid w:val="7D454631"/>
    <w:rsid w:val="7D464AE5"/>
    <w:rsid w:val="7D470F6C"/>
    <w:rsid w:val="7D4A288D"/>
    <w:rsid w:val="7D4A45B8"/>
    <w:rsid w:val="7D511DEB"/>
    <w:rsid w:val="7D5D67AE"/>
    <w:rsid w:val="7D5E40CD"/>
    <w:rsid w:val="7D660289"/>
    <w:rsid w:val="7D6640CF"/>
    <w:rsid w:val="7D6905A3"/>
    <w:rsid w:val="7D6B6AB1"/>
    <w:rsid w:val="7D7B29C4"/>
    <w:rsid w:val="7D7B6E68"/>
    <w:rsid w:val="7D7D04EA"/>
    <w:rsid w:val="7D821FA4"/>
    <w:rsid w:val="7D845D1C"/>
    <w:rsid w:val="7D84688F"/>
    <w:rsid w:val="7D8C697F"/>
    <w:rsid w:val="7D913835"/>
    <w:rsid w:val="7D9307C8"/>
    <w:rsid w:val="7D983576"/>
    <w:rsid w:val="7D9B3066"/>
    <w:rsid w:val="7DA97531"/>
    <w:rsid w:val="7DAC1673"/>
    <w:rsid w:val="7DAD6236"/>
    <w:rsid w:val="7DBA173E"/>
    <w:rsid w:val="7DBA6297"/>
    <w:rsid w:val="7DBB6537"/>
    <w:rsid w:val="7DBE1F18"/>
    <w:rsid w:val="7DC15CCA"/>
    <w:rsid w:val="7DCB56F9"/>
    <w:rsid w:val="7DCC327D"/>
    <w:rsid w:val="7DCD56F2"/>
    <w:rsid w:val="7DCF0C59"/>
    <w:rsid w:val="7DE467BB"/>
    <w:rsid w:val="7DE642E1"/>
    <w:rsid w:val="7DE94C40"/>
    <w:rsid w:val="7DEB5F33"/>
    <w:rsid w:val="7DF50D1F"/>
    <w:rsid w:val="7DF95A79"/>
    <w:rsid w:val="7DFE7056"/>
    <w:rsid w:val="7E01736D"/>
    <w:rsid w:val="7E10135E"/>
    <w:rsid w:val="7E1273BF"/>
    <w:rsid w:val="7E160190"/>
    <w:rsid w:val="7E186464"/>
    <w:rsid w:val="7E186DC5"/>
    <w:rsid w:val="7E1A2A46"/>
    <w:rsid w:val="7E1B25DC"/>
    <w:rsid w:val="7E1E7F1F"/>
    <w:rsid w:val="7E220446"/>
    <w:rsid w:val="7E2272E3"/>
    <w:rsid w:val="7E237E00"/>
    <w:rsid w:val="7E265025"/>
    <w:rsid w:val="7E2F2D4F"/>
    <w:rsid w:val="7E307C52"/>
    <w:rsid w:val="7E337682"/>
    <w:rsid w:val="7E41481C"/>
    <w:rsid w:val="7E4342F8"/>
    <w:rsid w:val="7E451B53"/>
    <w:rsid w:val="7E451C31"/>
    <w:rsid w:val="7E461430"/>
    <w:rsid w:val="7E472873"/>
    <w:rsid w:val="7E481426"/>
    <w:rsid w:val="7E492AC2"/>
    <w:rsid w:val="7E4B1B41"/>
    <w:rsid w:val="7E4E0695"/>
    <w:rsid w:val="7E5F08B5"/>
    <w:rsid w:val="7E655B4E"/>
    <w:rsid w:val="7E66701A"/>
    <w:rsid w:val="7E676E21"/>
    <w:rsid w:val="7E706C95"/>
    <w:rsid w:val="7E747B3F"/>
    <w:rsid w:val="7E770B5E"/>
    <w:rsid w:val="7E8C0464"/>
    <w:rsid w:val="7E8D29AE"/>
    <w:rsid w:val="7E92027A"/>
    <w:rsid w:val="7E941C20"/>
    <w:rsid w:val="7E9957F7"/>
    <w:rsid w:val="7EA02FAD"/>
    <w:rsid w:val="7EA36676"/>
    <w:rsid w:val="7EA81185"/>
    <w:rsid w:val="7EAD4DFF"/>
    <w:rsid w:val="7EAE295B"/>
    <w:rsid w:val="7EB138C0"/>
    <w:rsid w:val="7EB268B9"/>
    <w:rsid w:val="7EB42631"/>
    <w:rsid w:val="7EBD073B"/>
    <w:rsid w:val="7EBE2209"/>
    <w:rsid w:val="7EC06D5B"/>
    <w:rsid w:val="7EC64112"/>
    <w:rsid w:val="7EC64429"/>
    <w:rsid w:val="7ED22BF9"/>
    <w:rsid w:val="7EDE0821"/>
    <w:rsid w:val="7EDF2CD5"/>
    <w:rsid w:val="7EE051D4"/>
    <w:rsid w:val="7EE546FB"/>
    <w:rsid w:val="7EE7641A"/>
    <w:rsid w:val="7EE911B1"/>
    <w:rsid w:val="7EED5B43"/>
    <w:rsid w:val="7EF40C80"/>
    <w:rsid w:val="7EF649F8"/>
    <w:rsid w:val="7EF66A44"/>
    <w:rsid w:val="7F001CE7"/>
    <w:rsid w:val="7F0864D9"/>
    <w:rsid w:val="7F0E192E"/>
    <w:rsid w:val="7F10538E"/>
    <w:rsid w:val="7F192494"/>
    <w:rsid w:val="7F1A7C97"/>
    <w:rsid w:val="7F2302E3"/>
    <w:rsid w:val="7F2D5F40"/>
    <w:rsid w:val="7F345520"/>
    <w:rsid w:val="7F3834E8"/>
    <w:rsid w:val="7F3C16DC"/>
    <w:rsid w:val="7F3D43D5"/>
    <w:rsid w:val="7F405C73"/>
    <w:rsid w:val="7F42025C"/>
    <w:rsid w:val="7F5160D2"/>
    <w:rsid w:val="7F5563EB"/>
    <w:rsid w:val="7F6000C3"/>
    <w:rsid w:val="7F600EB3"/>
    <w:rsid w:val="7F66100E"/>
    <w:rsid w:val="7F6A0F42"/>
    <w:rsid w:val="7F7555AB"/>
    <w:rsid w:val="7F7F0670"/>
    <w:rsid w:val="7F7F41A0"/>
    <w:rsid w:val="7F805353"/>
    <w:rsid w:val="7F8246FF"/>
    <w:rsid w:val="7F85072D"/>
    <w:rsid w:val="7F871AF4"/>
    <w:rsid w:val="7F875650"/>
    <w:rsid w:val="7F8A71EF"/>
    <w:rsid w:val="7F8C710A"/>
    <w:rsid w:val="7F912972"/>
    <w:rsid w:val="7F964E72"/>
    <w:rsid w:val="7F983D01"/>
    <w:rsid w:val="7F9F6E3D"/>
    <w:rsid w:val="7FA30D65"/>
    <w:rsid w:val="7FA4233C"/>
    <w:rsid w:val="7FA8521B"/>
    <w:rsid w:val="7FAC3308"/>
    <w:rsid w:val="7FAC50B6"/>
    <w:rsid w:val="7FAE25C3"/>
    <w:rsid w:val="7FB25A06"/>
    <w:rsid w:val="7FB36445"/>
    <w:rsid w:val="7FB56661"/>
    <w:rsid w:val="7FBB179D"/>
    <w:rsid w:val="7FBB79EF"/>
    <w:rsid w:val="7FBD5515"/>
    <w:rsid w:val="7FBF128D"/>
    <w:rsid w:val="7FC03F88"/>
    <w:rsid w:val="7FC317C7"/>
    <w:rsid w:val="7FC95C68"/>
    <w:rsid w:val="7FCC1916"/>
    <w:rsid w:val="7FCC39AA"/>
    <w:rsid w:val="7FCF022D"/>
    <w:rsid w:val="7FD50AB1"/>
    <w:rsid w:val="7FD92A36"/>
    <w:rsid w:val="7FDA0D07"/>
    <w:rsid w:val="7FE47E50"/>
    <w:rsid w:val="7FEB2083"/>
    <w:rsid w:val="7FF30F37"/>
    <w:rsid w:val="7FF4427A"/>
    <w:rsid w:val="7FF6692D"/>
    <w:rsid w:val="7FFA4074"/>
    <w:rsid w:val="7FFD5912"/>
    <w:rsid w:val="7FFE4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9" w:semiHidden="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iPriority="39" w:semiHidden="0" w:name="toc 2" w:locked="1"/>
    <w:lsdException w:qFormat="1" w:unhideWhenUsed="0" w:uiPriority="0" w:semiHidden="0" w:name="toc 3" w:locked="1"/>
    <w:lsdException w:qFormat="1" w:uiPriority="39"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iPriority="99"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qFormat="1"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5">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link w:val="51"/>
    <w:autoRedefine/>
    <w:qFormat/>
    <w:locked/>
    <w:uiPriority w:val="0"/>
    <w:pPr>
      <w:keepNext/>
      <w:keepLines/>
      <w:spacing w:before="260" w:after="260" w:line="416" w:lineRule="auto"/>
      <w:outlineLvl w:val="1"/>
    </w:pPr>
    <w:rPr>
      <w:rFonts w:ascii="Calibri Light" w:hAnsi="Calibri Light"/>
      <w:b/>
      <w:bCs/>
      <w:sz w:val="32"/>
      <w:szCs w:val="32"/>
    </w:rPr>
  </w:style>
  <w:style w:type="paragraph" w:styleId="7">
    <w:name w:val="heading 3"/>
    <w:basedOn w:val="1"/>
    <w:next w:val="1"/>
    <w:link w:val="117"/>
    <w:autoRedefine/>
    <w:qFormat/>
    <w:locked/>
    <w:uiPriority w:val="0"/>
    <w:pPr>
      <w:keepNext/>
      <w:keepLines/>
      <w:spacing w:before="260" w:after="260" w:line="416" w:lineRule="auto"/>
      <w:outlineLvl w:val="2"/>
    </w:pPr>
    <w:rPr>
      <w:b/>
      <w:bCs/>
      <w:sz w:val="32"/>
      <w:szCs w:val="32"/>
    </w:rPr>
  </w:style>
  <w:style w:type="paragraph" w:styleId="8">
    <w:name w:val="heading 4"/>
    <w:basedOn w:val="1"/>
    <w:next w:val="1"/>
    <w:autoRedefine/>
    <w:qFormat/>
    <w:locked/>
    <w:uiPriority w:val="0"/>
    <w:pPr>
      <w:spacing w:line="360" w:lineRule="auto"/>
      <w:ind w:firstLine="824" w:firstLineChars="200"/>
      <w:outlineLvl w:val="3"/>
    </w:pPr>
    <w:rPr>
      <w:b/>
      <w:kern w:val="0"/>
      <w:szCs w:val="20"/>
    </w:rPr>
  </w:style>
  <w:style w:type="paragraph" w:styleId="9">
    <w:name w:val="heading 6"/>
    <w:basedOn w:val="1"/>
    <w:next w:val="1"/>
    <w:autoRedefine/>
    <w:unhideWhenUsed/>
    <w:qFormat/>
    <w:locked/>
    <w:uiPriority w:val="9"/>
    <w:pPr>
      <w:outlineLvl w:val="5"/>
    </w:pPr>
  </w:style>
  <w:style w:type="character" w:default="1" w:styleId="39">
    <w:name w:val="Default Paragraph Font"/>
    <w:autoRedefine/>
    <w:semiHidden/>
    <w:unhideWhenUsed/>
    <w:qFormat/>
    <w:uiPriority w:val="1"/>
  </w:style>
  <w:style w:type="table" w:default="1" w:styleId="36">
    <w:name w:val="Normal Table"/>
    <w:autoRedefine/>
    <w:semiHidden/>
    <w:unhideWhenUsed/>
    <w:qFormat/>
    <w:uiPriority w:val="99"/>
    <w:tblPr>
      <w:tblCellMar>
        <w:top w:w="0" w:type="dxa"/>
        <w:left w:w="108" w:type="dxa"/>
        <w:bottom w:w="0" w:type="dxa"/>
        <w:right w:w="108" w:type="dxa"/>
      </w:tblCellMar>
    </w:tblPr>
  </w:style>
  <w:style w:type="paragraph" w:customStyle="1" w:styleId="2">
    <w:name w:val="Default"/>
    <w:basedOn w:val="3"/>
    <w:next w:val="4"/>
    <w:link w:val="63"/>
    <w:autoRedefine/>
    <w:qFormat/>
    <w:uiPriority w:val="0"/>
    <w:pPr>
      <w:autoSpaceDE w:val="0"/>
      <w:autoSpaceDN w:val="0"/>
      <w:adjustRightInd w:val="0"/>
    </w:pPr>
    <w:rPr>
      <w:rFonts w:cs="宋体"/>
      <w:color w:val="000000"/>
    </w:rPr>
  </w:style>
  <w:style w:type="paragraph" w:customStyle="1" w:styleId="3">
    <w:name w:val="纯文本1"/>
    <w:basedOn w:val="1"/>
    <w:autoRedefine/>
    <w:qFormat/>
    <w:uiPriority w:val="0"/>
    <w:rPr>
      <w:rFonts w:ascii="宋体" w:hAnsi="Courier New"/>
    </w:rPr>
  </w:style>
  <w:style w:type="paragraph" w:customStyle="1" w:styleId="4">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styleId="10">
    <w:name w:val="Normal Indent"/>
    <w:basedOn w:val="1"/>
    <w:next w:val="11"/>
    <w:link w:val="52"/>
    <w:autoRedefine/>
    <w:qFormat/>
    <w:locked/>
    <w:uiPriority w:val="0"/>
    <w:pPr>
      <w:widowControl/>
      <w:ind w:firstLine="420"/>
      <w:jc w:val="left"/>
    </w:pPr>
    <w:rPr>
      <w:rFonts w:eastAsia="华文中宋"/>
      <w:w w:val="90"/>
      <w:kern w:val="0"/>
      <w:sz w:val="28"/>
      <w:szCs w:val="20"/>
    </w:rPr>
  </w:style>
  <w:style w:type="paragraph" w:customStyle="1" w:styleId="11">
    <w:name w:val="样式 标题 2 + 三号1"/>
    <w:basedOn w:val="6"/>
    <w:next w:val="1"/>
    <w:autoRedefine/>
    <w:qFormat/>
    <w:uiPriority w:val="99"/>
    <w:pPr>
      <w:numPr>
        <w:ilvl w:val="0"/>
        <w:numId w:val="1"/>
      </w:numPr>
      <w:tabs>
        <w:tab w:val="left" w:pos="510"/>
        <w:tab w:val="left" w:pos="576"/>
        <w:tab w:val="left" w:pos="718"/>
      </w:tabs>
      <w:spacing w:line="480" w:lineRule="auto"/>
      <w:ind w:left="718"/>
    </w:pPr>
    <w:rPr>
      <w:rFonts w:ascii="宋体" w:hAnsi="宋体" w:eastAsia="黑体"/>
      <w:szCs w:val="24"/>
    </w:rPr>
  </w:style>
  <w:style w:type="paragraph" w:styleId="12">
    <w:name w:val="caption"/>
    <w:basedOn w:val="1"/>
    <w:next w:val="1"/>
    <w:autoRedefine/>
    <w:qFormat/>
    <w:locked/>
    <w:uiPriority w:val="0"/>
    <w:pPr>
      <w:keepNext/>
      <w:keepLines/>
      <w:pageBreakBefore/>
      <w:spacing w:before="50" w:beforeLines="50"/>
      <w:jc w:val="center"/>
    </w:pPr>
    <w:rPr>
      <w:b/>
    </w:rPr>
  </w:style>
  <w:style w:type="paragraph" w:styleId="13">
    <w:name w:val="annotation text"/>
    <w:basedOn w:val="1"/>
    <w:link w:val="53"/>
    <w:autoRedefine/>
    <w:qFormat/>
    <w:uiPriority w:val="99"/>
    <w:pPr>
      <w:jc w:val="left"/>
    </w:pPr>
    <w:rPr>
      <w:kern w:val="0"/>
      <w:szCs w:val="20"/>
    </w:rPr>
  </w:style>
  <w:style w:type="paragraph" w:styleId="14">
    <w:name w:val="Body Text"/>
    <w:basedOn w:val="1"/>
    <w:next w:val="15"/>
    <w:link w:val="49"/>
    <w:autoRedefine/>
    <w:qFormat/>
    <w:uiPriority w:val="0"/>
    <w:pPr>
      <w:widowControl/>
      <w:snapToGrid w:val="0"/>
      <w:spacing w:before="60" w:after="160" w:line="259" w:lineRule="auto"/>
      <w:ind w:right="113"/>
    </w:pPr>
    <w:rPr>
      <w:kern w:val="0"/>
      <w:sz w:val="18"/>
      <w:szCs w:val="20"/>
    </w:rPr>
  </w:style>
  <w:style w:type="paragraph" w:customStyle="1" w:styleId="15">
    <w:name w:val="xl27"/>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eastAsia="新宋体-18030" w:cs="新宋体-18030"/>
      <w:kern w:val="0"/>
    </w:rPr>
  </w:style>
  <w:style w:type="paragraph" w:styleId="16">
    <w:name w:val="Body Text Indent"/>
    <w:basedOn w:val="1"/>
    <w:link w:val="48"/>
    <w:autoRedefine/>
    <w:qFormat/>
    <w:uiPriority w:val="0"/>
    <w:pPr>
      <w:spacing w:after="120"/>
      <w:ind w:left="420" w:leftChars="200"/>
    </w:pPr>
    <w:rPr>
      <w:kern w:val="0"/>
      <w:szCs w:val="20"/>
    </w:rPr>
  </w:style>
  <w:style w:type="paragraph" w:styleId="17">
    <w:name w:val="Block Text"/>
    <w:basedOn w:val="1"/>
    <w:autoRedefine/>
    <w:qFormat/>
    <w:locked/>
    <w:uiPriority w:val="0"/>
    <w:pPr>
      <w:widowControl/>
      <w:tabs>
        <w:tab w:val="left" w:pos="8020"/>
      </w:tabs>
      <w:spacing w:line="440" w:lineRule="exact"/>
      <w:ind w:left="113" w:right="113" w:firstLine="567"/>
    </w:pPr>
    <w:rPr>
      <w:rFonts w:ascii="仿宋_GB2312" w:eastAsia="仿宋_GB2312"/>
      <w:kern w:val="0"/>
      <w:sz w:val="28"/>
      <w:szCs w:val="20"/>
    </w:rPr>
  </w:style>
  <w:style w:type="paragraph" w:styleId="18">
    <w:name w:val="toc 3"/>
    <w:basedOn w:val="1"/>
    <w:next w:val="1"/>
    <w:autoRedefine/>
    <w:qFormat/>
    <w:locked/>
    <w:uiPriority w:val="0"/>
    <w:pPr>
      <w:ind w:left="840" w:leftChars="400"/>
    </w:pPr>
  </w:style>
  <w:style w:type="paragraph" w:styleId="19">
    <w:name w:val="Plain Text"/>
    <w:basedOn w:val="1"/>
    <w:autoRedefine/>
    <w:qFormat/>
    <w:locked/>
    <w:uiPriority w:val="0"/>
    <w:rPr>
      <w:rFonts w:ascii="宋体" w:hAnsi="Courier New"/>
      <w:sz w:val="20"/>
      <w:szCs w:val="20"/>
    </w:rPr>
  </w:style>
  <w:style w:type="paragraph" w:styleId="20">
    <w:name w:val="Date"/>
    <w:basedOn w:val="1"/>
    <w:next w:val="1"/>
    <w:link w:val="54"/>
    <w:autoRedefine/>
    <w:qFormat/>
    <w:uiPriority w:val="0"/>
    <w:pPr>
      <w:ind w:left="100" w:leftChars="2500"/>
    </w:pPr>
    <w:rPr>
      <w:kern w:val="0"/>
      <w:szCs w:val="20"/>
    </w:rPr>
  </w:style>
  <w:style w:type="paragraph" w:styleId="21">
    <w:name w:val="Body Text Indent 2"/>
    <w:basedOn w:val="1"/>
    <w:next w:val="1"/>
    <w:autoRedefine/>
    <w:qFormat/>
    <w:locked/>
    <w:uiPriority w:val="0"/>
    <w:pPr>
      <w:ind w:firstLine="720" w:firstLineChars="225"/>
    </w:pPr>
    <w:rPr>
      <w:rFonts w:ascii="华文仿宋" w:hAnsi="华文仿宋" w:eastAsia="华文仿宋"/>
      <w:sz w:val="32"/>
    </w:rPr>
  </w:style>
  <w:style w:type="paragraph" w:styleId="22">
    <w:name w:val="Balloon Text"/>
    <w:basedOn w:val="1"/>
    <w:link w:val="55"/>
    <w:autoRedefine/>
    <w:semiHidden/>
    <w:qFormat/>
    <w:uiPriority w:val="0"/>
    <w:rPr>
      <w:kern w:val="0"/>
      <w:sz w:val="18"/>
      <w:szCs w:val="20"/>
    </w:rPr>
  </w:style>
  <w:style w:type="paragraph" w:styleId="23">
    <w:name w:val="footer"/>
    <w:basedOn w:val="1"/>
    <w:link w:val="56"/>
    <w:autoRedefine/>
    <w:qFormat/>
    <w:uiPriority w:val="99"/>
    <w:pPr>
      <w:tabs>
        <w:tab w:val="center" w:pos="4153"/>
        <w:tab w:val="right" w:pos="8306"/>
      </w:tabs>
      <w:snapToGrid w:val="0"/>
      <w:jc w:val="left"/>
    </w:pPr>
    <w:rPr>
      <w:kern w:val="0"/>
      <w:sz w:val="18"/>
      <w:szCs w:val="20"/>
    </w:rPr>
  </w:style>
  <w:style w:type="paragraph" w:styleId="24">
    <w:name w:val="header"/>
    <w:basedOn w:val="1"/>
    <w:next w:val="25"/>
    <w:link w:val="57"/>
    <w:autoRedefine/>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5">
    <w:name w:val="样式5"/>
    <w:basedOn w:val="10"/>
    <w:autoRedefine/>
    <w:qFormat/>
    <w:uiPriority w:val="0"/>
    <w:pPr>
      <w:spacing w:line="500" w:lineRule="exact"/>
      <w:ind w:firstLine="200" w:firstLineChars="200"/>
    </w:pPr>
  </w:style>
  <w:style w:type="paragraph" w:styleId="26">
    <w:name w:val="toc 1"/>
    <w:basedOn w:val="1"/>
    <w:next w:val="1"/>
    <w:autoRedefine/>
    <w:qFormat/>
    <w:locked/>
    <w:uiPriority w:val="39"/>
  </w:style>
  <w:style w:type="paragraph" w:styleId="27">
    <w:name w:val="toc 4"/>
    <w:basedOn w:val="1"/>
    <w:next w:val="1"/>
    <w:autoRedefine/>
    <w:unhideWhenUsed/>
    <w:qFormat/>
    <w:locked/>
    <w:uiPriority w:val="39"/>
    <w:pPr>
      <w:ind w:left="1260" w:leftChars="600"/>
    </w:pPr>
  </w:style>
  <w:style w:type="paragraph" w:styleId="28">
    <w:name w:val="List"/>
    <w:basedOn w:val="1"/>
    <w:next w:val="1"/>
    <w:autoRedefine/>
    <w:qFormat/>
    <w:locked/>
    <w:uiPriority w:val="0"/>
    <w:pPr>
      <w:ind w:left="200" w:hanging="200" w:hangingChars="200"/>
    </w:pPr>
  </w:style>
  <w:style w:type="paragraph" w:styleId="29">
    <w:name w:val="Body Text Indent 3"/>
    <w:basedOn w:val="1"/>
    <w:link w:val="58"/>
    <w:autoRedefine/>
    <w:qFormat/>
    <w:locked/>
    <w:uiPriority w:val="0"/>
    <w:pPr>
      <w:spacing w:after="120"/>
      <w:ind w:left="420" w:leftChars="200"/>
    </w:pPr>
    <w:rPr>
      <w:sz w:val="16"/>
      <w:szCs w:val="16"/>
    </w:rPr>
  </w:style>
  <w:style w:type="paragraph" w:styleId="30">
    <w:name w:val="toc 2"/>
    <w:basedOn w:val="1"/>
    <w:next w:val="1"/>
    <w:autoRedefine/>
    <w:unhideWhenUsed/>
    <w:qFormat/>
    <w:locked/>
    <w:uiPriority w:val="39"/>
    <w:pPr>
      <w:tabs>
        <w:tab w:val="right" w:leader="dot" w:pos="8949"/>
      </w:tabs>
      <w:ind w:left="420" w:leftChars="200"/>
    </w:pPr>
  </w:style>
  <w:style w:type="paragraph" w:styleId="31">
    <w:name w:val="HTML Preformatted"/>
    <w:basedOn w:val="1"/>
    <w:autoRedefine/>
    <w:qFormat/>
    <w:lock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32">
    <w:name w:val="Normal (Web)"/>
    <w:basedOn w:val="1"/>
    <w:link w:val="59"/>
    <w:autoRedefine/>
    <w:qFormat/>
    <w:uiPriority w:val="0"/>
    <w:pPr>
      <w:widowControl/>
      <w:spacing w:before="100" w:beforeAutospacing="1" w:after="100" w:afterAutospacing="1"/>
      <w:jc w:val="left"/>
    </w:pPr>
    <w:rPr>
      <w:rFonts w:ascii="宋体" w:hAnsi="宋体"/>
      <w:kern w:val="0"/>
      <w:szCs w:val="20"/>
    </w:rPr>
  </w:style>
  <w:style w:type="paragraph" w:styleId="33">
    <w:name w:val="annotation subject"/>
    <w:basedOn w:val="13"/>
    <w:next w:val="13"/>
    <w:link w:val="60"/>
    <w:autoRedefine/>
    <w:semiHidden/>
    <w:qFormat/>
    <w:uiPriority w:val="0"/>
    <w:rPr>
      <w:b/>
    </w:rPr>
  </w:style>
  <w:style w:type="paragraph" w:styleId="34">
    <w:name w:val="Body Text First Indent"/>
    <w:basedOn w:val="14"/>
    <w:next w:val="1"/>
    <w:link w:val="50"/>
    <w:autoRedefine/>
    <w:qFormat/>
    <w:locked/>
    <w:uiPriority w:val="0"/>
    <w:pPr>
      <w:widowControl w:val="0"/>
      <w:snapToGrid/>
      <w:spacing w:before="0" w:after="120" w:line="240" w:lineRule="auto"/>
      <w:ind w:right="0" w:firstLine="420" w:firstLineChars="100"/>
    </w:pPr>
    <w:rPr>
      <w:kern w:val="2"/>
      <w:sz w:val="21"/>
      <w:szCs w:val="24"/>
    </w:rPr>
  </w:style>
  <w:style w:type="paragraph" w:styleId="35">
    <w:name w:val="Body Text First Indent 2"/>
    <w:basedOn w:val="16"/>
    <w:autoRedefine/>
    <w:qFormat/>
    <w:locked/>
    <w:uiPriority w:val="0"/>
    <w:pPr>
      <w:ind w:firstLine="420"/>
    </w:pPr>
  </w:style>
  <w:style w:type="table" w:styleId="37">
    <w:name w:val="Table Grid"/>
    <w:basedOn w:val="36"/>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8">
    <w:name w:val="Table Theme"/>
    <w:basedOn w:val="36"/>
    <w:autoRedefine/>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page number"/>
    <w:autoRedefine/>
    <w:qFormat/>
    <w:locked/>
    <w:uiPriority w:val="0"/>
  </w:style>
  <w:style w:type="character" w:styleId="41">
    <w:name w:val="FollowedHyperlink"/>
    <w:basedOn w:val="39"/>
    <w:autoRedefine/>
    <w:qFormat/>
    <w:locked/>
    <w:uiPriority w:val="0"/>
    <w:rPr>
      <w:color w:val="800080"/>
      <w:u w:val="none"/>
    </w:rPr>
  </w:style>
  <w:style w:type="character" w:styleId="42">
    <w:name w:val="Emphasis"/>
    <w:basedOn w:val="39"/>
    <w:autoRedefine/>
    <w:qFormat/>
    <w:locked/>
    <w:uiPriority w:val="0"/>
  </w:style>
  <w:style w:type="character" w:styleId="43">
    <w:name w:val="Hyperlink"/>
    <w:autoRedefine/>
    <w:unhideWhenUsed/>
    <w:qFormat/>
    <w:locked/>
    <w:uiPriority w:val="99"/>
    <w:rPr>
      <w:color w:val="0563C1"/>
      <w:u w:val="single"/>
    </w:rPr>
  </w:style>
  <w:style w:type="character" w:styleId="44">
    <w:name w:val="annotation reference"/>
    <w:autoRedefine/>
    <w:qFormat/>
    <w:uiPriority w:val="0"/>
    <w:rPr>
      <w:sz w:val="21"/>
    </w:rPr>
  </w:style>
  <w:style w:type="paragraph" w:customStyle="1" w:styleId="45">
    <w:name w:val="样式 正文文本缩进 + 行距: 1.5 倍行距"/>
    <w:basedOn w:val="16"/>
    <w:autoRedefine/>
    <w:qFormat/>
    <w:uiPriority w:val="0"/>
    <w:pPr>
      <w:ind w:left="90" w:leftChars="32" w:firstLine="560"/>
    </w:pPr>
    <w:rPr>
      <w:rFonts w:cs="宋体"/>
    </w:rPr>
  </w:style>
  <w:style w:type="paragraph" w:customStyle="1" w:styleId="46">
    <w:name w:val="正文首行缩进2个字 Char"/>
    <w:basedOn w:val="1"/>
    <w:autoRedefine/>
    <w:qFormat/>
    <w:uiPriority w:val="0"/>
    <w:pPr>
      <w:ind w:firstLine="480" w:firstLineChars="200"/>
    </w:pPr>
    <w:rPr>
      <w:rFonts w:eastAsia="楷体"/>
    </w:rPr>
  </w:style>
  <w:style w:type="paragraph" w:customStyle="1" w:styleId="47">
    <w:name w:val="Default1"/>
    <w:next w:val="1"/>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48">
    <w:name w:val="正文文本缩进 字符"/>
    <w:link w:val="16"/>
    <w:autoRedefine/>
    <w:semiHidden/>
    <w:qFormat/>
    <w:locked/>
    <w:uiPriority w:val="0"/>
    <w:rPr>
      <w:rFonts w:ascii="Times New Roman" w:hAnsi="Times New Roman" w:eastAsia="宋体"/>
      <w:sz w:val="24"/>
    </w:rPr>
  </w:style>
  <w:style w:type="character" w:customStyle="1" w:styleId="49">
    <w:name w:val="正文文本 字符"/>
    <w:link w:val="14"/>
    <w:autoRedefine/>
    <w:qFormat/>
    <w:locked/>
    <w:uiPriority w:val="0"/>
    <w:rPr>
      <w:sz w:val="18"/>
    </w:rPr>
  </w:style>
  <w:style w:type="character" w:customStyle="1" w:styleId="50">
    <w:name w:val="正文文本首行缩进 字符"/>
    <w:link w:val="34"/>
    <w:autoRedefine/>
    <w:qFormat/>
    <w:uiPriority w:val="0"/>
    <w:rPr>
      <w:kern w:val="2"/>
      <w:sz w:val="21"/>
      <w:szCs w:val="24"/>
    </w:rPr>
  </w:style>
  <w:style w:type="character" w:customStyle="1" w:styleId="51">
    <w:name w:val="标题 2 字符"/>
    <w:link w:val="6"/>
    <w:autoRedefine/>
    <w:semiHidden/>
    <w:qFormat/>
    <w:uiPriority w:val="0"/>
    <w:rPr>
      <w:rFonts w:ascii="Calibri Light" w:hAnsi="Calibri Light" w:eastAsia="宋体" w:cs="Times New Roman"/>
      <w:b/>
      <w:bCs/>
      <w:kern w:val="2"/>
      <w:sz w:val="32"/>
      <w:szCs w:val="32"/>
    </w:rPr>
  </w:style>
  <w:style w:type="character" w:customStyle="1" w:styleId="52">
    <w:name w:val="正文缩进 字符"/>
    <w:link w:val="10"/>
    <w:autoRedefine/>
    <w:qFormat/>
    <w:uiPriority w:val="0"/>
    <w:rPr>
      <w:rFonts w:eastAsia="华文中宋"/>
      <w:w w:val="90"/>
      <w:sz w:val="28"/>
    </w:rPr>
  </w:style>
  <w:style w:type="character" w:customStyle="1" w:styleId="53">
    <w:name w:val="批注文字 字符"/>
    <w:link w:val="13"/>
    <w:autoRedefine/>
    <w:qFormat/>
    <w:locked/>
    <w:uiPriority w:val="99"/>
    <w:rPr>
      <w:rFonts w:ascii="Times New Roman" w:hAnsi="Times New Roman" w:eastAsia="宋体"/>
      <w:sz w:val="24"/>
    </w:rPr>
  </w:style>
  <w:style w:type="character" w:customStyle="1" w:styleId="54">
    <w:name w:val="日期 字符1"/>
    <w:link w:val="20"/>
    <w:autoRedefine/>
    <w:qFormat/>
    <w:locked/>
    <w:uiPriority w:val="0"/>
    <w:rPr>
      <w:rFonts w:ascii="Times New Roman" w:hAnsi="Times New Roman" w:eastAsia="宋体"/>
      <w:sz w:val="24"/>
    </w:rPr>
  </w:style>
  <w:style w:type="character" w:customStyle="1" w:styleId="55">
    <w:name w:val="批注框文本 字符"/>
    <w:link w:val="22"/>
    <w:autoRedefine/>
    <w:semiHidden/>
    <w:qFormat/>
    <w:locked/>
    <w:uiPriority w:val="0"/>
    <w:rPr>
      <w:rFonts w:ascii="Times New Roman" w:hAnsi="Times New Roman" w:eastAsia="宋体"/>
      <w:sz w:val="18"/>
    </w:rPr>
  </w:style>
  <w:style w:type="character" w:customStyle="1" w:styleId="56">
    <w:name w:val="页脚 字符1"/>
    <w:link w:val="23"/>
    <w:autoRedefine/>
    <w:qFormat/>
    <w:locked/>
    <w:uiPriority w:val="99"/>
    <w:rPr>
      <w:sz w:val="18"/>
    </w:rPr>
  </w:style>
  <w:style w:type="character" w:customStyle="1" w:styleId="57">
    <w:name w:val="页眉 字符"/>
    <w:link w:val="24"/>
    <w:autoRedefine/>
    <w:qFormat/>
    <w:locked/>
    <w:uiPriority w:val="0"/>
    <w:rPr>
      <w:sz w:val="18"/>
    </w:rPr>
  </w:style>
  <w:style w:type="character" w:customStyle="1" w:styleId="58">
    <w:name w:val="正文文本缩进 3 字符"/>
    <w:link w:val="29"/>
    <w:autoRedefine/>
    <w:qFormat/>
    <w:uiPriority w:val="0"/>
    <w:rPr>
      <w:kern w:val="2"/>
      <w:sz w:val="16"/>
      <w:szCs w:val="16"/>
    </w:rPr>
  </w:style>
  <w:style w:type="character" w:customStyle="1" w:styleId="59">
    <w:name w:val="普通(网站) 字符"/>
    <w:link w:val="32"/>
    <w:autoRedefine/>
    <w:qFormat/>
    <w:locked/>
    <w:uiPriority w:val="0"/>
    <w:rPr>
      <w:rFonts w:ascii="宋体" w:hAnsi="宋体" w:eastAsia="宋体"/>
      <w:sz w:val="24"/>
    </w:rPr>
  </w:style>
  <w:style w:type="character" w:customStyle="1" w:styleId="60">
    <w:name w:val="批注主题 字符"/>
    <w:link w:val="33"/>
    <w:autoRedefine/>
    <w:semiHidden/>
    <w:qFormat/>
    <w:locked/>
    <w:uiPriority w:val="0"/>
    <w:rPr>
      <w:rFonts w:ascii="Times New Roman" w:hAnsi="Times New Roman" w:eastAsia="宋体"/>
      <w:b/>
      <w:kern w:val="2"/>
      <w:sz w:val="24"/>
    </w:rPr>
  </w:style>
  <w:style w:type="paragraph" w:customStyle="1" w:styleId="61">
    <w:name w:val="表格文字"/>
    <w:basedOn w:val="19"/>
    <w:next w:val="62"/>
    <w:link w:val="64"/>
    <w:autoRedefine/>
    <w:qFormat/>
    <w:uiPriority w:val="0"/>
    <w:pPr>
      <w:jc w:val="center"/>
    </w:pPr>
    <w:rPr>
      <w:rFonts w:ascii="Times New Roman" w:hAnsi="Times New Roman" w:eastAsia="仿宋_GB2312"/>
      <w:kern w:val="28"/>
      <w:sz w:val="24"/>
      <w:szCs w:val="24"/>
    </w:rPr>
  </w:style>
  <w:style w:type="paragraph" w:customStyle="1" w:styleId="62">
    <w:name w:val="样式 标题 2H2He + 首行缩进:  0.5 字符"/>
    <w:basedOn w:val="6"/>
    <w:autoRedefine/>
    <w:qFormat/>
    <w:uiPriority w:val="0"/>
    <w:pPr>
      <w:keepNext w:val="0"/>
      <w:keepLines w:val="0"/>
      <w:tabs>
        <w:tab w:val="left" w:pos="648"/>
      </w:tabs>
      <w:overflowPunct w:val="0"/>
      <w:autoSpaceDE w:val="0"/>
      <w:autoSpaceDN w:val="0"/>
      <w:adjustRightInd w:val="0"/>
      <w:spacing w:before="40" w:after="40" w:line="400" w:lineRule="exact"/>
      <w:ind w:firstLine="221" w:firstLineChars="50"/>
      <w:textAlignment w:val="baseline"/>
    </w:pPr>
    <w:rPr>
      <w:rFonts w:ascii="宋体" w:hAnsi="宋体" w:cs="宋体"/>
      <w:bCs w:val="0"/>
      <w:color w:val="000000"/>
      <w:kern w:val="32"/>
      <w:szCs w:val="20"/>
    </w:rPr>
  </w:style>
  <w:style w:type="character" w:customStyle="1" w:styleId="63">
    <w:name w:val="Default Char"/>
    <w:link w:val="2"/>
    <w:autoRedefine/>
    <w:qFormat/>
    <w:uiPriority w:val="0"/>
    <w:rPr>
      <w:rFonts w:ascii="宋体" w:cs="宋体"/>
      <w:color w:val="000000"/>
      <w:sz w:val="24"/>
      <w:szCs w:val="24"/>
    </w:rPr>
  </w:style>
  <w:style w:type="character" w:customStyle="1" w:styleId="64">
    <w:name w:val="表格文字 Char"/>
    <w:link w:val="61"/>
    <w:autoRedefine/>
    <w:qFormat/>
    <w:uiPriority w:val="0"/>
    <w:rPr>
      <w:rFonts w:ascii="Times New Roman" w:hAnsi="Times New Roman" w:eastAsia="仿宋_GB2312"/>
      <w:kern w:val="28"/>
      <w:sz w:val="24"/>
      <w:szCs w:val="24"/>
    </w:rPr>
  </w:style>
  <w:style w:type="character" w:customStyle="1" w:styleId="65">
    <w:name w:val="页脚 字符"/>
    <w:autoRedefine/>
    <w:qFormat/>
    <w:uiPriority w:val="99"/>
  </w:style>
  <w:style w:type="character" w:customStyle="1" w:styleId="66">
    <w:name w:val="正文文本 字符1"/>
    <w:autoRedefine/>
    <w:semiHidden/>
    <w:qFormat/>
    <w:uiPriority w:val="0"/>
    <w:rPr>
      <w:rFonts w:ascii="Times New Roman" w:hAnsi="Times New Roman" w:eastAsia="宋体"/>
      <w:sz w:val="24"/>
    </w:rPr>
  </w:style>
  <w:style w:type="character" w:customStyle="1" w:styleId="67">
    <w:name w:val="表格 Char"/>
    <w:link w:val="68"/>
    <w:autoRedefine/>
    <w:qFormat/>
    <w:locked/>
    <w:uiPriority w:val="0"/>
    <w:rPr>
      <w:rFonts w:ascii="宋体"/>
      <w:sz w:val="21"/>
    </w:rPr>
  </w:style>
  <w:style w:type="paragraph" w:customStyle="1" w:styleId="68">
    <w:name w:val="表格"/>
    <w:basedOn w:val="1"/>
    <w:next w:val="1"/>
    <w:link w:val="67"/>
    <w:autoRedefine/>
    <w:qFormat/>
    <w:uiPriority w:val="0"/>
    <w:pPr>
      <w:adjustRightInd w:val="0"/>
      <w:snapToGrid w:val="0"/>
      <w:spacing w:beforeLines="10" w:afterLines="10" w:line="259" w:lineRule="auto"/>
      <w:jc w:val="center"/>
    </w:pPr>
    <w:rPr>
      <w:rFonts w:ascii="宋体"/>
      <w:kern w:val="0"/>
      <w:szCs w:val="20"/>
    </w:rPr>
  </w:style>
  <w:style w:type="character" w:customStyle="1" w:styleId="69">
    <w:name w:val="日期 字符"/>
    <w:autoRedefine/>
    <w:semiHidden/>
    <w:qFormat/>
    <w:uiPriority w:val="0"/>
    <w:rPr>
      <w:rFonts w:ascii="Times New Roman" w:hAnsi="Times New Roman" w:eastAsia="宋体"/>
      <w:sz w:val="24"/>
    </w:rPr>
  </w:style>
  <w:style w:type="character" w:customStyle="1" w:styleId="70">
    <w:name w:val="批注文字 字符1"/>
    <w:autoRedefine/>
    <w:semiHidden/>
    <w:qFormat/>
    <w:uiPriority w:val="0"/>
    <w:rPr>
      <w:rFonts w:ascii="Times New Roman" w:hAnsi="Times New Roman" w:eastAsia="宋体"/>
      <w:sz w:val="24"/>
    </w:rPr>
  </w:style>
  <w:style w:type="paragraph" w:customStyle="1" w:styleId="71">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2">
    <w:name w:val="普通(网站)2"/>
    <w:basedOn w:val="1"/>
    <w:autoRedefine/>
    <w:qFormat/>
    <w:uiPriority w:val="0"/>
    <w:pPr>
      <w:widowControl/>
      <w:spacing w:before="100" w:beforeAutospacing="1" w:after="100" w:afterAutospacing="1"/>
      <w:jc w:val="left"/>
    </w:pPr>
    <w:rPr>
      <w:rFonts w:ascii="宋体" w:hAnsi="宋体"/>
      <w:szCs w:val="20"/>
    </w:rPr>
  </w:style>
  <w:style w:type="paragraph" w:customStyle="1" w:styleId="73">
    <w:name w:val="标题1"/>
    <w:basedOn w:val="32"/>
    <w:link w:val="74"/>
    <w:autoRedefine/>
    <w:qFormat/>
    <w:uiPriority w:val="0"/>
    <w:pPr>
      <w:widowControl w:val="0"/>
      <w:adjustRightInd w:val="0"/>
      <w:snapToGrid w:val="0"/>
      <w:spacing w:before="120" w:beforeLines="50" w:beforeAutospacing="0" w:after="120" w:afterLines="50" w:afterAutospacing="0"/>
      <w:jc w:val="center"/>
      <w:outlineLvl w:val="0"/>
    </w:pPr>
    <w:rPr>
      <w:snapToGrid w:val="0"/>
      <w:sz w:val="30"/>
      <w:szCs w:val="30"/>
    </w:rPr>
  </w:style>
  <w:style w:type="character" w:customStyle="1" w:styleId="74">
    <w:name w:val="标题1 Char"/>
    <w:link w:val="73"/>
    <w:autoRedefine/>
    <w:qFormat/>
    <w:uiPriority w:val="0"/>
    <w:rPr>
      <w:rFonts w:ascii="宋体" w:hAnsi="宋体"/>
      <w:snapToGrid/>
      <w:sz w:val="30"/>
      <w:szCs w:val="30"/>
    </w:rPr>
  </w:style>
  <w:style w:type="paragraph" w:customStyle="1" w:styleId="75">
    <w:name w:val="Table Paragraph"/>
    <w:basedOn w:val="1"/>
    <w:autoRedefine/>
    <w:qFormat/>
    <w:uiPriority w:val="1"/>
    <w:pPr>
      <w:autoSpaceDE w:val="0"/>
      <w:autoSpaceDN w:val="0"/>
      <w:adjustRightInd w:val="0"/>
      <w:jc w:val="left"/>
    </w:pPr>
    <w:rPr>
      <w:rFonts w:ascii="Calibri" w:hAnsi="Calibri"/>
      <w:kern w:val="0"/>
    </w:rPr>
  </w:style>
  <w:style w:type="character" w:customStyle="1" w:styleId="76">
    <w:name w:val="Char1 Char Char"/>
    <w:link w:val="77"/>
    <w:autoRedefine/>
    <w:qFormat/>
    <w:locked/>
    <w:uiPriority w:val="0"/>
    <w:rPr>
      <w:rFonts w:ascii="宋体" w:hAnsi="宋体" w:cs="宋体"/>
      <w:kern w:val="2"/>
      <w:sz w:val="24"/>
      <w:szCs w:val="24"/>
    </w:rPr>
  </w:style>
  <w:style w:type="paragraph" w:customStyle="1" w:styleId="77">
    <w:name w:val="Char1"/>
    <w:basedOn w:val="1"/>
    <w:link w:val="76"/>
    <w:autoRedefine/>
    <w:qFormat/>
    <w:uiPriority w:val="0"/>
    <w:pPr>
      <w:widowControl/>
      <w:wordWrap w:val="0"/>
      <w:topLinePunct/>
      <w:adjustRightInd w:val="0"/>
      <w:snapToGrid w:val="0"/>
      <w:spacing w:line="360" w:lineRule="auto"/>
      <w:ind w:firstLine="200" w:firstLineChars="200"/>
      <w:jc w:val="left"/>
    </w:pPr>
    <w:rPr>
      <w:rFonts w:ascii="宋体" w:hAnsi="宋体" w:cs="宋体"/>
    </w:rPr>
  </w:style>
  <w:style w:type="paragraph" w:customStyle="1" w:styleId="78">
    <w:name w:val="S报告正文"/>
    <w:basedOn w:val="1"/>
    <w:autoRedefine/>
    <w:qFormat/>
    <w:uiPriority w:val="0"/>
    <w:pPr>
      <w:adjustRightInd w:val="0"/>
      <w:snapToGrid w:val="0"/>
      <w:spacing w:line="480" w:lineRule="exact"/>
      <w:ind w:firstLine="510"/>
      <w:jc w:val="left"/>
    </w:pPr>
  </w:style>
  <w:style w:type="paragraph" w:customStyle="1" w:styleId="79">
    <w:name w:val="S表名图名"/>
    <w:basedOn w:val="78"/>
    <w:link w:val="80"/>
    <w:autoRedefine/>
    <w:qFormat/>
    <w:uiPriority w:val="1"/>
    <w:pPr>
      <w:ind w:firstLine="0"/>
      <w:jc w:val="center"/>
    </w:pPr>
    <w:rPr>
      <w:b/>
      <w:szCs w:val="23"/>
    </w:rPr>
  </w:style>
  <w:style w:type="character" w:customStyle="1" w:styleId="80">
    <w:name w:val="S表名图名 Char"/>
    <w:link w:val="79"/>
    <w:autoRedefine/>
    <w:qFormat/>
    <w:uiPriority w:val="1"/>
    <w:rPr>
      <w:b/>
      <w:kern w:val="2"/>
      <w:sz w:val="24"/>
      <w:szCs w:val="23"/>
    </w:rPr>
  </w:style>
  <w:style w:type="character" w:customStyle="1" w:styleId="81">
    <w:name w:val="sheet Char"/>
    <w:link w:val="82"/>
    <w:autoRedefine/>
    <w:qFormat/>
    <w:uiPriority w:val="0"/>
    <w:rPr>
      <w:szCs w:val="24"/>
    </w:rPr>
  </w:style>
  <w:style w:type="paragraph" w:customStyle="1" w:styleId="82">
    <w:name w:val="sheet"/>
    <w:link w:val="81"/>
    <w:autoRedefine/>
    <w:qFormat/>
    <w:uiPriority w:val="0"/>
    <w:pPr>
      <w:jc w:val="center"/>
      <w:textAlignment w:val="center"/>
    </w:pPr>
    <w:rPr>
      <w:rFonts w:ascii="Times New Roman" w:hAnsi="Times New Roman" w:eastAsia="宋体" w:cs="Times New Roman"/>
      <w:szCs w:val="24"/>
      <w:lang w:val="en-US" w:eastAsia="zh-CN" w:bidi="ar-SA"/>
    </w:rPr>
  </w:style>
  <w:style w:type="paragraph" w:customStyle="1" w:styleId="83">
    <w:name w:val="lh-表格文字-报告表"/>
    <w:basedOn w:val="1"/>
    <w:link w:val="84"/>
    <w:autoRedefine/>
    <w:qFormat/>
    <w:uiPriority w:val="0"/>
    <w:pPr>
      <w:jc w:val="center"/>
    </w:pPr>
    <w:rPr>
      <w:snapToGrid w:val="0"/>
    </w:rPr>
  </w:style>
  <w:style w:type="character" w:customStyle="1" w:styleId="84">
    <w:name w:val="lh-表格文字-报告表 Char"/>
    <w:link w:val="83"/>
    <w:autoRedefine/>
    <w:qFormat/>
    <w:uiPriority w:val="0"/>
    <w:rPr>
      <w:snapToGrid/>
      <w:kern w:val="2"/>
      <w:sz w:val="21"/>
      <w:szCs w:val="24"/>
    </w:rPr>
  </w:style>
  <w:style w:type="paragraph" w:customStyle="1" w:styleId="85">
    <w:name w:val="S表格文字"/>
    <w:basedOn w:val="34"/>
    <w:link w:val="86"/>
    <w:autoRedefine/>
    <w:qFormat/>
    <w:uiPriority w:val="0"/>
    <w:pPr>
      <w:adjustRightInd w:val="0"/>
      <w:snapToGrid w:val="0"/>
      <w:spacing w:before="20" w:after="20"/>
      <w:ind w:firstLine="0" w:firstLineChars="0"/>
      <w:jc w:val="center"/>
    </w:pPr>
    <w:rPr>
      <w:szCs w:val="20"/>
    </w:rPr>
  </w:style>
  <w:style w:type="character" w:customStyle="1" w:styleId="86">
    <w:name w:val="S表格文字 Char"/>
    <w:link w:val="85"/>
    <w:autoRedefine/>
    <w:qFormat/>
    <w:locked/>
    <w:uiPriority w:val="0"/>
    <w:rPr>
      <w:kern w:val="2"/>
      <w:sz w:val="21"/>
    </w:rPr>
  </w:style>
  <w:style w:type="paragraph" w:customStyle="1" w:styleId="87">
    <w:name w:val="表文"/>
    <w:basedOn w:val="1"/>
    <w:autoRedefine/>
    <w:qFormat/>
    <w:uiPriority w:val="0"/>
    <w:pPr>
      <w:jc w:val="center"/>
    </w:pPr>
    <w:rPr>
      <w:spacing w:val="-2"/>
      <w:kern w:val="0"/>
      <w:szCs w:val="20"/>
    </w:rPr>
  </w:style>
  <w:style w:type="paragraph" w:customStyle="1" w:styleId="88">
    <w:name w:val="No Spacing1"/>
    <w:link w:val="89"/>
    <w:autoRedefine/>
    <w:qFormat/>
    <w:uiPriority w:val="99"/>
    <w:pPr>
      <w:widowControl w:val="0"/>
      <w:suppressAutoHyphens/>
      <w:topLinePunct/>
      <w:jc w:val="center"/>
    </w:pPr>
    <w:rPr>
      <w:rFonts w:ascii="Times New Roman" w:hAnsi="Times New Roman" w:eastAsia="宋体" w:cs="Times New Roman"/>
      <w:kern w:val="2"/>
      <w:sz w:val="21"/>
      <w:szCs w:val="24"/>
      <w:lang w:val="en-US" w:eastAsia="zh-CN" w:bidi="ar-SA"/>
    </w:rPr>
  </w:style>
  <w:style w:type="character" w:customStyle="1" w:styleId="89">
    <w:name w:val="无间隔 Char"/>
    <w:link w:val="88"/>
    <w:autoRedefine/>
    <w:qFormat/>
    <w:locked/>
    <w:uiPriority w:val="99"/>
    <w:rPr>
      <w:kern w:val="2"/>
      <w:sz w:val="21"/>
      <w:szCs w:val="24"/>
    </w:rPr>
  </w:style>
  <w:style w:type="paragraph" w:customStyle="1" w:styleId="90">
    <w:name w:val="Char Char Char Char Char Char Char"/>
    <w:basedOn w:val="1"/>
    <w:autoRedefine/>
    <w:qFormat/>
    <w:uiPriority w:val="0"/>
    <w:pPr>
      <w:spacing w:before="300" w:after="300" w:line="560" w:lineRule="exact"/>
    </w:pPr>
    <w:rPr>
      <w:rFonts w:eastAsia="黑体"/>
      <w:sz w:val="36"/>
      <w:szCs w:val="36"/>
    </w:rPr>
  </w:style>
  <w:style w:type="paragraph" w:customStyle="1" w:styleId="91">
    <w:name w:val="_Style 51"/>
    <w:basedOn w:val="1"/>
    <w:autoRedefine/>
    <w:qFormat/>
    <w:uiPriority w:val="0"/>
    <w:pPr>
      <w:tabs>
        <w:tab w:val="left" w:pos="8020"/>
      </w:tabs>
    </w:pPr>
  </w:style>
  <w:style w:type="paragraph" w:customStyle="1" w:styleId="92">
    <w:name w:val="表格 23"/>
    <w:basedOn w:val="1"/>
    <w:autoRedefine/>
    <w:qFormat/>
    <w:uiPriority w:val="0"/>
    <w:pPr>
      <w:autoSpaceDE w:val="0"/>
      <w:autoSpaceDN w:val="0"/>
      <w:adjustRightInd w:val="0"/>
      <w:jc w:val="center"/>
    </w:pPr>
    <w:rPr>
      <w:rFonts w:eastAsia="仿宋体"/>
      <w:kern w:val="0"/>
      <w:szCs w:val="20"/>
    </w:rPr>
  </w:style>
  <w:style w:type="paragraph" w:customStyle="1" w:styleId="93">
    <w:name w:val="3"/>
    <w:basedOn w:val="1"/>
    <w:autoRedefine/>
    <w:qFormat/>
    <w:uiPriority w:val="0"/>
    <w:rPr>
      <w:szCs w:val="20"/>
    </w:rPr>
  </w:style>
  <w:style w:type="paragraph" w:customStyle="1" w:styleId="94">
    <w:name w:val="杜正文1"/>
    <w:basedOn w:val="1"/>
    <w:next w:val="34"/>
    <w:autoRedefine/>
    <w:qFormat/>
    <w:uiPriority w:val="0"/>
    <w:pPr>
      <w:ind w:firstLine="480" w:firstLineChars="200"/>
      <w:jc w:val="left"/>
    </w:pPr>
    <w:rPr>
      <w:szCs w:val="32"/>
    </w:rPr>
  </w:style>
  <w:style w:type="table" w:customStyle="1" w:styleId="95">
    <w:name w:val="Table Normal"/>
    <w:autoRedefine/>
    <w:unhideWhenUsed/>
    <w:qFormat/>
    <w:uiPriority w:val="0"/>
    <w:tblPr>
      <w:tblCellMar>
        <w:top w:w="0" w:type="dxa"/>
        <w:left w:w="0" w:type="dxa"/>
        <w:bottom w:w="0" w:type="dxa"/>
        <w:right w:w="0" w:type="dxa"/>
      </w:tblCellMar>
    </w:tblPr>
  </w:style>
  <w:style w:type="paragraph" w:customStyle="1" w:styleId="96">
    <w:name w:val="正文样式1"/>
    <w:basedOn w:val="1"/>
    <w:autoRedefine/>
    <w:qFormat/>
    <w:uiPriority w:val="0"/>
    <w:pPr>
      <w:adjustRightInd w:val="0"/>
      <w:spacing w:beforeLines="10" w:afterLines="10" w:line="312" w:lineRule="auto"/>
      <w:ind w:firstLine="200" w:firstLineChars="200"/>
      <w:textAlignment w:val="baseline"/>
    </w:pPr>
    <w:rPr>
      <w:position w:val="-12"/>
    </w:rPr>
  </w:style>
  <w:style w:type="paragraph" w:customStyle="1" w:styleId="97">
    <w:name w:val="表字体"/>
    <w:basedOn w:val="1"/>
    <w:next w:val="1"/>
    <w:autoRedefine/>
    <w:qFormat/>
    <w:uiPriority w:val="0"/>
    <w:pPr>
      <w:jc w:val="center"/>
    </w:pPr>
    <w:rPr>
      <w:kern w:val="0"/>
      <w:sz w:val="21"/>
      <w:szCs w:val="20"/>
    </w:rPr>
  </w:style>
  <w:style w:type="paragraph" w:customStyle="1" w:styleId="98">
    <w:name w:val="江锂报告书正文"/>
    <w:basedOn w:val="1"/>
    <w:autoRedefine/>
    <w:qFormat/>
    <w:uiPriority w:val="0"/>
    <w:pPr>
      <w:spacing w:line="360" w:lineRule="auto"/>
      <w:ind w:firstLine="480" w:firstLineChars="200"/>
    </w:pPr>
    <w:rPr>
      <w:color w:val="000000"/>
      <w:kern w:val="0"/>
    </w:rPr>
  </w:style>
  <w:style w:type="paragraph" w:customStyle="1" w:styleId="99">
    <w:name w:val="报告表表格"/>
    <w:basedOn w:val="1"/>
    <w:autoRedefine/>
    <w:qFormat/>
    <w:uiPriority w:val="0"/>
    <w:pPr>
      <w:spacing w:line="360" w:lineRule="exact"/>
      <w:jc w:val="center"/>
    </w:pPr>
    <w:rPr>
      <w:rFonts w:ascii="Arial" w:hAnsi="Arial" w:cs="Arial"/>
      <w:color w:val="008000"/>
      <w:szCs w:val="21"/>
    </w:rPr>
  </w:style>
  <w:style w:type="paragraph" w:customStyle="1" w:styleId="100">
    <w:name w:val="报告正文"/>
    <w:basedOn w:val="1"/>
    <w:autoRedefine/>
    <w:qFormat/>
    <w:uiPriority w:val="0"/>
    <w:pPr>
      <w:spacing w:line="480" w:lineRule="exact"/>
      <w:ind w:firstLine="200" w:firstLineChars="200"/>
    </w:pPr>
  </w:style>
  <w:style w:type="paragraph" w:customStyle="1" w:styleId="101">
    <w:name w:val="D图表小四"/>
    <w:basedOn w:val="1"/>
    <w:autoRedefine/>
    <w:qFormat/>
    <w:uiPriority w:val="0"/>
    <w:pPr>
      <w:spacing w:before="120" w:after="120"/>
      <w:jc w:val="center"/>
    </w:pPr>
    <w:rPr>
      <w:b/>
      <w:spacing w:val="4"/>
    </w:rPr>
  </w:style>
  <w:style w:type="paragraph" w:customStyle="1" w:styleId="102">
    <w:name w:val="表格格式"/>
    <w:basedOn w:val="1"/>
    <w:autoRedefine/>
    <w:qFormat/>
    <w:uiPriority w:val="0"/>
    <w:pPr>
      <w:jc w:val="center"/>
    </w:pPr>
    <w:rPr>
      <w:kern w:val="0"/>
      <w:sz w:val="21"/>
      <w:szCs w:val="20"/>
    </w:rPr>
  </w:style>
  <w:style w:type="table" w:customStyle="1" w:styleId="103">
    <w:name w:val="样式1"/>
    <w:basedOn w:val="36"/>
    <w:autoRedefine/>
    <w:qFormat/>
    <w:uiPriority w:val="99"/>
    <w:rPr>
      <w:sz w:val="21"/>
    </w:rPr>
    <w:tblPr>
      <w:jc w:val="center"/>
      <w:tblBorders>
        <w:top w:val="single" w:color="auto" w:sz="12" w:space="0"/>
        <w:bottom w:val="single" w:color="auto" w:sz="12" w:space="0"/>
        <w:insideH w:val="single" w:color="auto" w:sz="6" w:space="0"/>
        <w:insideV w:val="single" w:color="auto" w:sz="6" w:space="0"/>
      </w:tblBorders>
      <w:tblCellMar>
        <w:left w:w="0" w:type="dxa"/>
        <w:right w:w="0" w:type="dxa"/>
      </w:tblCellMar>
    </w:tblPr>
    <w:trPr>
      <w:jc w:val="center"/>
    </w:trPr>
    <w:tcPr>
      <w:vAlign w:val="center"/>
    </w:tcPr>
  </w:style>
  <w:style w:type="paragraph" w:customStyle="1" w:styleId="104">
    <w:name w:val="表头长征"/>
    <w:basedOn w:val="1"/>
    <w:autoRedefine/>
    <w:qFormat/>
    <w:uiPriority w:val="0"/>
    <w:pPr>
      <w:autoSpaceDE w:val="0"/>
      <w:autoSpaceDN w:val="0"/>
      <w:adjustRightInd w:val="0"/>
      <w:snapToGrid w:val="0"/>
      <w:jc w:val="center"/>
      <w:textAlignment w:val="center"/>
    </w:pPr>
    <w:rPr>
      <w:b/>
    </w:rPr>
  </w:style>
  <w:style w:type="paragraph" w:customStyle="1" w:styleId="105">
    <w:name w:val="样式2"/>
    <w:basedOn w:val="1"/>
    <w:autoRedefine/>
    <w:qFormat/>
    <w:uiPriority w:val="0"/>
    <w:pPr>
      <w:widowControl/>
      <w:adjustRightInd w:val="0"/>
      <w:snapToGrid w:val="0"/>
      <w:spacing w:line="360" w:lineRule="auto"/>
      <w:ind w:firstLine="480" w:firstLineChars="200"/>
    </w:pPr>
    <w:rPr>
      <w:kern w:val="0"/>
      <w:szCs w:val="28"/>
    </w:rPr>
  </w:style>
  <w:style w:type="paragraph" w:customStyle="1" w:styleId="106">
    <w:name w:val="样式 正文 行距: 固定值 25 磅"/>
    <w:autoRedefine/>
    <w:qFormat/>
    <w:uiPriority w:val="0"/>
    <w:pPr>
      <w:widowControl w:val="0"/>
      <w:adjustRightInd w:val="0"/>
      <w:spacing w:line="500" w:lineRule="exact"/>
      <w:ind w:firstLine="200" w:firstLineChars="200"/>
      <w:jc w:val="both"/>
    </w:pPr>
    <w:rPr>
      <w:rFonts w:ascii="Times New Roman" w:hAnsi="Times New Roman" w:eastAsia="宋体" w:cs="宋体"/>
      <w:kern w:val="2"/>
      <w:sz w:val="24"/>
      <w:szCs w:val="24"/>
      <w:lang w:val="en-US" w:eastAsia="zh-CN" w:bidi="ar-SA"/>
    </w:rPr>
  </w:style>
  <w:style w:type="paragraph" w:customStyle="1" w:styleId="107">
    <w:name w:val="正文01"/>
    <w:basedOn w:val="1"/>
    <w:autoRedefine/>
    <w:qFormat/>
    <w:uiPriority w:val="0"/>
    <w:pPr>
      <w:adjustRightInd w:val="0"/>
      <w:spacing w:line="360" w:lineRule="auto"/>
      <w:ind w:firstLine="527"/>
      <w:textAlignment w:val="baseline"/>
    </w:pPr>
    <w:rPr>
      <w:color w:val="000000"/>
      <w:szCs w:val="20"/>
    </w:rPr>
  </w:style>
  <w:style w:type="character" w:customStyle="1" w:styleId="108">
    <w:name w:val="znspantitle"/>
    <w:basedOn w:val="39"/>
    <w:autoRedefine/>
    <w:qFormat/>
    <w:uiPriority w:val="0"/>
    <w:rPr>
      <w:b/>
      <w:bCs/>
      <w:color w:val="333333"/>
    </w:rPr>
  </w:style>
  <w:style w:type="character" w:customStyle="1" w:styleId="109">
    <w:name w:val="disabled"/>
    <w:basedOn w:val="39"/>
    <w:autoRedefine/>
    <w:qFormat/>
    <w:uiPriority w:val="0"/>
    <w:rPr>
      <w:vanish/>
    </w:rPr>
  </w:style>
  <w:style w:type="paragraph" w:customStyle="1" w:styleId="110">
    <w:name w:val="标准正文"/>
    <w:basedOn w:val="1"/>
    <w:autoRedefine/>
    <w:qFormat/>
    <w:uiPriority w:val="0"/>
    <w:pPr>
      <w:spacing w:line="360" w:lineRule="auto"/>
      <w:ind w:firstLine="480" w:firstLineChars="200"/>
      <w:jc w:val="left"/>
    </w:pPr>
    <w:rPr>
      <w:rFonts w:ascii="宋体" w:cs="宋体"/>
      <w:kern w:val="0"/>
    </w:rPr>
  </w:style>
  <w:style w:type="paragraph" w:customStyle="1" w:styleId="111">
    <w:name w:val="hj-正文"/>
    <w:basedOn w:val="1"/>
    <w:autoRedefine/>
    <w:qFormat/>
    <w:uiPriority w:val="0"/>
    <w:pPr>
      <w:spacing w:line="360" w:lineRule="auto"/>
      <w:ind w:firstLine="480" w:firstLineChars="200"/>
    </w:pPr>
    <w:rPr>
      <w:szCs w:val="20"/>
      <w:lang w:val="zh-CN"/>
    </w:rPr>
  </w:style>
  <w:style w:type="paragraph" w:customStyle="1" w:styleId="112">
    <w:name w:val="7表格文字"/>
    <w:basedOn w:val="1"/>
    <w:autoRedefine/>
    <w:qFormat/>
    <w:uiPriority w:val="0"/>
    <w:pPr>
      <w:jc w:val="center"/>
    </w:pPr>
    <w:rPr>
      <w:sz w:val="21"/>
    </w:rPr>
  </w:style>
  <w:style w:type="paragraph" w:customStyle="1" w:styleId="113">
    <w:name w:val="正文首行缩进 21"/>
    <w:basedOn w:val="16"/>
    <w:next w:val="1"/>
    <w:autoRedefine/>
    <w:qFormat/>
    <w:uiPriority w:val="0"/>
    <w:pPr>
      <w:spacing w:before="100" w:beforeAutospacing="1"/>
      <w:ind w:firstLine="420" w:firstLineChars="200"/>
    </w:pPr>
    <w:rPr>
      <w:szCs w:val="24"/>
    </w:rPr>
  </w:style>
  <w:style w:type="paragraph" w:customStyle="1" w:styleId="114">
    <w:name w:val="A正文1"/>
    <w:basedOn w:val="1"/>
    <w:autoRedefine/>
    <w:qFormat/>
    <w:uiPriority w:val="0"/>
    <w:pPr>
      <w:spacing w:line="360" w:lineRule="auto"/>
      <w:ind w:firstLine="200" w:firstLineChars="200"/>
    </w:pPr>
  </w:style>
  <w:style w:type="paragraph" w:customStyle="1" w:styleId="115">
    <w:name w:val="样式 (符号) 宋体 小四 行距: 1.5 倍行距"/>
    <w:basedOn w:val="1"/>
    <w:autoRedefine/>
    <w:qFormat/>
    <w:uiPriority w:val="0"/>
    <w:pPr>
      <w:adjustRightInd w:val="0"/>
      <w:snapToGrid w:val="0"/>
      <w:spacing w:before="100" w:beforeAutospacing="1" w:afterLines="20" w:line="360" w:lineRule="auto"/>
      <w:ind w:firstLine="480" w:firstLineChars="200"/>
      <w:jc w:val="left"/>
      <w:textAlignment w:val="baseline"/>
    </w:pPr>
    <w:rPr>
      <w:rFonts w:ascii="Calibri" w:hAnsi="宋体" w:cs="Calibri"/>
      <w:kern w:val="0"/>
    </w:rPr>
  </w:style>
  <w:style w:type="paragraph" w:customStyle="1" w:styleId="116">
    <w:name w:val="表头文字"/>
    <w:basedOn w:val="27"/>
    <w:autoRedefine/>
    <w:qFormat/>
    <w:uiPriority w:val="0"/>
    <w:pPr>
      <w:adjustRightInd w:val="0"/>
      <w:snapToGrid w:val="0"/>
      <w:spacing w:afterLines="20"/>
      <w:ind w:left="0" w:leftChars="0" w:firstLine="480" w:firstLineChars="200"/>
      <w:jc w:val="center"/>
      <w:textAlignment w:val="baseline"/>
    </w:pPr>
    <w:rPr>
      <w:rFonts w:eastAsia="黑体"/>
      <w:szCs w:val="21"/>
      <w:lang w:val="zh-CN"/>
    </w:rPr>
  </w:style>
  <w:style w:type="character" w:customStyle="1" w:styleId="117">
    <w:name w:val="标题 3 字符"/>
    <w:link w:val="7"/>
    <w:autoRedefine/>
    <w:qFormat/>
    <w:uiPriority w:val="0"/>
    <w:rPr>
      <w:b/>
      <w:bCs/>
      <w:sz w:val="32"/>
      <w:szCs w:val="32"/>
    </w:rPr>
  </w:style>
  <w:style w:type="paragraph" w:customStyle="1" w:styleId="118">
    <w:name w:val="表格内容"/>
    <w:basedOn w:val="1"/>
    <w:autoRedefine/>
    <w:qFormat/>
    <w:uiPriority w:val="0"/>
    <w:pPr>
      <w:autoSpaceDE w:val="0"/>
      <w:autoSpaceDN w:val="0"/>
      <w:adjustRightInd w:val="0"/>
      <w:snapToGrid w:val="0"/>
      <w:spacing w:line="240" w:lineRule="atLeast"/>
      <w:jc w:val="center"/>
      <w:textAlignment w:val="baseline"/>
    </w:pPr>
    <w:rPr>
      <w:kern w:val="24"/>
      <w:szCs w:val="21"/>
    </w:rPr>
  </w:style>
  <w:style w:type="paragraph" w:customStyle="1" w:styleId="119">
    <w:name w:val="表名"/>
    <w:basedOn w:val="1"/>
    <w:autoRedefine/>
    <w:qFormat/>
    <w:uiPriority w:val="0"/>
    <w:pPr>
      <w:spacing w:line="360" w:lineRule="auto"/>
      <w:jc w:val="center"/>
    </w:pPr>
    <w:rPr>
      <w:rFonts w:ascii="黑体" w:hAnsi="宋体" w:eastAsia="黑体"/>
      <w:sz w:val="18"/>
    </w:rPr>
  </w:style>
  <w:style w:type="character" w:customStyle="1" w:styleId="120">
    <w:name w:val="font31"/>
    <w:basedOn w:val="39"/>
    <w:autoRedefine/>
    <w:qFormat/>
    <w:uiPriority w:val="0"/>
    <w:rPr>
      <w:rFonts w:hint="eastAsia" w:ascii="宋体" w:hAnsi="宋体" w:eastAsia="宋体" w:cs="宋体"/>
      <w:color w:val="1F3864"/>
      <w:sz w:val="21"/>
      <w:szCs w:val="21"/>
      <w:u w:val="none"/>
    </w:rPr>
  </w:style>
  <w:style w:type="character" w:customStyle="1" w:styleId="121">
    <w:name w:val="font101"/>
    <w:basedOn w:val="39"/>
    <w:autoRedefine/>
    <w:qFormat/>
    <w:uiPriority w:val="0"/>
    <w:rPr>
      <w:rFonts w:hint="default" w:ascii="Calibri" w:hAnsi="Calibri" w:cs="Calibri"/>
      <w:color w:val="1F3864"/>
      <w:sz w:val="21"/>
      <w:szCs w:val="21"/>
      <w:u w:val="none"/>
    </w:rPr>
  </w:style>
  <w:style w:type="paragraph" w:customStyle="1" w:styleId="122">
    <w:name w:val="正文（首行缩进两个字） + 首行缩进:  2 字符"/>
    <w:basedOn w:val="1"/>
    <w:autoRedefine/>
    <w:qFormat/>
    <w:uiPriority w:val="0"/>
    <w:pPr>
      <w:widowControl/>
      <w:spacing w:line="440" w:lineRule="exact"/>
      <w:ind w:firstLine="200" w:firstLineChars="200"/>
      <w:jc w:val="left"/>
    </w:pPr>
    <w:rPr>
      <w:rFonts w:eastAsia="Cambria" w:cs="宋体"/>
      <w:szCs w:val="20"/>
      <w:lang w:val="zh-CN"/>
    </w:rPr>
  </w:style>
  <w:style w:type="paragraph" w:customStyle="1" w:styleId="123">
    <w:name w:val="表格标题"/>
    <w:basedOn w:val="34"/>
    <w:next w:val="68"/>
    <w:autoRedefine/>
    <w:qFormat/>
    <w:uiPriority w:val="0"/>
    <w:pPr>
      <w:spacing w:beforeLines="20"/>
      <w:ind w:firstLine="0" w:firstLineChars="0"/>
      <w:jc w:val="center"/>
    </w:pPr>
    <w:rPr>
      <w:b/>
      <w:bCs/>
      <w:kern w:val="0"/>
      <w:szCs w:val="21"/>
    </w:rPr>
  </w:style>
  <w:style w:type="paragraph" w:customStyle="1" w:styleId="124">
    <w:name w:val="_Style 1"/>
    <w:basedOn w:val="1"/>
    <w:next w:val="1"/>
    <w:autoRedefine/>
    <w:qFormat/>
    <w:uiPriority w:val="0"/>
    <w:pPr>
      <w:ind w:firstLine="420" w:firstLineChars="200"/>
    </w:pPr>
    <w:rPr>
      <w:rFonts w:ascii="Calibri" w:hAnsi="Calibri"/>
      <w:szCs w:val="22"/>
    </w:rPr>
  </w:style>
  <w:style w:type="table" w:customStyle="1" w:styleId="125">
    <w:name w:val="网格型10"/>
    <w:basedOn w:val="36"/>
    <w:autoRedefine/>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wmf"/><Relationship Id="rId23" Type="http://schemas.openxmlformats.org/officeDocument/2006/relationships/image" Target="media/image13.wmf"/><Relationship Id="rId22" Type="http://schemas.openxmlformats.org/officeDocument/2006/relationships/image" Target="media/image12.wmf"/><Relationship Id="rId21" Type="http://schemas.openxmlformats.org/officeDocument/2006/relationships/image" Target="media/image11.wmf"/><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emf"/><Relationship Id="rId17" Type="http://schemas.openxmlformats.org/officeDocument/2006/relationships/oleObject" Target="embeddings/Microsoft_Visio_2003-2010___1.vsd"/><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emf"/><Relationship Id="rId11" Type="http://schemas.openxmlformats.org/officeDocument/2006/relationships/oleObject" Target="embeddings/oleObject1.bin"/><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67"/>
    <customShpInfo spid="_x0000_s1066"/>
    <customShpInfo spid="_x0000_s1065"/>
    <customShpInfo spid="_x0000_s1064"/>
    <customShpInfo spid="_x0000_s1063"/>
    <customShpInfo spid="_x0000_s1062"/>
    <customShpInfo spid="_x0000_s106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61</Pages>
  <Words>33568</Words>
  <Characters>38792</Characters>
  <Lines>247</Lines>
  <Paragraphs>69</Paragraphs>
  <TotalTime>91</TotalTime>
  <ScaleCrop>false</ScaleCrop>
  <LinksUpToDate>false</LinksUpToDate>
  <CharactersWithSpaces>39271</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2024-03-20T10:41:00Z</dcterms:created>
  <dc:creator>lhj</dc:creator>
  <cp:lastModifiedBy>邓婷</cp:lastModifiedBy>
  <cp:lastPrinted>2021-12-01T08:22:00Z</cp:lastPrinted>
  <dcterms:modified xsi:type="dcterms:W3CDTF">2024-10-10T01:20:45Z</dcterms:modified>
  <dc:title>附件2</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8FB52F7738C24B7C8ABDA01B951E5F3E_13</vt:lpwstr>
  </property>
</Properties>
</file>