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1237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3" w:hRule="atLeast"/>
        </w:trPr>
        <w:tc>
          <w:tcPr>
            <w:tcW w:w="8880" w:type="dxa"/>
          </w:tcPr>
          <w:p w14:paraId="242A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审批意见：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 xml:space="preserve">  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衡环松评[202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]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号</w:t>
            </w:r>
          </w:p>
          <w:p w14:paraId="11427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一、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衡阳比亚迪实业有限公司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拟投资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0万元在衡阳市松木经济开发区友谊路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现有厂区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5号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厂房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建设小灯线及表面处理生产建设项目，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项目建成后可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年产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80万车付汽车小灯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项目不使用高挥发分涂料。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我局原则同意《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衡阳比亚迪实业有限公司小灯线及表面处理生产建设项目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环境影响报告表》的结论和建议，报告表可作为项目建设和环境管理的依据。</w:t>
            </w:r>
          </w:p>
          <w:p w14:paraId="553F3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二、项目在工程设计、建设和环境管理中，需全面落实各项污染防治措施，并着重做好以下工作：</w:t>
            </w:r>
          </w:p>
          <w:p w14:paraId="0A03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、严格落实大气污染防治措施。注塑废气经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集气罩收集后通过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二级活性炭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吸附处理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后通过15m高排气筒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达标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排放；设置全自动密闭喷涂生产线，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擦拭废气和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喷涂废气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（包含调漆废气、流平废气、烘干废气、喷枪清洗废气）</w:t>
            </w:r>
            <w:r>
              <w:rPr>
                <w:rFonts w:hint="default" w:eastAsia="仿宋_GB2312" w:cs="Times New Roman"/>
                <w:sz w:val="28"/>
                <w:szCs w:val="28"/>
                <w:highlight w:val="none"/>
                <w:lang w:eastAsia="zh-CN"/>
              </w:rPr>
              <w:t>经负压收集后通过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“水帘+干式过滤（四级）+三塔式蓄热式氧化（RTO）”</w:t>
            </w:r>
            <w:r>
              <w:rPr>
                <w:rFonts w:hint="default" w:eastAsia="仿宋_GB2312" w:cs="Times New Roman"/>
                <w:sz w:val="28"/>
                <w:szCs w:val="28"/>
                <w:highlight w:val="none"/>
                <w:lang w:eastAsia="zh-CN"/>
              </w:rPr>
              <w:t>处理后通过15m高排气筒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达标</w:t>
            </w:r>
            <w:r>
              <w:rPr>
                <w:rFonts w:hint="default" w:eastAsia="仿宋_GB2312" w:cs="Times New Roman"/>
                <w:sz w:val="28"/>
                <w:szCs w:val="28"/>
                <w:highlight w:val="none"/>
                <w:lang w:eastAsia="zh-CN"/>
              </w:rPr>
              <w:t>排放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；天然气燃烧废气经低氮燃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烧后通过15米高排气筒达标排放；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涂胶固化废气、分板废气、焊接废气经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“滤筒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除尘+活性炭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附装置处理后通过 15m高排气筒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达标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排放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清洗有机废气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危废间有机废气依托危废暂存间废气处理设施处理后通过15m高排气筒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达标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排放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。静电</w:t>
            </w: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除尘工序产生的颗粒物经过滤器过滤处理后排放，镭雕废气经配套过滤棉过滤处理后排放。</w:t>
            </w:r>
          </w:p>
          <w:p w14:paraId="3BF0FCB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 w:val="0"/>
              <w:spacing w:line="520" w:lineRule="exact"/>
              <w:ind w:firstLine="600"/>
              <w:jc w:val="both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严格落实水污染防治措施。喷漆废水经循环沉淀水池处理后循环使用不外排，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无法循环使用时则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定期交有资质的单位处置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严防管理不当造成二次污染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。生活污水依托现有隔油池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（食堂废水先隔油）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、化粪池预处理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进入松木（生活）污水处理厂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进一步处理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。</w:t>
            </w:r>
          </w:p>
          <w:p w14:paraId="240138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严格落实噪声污染防治措施。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选用低噪声设备并合理布局，采用减振、消声、隔声等降噪措施确保厂界噪声达到《工业企业厂界环境噪声排放标准》（GB12348-2008）中的相应标准。</w:t>
            </w:r>
          </w:p>
          <w:p w14:paraId="0CADB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严格落实固体废物污染防治措施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设置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危废暂存池用于暂存喷漆废水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其设计、建设、运营管理应满足《危险废物贮存污染控制标准》（GBA18597-2023）相关要求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废漆渣、废油漆桶、废助焊剂、不合格产品、喷漆废液、废活性炭、废抹布及手套、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废滤芯、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清洗废液、废钢网、废油等危险废物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在厂区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暂存后定期委托有资质单位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处置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废包装材料、废边角料、</w:t>
            </w: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t>锡渣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外售综合利用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生活垃圾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由环卫部门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定期清运处理。</w:t>
            </w:r>
          </w:p>
          <w:p w14:paraId="58420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加强项目的日常管理和安全防范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企业应建立健全各项环保规章制度和岗位责任制，设置专门的环保管理机构，落实专职环保技术人员。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强环保设施在日常运行、检修等各时段的安全隐患排查和风险管控工作，建立环保设施安全台账和管理制度，并加强管理和巡查，杜绝发生环保设施安全事故。强化风险管理和事故的预防，做好环境风险的巡查、监控等管理，及时修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环境风险事故应急预案，落实事故应急防范措施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，杜绝环境风险事故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。</w:t>
            </w:r>
          </w:p>
          <w:p w14:paraId="06097E01">
            <w:pPr>
              <w:pStyle w:val="2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20" w:lineRule="exact"/>
              <w:ind w:firstLine="560"/>
              <w:jc w:val="both"/>
              <w:textAlignment w:val="auto"/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本项目主要污染物</w:t>
            </w:r>
            <w:r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总量控制：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化学需氧量≤1.40</w:t>
            </w:r>
            <w:r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t/a，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氨氮≤0.23</w:t>
            </w:r>
            <w:r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t/a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，二氧化硫≤0.36</w:t>
            </w:r>
            <w:r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t/a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，氮氧化物≤1.69</w:t>
            </w:r>
            <w:r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t/a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。</w:t>
            </w:r>
          </w:p>
          <w:p w14:paraId="06B7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、项目建设必须执行配套建设的环境保护设施与主体工程同时设计、同时施工、同时投入使用的环境保护“三同时”制度，并按照相关规定做好竣工验收工作。项目竣工并具备生产（运行）条件后，你单位须按《排污许可管理条例》及相关技术规范的要求，办理排污许可手续后，方可投入运行。</w:t>
            </w:r>
          </w:p>
          <w:p w14:paraId="49617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7E6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AF6E7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衡阳市生态环境局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</w:p>
          <w:p w14:paraId="6D1384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</w:tbl>
    <w:p w14:paraId="7BF6CC90">
      <w:pPr>
        <w:pStyle w:val="21"/>
        <w:keepNext w:val="0"/>
        <w:keepLines w:val="0"/>
        <w:pageBreakBefore w:val="0"/>
        <w:widowControl w:val="0"/>
        <w:kinsoku/>
        <w:overflowPunct/>
        <w:topLinePunct w:val="0"/>
        <w:bidi w:val="0"/>
        <w:spacing w:line="520" w:lineRule="exact"/>
        <w:textAlignment w:val="auto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黑体|.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6057D"/>
    <w:multiLevelType w:val="singleLevel"/>
    <w:tmpl w:val="D066057D"/>
    <w:lvl w:ilvl="0" w:tentative="0">
      <w:start w:val="1"/>
      <w:numFmt w:val="bullet"/>
      <w:pStyle w:val="1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mZiMjc5NGUxYmU5MzI1MzUxNmE0MGFmNDRmY2QifQ=="/>
  </w:docVars>
  <w:rsids>
    <w:rsidRoot w:val="00172A27"/>
    <w:rsid w:val="00053B0E"/>
    <w:rsid w:val="00061ACF"/>
    <w:rsid w:val="00065233"/>
    <w:rsid w:val="000D732B"/>
    <w:rsid w:val="001A0B04"/>
    <w:rsid w:val="00204186"/>
    <w:rsid w:val="002114D8"/>
    <w:rsid w:val="003B23A3"/>
    <w:rsid w:val="004E0C2D"/>
    <w:rsid w:val="005028AB"/>
    <w:rsid w:val="00506DA4"/>
    <w:rsid w:val="00513F2B"/>
    <w:rsid w:val="0060583D"/>
    <w:rsid w:val="00706D5B"/>
    <w:rsid w:val="008C3C02"/>
    <w:rsid w:val="00A00FDE"/>
    <w:rsid w:val="00C52261"/>
    <w:rsid w:val="00CB31AD"/>
    <w:rsid w:val="00D56D78"/>
    <w:rsid w:val="00DD7053"/>
    <w:rsid w:val="00E72DFA"/>
    <w:rsid w:val="07B64680"/>
    <w:rsid w:val="0A4F31D7"/>
    <w:rsid w:val="0BD07077"/>
    <w:rsid w:val="0ED97061"/>
    <w:rsid w:val="0F1666F0"/>
    <w:rsid w:val="0F586EC1"/>
    <w:rsid w:val="1A7E1232"/>
    <w:rsid w:val="1C56244C"/>
    <w:rsid w:val="1E973EA7"/>
    <w:rsid w:val="20AA594F"/>
    <w:rsid w:val="2BE057DF"/>
    <w:rsid w:val="2FF2608B"/>
    <w:rsid w:val="2FFE9D7F"/>
    <w:rsid w:val="309A05B0"/>
    <w:rsid w:val="33E87174"/>
    <w:rsid w:val="376417AF"/>
    <w:rsid w:val="398533B4"/>
    <w:rsid w:val="3A976388"/>
    <w:rsid w:val="3D980140"/>
    <w:rsid w:val="3FFF718E"/>
    <w:rsid w:val="408D756E"/>
    <w:rsid w:val="439125A7"/>
    <w:rsid w:val="471072A6"/>
    <w:rsid w:val="492B331F"/>
    <w:rsid w:val="57DC05B2"/>
    <w:rsid w:val="587B0643"/>
    <w:rsid w:val="58EB36CF"/>
    <w:rsid w:val="5EB5023C"/>
    <w:rsid w:val="62DA5106"/>
    <w:rsid w:val="68570D81"/>
    <w:rsid w:val="6BB797B1"/>
    <w:rsid w:val="6E04099D"/>
    <w:rsid w:val="6FF9B440"/>
    <w:rsid w:val="77726C77"/>
    <w:rsid w:val="78EE18FE"/>
    <w:rsid w:val="7AD261C1"/>
    <w:rsid w:val="7BD7323C"/>
    <w:rsid w:val="7BDF30A4"/>
    <w:rsid w:val="7E924469"/>
    <w:rsid w:val="7E9E1CAB"/>
    <w:rsid w:val="7EF74C33"/>
    <w:rsid w:val="7F3BD479"/>
    <w:rsid w:val="7F45601D"/>
    <w:rsid w:val="7FF91907"/>
    <w:rsid w:val="9FD75048"/>
    <w:rsid w:val="B76C1B02"/>
    <w:rsid w:val="BFFCD624"/>
    <w:rsid w:val="D5FED0AE"/>
    <w:rsid w:val="F27CE916"/>
    <w:rsid w:val="F35D196B"/>
    <w:rsid w:val="F7E6598A"/>
    <w:rsid w:val="FBEE50C1"/>
    <w:rsid w:val="FDD2102E"/>
    <w:rsid w:val="FF6EC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|." w:hAnsi="黑体|." w:eastAsia="黑体|.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spacing w:line="360" w:lineRule="auto"/>
    </w:pPr>
    <w:rPr>
      <w:rFonts w:ascii="宋体" w:hAnsi="Courier New" w:eastAsia="宋体" w:cs="Courier New"/>
      <w:szCs w:val="21"/>
    </w:rPr>
  </w:style>
  <w:style w:type="paragraph" w:styleId="4">
    <w:name w:val="Body Text First Indent 2"/>
    <w:basedOn w:val="5"/>
    <w:next w:val="1"/>
    <w:qFormat/>
    <w:uiPriority w:val="0"/>
    <w:pPr>
      <w:widowControl w:val="0"/>
      <w:tabs>
        <w:tab w:val="left" w:pos="540"/>
      </w:tabs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E-mail Signature"/>
    <w:basedOn w:val="1"/>
    <w:next w:val="9"/>
    <w:qFormat/>
    <w:uiPriority w:val="0"/>
    <w:pPr>
      <w:spacing w:line="460" w:lineRule="exact"/>
      <w:ind w:firstLine="200"/>
    </w:pPr>
    <w:rPr>
      <w:rFonts w:ascii="Times New Roman" w:hAnsi="Times New Roman" w:eastAsia="宋体" w:cs="Times New Roman"/>
      <w:sz w:val="24"/>
    </w:rPr>
  </w:style>
  <w:style w:type="paragraph" w:customStyle="1" w:styleId="9">
    <w:name w:val="文章"/>
    <w:basedOn w:val="1"/>
    <w:next w:val="10"/>
    <w:qFormat/>
    <w:uiPriority w:val="0"/>
    <w:pPr>
      <w:widowControl/>
      <w:ind w:firstLine="480"/>
      <w:jc w:val="center"/>
    </w:pPr>
    <w:rPr>
      <w:rFonts w:ascii="Times New Roman" w:hAnsi="Times New Roman" w:eastAsia="宋体" w:cs="Times New Roman"/>
      <w:sz w:val="26"/>
    </w:rPr>
  </w:style>
  <w:style w:type="paragraph" w:styleId="10">
    <w:name w:val="List"/>
    <w:basedOn w:val="1"/>
    <w:next w:val="11"/>
    <w:qFormat/>
    <w:uiPriority w:val="0"/>
    <w:pPr>
      <w:ind w:left="200" w:hanging="200" w:hangingChars="200"/>
      <w:contextualSpacing/>
    </w:pPr>
    <w:rPr>
      <w:rFonts w:ascii="Times New Roman" w:hAnsi="Times New Roman" w:eastAsia="宋体" w:cs="Times New Roman"/>
    </w:rPr>
  </w:style>
  <w:style w:type="paragraph" w:styleId="11">
    <w:name w:val="List Bullet 2"/>
    <w:basedOn w:val="1"/>
    <w:next w:val="12"/>
    <w:qFormat/>
    <w:uiPriority w:val="0"/>
    <w:pPr>
      <w:numPr>
        <w:ilvl w:val="0"/>
        <w:numId w:val="1"/>
      </w:numPr>
    </w:pPr>
  </w:style>
  <w:style w:type="paragraph" w:customStyle="1" w:styleId="12">
    <w:name w:val="xl70"/>
    <w:basedOn w:val="1"/>
    <w:next w:val="13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正文缩进1"/>
    <w:basedOn w:val="1"/>
    <w:next w:val="14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14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rFonts w:ascii="Times New Roman" w:hAnsi="Times New Roman" w:eastAsia="宋体" w:cs="Times New Roman"/>
      <w:color w:val="000000"/>
      <w:sz w:val="18"/>
    </w:rPr>
  </w:style>
  <w:style w:type="paragraph" w:styleId="15">
    <w:name w:val="Balloon Text"/>
    <w:basedOn w:val="1"/>
    <w:link w:val="24"/>
    <w:qFormat/>
    <w:uiPriority w:val="0"/>
    <w:rPr>
      <w:sz w:val="18"/>
      <w:szCs w:val="18"/>
    </w:rPr>
  </w:style>
  <w:style w:type="paragraph" w:styleId="16">
    <w:name w:val="toc 2"/>
    <w:basedOn w:val="1"/>
    <w:next w:val="8"/>
    <w:qFormat/>
    <w:uiPriority w:val="0"/>
    <w:pPr>
      <w:tabs>
        <w:tab w:val="left" w:pos="1021"/>
      </w:tabs>
      <w:ind w:left="420" w:leftChars="200"/>
    </w:pPr>
    <w:rPr>
      <w:rFonts w:ascii="宋体" w:hAnsi="宋体" w:eastAsia="宋体" w:cs="Times New Roman"/>
      <w:b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样式35"/>
    <w:basedOn w:val="1"/>
    <w:next w:val="23"/>
    <w:qFormat/>
    <w:uiPriority w:val="0"/>
    <w:pPr>
      <w:spacing w:line="312" w:lineRule="auto"/>
      <w:ind w:firstLine="567"/>
    </w:pPr>
    <w:rPr>
      <w:rFonts w:ascii="宋体" w:hAnsi="Times New Roman" w:eastAsia="宋体" w:cs="Times New Roman"/>
    </w:rPr>
  </w:style>
  <w:style w:type="paragraph" w:customStyle="1" w:styleId="23">
    <w:name w:val="font6"/>
    <w:basedOn w:val="1"/>
    <w:next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</w:rPr>
  </w:style>
  <w:style w:type="character" w:customStyle="1" w:styleId="24">
    <w:name w:val="批注框文本 Char"/>
    <w:basedOn w:val="20"/>
    <w:link w:val="15"/>
    <w:qFormat/>
    <w:uiPriority w:val="0"/>
    <w:rPr>
      <w:kern w:val="2"/>
      <w:sz w:val="18"/>
      <w:szCs w:val="18"/>
    </w:rPr>
  </w:style>
  <w:style w:type="character" w:customStyle="1" w:styleId="25">
    <w:name w:val="content1"/>
    <w:basedOn w:val="20"/>
    <w:qFormat/>
    <w:uiPriority w:val="0"/>
    <w:rPr>
      <w:color w:val="000000"/>
      <w:sz w:val="20"/>
      <w:szCs w:val="20"/>
    </w:rPr>
  </w:style>
  <w:style w:type="character" w:customStyle="1" w:styleId="26">
    <w:name w:val="标题 2 Char1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7">
    <w:name w:val="标题 2 字符"/>
    <w:link w:val="6"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1341</Characters>
  <Lines>7</Lines>
  <Paragraphs>2</Paragraphs>
  <TotalTime>46</TotalTime>
  <ScaleCrop>false</ScaleCrop>
  <LinksUpToDate>false</LinksUpToDate>
  <CharactersWithSpaces>1389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2017-03-04T07:07:00Z</dcterms:created>
  <dc:creator>X</dc:creator>
  <cp:lastModifiedBy>Administrator</cp:lastModifiedBy>
  <cp:lastPrinted>2024-08-26T07:52:30Z</cp:lastPrinted>
  <dcterms:modified xsi:type="dcterms:W3CDTF">2024-08-26T07:55:25Z</dcterms:modified>
  <dc:title>审批意见：                         衡环评[2017] 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91C19327C3F54AC1B414386760C01D43_13</vt:lpwstr>
  </property>
</Properties>
</file>