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beforeAutospacing="0" w:afterAutospacing="0" w:line="360" w:lineRule="auto"/>
        <w:jc w:val="center"/>
        <w:textAlignment w:val="auto"/>
        <w:outlineLvl w:val="9"/>
        <w:rPr>
          <w:rFonts w:hint="default" w:ascii="Times New Roman" w:hAnsi="Times New Roman" w:eastAsia="宋体" w:cs="Times New Roman"/>
          <w:b/>
          <w:color w:val="auto"/>
          <w:sz w:val="44"/>
          <w:szCs w:val="44"/>
          <w:highlight w:val="none"/>
        </w:rPr>
      </w:pPr>
      <w:bookmarkStart w:id="0" w:name="_Toc11425"/>
      <w:bookmarkStart w:id="1" w:name="_Toc9136"/>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jc w:val="center"/>
        <w:textAlignment w:val="auto"/>
        <w:outlineLvl w:val="9"/>
        <w:rPr>
          <w:rFonts w:hint="default" w:ascii="Times New Roman" w:hAnsi="Times New Roman" w:eastAsia="宋体" w:cs="Times New Roman"/>
          <w:b/>
          <w:color w:val="auto"/>
          <w:sz w:val="44"/>
          <w:szCs w:val="44"/>
          <w:highlight w:val="none"/>
        </w:rPr>
      </w:pPr>
      <w:r>
        <w:rPr>
          <w:rFonts w:hint="default" w:ascii="Times New Roman" w:hAnsi="Times New Roman" w:eastAsia="宋体" w:cs="Times New Roman"/>
          <w:b/>
          <w:color w:val="auto"/>
          <w:sz w:val="44"/>
          <w:szCs w:val="44"/>
          <w:highlight w:val="none"/>
        </w:rPr>
        <w:t>衡阳市城市建设投资发展集团有限公司</w:t>
      </w:r>
      <w:bookmarkEnd w:id="0"/>
      <w:bookmarkEnd w:id="1"/>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jc w:val="center"/>
        <w:textAlignment w:val="auto"/>
        <w:outlineLvl w:val="9"/>
        <w:rPr>
          <w:rFonts w:hint="default" w:ascii="Times New Roman" w:hAnsi="Times New Roman" w:eastAsia="宋体" w:cs="Times New Roman"/>
          <w:b/>
          <w:color w:val="auto"/>
          <w:sz w:val="44"/>
          <w:szCs w:val="44"/>
          <w:highlight w:val="none"/>
        </w:rPr>
      </w:pPr>
      <w:bookmarkStart w:id="2" w:name="_Toc299912295"/>
      <w:bookmarkEnd w:id="2"/>
      <w:bookmarkStart w:id="3" w:name="_Toc300045006"/>
      <w:bookmarkEnd w:id="3"/>
      <w:bookmarkStart w:id="4" w:name="_Toc22185"/>
      <w:bookmarkStart w:id="5" w:name="_Toc32279"/>
      <w:r>
        <w:rPr>
          <w:rFonts w:hint="default" w:ascii="Times New Roman" w:hAnsi="Times New Roman" w:eastAsia="宋体" w:cs="Times New Roman"/>
          <w:b/>
          <w:color w:val="auto"/>
          <w:sz w:val="44"/>
          <w:szCs w:val="44"/>
          <w:highlight w:val="none"/>
        </w:rPr>
        <w:t>衡阳市</w:t>
      </w:r>
      <w:r>
        <w:rPr>
          <w:rFonts w:hint="eastAsia" w:cs="Times New Roman"/>
          <w:b/>
          <w:color w:val="auto"/>
          <w:sz w:val="44"/>
          <w:szCs w:val="44"/>
          <w:highlight w:val="none"/>
          <w:lang w:eastAsia="zh-CN"/>
        </w:rPr>
        <w:t>“</w:t>
      </w:r>
      <w:r>
        <w:rPr>
          <w:rFonts w:hint="default" w:ascii="Times New Roman" w:hAnsi="Times New Roman" w:eastAsia="宋体" w:cs="Times New Roman"/>
          <w:b/>
          <w:color w:val="auto"/>
          <w:sz w:val="44"/>
          <w:szCs w:val="44"/>
          <w:highlight w:val="none"/>
        </w:rPr>
        <w:t>美丽湘江</w:t>
      </w:r>
      <w:r>
        <w:rPr>
          <w:rFonts w:hint="eastAsia" w:cs="Times New Roman"/>
          <w:b/>
          <w:color w:val="auto"/>
          <w:sz w:val="44"/>
          <w:szCs w:val="44"/>
          <w:highlight w:val="none"/>
          <w:lang w:eastAsia="zh-CN"/>
        </w:rPr>
        <w:t>”</w:t>
      </w:r>
      <w:r>
        <w:rPr>
          <w:rFonts w:hint="default" w:ascii="Times New Roman" w:hAnsi="Times New Roman" w:eastAsia="宋体" w:cs="Times New Roman"/>
          <w:b/>
          <w:color w:val="auto"/>
          <w:sz w:val="44"/>
          <w:szCs w:val="44"/>
          <w:highlight w:val="none"/>
        </w:rPr>
        <w:t>项目</w:t>
      </w:r>
      <w:bookmarkEnd w:id="4"/>
      <w:bookmarkEnd w:id="5"/>
    </w:p>
    <w:p>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72"/>
          <w:szCs w:val="72"/>
          <w:highlight w:val="none"/>
        </w:rPr>
      </w:pPr>
      <w:bookmarkStart w:id="6" w:name="_Toc32283"/>
      <w:r>
        <w:rPr>
          <w:rFonts w:hint="default" w:ascii="Times New Roman" w:hAnsi="Times New Roman" w:eastAsia="宋体" w:cs="Times New Roman"/>
          <w:b/>
          <w:bCs/>
          <w:color w:val="auto"/>
          <w:sz w:val="72"/>
          <w:szCs w:val="72"/>
          <w:highlight w:val="none"/>
        </w:rPr>
        <w:t>环境影响报告书</w:t>
      </w:r>
      <w:bookmarkEnd w:id="6"/>
    </w:p>
    <w:p>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72"/>
          <w:szCs w:val="72"/>
          <w:highlight w:val="none"/>
          <w:lang w:val="en-US" w:eastAsia="zh-CN"/>
        </w:rPr>
      </w:pPr>
    </w:p>
    <w:p>
      <w:pPr>
        <w:pStyle w:val="21"/>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outlineLvl w:val="9"/>
        <w:rPr>
          <w:rFonts w:hint="default" w:ascii="Times New Roman" w:hAnsi="Times New Roman" w:eastAsia="宋体" w:cs="Times New Roman"/>
          <w:color w:val="auto"/>
          <w:sz w:val="16"/>
          <w:szCs w:val="20"/>
          <w:highlight w:val="none"/>
          <w:lang w:eastAsia="zh-CN"/>
        </w:rPr>
      </w:pPr>
      <w:r>
        <w:rPr>
          <w:rFonts w:hint="default" w:ascii="Times New Roman" w:hAnsi="Times New Roman" w:cs="Times New Roman"/>
          <w:b/>
          <w:bCs/>
          <w:color w:val="auto"/>
          <w:sz w:val="48"/>
          <w:szCs w:val="48"/>
          <w:highlight w:val="none"/>
          <w:lang w:eastAsia="zh-CN"/>
        </w:rPr>
        <w:t>（</w:t>
      </w:r>
      <w:r>
        <w:rPr>
          <w:rFonts w:hint="default" w:ascii="Times New Roman" w:hAnsi="Times New Roman" w:cs="Times New Roman"/>
          <w:b/>
          <w:bCs/>
          <w:color w:val="auto"/>
          <w:sz w:val="48"/>
          <w:szCs w:val="48"/>
          <w:highlight w:val="none"/>
          <w:lang w:val="en-US" w:eastAsia="zh-CN"/>
        </w:rPr>
        <w:t>送审稿</w:t>
      </w:r>
      <w:r>
        <w:rPr>
          <w:rFonts w:hint="default" w:ascii="Times New Roman" w:hAnsi="Times New Roman" w:cs="Times New Roman"/>
          <w:b/>
          <w:bCs/>
          <w:color w:val="auto"/>
          <w:sz w:val="48"/>
          <w:szCs w:val="48"/>
          <w:highlight w:val="none"/>
          <w:lang w:eastAsia="zh-CN"/>
        </w:rPr>
        <w:t>）</w:t>
      </w:r>
    </w:p>
    <w:p>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32"/>
          <w:szCs w:val="32"/>
          <w:highlight w:val="none"/>
        </w:rPr>
      </w:pPr>
    </w:p>
    <w:p>
      <w:pPr>
        <w:pStyle w:val="11"/>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color w:val="auto"/>
          <w:sz w:val="32"/>
          <w:szCs w:val="32"/>
          <w:highlight w:val="none"/>
        </w:rPr>
      </w:pPr>
    </w:p>
    <w:p>
      <w:pPr>
        <w:pStyle w:val="11"/>
        <w:keepNext w:val="0"/>
        <w:keepLines w:val="0"/>
        <w:pageBreakBefore w:val="0"/>
        <w:widowControl w:val="0"/>
        <w:kinsoku/>
        <w:wordWrap/>
        <w:overflowPunct/>
        <w:topLinePunct w:val="0"/>
        <w:autoSpaceDE/>
        <w:autoSpaceDN/>
        <w:bidi w:val="0"/>
        <w:adjustRightInd/>
        <w:snapToGrid/>
        <w:textAlignment w:val="auto"/>
        <w:outlineLvl w:val="9"/>
        <w:rPr>
          <w:rFonts w:hint="default"/>
          <w:color w:val="auto"/>
          <w:highlight w:val="none"/>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color w:val="auto"/>
          <w:sz w:val="32"/>
          <w:szCs w:val="32"/>
          <w:highlight w:val="none"/>
        </w:rPr>
      </w:pPr>
    </w:p>
    <w:p>
      <w:pPr>
        <w:pStyle w:val="11"/>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color w:val="auto"/>
          <w:sz w:val="32"/>
          <w:szCs w:val="32"/>
          <w:highlight w:val="none"/>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auto"/>
          <w:highlight w:val="none"/>
        </w:rPr>
      </w:pPr>
    </w:p>
    <w:p>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32"/>
          <w:szCs w:val="32"/>
          <w:highlight w:val="none"/>
        </w:rPr>
      </w:pPr>
    </w:p>
    <w:p>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firstLine="565" w:firstLineChars="176"/>
        <w:textAlignment w:val="auto"/>
        <w:outlineLvl w:val="9"/>
        <w:rPr>
          <w:rFonts w:hint="default" w:ascii="Times New Roman" w:hAnsi="Times New Roman" w:eastAsia="宋体" w:cs="Times New Roman"/>
          <w:b/>
          <w:bCs/>
          <w:color w:val="auto"/>
          <w:sz w:val="32"/>
          <w:szCs w:val="32"/>
          <w:highlight w:val="none"/>
        </w:rPr>
      </w:pPr>
      <w:bookmarkStart w:id="7" w:name="_Toc30337"/>
      <w:r>
        <w:rPr>
          <w:rFonts w:hint="default" w:ascii="Times New Roman" w:hAnsi="Times New Roman" w:eastAsia="宋体" w:cs="Times New Roman"/>
          <w:b/>
          <w:bCs/>
          <w:color w:val="auto"/>
          <w:sz w:val="32"/>
          <w:szCs w:val="32"/>
          <w:highlight w:val="none"/>
        </w:rPr>
        <w:t>建设单位：衡阳市城市建设投资发展集团有限公司</w:t>
      </w:r>
      <w:bookmarkEnd w:id="7"/>
    </w:p>
    <w:p>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left="566" w:leftChars="-708" w:hanging="2053" w:hangingChars="639"/>
        <w:jc w:val="center"/>
        <w:textAlignment w:val="auto"/>
        <w:outlineLvl w:val="9"/>
        <w:rPr>
          <w:rFonts w:hint="default" w:ascii="Times New Roman" w:hAnsi="Times New Roman" w:eastAsia="宋体" w:cs="Times New Roman"/>
          <w:b/>
          <w:bCs/>
          <w:color w:val="auto"/>
          <w:sz w:val="32"/>
          <w:szCs w:val="32"/>
          <w:highlight w:val="none"/>
        </w:rPr>
      </w:pPr>
      <w:bookmarkStart w:id="8" w:name="_Toc27606"/>
      <w:bookmarkStart w:id="9" w:name="_Toc24211"/>
      <w:r>
        <w:rPr>
          <w:rFonts w:hint="default" w:ascii="Times New Roman" w:hAnsi="Times New Roman" w:eastAsia="宋体" w:cs="Times New Roman"/>
          <w:b/>
          <w:bCs/>
          <w:color w:val="auto"/>
          <w:sz w:val="32"/>
          <w:szCs w:val="32"/>
          <w:highlight w:val="none"/>
        </w:rPr>
        <w:t>环评单位：湖南晶康环保科技有限公司</w:t>
      </w:r>
      <w:bookmarkEnd w:id="8"/>
      <w:bookmarkEnd w:id="9"/>
    </w:p>
    <w:p>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jc w:val="center"/>
        <w:textAlignment w:val="auto"/>
        <w:outlineLvl w:val="9"/>
        <w:rPr>
          <w:rFonts w:hint="default" w:ascii="Times New Roman" w:hAnsi="Times New Roman" w:eastAsia="宋体" w:cs="Times New Roman"/>
          <w:b/>
          <w:bCs/>
          <w:color w:val="auto"/>
          <w:sz w:val="32"/>
          <w:szCs w:val="32"/>
          <w:highlight w:val="none"/>
        </w:rPr>
        <w:sectPr>
          <w:headerReference r:id="rId5" w:type="first"/>
          <w:footerReference r:id="rId8" w:type="first"/>
          <w:headerReference r:id="rId3" w:type="default"/>
          <w:footerReference r:id="rId6" w:type="default"/>
          <w:headerReference r:id="rId4" w:type="even"/>
          <w:footerReference r:id="rId7" w:type="even"/>
          <w:pgSz w:w="11907" w:h="16840"/>
          <w:pgMar w:top="1440" w:right="1800" w:bottom="1440" w:left="1800" w:header="567" w:footer="567"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eastAsia="宋体" w:cs="Times New Roman"/>
          <w:b/>
          <w:bCs/>
          <w:color w:val="auto"/>
          <w:sz w:val="32"/>
          <w:szCs w:val="32"/>
          <w:highlight w:val="none"/>
          <w:lang w:val="en-US" w:eastAsia="zh-CN"/>
        </w:rPr>
        <w:t>202</w:t>
      </w:r>
      <w:r>
        <w:rPr>
          <w:rFonts w:hint="default" w:ascii="Times New Roman" w:hAnsi="Times New Roman" w:cs="Times New Roman"/>
          <w:b/>
          <w:bCs/>
          <w:color w:val="auto"/>
          <w:sz w:val="32"/>
          <w:szCs w:val="32"/>
          <w:highlight w:val="none"/>
          <w:lang w:val="en-US" w:eastAsia="zh-CN"/>
        </w:rPr>
        <w:t>4</w:t>
      </w:r>
      <w:r>
        <w:rPr>
          <w:rFonts w:hint="default" w:ascii="Times New Roman" w:hAnsi="Times New Roman" w:eastAsia="宋体" w:cs="Times New Roman"/>
          <w:b/>
          <w:bCs/>
          <w:color w:val="auto"/>
          <w:sz w:val="32"/>
          <w:szCs w:val="32"/>
          <w:highlight w:val="none"/>
          <w:lang w:val="en-US" w:eastAsia="zh-CN"/>
        </w:rPr>
        <w:t>年</w:t>
      </w:r>
      <w:r>
        <w:rPr>
          <w:rFonts w:hint="default" w:ascii="Times New Roman" w:hAnsi="Times New Roman" w:cs="Times New Roman"/>
          <w:b/>
          <w:bCs/>
          <w:color w:val="auto"/>
          <w:sz w:val="32"/>
          <w:szCs w:val="32"/>
          <w:highlight w:val="none"/>
          <w:lang w:val="en-US" w:eastAsia="zh-CN"/>
        </w:rPr>
        <w:t>4</w:t>
      </w:r>
      <w:r>
        <w:rPr>
          <w:rFonts w:hint="default" w:ascii="Times New Roman" w:hAnsi="Times New Roman" w:eastAsia="宋体" w:cs="Times New Roman"/>
          <w:b/>
          <w:bCs/>
          <w:color w:val="auto"/>
          <w:sz w:val="32"/>
          <w:szCs w:val="32"/>
          <w:highlight w:val="none"/>
        </w:rPr>
        <w:t>月</w:t>
      </w:r>
    </w:p>
    <w:p>
      <w:pPr>
        <w:keepLines w:val="0"/>
        <w:pageBreakBefore w:val="0"/>
        <w:widowControl w:val="0"/>
        <w:kinsoku/>
        <w:wordWrap/>
        <w:overflowPunct/>
        <w:topLinePunct w:val="0"/>
        <w:bidi w:val="0"/>
        <w:jc w:val="center"/>
        <w:rPr>
          <w:rFonts w:hint="default"/>
          <w:b/>
          <w:bCs/>
          <w:color w:val="auto"/>
          <w:sz w:val="32"/>
          <w:szCs w:val="40"/>
          <w:highlight w:val="none"/>
          <w:lang w:val="en-US" w:eastAsia="zh-CN"/>
        </w:rPr>
      </w:pPr>
      <w:r>
        <w:rPr>
          <w:rFonts w:hint="default"/>
          <w:b/>
          <w:bCs/>
          <w:color w:val="auto"/>
          <w:sz w:val="32"/>
          <w:szCs w:val="40"/>
          <w:highlight w:val="none"/>
          <w:lang w:val="en-US" w:eastAsia="zh-CN"/>
        </w:rPr>
        <w:t>目录</w:t>
      </w:r>
    </w:p>
    <w:p>
      <w:pPr>
        <w:keepLines w:val="0"/>
        <w:pageBreakBefore w:val="0"/>
        <w:widowControl w:val="0"/>
        <w:kinsoku/>
        <w:wordWrap/>
        <w:overflowPunct/>
        <w:topLinePunct w:val="0"/>
        <w:bidi w:val="0"/>
        <w:rPr>
          <w:rFonts w:hint="default"/>
          <w:color w:val="auto"/>
          <w:highlight w:val="none"/>
          <w:lang w:val="en-US" w:eastAsia="zh-CN"/>
        </w:rPr>
      </w:pPr>
    </w:p>
    <w:sdt>
      <w:sdtPr>
        <w:rPr>
          <w:rFonts w:ascii="Times New Roman" w:hAnsi="Times New Roman" w:eastAsia="宋体" w:cs="Times New Roman"/>
          <w:color w:val="auto"/>
          <w:kern w:val="2"/>
          <w:sz w:val="21"/>
          <w:szCs w:val="24"/>
          <w:highlight w:val="none"/>
          <w:lang w:val="en-US" w:eastAsia="zh-CN" w:bidi="ar-SA"/>
        </w:rPr>
        <w:id w:val="147468410"/>
        <w15:color w:val="DBDBDB"/>
        <w:docPartObj>
          <w:docPartGallery w:val="Table of Contents"/>
          <w:docPartUnique/>
        </w:docPartObj>
      </w:sdtPr>
      <w:sdtEndPr>
        <w:rPr>
          <w:rFonts w:hint="default" w:ascii="Times New Roman" w:hAnsi="Times New Roman" w:eastAsia="宋体" w:cs="Times New Roman"/>
          <w:color w:val="auto"/>
          <w:kern w:val="2"/>
          <w:sz w:val="21"/>
          <w:szCs w:val="24"/>
          <w:highlight w:val="none"/>
          <w:lang w:val="en-US" w:eastAsia="zh-CN" w:bidi="ar-SA"/>
        </w:rPr>
      </w:sdtEndPr>
      <w:sdtContent>
        <w:p>
          <w:pPr>
            <w:spacing w:before="0" w:beforeLines="0" w:after="0" w:afterLines="0" w:line="240" w:lineRule="auto"/>
            <w:ind w:left="0" w:leftChars="0" w:right="0" w:rightChars="0" w:firstLine="0" w:firstLineChars="0"/>
            <w:jc w:val="center"/>
            <w:rPr>
              <w:color w:val="auto"/>
              <w:highlight w:val="none"/>
            </w:rPr>
          </w:pPr>
        </w:p>
        <w:p>
          <w:pPr>
            <w:pStyle w:val="17"/>
            <w:tabs>
              <w:tab w:val="right" w:leader="dot" w:pos="8306"/>
            </w:tabs>
            <w:rPr>
              <w:color w:val="auto"/>
            </w:rPr>
          </w:pP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TOC \o "1-2" \h \u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_Toc6612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cs="Times New Roman"/>
              <w:bCs/>
              <w:color w:val="auto"/>
              <w:kern w:val="44"/>
              <w:szCs w:val="32"/>
            </w:rPr>
            <w:t xml:space="preserve">1、 </w:t>
          </w:r>
          <w:r>
            <w:rPr>
              <w:rFonts w:hint="default" w:cs="Times New Roman"/>
              <w:bCs/>
              <w:color w:val="auto"/>
              <w:kern w:val="44"/>
              <w:szCs w:val="32"/>
              <w:highlight w:val="none"/>
              <w:lang w:val="en-US" w:eastAsia="zh-CN"/>
            </w:rPr>
            <w:t>概述</w:t>
          </w:r>
          <w:r>
            <w:rPr>
              <w:color w:val="auto"/>
            </w:rPr>
            <w:tab/>
          </w:r>
          <w:r>
            <w:rPr>
              <w:color w:val="auto"/>
            </w:rPr>
            <w:fldChar w:fldCharType="begin"/>
          </w:r>
          <w:r>
            <w:rPr>
              <w:color w:val="auto"/>
            </w:rPr>
            <w:instrText xml:space="preserve"> PAGEREF _Toc6612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_Toc5629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1.1 </w:t>
          </w:r>
          <w:r>
            <w:rPr>
              <w:rFonts w:cs="Times New Roman"/>
              <w:bCs/>
              <w:color w:val="auto"/>
              <w:kern w:val="0"/>
              <w:szCs w:val="30"/>
              <w:highlight w:val="none"/>
            </w:rPr>
            <w:t>项目由来</w:t>
          </w:r>
          <w:r>
            <w:rPr>
              <w:color w:val="auto"/>
            </w:rPr>
            <w:tab/>
          </w:r>
          <w:r>
            <w:rPr>
              <w:color w:val="auto"/>
            </w:rPr>
            <w:fldChar w:fldCharType="begin"/>
          </w:r>
          <w:r>
            <w:rPr>
              <w:color w:val="auto"/>
            </w:rPr>
            <w:instrText xml:space="preserve"> PAGEREF _Toc5629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_Toc24114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30"/>
            </w:rPr>
            <w:t xml:space="preserve">1.2 </w:t>
          </w:r>
          <w:r>
            <w:rPr>
              <w:rFonts w:hint="default" w:ascii="Times New Roman" w:hAnsi="Times New Roman" w:eastAsia="宋体" w:cs="Times New Roman"/>
              <w:bCs/>
              <w:color w:val="auto"/>
              <w:kern w:val="0"/>
              <w:szCs w:val="30"/>
              <w:highlight w:val="none"/>
            </w:rPr>
            <w:t>项目</w:t>
          </w:r>
          <w:r>
            <w:rPr>
              <w:rFonts w:hint="default" w:cs="Times New Roman"/>
              <w:bCs/>
              <w:color w:val="auto"/>
              <w:kern w:val="0"/>
              <w:szCs w:val="30"/>
              <w:highlight w:val="none"/>
              <w:lang w:val="en-US" w:eastAsia="zh-CN"/>
            </w:rPr>
            <w:t>主要</w:t>
          </w:r>
          <w:r>
            <w:rPr>
              <w:rFonts w:hint="default" w:cs="Times New Roman"/>
              <w:bCs/>
              <w:color w:val="auto"/>
              <w:kern w:val="0"/>
              <w:szCs w:val="30"/>
              <w:highlight w:val="none"/>
            </w:rPr>
            <w:t>特点</w:t>
          </w:r>
          <w:r>
            <w:rPr>
              <w:color w:val="auto"/>
            </w:rPr>
            <w:tab/>
          </w:r>
          <w:r>
            <w:rPr>
              <w:color w:val="auto"/>
            </w:rPr>
            <w:fldChar w:fldCharType="begin"/>
          </w:r>
          <w:r>
            <w:rPr>
              <w:color w:val="auto"/>
            </w:rPr>
            <w:instrText xml:space="preserve"> PAGEREF _Toc24114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_Toc19321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30"/>
            </w:rPr>
            <w:t xml:space="preserve">1.3 </w:t>
          </w:r>
          <w:r>
            <w:rPr>
              <w:rFonts w:hint="default" w:cs="Times New Roman"/>
              <w:bCs/>
              <w:color w:val="auto"/>
              <w:kern w:val="0"/>
              <w:szCs w:val="30"/>
              <w:highlight w:val="none"/>
            </w:rPr>
            <w:t>环境影响评价过程</w:t>
          </w:r>
          <w:r>
            <w:rPr>
              <w:color w:val="auto"/>
            </w:rPr>
            <w:tab/>
          </w:r>
          <w:r>
            <w:rPr>
              <w:color w:val="auto"/>
            </w:rPr>
            <w:fldChar w:fldCharType="begin"/>
          </w:r>
          <w:r>
            <w:rPr>
              <w:color w:val="auto"/>
            </w:rPr>
            <w:instrText xml:space="preserve"> PAGEREF _Toc19321 \h </w:instrText>
          </w:r>
          <w:r>
            <w:rPr>
              <w:color w:val="auto"/>
            </w:rPr>
            <w:fldChar w:fldCharType="separate"/>
          </w:r>
          <w:r>
            <w:rPr>
              <w:color w:val="auto"/>
            </w:rPr>
            <w:t>3</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_Toc32292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30"/>
            </w:rPr>
            <w:t xml:space="preserve">1.4 </w:t>
          </w:r>
          <w:r>
            <w:rPr>
              <w:rFonts w:hint="default" w:cs="Times New Roman"/>
              <w:bCs/>
              <w:color w:val="auto"/>
              <w:kern w:val="0"/>
              <w:szCs w:val="30"/>
              <w:highlight w:val="none"/>
              <w:lang w:val="en-US" w:eastAsia="zh-CN"/>
            </w:rPr>
            <w:t>关注的主要环境问题</w:t>
          </w:r>
          <w:r>
            <w:rPr>
              <w:color w:val="auto"/>
            </w:rPr>
            <w:tab/>
          </w:r>
          <w:r>
            <w:rPr>
              <w:color w:val="auto"/>
            </w:rPr>
            <w:fldChar w:fldCharType="begin"/>
          </w:r>
          <w:r>
            <w:rPr>
              <w:color w:val="auto"/>
            </w:rPr>
            <w:instrText xml:space="preserve"> PAGEREF _Toc32292 \h </w:instrText>
          </w:r>
          <w:r>
            <w:rPr>
              <w:color w:val="auto"/>
            </w:rPr>
            <w:fldChar w:fldCharType="separate"/>
          </w:r>
          <w:r>
            <w:rPr>
              <w:color w:val="auto"/>
            </w:rPr>
            <w:t>3</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_Toc21010 </w:instrText>
          </w:r>
          <w:r>
            <w:rPr>
              <w:rFonts w:hint="default" w:ascii="Times New Roman" w:hAnsi="Times New Roman" w:cs="Times New Roman"/>
              <w:color w:val="auto"/>
              <w:szCs w:val="24"/>
              <w:highlight w:val="none"/>
              <w:lang w:val="en-US" w:eastAsia="zh-CN"/>
            </w:rPr>
            <w:fldChar w:fldCharType="separate"/>
          </w:r>
          <w:r>
            <w:rPr>
              <w:rFonts w:hint="default" w:eastAsia="宋体" w:cs="Times New Roman"/>
              <w:bCs/>
              <w:color w:val="auto"/>
              <w:kern w:val="0"/>
              <w:szCs w:val="30"/>
              <w:lang w:val="en-US" w:eastAsia="zh-CN"/>
            </w:rPr>
            <w:t xml:space="preserve">1.5 </w:t>
          </w:r>
          <w:r>
            <w:rPr>
              <w:rFonts w:hint="default" w:eastAsia="宋体" w:cs="Times New Roman"/>
              <w:bCs/>
              <w:color w:val="auto"/>
              <w:kern w:val="0"/>
              <w:szCs w:val="30"/>
              <w:highlight w:val="none"/>
              <w:lang w:val="en-US" w:eastAsia="zh-CN"/>
            </w:rPr>
            <w:t>分析判定相关情况</w:t>
          </w:r>
          <w:r>
            <w:rPr>
              <w:color w:val="auto"/>
            </w:rPr>
            <w:tab/>
          </w:r>
          <w:r>
            <w:rPr>
              <w:color w:val="auto"/>
            </w:rPr>
            <w:fldChar w:fldCharType="begin"/>
          </w:r>
          <w:r>
            <w:rPr>
              <w:color w:val="auto"/>
            </w:rPr>
            <w:instrText xml:space="preserve"> PAGEREF _Toc21010 \h </w:instrText>
          </w:r>
          <w:r>
            <w:rPr>
              <w:color w:val="auto"/>
            </w:rPr>
            <w:fldChar w:fldCharType="separate"/>
          </w:r>
          <w:r>
            <w:rPr>
              <w:color w:val="auto"/>
            </w:rPr>
            <w:t>4</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_Toc16423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eastAsia="宋体" w:cs="Times New Roman"/>
              <w:bCs/>
              <w:color w:val="auto"/>
              <w:kern w:val="0"/>
              <w:szCs w:val="30"/>
              <w:lang w:val="en-US" w:eastAsia="zh-CN"/>
            </w:rPr>
            <w:t xml:space="preserve">1.6 </w:t>
          </w:r>
          <w:r>
            <w:rPr>
              <w:rFonts w:hint="default" w:ascii="Times New Roman" w:hAnsi="Times New Roman" w:eastAsia="宋体" w:cs="Times New Roman"/>
              <w:bCs/>
              <w:color w:val="auto"/>
              <w:kern w:val="0"/>
              <w:szCs w:val="30"/>
              <w:highlight w:val="none"/>
              <w:lang w:val="en-US" w:eastAsia="zh-CN"/>
            </w:rPr>
            <w:t>环境影响</w:t>
          </w:r>
          <w:r>
            <w:rPr>
              <w:rFonts w:hint="default" w:cs="Times New Roman"/>
              <w:bCs/>
              <w:color w:val="auto"/>
              <w:kern w:val="0"/>
              <w:szCs w:val="30"/>
              <w:highlight w:val="none"/>
              <w:lang w:val="en-US" w:eastAsia="zh-CN"/>
            </w:rPr>
            <w:t>评价</w:t>
          </w:r>
          <w:r>
            <w:rPr>
              <w:rFonts w:hint="default" w:ascii="Times New Roman" w:hAnsi="Times New Roman" w:eastAsia="宋体" w:cs="Times New Roman"/>
              <w:bCs/>
              <w:color w:val="auto"/>
              <w:kern w:val="0"/>
              <w:szCs w:val="30"/>
              <w:highlight w:val="none"/>
              <w:lang w:val="en-US" w:eastAsia="zh-CN"/>
            </w:rPr>
            <w:t>主要结论</w:t>
          </w:r>
          <w:r>
            <w:rPr>
              <w:color w:val="auto"/>
            </w:rPr>
            <w:tab/>
          </w:r>
          <w:r>
            <w:rPr>
              <w:color w:val="auto"/>
            </w:rPr>
            <w:fldChar w:fldCharType="begin"/>
          </w:r>
          <w:r>
            <w:rPr>
              <w:color w:val="auto"/>
            </w:rPr>
            <w:instrText xml:space="preserve"> PAGEREF _Toc16423 \h </w:instrText>
          </w:r>
          <w:r>
            <w:rPr>
              <w:color w:val="auto"/>
            </w:rPr>
            <w:fldChar w:fldCharType="separate"/>
          </w:r>
          <w:r>
            <w:rPr>
              <w:color w:val="auto"/>
            </w:rPr>
            <w:t>11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7"/>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_Toc28470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cs="Times New Roman"/>
              <w:bCs/>
              <w:color w:val="auto"/>
              <w:kern w:val="44"/>
              <w:szCs w:val="32"/>
            </w:rPr>
            <w:t xml:space="preserve">2、 </w:t>
          </w:r>
          <w:r>
            <w:rPr>
              <w:rFonts w:hint="default" w:cs="Times New Roman"/>
              <w:bCs/>
              <w:color w:val="auto"/>
              <w:kern w:val="44"/>
              <w:szCs w:val="32"/>
              <w:highlight w:val="none"/>
              <w:lang w:val="en-US" w:eastAsia="zh-CN"/>
            </w:rPr>
            <w:t>总则</w:t>
          </w:r>
          <w:r>
            <w:rPr>
              <w:color w:val="auto"/>
            </w:rPr>
            <w:tab/>
          </w:r>
          <w:r>
            <w:rPr>
              <w:color w:val="auto"/>
            </w:rPr>
            <w:fldChar w:fldCharType="begin"/>
          </w:r>
          <w:r>
            <w:rPr>
              <w:color w:val="auto"/>
            </w:rPr>
            <w:instrText xml:space="preserve"> PAGEREF _Toc28470 \h </w:instrText>
          </w:r>
          <w:r>
            <w:rPr>
              <w:color w:val="auto"/>
            </w:rPr>
            <w:fldChar w:fldCharType="separate"/>
          </w:r>
          <w:r>
            <w:rPr>
              <w:color w:val="auto"/>
            </w:rPr>
            <w:t>13</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_Toc4436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eastAsia="宋体" w:cs="Times New Roman"/>
              <w:bCs/>
              <w:color w:val="auto"/>
              <w:kern w:val="0"/>
              <w:szCs w:val="30"/>
              <w:lang w:val="en-US" w:eastAsia="zh-CN"/>
            </w:rPr>
            <w:t xml:space="preserve">2.1 </w:t>
          </w:r>
          <w:r>
            <w:rPr>
              <w:rFonts w:hint="default" w:ascii="Times New Roman" w:hAnsi="Times New Roman" w:eastAsia="宋体" w:cs="Times New Roman"/>
              <w:bCs/>
              <w:color w:val="auto"/>
              <w:kern w:val="0"/>
              <w:szCs w:val="30"/>
              <w:highlight w:val="none"/>
              <w:lang w:val="en-US" w:eastAsia="zh-CN"/>
            </w:rPr>
            <w:t>编制依据</w:t>
          </w:r>
          <w:r>
            <w:rPr>
              <w:color w:val="auto"/>
            </w:rPr>
            <w:tab/>
          </w:r>
          <w:r>
            <w:rPr>
              <w:color w:val="auto"/>
            </w:rPr>
            <w:fldChar w:fldCharType="begin"/>
          </w:r>
          <w:r>
            <w:rPr>
              <w:color w:val="auto"/>
            </w:rPr>
            <w:instrText xml:space="preserve"> PAGEREF _Toc4436 \h </w:instrText>
          </w:r>
          <w:r>
            <w:rPr>
              <w:color w:val="auto"/>
            </w:rPr>
            <w:fldChar w:fldCharType="separate"/>
          </w:r>
          <w:r>
            <w:rPr>
              <w:color w:val="auto"/>
            </w:rPr>
            <w:t>13</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_Toc2958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eastAsia="宋体" w:cs="Times New Roman"/>
              <w:bCs/>
              <w:color w:val="auto"/>
              <w:kern w:val="0"/>
              <w:szCs w:val="30"/>
              <w:lang w:val="en-US" w:eastAsia="zh-CN"/>
            </w:rPr>
            <w:t xml:space="preserve">2.2 </w:t>
          </w:r>
          <w:r>
            <w:rPr>
              <w:rFonts w:hint="default" w:ascii="Times New Roman" w:hAnsi="Times New Roman" w:eastAsia="宋体" w:cs="Times New Roman"/>
              <w:bCs/>
              <w:color w:val="auto"/>
              <w:kern w:val="0"/>
              <w:szCs w:val="30"/>
              <w:highlight w:val="none"/>
              <w:lang w:val="en-US" w:eastAsia="zh-CN"/>
            </w:rPr>
            <w:t>环境影响识别与评价因子筛选</w:t>
          </w:r>
          <w:r>
            <w:rPr>
              <w:color w:val="auto"/>
            </w:rPr>
            <w:tab/>
          </w:r>
          <w:r>
            <w:rPr>
              <w:color w:val="auto"/>
            </w:rPr>
            <w:fldChar w:fldCharType="begin"/>
          </w:r>
          <w:r>
            <w:rPr>
              <w:color w:val="auto"/>
            </w:rPr>
            <w:instrText xml:space="preserve"> PAGEREF _Toc2958 \h </w:instrText>
          </w:r>
          <w:r>
            <w:rPr>
              <w:color w:val="auto"/>
            </w:rPr>
            <w:fldChar w:fldCharType="separate"/>
          </w:r>
          <w:r>
            <w:rPr>
              <w:color w:val="auto"/>
            </w:rPr>
            <w:t>17</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_Toc28623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eastAsia="宋体" w:cs="Times New Roman"/>
              <w:bCs/>
              <w:color w:val="auto"/>
              <w:kern w:val="0"/>
              <w:szCs w:val="30"/>
              <w:lang w:val="en-US" w:eastAsia="zh-CN"/>
            </w:rPr>
            <w:t xml:space="preserve">2.3 </w:t>
          </w:r>
          <w:r>
            <w:rPr>
              <w:rFonts w:hint="default" w:ascii="Times New Roman" w:hAnsi="Times New Roman" w:eastAsia="宋体" w:cs="Times New Roman"/>
              <w:bCs/>
              <w:color w:val="auto"/>
              <w:kern w:val="0"/>
              <w:szCs w:val="30"/>
              <w:highlight w:val="none"/>
              <w:lang w:val="en-US" w:eastAsia="zh-CN"/>
            </w:rPr>
            <w:t>环境功能区划与评价标准</w:t>
          </w:r>
          <w:r>
            <w:rPr>
              <w:color w:val="auto"/>
            </w:rPr>
            <w:tab/>
          </w:r>
          <w:r>
            <w:rPr>
              <w:color w:val="auto"/>
            </w:rPr>
            <w:fldChar w:fldCharType="begin"/>
          </w:r>
          <w:r>
            <w:rPr>
              <w:color w:val="auto"/>
            </w:rPr>
            <w:instrText xml:space="preserve"> PAGEREF _Toc28623 \h </w:instrText>
          </w:r>
          <w:r>
            <w:rPr>
              <w:color w:val="auto"/>
            </w:rPr>
            <w:fldChar w:fldCharType="separate"/>
          </w:r>
          <w:r>
            <w:rPr>
              <w:color w:val="auto"/>
            </w:rPr>
            <w:t>19</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_Toc11308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eastAsia="宋体" w:cs="Times New Roman"/>
              <w:bCs/>
              <w:color w:val="auto"/>
              <w:kern w:val="0"/>
              <w:szCs w:val="30"/>
              <w:lang w:val="en-US" w:eastAsia="zh-CN"/>
            </w:rPr>
            <w:t xml:space="preserve">2.4 </w:t>
          </w:r>
          <w:r>
            <w:rPr>
              <w:rFonts w:hint="default" w:ascii="Times New Roman" w:hAnsi="Times New Roman" w:eastAsia="宋体" w:cs="Times New Roman"/>
              <w:bCs/>
              <w:color w:val="auto"/>
              <w:kern w:val="0"/>
              <w:szCs w:val="30"/>
              <w:highlight w:val="none"/>
              <w:lang w:val="en-US" w:eastAsia="zh-CN"/>
            </w:rPr>
            <w:t>评价工作等级</w:t>
          </w:r>
          <w:r>
            <w:rPr>
              <w:color w:val="auto"/>
            </w:rPr>
            <w:tab/>
          </w:r>
          <w:r>
            <w:rPr>
              <w:color w:val="auto"/>
            </w:rPr>
            <w:fldChar w:fldCharType="begin"/>
          </w:r>
          <w:r>
            <w:rPr>
              <w:color w:val="auto"/>
            </w:rPr>
            <w:instrText xml:space="preserve"> PAGEREF _Toc11308 \h </w:instrText>
          </w:r>
          <w:r>
            <w:rPr>
              <w:color w:val="auto"/>
            </w:rPr>
            <w:fldChar w:fldCharType="separate"/>
          </w:r>
          <w:r>
            <w:rPr>
              <w:color w:val="auto"/>
            </w:rPr>
            <w:t>23</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_Toc21988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2.5 </w:t>
          </w:r>
          <w:r>
            <w:rPr>
              <w:rFonts w:hint="default" w:ascii="Times New Roman" w:hAnsi="Times New Roman" w:eastAsia="宋体" w:cs="Times New Roman"/>
              <w:bCs/>
              <w:color w:val="auto"/>
              <w:kern w:val="0"/>
              <w:szCs w:val="30"/>
              <w:highlight w:val="none"/>
              <w:lang w:val="en-US" w:eastAsia="zh-CN"/>
            </w:rPr>
            <w:t>评价</w:t>
          </w:r>
          <w:r>
            <w:rPr>
              <w:rFonts w:hint="default" w:cs="Times New Roman"/>
              <w:bCs/>
              <w:color w:val="auto"/>
              <w:kern w:val="0"/>
              <w:szCs w:val="30"/>
              <w:highlight w:val="none"/>
              <w:lang w:val="en-US" w:eastAsia="zh-CN"/>
            </w:rPr>
            <w:t>范围</w:t>
          </w:r>
          <w:r>
            <w:rPr>
              <w:color w:val="auto"/>
            </w:rPr>
            <w:tab/>
          </w:r>
          <w:r>
            <w:rPr>
              <w:color w:val="auto"/>
            </w:rPr>
            <w:fldChar w:fldCharType="begin"/>
          </w:r>
          <w:r>
            <w:rPr>
              <w:color w:val="auto"/>
            </w:rPr>
            <w:instrText xml:space="preserve"> PAGEREF _Toc21988 \h </w:instrText>
          </w:r>
          <w:r>
            <w:rPr>
              <w:color w:val="auto"/>
            </w:rPr>
            <w:fldChar w:fldCharType="separate"/>
          </w:r>
          <w:r>
            <w:rPr>
              <w:color w:val="auto"/>
            </w:rPr>
            <w:t>27</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_Toc11717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2.6 </w:t>
          </w:r>
          <w:r>
            <w:rPr>
              <w:rFonts w:hint="default" w:cs="Times New Roman"/>
              <w:bCs/>
              <w:color w:val="auto"/>
              <w:kern w:val="0"/>
              <w:szCs w:val="30"/>
              <w:highlight w:val="none"/>
              <w:lang w:val="en-US" w:eastAsia="zh-CN"/>
            </w:rPr>
            <w:t>评价时段和</w:t>
          </w:r>
          <w:r>
            <w:rPr>
              <w:rFonts w:hint="default" w:ascii="Times New Roman" w:hAnsi="Times New Roman" w:eastAsia="宋体" w:cs="Times New Roman"/>
              <w:bCs/>
              <w:color w:val="auto"/>
              <w:kern w:val="0"/>
              <w:szCs w:val="30"/>
              <w:highlight w:val="none"/>
              <w:lang w:val="en-US" w:eastAsia="zh-CN"/>
            </w:rPr>
            <w:t>评价</w:t>
          </w:r>
          <w:r>
            <w:rPr>
              <w:rFonts w:hint="default" w:cs="Times New Roman"/>
              <w:bCs/>
              <w:color w:val="auto"/>
              <w:kern w:val="0"/>
              <w:szCs w:val="30"/>
              <w:highlight w:val="none"/>
              <w:lang w:val="en-US" w:eastAsia="zh-CN"/>
            </w:rPr>
            <w:t>重点</w:t>
          </w:r>
          <w:r>
            <w:rPr>
              <w:color w:val="auto"/>
            </w:rPr>
            <w:tab/>
          </w:r>
          <w:r>
            <w:rPr>
              <w:color w:val="auto"/>
            </w:rPr>
            <w:fldChar w:fldCharType="begin"/>
          </w:r>
          <w:r>
            <w:rPr>
              <w:color w:val="auto"/>
            </w:rPr>
            <w:instrText xml:space="preserve"> PAGEREF _Toc11717 \h </w:instrText>
          </w:r>
          <w:r>
            <w:rPr>
              <w:color w:val="auto"/>
            </w:rPr>
            <w:fldChar w:fldCharType="separate"/>
          </w:r>
          <w:r>
            <w:rPr>
              <w:color w:val="auto"/>
            </w:rPr>
            <w:t>28</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_Toc4796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eastAsia="宋体" w:cs="Times New Roman"/>
              <w:bCs/>
              <w:color w:val="auto"/>
              <w:kern w:val="0"/>
              <w:szCs w:val="30"/>
              <w:lang w:val="en-US" w:eastAsia="zh-CN"/>
            </w:rPr>
            <w:t xml:space="preserve">2.7 </w:t>
          </w:r>
          <w:r>
            <w:rPr>
              <w:rFonts w:hint="default" w:ascii="Times New Roman" w:hAnsi="Times New Roman" w:eastAsia="宋体" w:cs="Times New Roman"/>
              <w:bCs/>
              <w:color w:val="auto"/>
              <w:kern w:val="0"/>
              <w:szCs w:val="30"/>
              <w:highlight w:val="none"/>
              <w:lang w:val="en-US" w:eastAsia="zh-CN"/>
            </w:rPr>
            <w:t>环境保护目标</w:t>
          </w:r>
          <w:r>
            <w:rPr>
              <w:color w:val="auto"/>
            </w:rPr>
            <w:tab/>
          </w:r>
          <w:r>
            <w:rPr>
              <w:color w:val="auto"/>
            </w:rPr>
            <w:fldChar w:fldCharType="begin"/>
          </w:r>
          <w:r>
            <w:rPr>
              <w:color w:val="auto"/>
            </w:rPr>
            <w:instrText xml:space="preserve"> PAGEREF _Toc4796 \h </w:instrText>
          </w:r>
          <w:r>
            <w:rPr>
              <w:color w:val="auto"/>
            </w:rPr>
            <w:fldChar w:fldCharType="separate"/>
          </w:r>
          <w:r>
            <w:rPr>
              <w:color w:val="auto"/>
            </w:rPr>
            <w:t>28</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7"/>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_Toc9749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cs="Times New Roman"/>
              <w:bCs/>
              <w:color w:val="auto"/>
              <w:kern w:val="44"/>
              <w:szCs w:val="32"/>
            </w:rPr>
            <w:t xml:space="preserve">3、 </w:t>
          </w:r>
          <w:r>
            <w:rPr>
              <w:rFonts w:hint="default" w:cs="Times New Roman"/>
              <w:bCs/>
              <w:color w:val="auto"/>
              <w:kern w:val="44"/>
              <w:szCs w:val="32"/>
              <w:highlight w:val="none"/>
              <w:lang w:val="en-US" w:eastAsia="zh-CN"/>
            </w:rPr>
            <w:t>建设项目工程分析</w:t>
          </w:r>
          <w:r>
            <w:rPr>
              <w:color w:val="auto"/>
            </w:rPr>
            <w:tab/>
          </w:r>
          <w:r>
            <w:rPr>
              <w:color w:val="auto"/>
            </w:rPr>
            <w:fldChar w:fldCharType="begin"/>
          </w:r>
          <w:r>
            <w:rPr>
              <w:color w:val="auto"/>
            </w:rPr>
            <w:instrText xml:space="preserve"> PAGEREF _Toc9749 \h </w:instrText>
          </w:r>
          <w:r>
            <w:rPr>
              <w:color w:val="auto"/>
            </w:rPr>
            <w:fldChar w:fldCharType="separate"/>
          </w:r>
          <w:r>
            <w:rPr>
              <w:color w:val="auto"/>
            </w:rPr>
            <w:t>31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_Toc32190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3.1 </w:t>
          </w:r>
          <w:r>
            <w:rPr>
              <w:rFonts w:hint="default" w:cs="Times New Roman"/>
              <w:bCs/>
              <w:color w:val="auto"/>
              <w:kern w:val="0"/>
              <w:szCs w:val="30"/>
              <w:highlight w:val="none"/>
              <w:lang w:val="en-US" w:eastAsia="zh-CN"/>
            </w:rPr>
            <w:t>工程概况</w:t>
          </w:r>
          <w:r>
            <w:rPr>
              <w:color w:val="auto"/>
            </w:rPr>
            <w:tab/>
          </w:r>
          <w:r>
            <w:rPr>
              <w:color w:val="auto"/>
            </w:rPr>
            <w:fldChar w:fldCharType="begin"/>
          </w:r>
          <w:r>
            <w:rPr>
              <w:color w:val="auto"/>
            </w:rPr>
            <w:instrText xml:space="preserve"> PAGEREF _Toc32190 \h </w:instrText>
          </w:r>
          <w:r>
            <w:rPr>
              <w:color w:val="auto"/>
            </w:rPr>
            <w:fldChar w:fldCharType="separate"/>
          </w:r>
          <w:r>
            <w:rPr>
              <w:color w:val="auto"/>
            </w:rPr>
            <w:t>31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_Toc7781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3.2 </w:t>
          </w:r>
          <w:r>
            <w:rPr>
              <w:rFonts w:hint="default" w:cs="Times New Roman"/>
              <w:bCs/>
              <w:color w:val="auto"/>
              <w:kern w:val="0"/>
              <w:szCs w:val="30"/>
              <w:highlight w:val="none"/>
              <w:lang w:val="en-US" w:eastAsia="zh-CN"/>
            </w:rPr>
            <w:t>工程分析</w:t>
          </w:r>
          <w:r>
            <w:rPr>
              <w:color w:val="auto"/>
            </w:rPr>
            <w:tab/>
          </w:r>
          <w:r>
            <w:rPr>
              <w:color w:val="auto"/>
            </w:rPr>
            <w:fldChar w:fldCharType="begin"/>
          </w:r>
          <w:r>
            <w:rPr>
              <w:color w:val="auto"/>
            </w:rPr>
            <w:instrText xml:space="preserve"> PAGEREF _Toc7781 \h </w:instrText>
          </w:r>
          <w:r>
            <w:rPr>
              <w:color w:val="auto"/>
            </w:rPr>
            <w:fldChar w:fldCharType="separate"/>
          </w:r>
          <w:r>
            <w:rPr>
              <w:color w:val="auto"/>
            </w:rPr>
            <w:t>52</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_Toc19835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28"/>
              <w:highlight w:val="none"/>
              <w:lang w:val="en-US" w:eastAsia="zh-CN"/>
            </w:rPr>
            <w:t>3.2.1施工期污染源分析</w:t>
          </w:r>
          <w:r>
            <w:rPr>
              <w:color w:val="auto"/>
            </w:rPr>
            <w:tab/>
          </w:r>
          <w:r>
            <w:rPr>
              <w:color w:val="auto"/>
            </w:rPr>
            <w:fldChar w:fldCharType="begin"/>
          </w:r>
          <w:r>
            <w:rPr>
              <w:color w:val="auto"/>
            </w:rPr>
            <w:instrText xml:space="preserve"> PAGEREF _Toc19835 \h </w:instrText>
          </w:r>
          <w:r>
            <w:rPr>
              <w:color w:val="auto"/>
            </w:rPr>
            <w:fldChar w:fldCharType="separate"/>
          </w:r>
          <w:r>
            <w:rPr>
              <w:color w:val="auto"/>
            </w:rPr>
            <w:t>52</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_Toc13636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28"/>
              <w:highlight w:val="none"/>
              <w:lang w:val="en-US" w:eastAsia="zh-CN"/>
            </w:rPr>
            <w:t>3.2.2营运期污染源强分析</w:t>
          </w:r>
          <w:r>
            <w:rPr>
              <w:color w:val="auto"/>
            </w:rPr>
            <w:tab/>
          </w:r>
          <w:r>
            <w:rPr>
              <w:color w:val="auto"/>
            </w:rPr>
            <w:fldChar w:fldCharType="begin"/>
          </w:r>
          <w:r>
            <w:rPr>
              <w:color w:val="auto"/>
            </w:rPr>
            <w:instrText xml:space="preserve"> PAGEREF _Toc13636 \h </w:instrText>
          </w:r>
          <w:r>
            <w:rPr>
              <w:color w:val="auto"/>
            </w:rPr>
            <w:fldChar w:fldCharType="separate"/>
          </w:r>
          <w:r>
            <w:rPr>
              <w:color w:val="auto"/>
            </w:rPr>
            <w:t>57</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_Toc26169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28"/>
              <w:highlight w:val="none"/>
              <w:lang w:val="en-US" w:eastAsia="zh-CN"/>
            </w:rPr>
            <w:t>3.2.3工程施工方案的环境合理性分析</w:t>
          </w:r>
          <w:r>
            <w:rPr>
              <w:color w:val="auto"/>
            </w:rPr>
            <w:tab/>
          </w:r>
          <w:r>
            <w:rPr>
              <w:color w:val="auto"/>
            </w:rPr>
            <w:fldChar w:fldCharType="begin"/>
          </w:r>
          <w:r>
            <w:rPr>
              <w:color w:val="auto"/>
            </w:rPr>
            <w:instrText xml:space="preserve"> PAGEREF _Toc26169 \h </w:instrText>
          </w:r>
          <w:r>
            <w:rPr>
              <w:color w:val="auto"/>
            </w:rPr>
            <w:fldChar w:fldCharType="separate"/>
          </w:r>
          <w:r>
            <w:rPr>
              <w:color w:val="auto"/>
            </w:rPr>
            <w:t>60</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7"/>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_Toc1054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cs="Times New Roman"/>
              <w:bCs/>
              <w:color w:val="auto"/>
              <w:kern w:val="44"/>
              <w:szCs w:val="32"/>
            </w:rPr>
            <w:t xml:space="preserve">4、 </w:t>
          </w:r>
          <w:r>
            <w:rPr>
              <w:rFonts w:hint="default" w:cs="Times New Roman"/>
              <w:bCs/>
              <w:color w:val="auto"/>
              <w:kern w:val="44"/>
              <w:szCs w:val="32"/>
              <w:highlight w:val="none"/>
              <w:lang w:val="en-US" w:eastAsia="zh-CN"/>
            </w:rPr>
            <w:t>环境现状调查与评价</w:t>
          </w:r>
          <w:r>
            <w:rPr>
              <w:color w:val="auto"/>
            </w:rPr>
            <w:tab/>
          </w:r>
          <w:r>
            <w:rPr>
              <w:color w:val="auto"/>
            </w:rPr>
            <w:fldChar w:fldCharType="begin"/>
          </w:r>
          <w:r>
            <w:rPr>
              <w:color w:val="auto"/>
            </w:rPr>
            <w:instrText xml:space="preserve"> PAGEREF _Toc1054 \h </w:instrText>
          </w:r>
          <w:r>
            <w:rPr>
              <w:color w:val="auto"/>
            </w:rPr>
            <w:fldChar w:fldCharType="separate"/>
          </w:r>
          <w:r>
            <w:rPr>
              <w:color w:val="auto"/>
            </w:rPr>
            <w:t>61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_Toc6931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4.1 </w:t>
          </w:r>
          <w:r>
            <w:rPr>
              <w:rFonts w:hint="default" w:cs="Times New Roman"/>
              <w:bCs/>
              <w:color w:val="auto"/>
              <w:kern w:val="0"/>
              <w:szCs w:val="30"/>
              <w:highlight w:val="none"/>
              <w:lang w:val="en-US" w:eastAsia="zh-CN"/>
            </w:rPr>
            <w:t>自然环境调查与评价</w:t>
          </w:r>
          <w:r>
            <w:rPr>
              <w:color w:val="auto"/>
            </w:rPr>
            <w:tab/>
          </w:r>
          <w:r>
            <w:rPr>
              <w:color w:val="auto"/>
            </w:rPr>
            <w:fldChar w:fldCharType="begin"/>
          </w:r>
          <w:r>
            <w:rPr>
              <w:color w:val="auto"/>
            </w:rPr>
            <w:instrText xml:space="preserve"> PAGEREF _Toc6931 \h </w:instrText>
          </w:r>
          <w:r>
            <w:rPr>
              <w:color w:val="auto"/>
            </w:rPr>
            <w:fldChar w:fldCharType="separate"/>
          </w:r>
          <w:r>
            <w:rPr>
              <w:color w:val="auto"/>
            </w:rPr>
            <w:t>61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_Toc15223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4.2 </w:t>
          </w:r>
          <w:r>
            <w:rPr>
              <w:rFonts w:hint="default" w:cs="Times New Roman"/>
              <w:bCs/>
              <w:color w:val="auto"/>
              <w:kern w:val="0"/>
              <w:szCs w:val="30"/>
              <w:highlight w:val="none"/>
              <w:lang w:val="en-US" w:eastAsia="zh-CN"/>
            </w:rPr>
            <w:t>社会经济状况</w:t>
          </w:r>
          <w:r>
            <w:rPr>
              <w:color w:val="auto"/>
            </w:rPr>
            <w:tab/>
          </w:r>
          <w:r>
            <w:rPr>
              <w:color w:val="auto"/>
            </w:rPr>
            <w:fldChar w:fldCharType="begin"/>
          </w:r>
          <w:r>
            <w:rPr>
              <w:color w:val="auto"/>
            </w:rPr>
            <w:instrText xml:space="preserve"> PAGEREF _Toc15223 \h </w:instrText>
          </w:r>
          <w:r>
            <w:rPr>
              <w:color w:val="auto"/>
            </w:rPr>
            <w:fldChar w:fldCharType="separate"/>
          </w:r>
          <w:r>
            <w:rPr>
              <w:color w:val="auto"/>
            </w:rPr>
            <w:t>64</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_Toc17648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4.3 </w:t>
          </w:r>
          <w:r>
            <w:rPr>
              <w:rFonts w:hint="default" w:cs="Times New Roman"/>
              <w:bCs/>
              <w:color w:val="auto"/>
              <w:kern w:val="0"/>
              <w:szCs w:val="30"/>
              <w:highlight w:val="none"/>
              <w:lang w:val="en-US" w:eastAsia="zh-CN"/>
            </w:rPr>
            <w:t>生态环境敏感区及生态空间现状</w:t>
          </w:r>
          <w:r>
            <w:rPr>
              <w:color w:val="auto"/>
            </w:rPr>
            <w:tab/>
          </w:r>
          <w:r>
            <w:rPr>
              <w:color w:val="auto"/>
            </w:rPr>
            <w:fldChar w:fldCharType="begin"/>
          </w:r>
          <w:r>
            <w:rPr>
              <w:color w:val="auto"/>
            </w:rPr>
            <w:instrText xml:space="preserve"> PAGEREF _Toc17648 \h </w:instrText>
          </w:r>
          <w:r>
            <w:rPr>
              <w:color w:val="auto"/>
            </w:rPr>
            <w:fldChar w:fldCharType="separate"/>
          </w:r>
          <w:r>
            <w:rPr>
              <w:color w:val="auto"/>
            </w:rPr>
            <w:t>66</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_Toc22855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30"/>
              <w:lang w:val="en-US" w:eastAsia="zh-CN"/>
            </w:rPr>
            <w:t xml:space="preserve">4.4 </w:t>
          </w:r>
          <w:r>
            <w:rPr>
              <w:rFonts w:hint="default" w:cs="Times New Roman"/>
              <w:bCs/>
              <w:color w:val="auto"/>
              <w:kern w:val="0"/>
              <w:szCs w:val="30"/>
              <w:highlight w:val="none"/>
              <w:lang w:val="en-US" w:eastAsia="zh-CN"/>
            </w:rPr>
            <w:t>环境质量现状调查与评价</w:t>
          </w:r>
          <w:r>
            <w:rPr>
              <w:color w:val="auto"/>
            </w:rPr>
            <w:tab/>
          </w:r>
          <w:r>
            <w:rPr>
              <w:color w:val="auto"/>
            </w:rPr>
            <w:fldChar w:fldCharType="begin"/>
          </w:r>
          <w:r>
            <w:rPr>
              <w:color w:val="auto"/>
            </w:rPr>
            <w:instrText xml:space="preserve"> PAGEREF _Toc22855 \h </w:instrText>
          </w:r>
          <w:r>
            <w:rPr>
              <w:color w:val="auto"/>
            </w:rPr>
            <w:fldChar w:fldCharType="separate"/>
          </w:r>
          <w:r>
            <w:rPr>
              <w:color w:val="auto"/>
            </w:rPr>
            <w:t>70</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_Toc30700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eastAsia="宋体" w:cs="Times New Roman"/>
              <w:bCs/>
              <w:color w:val="auto"/>
              <w:kern w:val="0"/>
              <w:szCs w:val="30"/>
              <w:lang w:val="en-US" w:eastAsia="zh-CN"/>
            </w:rPr>
            <w:t xml:space="preserve">4.5 </w:t>
          </w:r>
          <w:r>
            <w:rPr>
              <w:rFonts w:hint="default" w:ascii="Times New Roman" w:hAnsi="Times New Roman" w:eastAsia="宋体" w:cs="Times New Roman"/>
              <w:bCs/>
              <w:color w:val="auto"/>
              <w:kern w:val="0"/>
              <w:szCs w:val="30"/>
              <w:highlight w:val="none"/>
              <w:lang w:val="en-US" w:eastAsia="zh-CN"/>
            </w:rPr>
            <w:t>生态环境现状调查与评价</w:t>
          </w:r>
          <w:r>
            <w:rPr>
              <w:color w:val="auto"/>
            </w:rPr>
            <w:tab/>
          </w:r>
          <w:r>
            <w:rPr>
              <w:color w:val="auto"/>
            </w:rPr>
            <w:fldChar w:fldCharType="begin"/>
          </w:r>
          <w:r>
            <w:rPr>
              <w:color w:val="auto"/>
            </w:rPr>
            <w:instrText xml:space="preserve"> PAGEREF _Toc30700 \h </w:instrText>
          </w:r>
          <w:r>
            <w:rPr>
              <w:color w:val="auto"/>
            </w:rPr>
            <w:fldChar w:fldCharType="separate"/>
          </w:r>
          <w:r>
            <w:rPr>
              <w:color w:val="auto"/>
            </w:rPr>
            <w:t>77</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_Toc32566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30"/>
              <w:lang w:val="en-US" w:eastAsia="zh-CN"/>
            </w:rPr>
            <w:t xml:space="preserve">4.6 </w:t>
          </w:r>
          <w:r>
            <w:rPr>
              <w:rFonts w:hint="default" w:cs="Times New Roman"/>
              <w:bCs/>
              <w:color w:val="auto"/>
              <w:kern w:val="0"/>
              <w:szCs w:val="30"/>
              <w:highlight w:val="none"/>
              <w:lang w:val="en-US" w:eastAsia="zh-CN"/>
            </w:rPr>
            <w:t>生态功能区划</w:t>
          </w:r>
          <w:r>
            <w:rPr>
              <w:color w:val="auto"/>
            </w:rPr>
            <w:tab/>
          </w:r>
          <w:r>
            <w:rPr>
              <w:color w:val="auto"/>
            </w:rPr>
            <w:fldChar w:fldCharType="begin"/>
          </w:r>
          <w:r>
            <w:rPr>
              <w:color w:val="auto"/>
            </w:rPr>
            <w:instrText xml:space="preserve"> PAGEREF _Toc32566 \h </w:instrText>
          </w:r>
          <w:r>
            <w:rPr>
              <w:color w:val="auto"/>
            </w:rPr>
            <w:fldChar w:fldCharType="separate"/>
          </w:r>
          <w:r>
            <w:rPr>
              <w:color w:val="auto"/>
            </w:rPr>
            <w:t>131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_Toc7454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30"/>
              <w:lang w:val="en-US" w:eastAsia="zh-CN"/>
            </w:rPr>
            <w:t xml:space="preserve">4.7 </w:t>
          </w:r>
          <w:r>
            <w:rPr>
              <w:rFonts w:hint="default" w:cs="Times New Roman"/>
              <w:bCs/>
              <w:color w:val="auto"/>
              <w:kern w:val="0"/>
              <w:szCs w:val="30"/>
              <w:highlight w:val="none"/>
              <w:lang w:val="en-US" w:eastAsia="zh-CN"/>
            </w:rPr>
            <w:t>区域污染源调查</w:t>
          </w:r>
          <w:r>
            <w:rPr>
              <w:color w:val="auto"/>
            </w:rPr>
            <w:tab/>
          </w:r>
          <w:r>
            <w:rPr>
              <w:color w:val="auto"/>
            </w:rPr>
            <w:fldChar w:fldCharType="begin"/>
          </w:r>
          <w:r>
            <w:rPr>
              <w:color w:val="auto"/>
            </w:rPr>
            <w:instrText xml:space="preserve"> PAGEREF _Toc7454 \h </w:instrText>
          </w:r>
          <w:r>
            <w:rPr>
              <w:color w:val="auto"/>
            </w:rPr>
            <w:fldChar w:fldCharType="separate"/>
          </w:r>
          <w:r>
            <w:rPr>
              <w:color w:val="auto"/>
            </w:rPr>
            <w:t>133</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7"/>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_Toc20419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cs="Times New Roman"/>
              <w:bCs/>
              <w:color w:val="auto"/>
              <w:kern w:val="44"/>
              <w:szCs w:val="32"/>
            </w:rPr>
            <w:t xml:space="preserve">5、 </w:t>
          </w:r>
          <w:r>
            <w:rPr>
              <w:rFonts w:hint="default" w:cs="Times New Roman"/>
              <w:bCs/>
              <w:color w:val="auto"/>
              <w:kern w:val="44"/>
              <w:szCs w:val="32"/>
              <w:highlight w:val="none"/>
              <w:lang w:val="en-US" w:eastAsia="zh-CN"/>
            </w:rPr>
            <w:t>环境影响预测与评价</w:t>
          </w:r>
          <w:r>
            <w:rPr>
              <w:color w:val="auto"/>
            </w:rPr>
            <w:tab/>
          </w:r>
          <w:r>
            <w:rPr>
              <w:color w:val="auto"/>
            </w:rPr>
            <w:fldChar w:fldCharType="begin"/>
          </w:r>
          <w:r>
            <w:rPr>
              <w:color w:val="auto"/>
            </w:rPr>
            <w:instrText xml:space="preserve"> PAGEREF _Toc20419 \h </w:instrText>
          </w:r>
          <w:r>
            <w:rPr>
              <w:color w:val="auto"/>
            </w:rPr>
            <w:fldChar w:fldCharType="separate"/>
          </w:r>
          <w:r>
            <w:rPr>
              <w:color w:val="auto"/>
            </w:rPr>
            <w:t>134</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_Toc23467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5.1 </w:t>
          </w:r>
          <w:r>
            <w:rPr>
              <w:rFonts w:hint="default" w:cs="Times New Roman"/>
              <w:bCs/>
              <w:color w:val="auto"/>
              <w:kern w:val="0"/>
              <w:szCs w:val="30"/>
              <w:highlight w:val="none"/>
              <w:lang w:val="en-US" w:eastAsia="zh-CN"/>
            </w:rPr>
            <w:t>施工期环境影响分析</w:t>
          </w:r>
          <w:r>
            <w:rPr>
              <w:color w:val="auto"/>
            </w:rPr>
            <w:tab/>
          </w:r>
          <w:r>
            <w:rPr>
              <w:color w:val="auto"/>
            </w:rPr>
            <w:fldChar w:fldCharType="begin"/>
          </w:r>
          <w:r>
            <w:rPr>
              <w:color w:val="auto"/>
            </w:rPr>
            <w:instrText xml:space="preserve"> PAGEREF _Toc23467 \h </w:instrText>
          </w:r>
          <w:r>
            <w:rPr>
              <w:color w:val="auto"/>
            </w:rPr>
            <w:fldChar w:fldCharType="separate"/>
          </w:r>
          <w:r>
            <w:rPr>
              <w:color w:val="auto"/>
            </w:rPr>
            <w:t>134</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_Toc12700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5.2 </w:t>
          </w:r>
          <w:r>
            <w:rPr>
              <w:rFonts w:hint="default" w:cs="Times New Roman"/>
              <w:bCs/>
              <w:color w:val="auto"/>
              <w:kern w:val="0"/>
              <w:szCs w:val="30"/>
              <w:highlight w:val="none"/>
              <w:lang w:val="en-US" w:eastAsia="zh-CN"/>
            </w:rPr>
            <w:t>运营期环境影响分析</w:t>
          </w:r>
          <w:r>
            <w:rPr>
              <w:color w:val="auto"/>
            </w:rPr>
            <w:tab/>
          </w:r>
          <w:r>
            <w:rPr>
              <w:color w:val="auto"/>
            </w:rPr>
            <w:fldChar w:fldCharType="begin"/>
          </w:r>
          <w:r>
            <w:rPr>
              <w:color w:val="auto"/>
            </w:rPr>
            <w:instrText xml:space="preserve"> PAGEREF _Toc12700 \h </w:instrText>
          </w:r>
          <w:r>
            <w:rPr>
              <w:color w:val="auto"/>
            </w:rPr>
            <w:fldChar w:fldCharType="separate"/>
          </w:r>
          <w:r>
            <w:rPr>
              <w:color w:val="auto"/>
            </w:rPr>
            <w:t>140</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_Toc21310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5.3 </w:t>
          </w:r>
          <w:r>
            <w:rPr>
              <w:rFonts w:hint="default" w:cs="Times New Roman"/>
              <w:bCs/>
              <w:color w:val="auto"/>
              <w:kern w:val="0"/>
              <w:szCs w:val="30"/>
              <w:highlight w:val="none"/>
              <w:lang w:val="en-US" w:eastAsia="zh-CN"/>
            </w:rPr>
            <w:t>生态环境影响预测评价</w:t>
          </w:r>
          <w:r>
            <w:rPr>
              <w:color w:val="auto"/>
            </w:rPr>
            <w:tab/>
          </w:r>
          <w:r>
            <w:rPr>
              <w:color w:val="auto"/>
            </w:rPr>
            <w:fldChar w:fldCharType="begin"/>
          </w:r>
          <w:r>
            <w:rPr>
              <w:color w:val="auto"/>
            </w:rPr>
            <w:instrText xml:space="preserve"> PAGEREF _Toc21310 \h </w:instrText>
          </w:r>
          <w:r>
            <w:rPr>
              <w:color w:val="auto"/>
            </w:rPr>
            <w:fldChar w:fldCharType="separate"/>
          </w:r>
          <w:r>
            <w:rPr>
              <w:color w:val="auto"/>
            </w:rPr>
            <w:t>146</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_Toc4780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eastAsia="宋体" w:cs="Times New Roman"/>
              <w:bCs/>
              <w:color w:val="auto"/>
              <w:kern w:val="0"/>
              <w:szCs w:val="30"/>
              <w:lang w:val="en-US" w:eastAsia="zh-CN"/>
            </w:rPr>
            <w:t xml:space="preserve">5.4 </w:t>
          </w:r>
          <w:r>
            <w:rPr>
              <w:rFonts w:hint="default" w:ascii="Times New Roman" w:hAnsi="Times New Roman" w:eastAsia="宋体" w:cs="Times New Roman"/>
              <w:bCs/>
              <w:color w:val="auto"/>
              <w:kern w:val="0"/>
              <w:szCs w:val="30"/>
              <w:highlight w:val="none"/>
              <w:lang w:val="en-US" w:eastAsia="zh-CN"/>
            </w:rPr>
            <w:t>环境风险分析</w:t>
          </w:r>
          <w:bookmarkStart w:id="275" w:name="_GoBack"/>
          <w:bookmarkEnd w:id="275"/>
          <w:r>
            <w:rPr>
              <w:color w:val="auto"/>
            </w:rPr>
            <w:tab/>
          </w:r>
          <w:r>
            <w:rPr>
              <w:color w:val="auto"/>
            </w:rPr>
            <w:fldChar w:fldCharType="begin"/>
          </w:r>
          <w:r>
            <w:rPr>
              <w:color w:val="auto"/>
            </w:rPr>
            <w:instrText xml:space="preserve"> PAGEREF _Toc4780 \h </w:instrText>
          </w:r>
          <w:r>
            <w:rPr>
              <w:color w:val="auto"/>
            </w:rPr>
            <w:fldChar w:fldCharType="separate"/>
          </w:r>
          <w:r>
            <w:rPr>
              <w:color w:val="auto"/>
            </w:rPr>
            <w:t>173</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7"/>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_Toc31574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cs="Times New Roman"/>
              <w:bCs/>
              <w:color w:val="auto"/>
              <w:kern w:val="44"/>
              <w:szCs w:val="32"/>
            </w:rPr>
            <w:t xml:space="preserve">6、 </w:t>
          </w:r>
          <w:r>
            <w:rPr>
              <w:rFonts w:hint="default" w:cs="Times New Roman"/>
              <w:bCs/>
              <w:color w:val="auto"/>
              <w:kern w:val="44"/>
              <w:szCs w:val="32"/>
              <w:highlight w:val="none"/>
              <w:lang w:val="en-US" w:eastAsia="zh-CN"/>
            </w:rPr>
            <w:t>环境保护措施及其可行性分析</w:t>
          </w:r>
          <w:r>
            <w:rPr>
              <w:color w:val="auto"/>
            </w:rPr>
            <w:tab/>
          </w:r>
          <w:r>
            <w:rPr>
              <w:color w:val="auto"/>
            </w:rPr>
            <w:fldChar w:fldCharType="begin"/>
          </w:r>
          <w:r>
            <w:rPr>
              <w:color w:val="auto"/>
            </w:rPr>
            <w:instrText xml:space="preserve"> PAGEREF _Toc31574 \h </w:instrText>
          </w:r>
          <w:r>
            <w:rPr>
              <w:color w:val="auto"/>
            </w:rPr>
            <w:fldChar w:fldCharType="separate"/>
          </w:r>
          <w:r>
            <w:rPr>
              <w:color w:val="auto"/>
            </w:rPr>
            <w:t>179</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_Toc20653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6.1 </w:t>
          </w:r>
          <w:r>
            <w:rPr>
              <w:rFonts w:hint="default" w:cs="Times New Roman"/>
              <w:bCs/>
              <w:color w:val="auto"/>
              <w:kern w:val="0"/>
              <w:szCs w:val="30"/>
              <w:highlight w:val="none"/>
              <w:lang w:val="en-US" w:eastAsia="zh-CN"/>
            </w:rPr>
            <w:t>施工期环境保护措施及其可行性分析</w:t>
          </w:r>
          <w:r>
            <w:rPr>
              <w:color w:val="auto"/>
            </w:rPr>
            <w:tab/>
          </w:r>
          <w:r>
            <w:rPr>
              <w:color w:val="auto"/>
            </w:rPr>
            <w:fldChar w:fldCharType="begin"/>
          </w:r>
          <w:r>
            <w:rPr>
              <w:color w:val="auto"/>
            </w:rPr>
            <w:instrText xml:space="preserve"> PAGEREF _Toc20653 \h </w:instrText>
          </w:r>
          <w:r>
            <w:rPr>
              <w:color w:val="auto"/>
            </w:rPr>
            <w:fldChar w:fldCharType="separate"/>
          </w:r>
          <w:r>
            <w:rPr>
              <w:color w:val="auto"/>
            </w:rPr>
            <w:t>179</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_Toc22037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6.2 </w:t>
          </w:r>
          <w:r>
            <w:rPr>
              <w:rFonts w:hint="default" w:cs="Times New Roman"/>
              <w:bCs/>
              <w:color w:val="auto"/>
              <w:kern w:val="0"/>
              <w:szCs w:val="30"/>
              <w:highlight w:val="none"/>
              <w:lang w:val="en-US" w:eastAsia="zh-CN"/>
            </w:rPr>
            <w:t>运营期环境保护措施及其可行性分析</w:t>
          </w:r>
          <w:r>
            <w:rPr>
              <w:color w:val="auto"/>
            </w:rPr>
            <w:tab/>
          </w:r>
          <w:r>
            <w:rPr>
              <w:color w:val="auto"/>
            </w:rPr>
            <w:fldChar w:fldCharType="begin"/>
          </w:r>
          <w:r>
            <w:rPr>
              <w:color w:val="auto"/>
            </w:rPr>
            <w:instrText xml:space="preserve"> PAGEREF _Toc22037 \h </w:instrText>
          </w:r>
          <w:r>
            <w:rPr>
              <w:color w:val="auto"/>
            </w:rPr>
            <w:fldChar w:fldCharType="separate"/>
          </w:r>
          <w:r>
            <w:rPr>
              <w:color w:val="auto"/>
            </w:rPr>
            <w:t>185</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_Toc23364 </w:instrText>
          </w:r>
          <w:r>
            <w:rPr>
              <w:rFonts w:hint="default" w:ascii="Times New Roman" w:hAnsi="Times New Roman" w:cs="Times New Roman"/>
              <w:color w:val="auto"/>
              <w:szCs w:val="24"/>
              <w:highlight w:val="none"/>
              <w:lang w:val="en-US" w:eastAsia="zh-CN"/>
            </w:rPr>
            <w:fldChar w:fldCharType="separate"/>
          </w:r>
          <w:r>
            <w:rPr>
              <w:rFonts w:hint="default" w:cs="Times New Roman"/>
              <w:bCs/>
              <w:color w:val="auto"/>
              <w:kern w:val="0"/>
              <w:szCs w:val="30"/>
              <w:lang w:val="en-US" w:eastAsia="zh-CN"/>
            </w:rPr>
            <w:t xml:space="preserve">6.3 </w:t>
          </w:r>
          <w:r>
            <w:rPr>
              <w:rFonts w:hint="default" w:cs="Times New Roman"/>
              <w:bCs/>
              <w:color w:val="auto"/>
              <w:kern w:val="0"/>
              <w:szCs w:val="30"/>
              <w:highlight w:val="none"/>
              <w:lang w:val="en-US" w:eastAsia="zh-CN"/>
            </w:rPr>
            <w:t>生态</w:t>
          </w:r>
          <w:r>
            <w:rPr>
              <w:rFonts w:hint="eastAsia" w:ascii="Times New Roman" w:hAnsi="Times New Roman" w:cs="Times New Roman"/>
              <w:bCs/>
              <w:color w:val="auto"/>
              <w:kern w:val="0"/>
              <w:szCs w:val="30"/>
              <w:highlight w:val="none"/>
              <w:lang w:val="en-US" w:eastAsia="zh-CN"/>
            </w:rPr>
            <w:t>环境</w:t>
          </w:r>
          <w:r>
            <w:rPr>
              <w:rFonts w:hint="default" w:cs="Times New Roman"/>
              <w:bCs/>
              <w:color w:val="auto"/>
              <w:kern w:val="0"/>
              <w:szCs w:val="30"/>
              <w:highlight w:val="none"/>
              <w:lang w:val="en-US" w:eastAsia="zh-CN"/>
            </w:rPr>
            <w:t>保护及补偿措施</w:t>
          </w:r>
          <w:r>
            <w:rPr>
              <w:color w:val="auto"/>
            </w:rPr>
            <w:tab/>
          </w:r>
          <w:r>
            <w:rPr>
              <w:color w:val="auto"/>
            </w:rPr>
            <w:fldChar w:fldCharType="begin"/>
          </w:r>
          <w:r>
            <w:rPr>
              <w:color w:val="auto"/>
            </w:rPr>
            <w:instrText xml:space="preserve"> PAGEREF _Toc23364 \h </w:instrText>
          </w:r>
          <w:r>
            <w:rPr>
              <w:color w:val="auto"/>
            </w:rPr>
            <w:fldChar w:fldCharType="separate"/>
          </w:r>
          <w:r>
            <w:rPr>
              <w:color w:val="auto"/>
            </w:rPr>
            <w:t>188</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7"/>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_Toc23153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cs="Times New Roman"/>
              <w:bCs/>
              <w:color w:val="auto"/>
              <w:kern w:val="44"/>
              <w:szCs w:val="32"/>
            </w:rPr>
            <w:t xml:space="preserve">7、 </w:t>
          </w:r>
          <w:r>
            <w:rPr>
              <w:rFonts w:hint="default" w:cs="Times New Roman"/>
              <w:bCs/>
              <w:color w:val="auto"/>
              <w:kern w:val="44"/>
              <w:szCs w:val="32"/>
              <w:highlight w:val="none"/>
              <w:lang w:val="en-US" w:eastAsia="zh-CN"/>
            </w:rPr>
            <w:t>环境影响经济损益分析</w:t>
          </w:r>
          <w:r>
            <w:rPr>
              <w:color w:val="auto"/>
            </w:rPr>
            <w:tab/>
          </w:r>
          <w:r>
            <w:rPr>
              <w:color w:val="auto"/>
            </w:rPr>
            <w:fldChar w:fldCharType="begin"/>
          </w:r>
          <w:r>
            <w:rPr>
              <w:color w:val="auto"/>
            </w:rPr>
            <w:instrText xml:space="preserve"> PAGEREF _Toc23153 \h </w:instrText>
          </w:r>
          <w:r>
            <w:rPr>
              <w:color w:val="auto"/>
            </w:rPr>
            <w:fldChar w:fldCharType="separate"/>
          </w:r>
          <w:r>
            <w:rPr>
              <w:color w:val="auto"/>
            </w:rPr>
            <w:t>197</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_Toc1002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7.1 </w:t>
          </w:r>
          <w:r>
            <w:rPr>
              <w:rFonts w:hint="default" w:cs="Times New Roman"/>
              <w:bCs/>
              <w:color w:val="auto"/>
              <w:kern w:val="0"/>
              <w:szCs w:val="30"/>
              <w:highlight w:val="none"/>
              <w:lang w:val="en-US" w:eastAsia="zh-CN"/>
            </w:rPr>
            <w:t>环境影响损益分析</w:t>
          </w:r>
          <w:r>
            <w:rPr>
              <w:color w:val="auto"/>
            </w:rPr>
            <w:tab/>
          </w:r>
          <w:r>
            <w:rPr>
              <w:color w:val="auto"/>
            </w:rPr>
            <w:fldChar w:fldCharType="begin"/>
          </w:r>
          <w:r>
            <w:rPr>
              <w:color w:val="auto"/>
            </w:rPr>
            <w:instrText xml:space="preserve"> PAGEREF _Toc1002 \h </w:instrText>
          </w:r>
          <w:r>
            <w:rPr>
              <w:color w:val="auto"/>
            </w:rPr>
            <w:fldChar w:fldCharType="separate"/>
          </w:r>
          <w:r>
            <w:rPr>
              <w:color w:val="auto"/>
            </w:rPr>
            <w:t>197</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_Toc22770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7.2 </w:t>
          </w:r>
          <w:r>
            <w:rPr>
              <w:rFonts w:hint="default" w:cs="Times New Roman"/>
              <w:bCs/>
              <w:color w:val="auto"/>
              <w:kern w:val="0"/>
              <w:szCs w:val="30"/>
              <w:highlight w:val="none"/>
              <w:lang w:val="en-US" w:eastAsia="zh-CN"/>
            </w:rPr>
            <w:t>社会效益分析</w:t>
          </w:r>
          <w:r>
            <w:rPr>
              <w:color w:val="auto"/>
            </w:rPr>
            <w:tab/>
          </w:r>
          <w:r>
            <w:rPr>
              <w:color w:val="auto"/>
            </w:rPr>
            <w:fldChar w:fldCharType="begin"/>
          </w:r>
          <w:r>
            <w:rPr>
              <w:color w:val="auto"/>
            </w:rPr>
            <w:instrText xml:space="preserve"> PAGEREF _Toc22770 \h </w:instrText>
          </w:r>
          <w:r>
            <w:rPr>
              <w:color w:val="auto"/>
            </w:rPr>
            <w:fldChar w:fldCharType="separate"/>
          </w:r>
          <w:r>
            <w:rPr>
              <w:color w:val="auto"/>
            </w:rPr>
            <w:t>197</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7"/>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_Toc21039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cs="Times New Roman"/>
              <w:bCs/>
              <w:color w:val="auto"/>
              <w:kern w:val="44"/>
              <w:szCs w:val="32"/>
            </w:rPr>
            <w:t xml:space="preserve">8、 </w:t>
          </w:r>
          <w:r>
            <w:rPr>
              <w:rFonts w:hint="default" w:cs="Times New Roman"/>
              <w:bCs/>
              <w:color w:val="auto"/>
              <w:kern w:val="44"/>
              <w:szCs w:val="32"/>
              <w:highlight w:val="none"/>
              <w:lang w:val="en-US" w:eastAsia="zh-CN"/>
            </w:rPr>
            <w:t>环境管理与监测计划</w:t>
          </w:r>
          <w:r>
            <w:rPr>
              <w:color w:val="auto"/>
            </w:rPr>
            <w:tab/>
          </w:r>
          <w:r>
            <w:rPr>
              <w:color w:val="auto"/>
            </w:rPr>
            <w:fldChar w:fldCharType="begin"/>
          </w:r>
          <w:r>
            <w:rPr>
              <w:color w:val="auto"/>
            </w:rPr>
            <w:instrText xml:space="preserve"> PAGEREF _Toc21039 \h </w:instrText>
          </w:r>
          <w:r>
            <w:rPr>
              <w:color w:val="auto"/>
            </w:rPr>
            <w:fldChar w:fldCharType="separate"/>
          </w:r>
          <w:r>
            <w:rPr>
              <w:color w:val="auto"/>
            </w:rPr>
            <w:t>198</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_Toc30567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8.1 </w:t>
          </w:r>
          <w:r>
            <w:rPr>
              <w:rFonts w:hint="default" w:cs="Times New Roman"/>
              <w:bCs/>
              <w:color w:val="auto"/>
              <w:kern w:val="0"/>
              <w:szCs w:val="30"/>
              <w:highlight w:val="none"/>
              <w:lang w:val="en-US" w:eastAsia="zh-CN"/>
            </w:rPr>
            <w:t>环境管理</w:t>
          </w:r>
          <w:r>
            <w:rPr>
              <w:color w:val="auto"/>
            </w:rPr>
            <w:tab/>
          </w:r>
          <w:r>
            <w:rPr>
              <w:color w:val="auto"/>
            </w:rPr>
            <w:fldChar w:fldCharType="begin"/>
          </w:r>
          <w:r>
            <w:rPr>
              <w:color w:val="auto"/>
            </w:rPr>
            <w:instrText xml:space="preserve"> PAGEREF _Toc30567 \h </w:instrText>
          </w:r>
          <w:r>
            <w:rPr>
              <w:color w:val="auto"/>
            </w:rPr>
            <w:fldChar w:fldCharType="separate"/>
          </w:r>
          <w:r>
            <w:rPr>
              <w:color w:val="auto"/>
            </w:rPr>
            <w:t>198</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_Toc10019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8.2 </w:t>
          </w:r>
          <w:r>
            <w:rPr>
              <w:rFonts w:hint="default" w:cs="Times New Roman"/>
              <w:bCs/>
              <w:color w:val="auto"/>
              <w:kern w:val="0"/>
              <w:szCs w:val="30"/>
              <w:highlight w:val="none"/>
              <w:lang w:val="en-US" w:eastAsia="zh-CN"/>
            </w:rPr>
            <w:t>环境监测</w:t>
          </w:r>
          <w:r>
            <w:rPr>
              <w:color w:val="auto"/>
            </w:rPr>
            <w:tab/>
          </w:r>
          <w:r>
            <w:rPr>
              <w:color w:val="auto"/>
            </w:rPr>
            <w:fldChar w:fldCharType="begin"/>
          </w:r>
          <w:r>
            <w:rPr>
              <w:color w:val="auto"/>
            </w:rPr>
            <w:instrText xml:space="preserve"> PAGEREF _Toc10019 \h </w:instrText>
          </w:r>
          <w:r>
            <w:rPr>
              <w:color w:val="auto"/>
            </w:rPr>
            <w:fldChar w:fldCharType="separate"/>
          </w:r>
          <w:r>
            <w:rPr>
              <w:color w:val="auto"/>
            </w:rPr>
            <w:t>200</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_Toc821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8.3 </w:t>
          </w:r>
          <w:r>
            <w:rPr>
              <w:rFonts w:hint="default" w:cs="Times New Roman"/>
              <w:bCs/>
              <w:color w:val="auto"/>
              <w:kern w:val="0"/>
              <w:szCs w:val="30"/>
              <w:highlight w:val="none"/>
              <w:lang w:val="en-US" w:eastAsia="zh-CN"/>
            </w:rPr>
            <w:t>总量控制要求</w:t>
          </w:r>
          <w:r>
            <w:rPr>
              <w:color w:val="auto"/>
            </w:rPr>
            <w:tab/>
          </w:r>
          <w:r>
            <w:rPr>
              <w:color w:val="auto"/>
            </w:rPr>
            <w:fldChar w:fldCharType="begin"/>
          </w:r>
          <w:r>
            <w:rPr>
              <w:color w:val="auto"/>
            </w:rPr>
            <w:instrText xml:space="preserve"> PAGEREF _Toc821 \h </w:instrText>
          </w:r>
          <w:r>
            <w:rPr>
              <w:color w:val="auto"/>
            </w:rPr>
            <w:fldChar w:fldCharType="separate"/>
          </w:r>
          <w:r>
            <w:rPr>
              <w:color w:val="auto"/>
            </w:rPr>
            <w:t>201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_Toc4320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8.4 </w:t>
          </w:r>
          <w:r>
            <w:rPr>
              <w:rFonts w:hint="default" w:cs="Times New Roman"/>
              <w:bCs/>
              <w:color w:val="auto"/>
              <w:kern w:val="0"/>
              <w:szCs w:val="30"/>
              <w:highlight w:val="none"/>
              <w:lang w:val="en-US" w:eastAsia="zh-CN"/>
            </w:rPr>
            <w:t>施工期环境监理</w:t>
          </w:r>
          <w:r>
            <w:rPr>
              <w:color w:val="auto"/>
            </w:rPr>
            <w:tab/>
          </w:r>
          <w:r>
            <w:rPr>
              <w:color w:val="auto"/>
            </w:rPr>
            <w:fldChar w:fldCharType="begin"/>
          </w:r>
          <w:r>
            <w:rPr>
              <w:color w:val="auto"/>
            </w:rPr>
            <w:instrText xml:space="preserve"> PAGEREF _Toc4320 \h </w:instrText>
          </w:r>
          <w:r>
            <w:rPr>
              <w:color w:val="auto"/>
            </w:rPr>
            <w:fldChar w:fldCharType="separate"/>
          </w:r>
          <w:r>
            <w:rPr>
              <w:color w:val="auto"/>
            </w:rPr>
            <w:t>201</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_Toc5932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8.5 </w:t>
          </w:r>
          <w:r>
            <w:rPr>
              <w:rFonts w:hint="default" w:cs="Times New Roman"/>
              <w:bCs/>
              <w:color w:val="auto"/>
              <w:kern w:val="0"/>
              <w:szCs w:val="30"/>
              <w:highlight w:val="none"/>
              <w:lang w:val="en-US" w:eastAsia="zh-CN"/>
            </w:rPr>
            <w:t>环境保护三同时验收</w:t>
          </w:r>
          <w:r>
            <w:rPr>
              <w:color w:val="auto"/>
            </w:rPr>
            <w:tab/>
          </w:r>
          <w:r>
            <w:rPr>
              <w:color w:val="auto"/>
            </w:rPr>
            <w:fldChar w:fldCharType="begin"/>
          </w:r>
          <w:r>
            <w:rPr>
              <w:color w:val="auto"/>
            </w:rPr>
            <w:instrText xml:space="preserve"> PAGEREF _Toc5932 \h </w:instrText>
          </w:r>
          <w:r>
            <w:rPr>
              <w:color w:val="auto"/>
            </w:rPr>
            <w:fldChar w:fldCharType="separate"/>
          </w:r>
          <w:r>
            <w:rPr>
              <w:color w:val="auto"/>
            </w:rPr>
            <w:t>204</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7"/>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_Toc30605 </w:instrText>
          </w:r>
          <w:r>
            <w:rPr>
              <w:rFonts w:hint="default" w:ascii="Times New Roman" w:hAnsi="Times New Roman" w:cs="Times New Roman"/>
              <w:color w:val="auto"/>
              <w:szCs w:val="24"/>
              <w:highlight w:val="none"/>
              <w:lang w:val="en-US" w:eastAsia="zh-CN"/>
            </w:rPr>
            <w:fldChar w:fldCharType="separate"/>
          </w:r>
          <w:r>
            <w:rPr>
              <w:rFonts w:hint="default" w:ascii="Times New Roman" w:hAnsi="Times New Roman" w:cs="Times New Roman"/>
              <w:bCs/>
              <w:color w:val="auto"/>
              <w:kern w:val="44"/>
              <w:szCs w:val="32"/>
            </w:rPr>
            <w:t xml:space="preserve">9、 </w:t>
          </w:r>
          <w:r>
            <w:rPr>
              <w:rFonts w:hint="default" w:cs="Times New Roman"/>
              <w:bCs/>
              <w:color w:val="auto"/>
              <w:kern w:val="44"/>
              <w:szCs w:val="32"/>
              <w:highlight w:val="none"/>
              <w:lang w:val="en-US" w:eastAsia="zh-CN"/>
            </w:rPr>
            <w:t>结论与建议</w:t>
          </w:r>
          <w:r>
            <w:rPr>
              <w:color w:val="auto"/>
            </w:rPr>
            <w:tab/>
          </w:r>
          <w:r>
            <w:rPr>
              <w:color w:val="auto"/>
            </w:rPr>
            <w:fldChar w:fldCharType="begin"/>
          </w:r>
          <w:r>
            <w:rPr>
              <w:color w:val="auto"/>
            </w:rPr>
            <w:instrText xml:space="preserve"> PAGEREF _Toc30605 \h </w:instrText>
          </w:r>
          <w:r>
            <w:rPr>
              <w:color w:val="auto"/>
            </w:rPr>
            <w:fldChar w:fldCharType="separate"/>
          </w:r>
          <w:r>
            <w:rPr>
              <w:color w:val="auto"/>
            </w:rPr>
            <w:t>206</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_Toc14606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9.1 </w:t>
          </w:r>
          <w:r>
            <w:rPr>
              <w:rFonts w:hint="default" w:cs="Times New Roman"/>
              <w:bCs/>
              <w:color w:val="auto"/>
              <w:kern w:val="0"/>
              <w:szCs w:val="30"/>
              <w:highlight w:val="none"/>
              <w:lang w:val="en-US" w:eastAsia="zh-CN"/>
            </w:rPr>
            <w:t>结论</w:t>
          </w:r>
          <w:r>
            <w:rPr>
              <w:color w:val="auto"/>
            </w:rPr>
            <w:tab/>
          </w:r>
          <w:r>
            <w:rPr>
              <w:color w:val="auto"/>
            </w:rPr>
            <w:fldChar w:fldCharType="begin"/>
          </w:r>
          <w:r>
            <w:rPr>
              <w:color w:val="auto"/>
            </w:rPr>
            <w:instrText xml:space="preserve"> PAGEREF _Toc14606 \h </w:instrText>
          </w:r>
          <w:r>
            <w:rPr>
              <w:color w:val="auto"/>
            </w:rPr>
            <w:fldChar w:fldCharType="separate"/>
          </w:r>
          <w:r>
            <w:rPr>
              <w:color w:val="auto"/>
            </w:rPr>
            <w:t>206</w:t>
          </w:r>
          <w:r>
            <w:rPr>
              <w:color w:val="auto"/>
            </w:rPr>
            <w:fldChar w:fldCharType="end"/>
          </w:r>
          <w:r>
            <w:rPr>
              <w:rFonts w:hint="default" w:ascii="Times New Roman" w:hAnsi="Times New Roman" w:cs="Times New Roman"/>
              <w:color w:val="auto"/>
              <w:szCs w:val="24"/>
              <w:highlight w:val="none"/>
              <w:lang w:val="en-US" w:eastAsia="zh-CN"/>
            </w:rPr>
            <w:fldChar w:fldCharType="end"/>
          </w:r>
        </w:p>
        <w:p>
          <w:pPr>
            <w:pStyle w:val="18"/>
            <w:tabs>
              <w:tab w:val="right" w:leader="dot" w:pos="8306"/>
            </w:tabs>
            <w:rPr>
              <w:color w:val="auto"/>
            </w:rPr>
          </w:pPr>
          <w:r>
            <w:rPr>
              <w:rFonts w:hint="default" w:ascii="Times New Roman" w:hAnsi="Times New Roman" w:cs="Times New Roman"/>
              <w:color w:val="auto"/>
              <w:szCs w:val="24"/>
              <w:highlight w:val="none"/>
              <w:lang w:val="en-US" w:eastAsia="zh-CN"/>
            </w:rPr>
            <w:fldChar w:fldCharType="begin"/>
          </w:r>
          <w:r>
            <w:rPr>
              <w:rFonts w:hint="default" w:ascii="Times New Roman" w:hAnsi="Times New Roman" w:cs="Times New Roman"/>
              <w:color w:val="auto"/>
              <w:szCs w:val="24"/>
              <w:highlight w:val="none"/>
              <w:lang w:val="en-US" w:eastAsia="zh-CN"/>
            </w:rPr>
            <w:instrText xml:space="preserve"> HYPERLINK \l _Toc22354 </w:instrText>
          </w:r>
          <w:r>
            <w:rPr>
              <w:rFonts w:hint="default" w:ascii="Times New Roman" w:hAnsi="Times New Roman" w:cs="Times New Roman"/>
              <w:color w:val="auto"/>
              <w:szCs w:val="24"/>
              <w:highlight w:val="none"/>
              <w:lang w:val="en-US" w:eastAsia="zh-CN"/>
            </w:rPr>
            <w:fldChar w:fldCharType="separate"/>
          </w:r>
          <w:r>
            <w:rPr>
              <w:rFonts w:cs="Times New Roman"/>
              <w:bCs/>
              <w:color w:val="auto"/>
              <w:kern w:val="0"/>
              <w:szCs w:val="30"/>
            </w:rPr>
            <w:t xml:space="preserve">9.2 </w:t>
          </w:r>
          <w:r>
            <w:rPr>
              <w:rFonts w:hint="default" w:cs="Times New Roman"/>
              <w:bCs/>
              <w:color w:val="auto"/>
              <w:kern w:val="0"/>
              <w:szCs w:val="30"/>
              <w:highlight w:val="none"/>
              <w:lang w:val="en-US" w:eastAsia="zh-CN"/>
            </w:rPr>
            <w:t>建议</w:t>
          </w:r>
          <w:r>
            <w:rPr>
              <w:color w:val="auto"/>
            </w:rPr>
            <w:tab/>
          </w:r>
          <w:r>
            <w:rPr>
              <w:color w:val="auto"/>
            </w:rPr>
            <w:fldChar w:fldCharType="begin"/>
          </w:r>
          <w:r>
            <w:rPr>
              <w:color w:val="auto"/>
            </w:rPr>
            <w:instrText xml:space="preserve"> PAGEREF _Toc22354 \h </w:instrText>
          </w:r>
          <w:r>
            <w:rPr>
              <w:color w:val="auto"/>
            </w:rPr>
            <w:fldChar w:fldCharType="separate"/>
          </w:r>
          <w:r>
            <w:rPr>
              <w:color w:val="auto"/>
            </w:rPr>
            <w:t>213</w:t>
          </w:r>
          <w:r>
            <w:rPr>
              <w:color w:val="auto"/>
            </w:rPr>
            <w:fldChar w:fldCharType="end"/>
          </w:r>
          <w:r>
            <w:rPr>
              <w:rFonts w:hint="default" w:ascii="Times New Roman" w:hAnsi="Times New Roman" w:cs="Times New Roman"/>
              <w:color w:val="auto"/>
              <w:szCs w:val="24"/>
              <w:highlight w:val="none"/>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color w:val="auto"/>
              <w:sz w:val="24"/>
              <w:szCs w:val="24"/>
              <w:highlight w:val="none"/>
              <w:lang w:val="en-US" w:eastAsia="zh-CN"/>
            </w:rPr>
          </w:pPr>
          <w:r>
            <w:rPr>
              <w:rFonts w:hint="default" w:ascii="Times New Roman" w:hAnsi="Times New Roman" w:cs="Times New Roman"/>
              <w:color w:val="auto"/>
              <w:szCs w:val="24"/>
              <w:highlight w:val="none"/>
              <w:lang w:val="en-US" w:eastAsia="zh-CN"/>
            </w:rPr>
            <w:fldChar w:fldCharType="end"/>
          </w:r>
        </w:p>
      </w:sdtContent>
    </w:sdt>
    <w:p>
      <w:pPr>
        <w:keepLines w:val="0"/>
        <w:pageBreakBefore w:val="0"/>
        <w:widowControl w:val="0"/>
        <w:kinsoku/>
        <w:wordWrap/>
        <w:overflowPunct/>
        <w:topLinePunct w:val="0"/>
        <w:bidi w:val="0"/>
        <w:rPr>
          <w:rFonts w:hint="default"/>
          <w:color w:val="auto"/>
          <w:highlight w:val="none"/>
          <w:lang w:val="en-US" w:eastAsia="zh-CN"/>
        </w:rPr>
      </w:pPr>
    </w:p>
    <w:p>
      <w:pPr>
        <w:keepLines w:val="0"/>
        <w:pageBreakBefore w:val="0"/>
        <w:widowControl w:val="0"/>
        <w:kinsoku/>
        <w:wordWrap/>
        <w:overflowPunct/>
        <w:topLinePunct w:val="0"/>
        <w:bidi w:val="0"/>
        <w:rPr>
          <w:rFonts w:hint="default"/>
          <w:color w:val="auto"/>
          <w:highlight w:val="none"/>
          <w:lang w:val="en-US" w:eastAsia="zh-CN"/>
        </w:rPr>
      </w:pPr>
    </w:p>
    <w:p>
      <w:pPr>
        <w:keepLines w:val="0"/>
        <w:pageBreakBefore w:val="0"/>
        <w:widowControl w:val="0"/>
        <w:kinsoku/>
        <w:wordWrap/>
        <w:overflowPunct/>
        <w:topLinePunct w:val="0"/>
        <w:bidi w:val="0"/>
        <w:rPr>
          <w:rFonts w:hint="default"/>
          <w:color w:val="auto"/>
          <w:highlight w:val="none"/>
          <w:lang w:val="en-US" w:eastAsia="zh-CN"/>
        </w:rPr>
      </w:pPr>
    </w:p>
    <w:p>
      <w:pPr>
        <w:keepLines w:val="0"/>
        <w:pageBreakBefore w:val="0"/>
        <w:widowControl w:val="0"/>
        <w:kinsoku/>
        <w:wordWrap/>
        <w:overflowPunct/>
        <w:topLinePunct w:val="0"/>
        <w:bidi w:val="0"/>
        <w:rPr>
          <w:rFonts w:hint="default"/>
          <w:color w:val="auto"/>
          <w:highlight w:val="none"/>
          <w:lang w:val="en-US" w:eastAsia="zh-CN"/>
        </w:rPr>
      </w:pPr>
    </w:p>
    <w:p>
      <w:pPr>
        <w:keepLines w:val="0"/>
        <w:pageBreakBefore w:val="0"/>
        <w:widowControl w:val="0"/>
        <w:kinsoku/>
        <w:wordWrap/>
        <w:overflowPunct/>
        <w:topLinePunct w:val="0"/>
        <w:bidi w:val="0"/>
        <w:rPr>
          <w:rFonts w:hint="default"/>
          <w:color w:val="auto"/>
          <w:highlight w:val="none"/>
          <w:lang w:val="en-US" w:eastAsia="zh-CN"/>
        </w:rPr>
      </w:pPr>
    </w:p>
    <w:p>
      <w:pPr>
        <w:keepLines w:val="0"/>
        <w:pageBreakBefore w:val="0"/>
        <w:widowControl w:val="0"/>
        <w:kinsoku/>
        <w:wordWrap/>
        <w:overflowPunct/>
        <w:topLinePunct w:val="0"/>
        <w:bidi w:val="0"/>
        <w:rPr>
          <w:rFonts w:hint="default"/>
          <w:color w:val="auto"/>
          <w:highlight w:val="none"/>
          <w:lang w:val="en-US" w:eastAsia="zh-CN"/>
        </w:rPr>
      </w:pPr>
    </w:p>
    <w:p>
      <w:pPr>
        <w:keepLines w:val="0"/>
        <w:pageBreakBefore w:val="0"/>
        <w:widowControl w:val="0"/>
        <w:kinsoku/>
        <w:wordWrap/>
        <w:overflowPunct/>
        <w:topLinePunct w:val="0"/>
        <w:bidi w:val="0"/>
        <w:ind w:firstLine="312" w:firstLineChars="0"/>
        <w:jc w:val="left"/>
        <w:rPr>
          <w:rFonts w:hint="default" w:ascii="Times New Roman" w:hAnsi="Times New Roman" w:cs="Times New Roman"/>
          <w:color w:val="auto"/>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keepLines w:val="0"/>
        <w:pageBreakBefore w:val="0"/>
        <w:widowControl w:val="0"/>
        <w:numPr>
          <w:ilvl w:val="0"/>
          <w:numId w:val="4"/>
        </w:numPr>
        <w:kinsoku/>
        <w:wordWrap/>
        <w:overflowPunct/>
        <w:topLinePunct w:val="0"/>
        <w:bidi w:val="0"/>
        <w:snapToGrid w:val="0"/>
        <w:spacing w:before="120" w:beforeLines="50" w:after="120" w:afterLines="50" w:line="360" w:lineRule="auto"/>
        <w:ind w:left="0"/>
        <w:jc w:val="center"/>
        <w:outlineLvl w:val="0"/>
        <w:rPr>
          <w:rFonts w:cs="Times New Roman"/>
          <w:b/>
          <w:bCs/>
          <w:color w:val="auto"/>
          <w:kern w:val="44"/>
          <w:sz w:val="32"/>
          <w:szCs w:val="32"/>
          <w:highlight w:val="none"/>
        </w:rPr>
      </w:pPr>
      <w:bookmarkStart w:id="10" w:name="_Toc6612"/>
      <w:bookmarkStart w:id="11" w:name="_Toc148904227"/>
      <w:bookmarkStart w:id="12" w:name="_Toc20426"/>
      <w:r>
        <w:rPr>
          <w:rFonts w:hint="default" w:cs="Times New Roman"/>
          <w:b/>
          <w:bCs/>
          <w:color w:val="auto"/>
          <w:kern w:val="44"/>
          <w:sz w:val="32"/>
          <w:szCs w:val="32"/>
          <w:highlight w:val="none"/>
          <w:lang w:val="en-US" w:eastAsia="zh-CN"/>
        </w:rPr>
        <w:t>概述</w:t>
      </w:r>
      <w:bookmarkEnd w:id="10"/>
      <w:bookmarkEnd w:id="11"/>
      <w:bookmarkEnd w:id="12"/>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cs="Times New Roman"/>
          <w:b/>
          <w:bCs/>
          <w:color w:val="auto"/>
          <w:kern w:val="0"/>
          <w:sz w:val="30"/>
          <w:szCs w:val="30"/>
          <w:highlight w:val="none"/>
        </w:rPr>
      </w:pPr>
      <w:bookmarkStart w:id="13" w:name="_Toc148904228"/>
      <w:bookmarkStart w:id="14" w:name="_Toc30979"/>
      <w:bookmarkStart w:id="15" w:name="_Toc5629"/>
      <w:r>
        <w:rPr>
          <w:rFonts w:cs="Times New Roman"/>
          <w:b/>
          <w:bCs/>
          <w:color w:val="auto"/>
          <w:kern w:val="0"/>
          <w:sz w:val="30"/>
          <w:szCs w:val="30"/>
          <w:highlight w:val="none"/>
        </w:rPr>
        <w:t>项目由来</w:t>
      </w:r>
      <w:bookmarkEnd w:id="13"/>
      <w:bookmarkEnd w:id="14"/>
      <w:bookmarkEnd w:id="15"/>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strike w:val="0"/>
          <w:dstrike w:val="0"/>
          <w:color w:val="auto"/>
          <w:sz w:val="24"/>
          <w:highlight w:val="none"/>
          <w:lang w:val="en-US" w:eastAsia="zh-CN"/>
        </w:rPr>
      </w:pPr>
      <w:r>
        <w:rPr>
          <w:rFonts w:hint="default" w:ascii="Times New Roman" w:hAnsi="Times New Roman" w:eastAsia="宋体" w:cs="Times New Roman"/>
          <w:strike w:val="0"/>
          <w:dstrike w:val="0"/>
          <w:color w:val="auto"/>
          <w:sz w:val="24"/>
          <w:highlight w:val="none"/>
          <w:lang w:val="en-US" w:eastAsia="zh-CN"/>
        </w:rPr>
        <w:t>湘江是长江中游南岸重要支流。干流全长856千米，流域面积9.46万平方千米，沿途接纳大小支流1300多条，主要支流有潇水、舂陵水、来水、米水、蒸水、涟水等。多年平均入湖水量713亿立方米。湘江支流众多，部分支流水土流失较重。零陵以上为上游，流经山区，谷窄、流短、水急，雨期多暴雨，枯水期地下水补给占25%左右。零陵至衡阳为中游，沿岸丘陵起伏，红层盆地错落其间，河宽250m~1000m，湘江下游马家河一带最宽江面为1505m，上游禄口大石围最窄江面宽度为300m，河床纵坡降为0.5%左右。每年3至7月为丰水期，多发生洪水，10月至12月为枯水期。</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strike w:val="0"/>
          <w:dstrike w:val="0"/>
          <w:color w:val="auto"/>
          <w:sz w:val="24"/>
          <w:highlight w:val="none"/>
          <w:lang w:val="en-US" w:eastAsia="zh-CN"/>
        </w:rPr>
      </w:pPr>
      <w:r>
        <w:rPr>
          <w:rFonts w:hint="eastAsia" w:cs="Times New Roman"/>
          <w:strike w:val="0"/>
          <w:dstrike w:val="0"/>
          <w:color w:val="auto"/>
          <w:sz w:val="24"/>
          <w:highlight w:val="none"/>
          <w:lang w:val="en-US" w:eastAsia="zh-CN"/>
        </w:rPr>
        <w:t>衡阳</w:t>
      </w:r>
      <w:r>
        <w:rPr>
          <w:rFonts w:hint="default" w:ascii="Times New Roman" w:hAnsi="Times New Roman" w:eastAsia="宋体" w:cs="Times New Roman"/>
          <w:strike w:val="0"/>
          <w:dstrike w:val="0"/>
          <w:color w:val="auto"/>
          <w:sz w:val="24"/>
          <w:highlight w:val="none"/>
          <w:lang w:val="en-US" w:eastAsia="zh-CN"/>
        </w:rPr>
        <w:t>城市的发展，经济飞速的增长，人们越来越关注自身周边环境的美好程度。作为城市重要组成部分的河道水系，自然不可被忽视。水在国计民生和社会经济发展中占有重要的地位，经济社会发展和客观自然条件，决定了水资源在我国可持续发展中的极端重要性。水利工程是国民经济和社会发展的重要基础设施，在实施我国现代化建设第三步发展战略的新时期，水利已经成为我国经济社会发展中具有基础性、全局性和战略性的重大问题，水利发展要为全面建设小康社会提供有力的支撑和保障。</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strike w:val="0"/>
          <w:dstrike w:val="0"/>
          <w:color w:val="auto"/>
          <w:sz w:val="24"/>
          <w:highlight w:val="none"/>
          <w:lang w:val="en-US" w:eastAsia="zh-CN"/>
        </w:rPr>
      </w:pPr>
      <w:r>
        <w:rPr>
          <w:rFonts w:hint="default" w:ascii="Times New Roman" w:hAnsi="Times New Roman" w:eastAsia="宋体" w:cs="Times New Roman"/>
          <w:strike w:val="0"/>
          <w:dstrike w:val="0"/>
          <w:color w:val="auto"/>
          <w:sz w:val="24"/>
          <w:highlight w:val="none"/>
          <w:lang w:val="en-US" w:eastAsia="zh-CN"/>
        </w:rPr>
        <w:t>湘江东岸</w:t>
      </w:r>
      <w:r>
        <w:rPr>
          <w:rFonts w:hint="eastAsia" w:cs="Times New Roman"/>
          <w:strike w:val="0"/>
          <w:dstrike w:val="0"/>
          <w:color w:val="auto"/>
          <w:sz w:val="24"/>
          <w:highlight w:val="none"/>
          <w:lang w:val="en-US" w:eastAsia="zh-CN"/>
        </w:rPr>
        <w:t>（龙家坪路-冶金中路）岸线</w:t>
      </w:r>
      <w:r>
        <w:rPr>
          <w:rFonts w:hint="default" w:ascii="Times New Roman" w:hAnsi="Times New Roman" w:eastAsia="宋体" w:cs="Times New Roman"/>
          <w:strike w:val="0"/>
          <w:dstrike w:val="0"/>
          <w:color w:val="auto"/>
          <w:sz w:val="24"/>
          <w:highlight w:val="none"/>
          <w:lang w:val="en-US" w:eastAsia="zh-CN"/>
        </w:rPr>
        <w:t>基本上处于原生态状况</w:t>
      </w:r>
      <w:r>
        <w:rPr>
          <w:rFonts w:hint="eastAsia" w:cs="Times New Roman"/>
          <w:strike w:val="0"/>
          <w:dstrike w:val="0"/>
          <w:color w:val="auto"/>
          <w:sz w:val="24"/>
          <w:highlight w:val="none"/>
          <w:lang w:val="en-US" w:eastAsia="zh-CN"/>
        </w:rPr>
        <w:t>，</w:t>
      </w:r>
      <w:r>
        <w:rPr>
          <w:rFonts w:hint="default" w:ascii="Times New Roman" w:hAnsi="Times New Roman" w:eastAsia="宋体" w:cs="Times New Roman"/>
          <w:strike w:val="0"/>
          <w:dstrike w:val="0"/>
          <w:color w:val="auto"/>
          <w:sz w:val="24"/>
          <w:highlight w:val="none"/>
          <w:lang w:val="en-US" w:eastAsia="zh-CN"/>
        </w:rPr>
        <w:t>项目通过对湘江东岸（</w:t>
      </w:r>
      <w:r>
        <w:rPr>
          <w:rFonts w:hint="eastAsia" w:cs="Times New Roman"/>
          <w:strike w:val="0"/>
          <w:dstrike w:val="0"/>
          <w:color w:val="auto"/>
          <w:sz w:val="24"/>
          <w:highlight w:val="none"/>
          <w:lang w:val="en-US" w:eastAsia="zh-CN"/>
        </w:rPr>
        <w:t>龙家坪路-冶金中路</w:t>
      </w:r>
      <w:r>
        <w:rPr>
          <w:rFonts w:hint="default" w:ascii="Times New Roman" w:hAnsi="Times New Roman" w:eastAsia="宋体" w:cs="Times New Roman"/>
          <w:strike w:val="0"/>
          <w:dstrike w:val="0"/>
          <w:color w:val="auto"/>
          <w:sz w:val="24"/>
          <w:highlight w:val="none"/>
          <w:lang w:val="en-US" w:eastAsia="zh-CN"/>
        </w:rPr>
        <w:t>）</w:t>
      </w:r>
      <w:r>
        <w:rPr>
          <w:rFonts w:hint="eastAsia" w:cs="Times New Roman"/>
          <w:strike w:val="0"/>
          <w:dstrike w:val="0"/>
          <w:color w:val="auto"/>
          <w:sz w:val="24"/>
          <w:highlight w:val="none"/>
          <w:lang w:val="en-US" w:eastAsia="zh-CN"/>
        </w:rPr>
        <w:t>防洪堤加固</w:t>
      </w:r>
      <w:r>
        <w:rPr>
          <w:rFonts w:hint="default" w:ascii="Times New Roman" w:hAnsi="Times New Roman" w:eastAsia="宋体" w:cs="Times New Roman"/>
          <w:strike w:val="0"/>
          <w:dstrike w:val="0"/>
          <w:color w:val="auto"/>
          <w:sz w:val="24"/>
          <w:highlight w:val="none"/>
          <w:lang w:val="en-US" w:eastAsia="zh-CN"/>
        </w:rPr>
        <w:t>及配套景观等的建设，提高区段河道防洪排涝标准和地区抗灾能力，既保障了人民生命财产安全，也为</w:t>
      </w:r>
      <w:r>
        <w:rPr>
          <w:rFonts w:hint="eastAsia" w:cs="Times New Roman"/>
          <w:strike w:val="0"/>
          <w:dstrike w:val="0"/>
          <w:color w:val="auto"/>
          <w:sz w:val="24"/>
          <w:highlight w:val="none"/>
          <w:lang w:val="en-US" w:eastAsia="zh-CN"/>
        </w:rPr>
        <w:t>衡阳</w:t>
      </w:r>
      <w:r>
        <w:rPr>
          <w:rFonts w:hint="default" w:ascii="Times New Roman" w:hAnsi="Times New Roman" w:eastAsia="宋体" w:cs="Times New Roman"/>
          <w:strike w:val="0"/>
          <w:dstrike w:val="0"/>
          <w:color w:val="auto"/>
          <w:sz w:val="24"/>
          <w:highlight w:val="none"/>
          <w:lang w:val="en-US" w:eastAsia="zh-CN"/>
        </w:rPr>
        <w:t>的</w:t>
      </w:r>
      <w:r>
        <w:rPr>
          <w:rFonts w:hint="eastAsia" w:cs="Times New Roman"/>
          <w:strike w:val="0"/>
          <w:dstrike w:val="0"/>
          <w:color w:val="auto"/>
          <w:sz w:val="24"/>
          <w:highlight w:val="none"/>
          <w:lang w:val="en-US" w:eastAsia="zh-CN"/>
        </w:rPr>
        <w:t>城市</w:t>
      </w:r>
      <w:r>
        <w:rPr>
          <w:rFonts w:hint="default" w:ascii="Times New Roman" w:hAnsi="Times New Roman" w:eastAsia="宋体" w:cs="Times New Roman"/>
          <w:strike w:val="0"/>
          <w:dstrike w:val="0"/>
          <w:color w:val="auto"/>
          <w:sz w:val="24"/>
          <w:highlight w:val="none"/>
          <w:lang w:val="en-US" w:eastAsia="zh-CN"/>
        </w:rPr>
        <w:t>发展提供了安全保障。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ascii="Times New Roman" w:hAnsi="Times New Roman" w:cs="Times New Roman"/>
          <w:color w:val="auto"/>
          <w:kern w:val="0"/>
          <w:sz w:val="24"/>
          <w:szCs w:val="24"/>
          <w:highlight w:val="none"/>
          <w:lang w:bidi="ar"/>
        </w:rPr>
        <w:t>根据《建设项目环境影响评价分类管理名录》（2021年版）</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sz w:val="24"/>
          <w:szCs w:val="24"/>
          <w:highlight w:val="none"/>
        </w:rPr>
        <w:t>湘江东岸沿江风光带（龙家坪路-冶金中路）整治工程</w:t>
      </w:r>
      <w:r>
        <w:rPr>
          <w:rFonts w:hint="default" w:cs="Times New Roman"/>
          <w:color w:val="auto"/>
          <w:sz w:val="24"/>
          <w:szCs w:val="24"/>
          <w:highlight w:val="none"/>
          <w:lang w:val="en-US" w:eastAsia="zh-CN"/>
        </w:rPr>
        <w:t>包括抛石护岸、岸坡整治，涉及涉水施工，本项目所在水域为饮用水源二级保护区，同时也是湘江四大家鱼国家级水产种质资源保护区核心区，因此本项目风光带整治工程</w:t>
      </w:r>
      <w:r>
        <w:rPr>
          <w:rFonts w:hint="default" w:ascii="Times New Roman" w:hAnsi="Times New Roman" w:cs="Times New Roman"/>
          <w:color w:val="auto"/>
          <w:kern w:val="0"/>
          <w:sz w:val="24"/>
          <w:szCs w:val="24"/>
          <w:highlight w:val="none"/>
          <w:lang w:val="en-US" w:eastAsia="zh-CN" w:bidi="ar"/>
        </w:rPr>
        <w:t>属于</w:t>
      </w:r>
      <w:r>
        <w:rPr>
          <w:rFonts w:hint="eastAsia" w:cs="Times New Roman"/>
          <w:color w:val="auto"/>
          <w:kern w:val="0"/>
          <w:sz w:val="24"/>
          <w:szCs w:val="24"/>
          <w:highlight w:val="none"/>
          <w:lang w:eastAsia="zh-CN" w:bidi="ar"/>
        </w:rPr>
        <w:t>“</w:t>
      </w:r>
      <w:r>
        <w:rPr>
          <w:rFonts w:hint="default" w:ascii="Times New Roman" w:hAnsi="Times New Roman" w:eastAsia="宋体" w:cs="Times New Roman"/>
          <w:color w:val="auto"/>
          <w:sz w:val="24"/>
          <w:szCs w:val="24"/>
          <w:highlight w:val="none"/>
          <w:lang w:val="en-US" w:eastAsia="zh-CN"/>
        </w:rPr>
        <w:t>五十一、水利业-128河湖整治-涉及环境敏感区的</w:t>
      </w:r>
      <w:r>
        <w:rPr>
          <w:rFonts w:hint="eastAsia"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val="en-US" w:eastAsia="zh-CN" w:bidi="ar"/>
        </w:rPr>
        <w:t>应</w:t>
      </w:r>
      <w:r>
        <w:rPr>
          <w:rFonts w:ascii="Times New Roman" w:hAnsi="Times New Roman" w:cs="Times New Roman"/>
          <w:color w:val="auto"/>
          <w:kern w:val="0"/>
          <w:sz w:val="24"/>
          <w:szCs w:val="24"/>
          <w:highlight w:val="none"/>
          <w:lang w:bidi="ar"/>
        </w:rPr>
        <w:t>编制环境影响报告</w:t>
      </w:r>
      <w:r>
        <w:rPr>
          <w:rFonts w:hint="default" w:ascii="Times New Roman" w:hAnsi="Times New Roman" w:cs="Times New Roman"/>
          <w:color w:val="auto"/>
          <w:kern w:val="0"/>
          <w:sz w:val="24"/>
          <w:szCs w:val="24"/>
          <w:highlight w:val="none"/>
          <w:lang w:val="en-US" w:eastAsia="zh-CN" w:bidi="ar"/>
        </w:rPr>
        <w:t>书</w:t>
      </w:r>
      <w:r>
        <w:rPr>
          <w:rFonts w:ascii="Times New Roman" w:hAnsi="Times New Roman" w:cs="Times New Roman"/>
          <w:color w:val="auto"/>
          <w:kern w:val="0"/>
          <w:sz w:val="24"/>
          <w:szCs w:val="24"/>
          <w:highlight w:val="none"/>
          <w:lang w:bidi="ar"/>
        </w:rPr>
        <w:t>。依据《中华人民共和国环境影响评价法》和《建设项目环境影响评价分类管理名录》的有关规定，受</w:t>
      </w:r>
      <w:r>
        <w:rPr>
          <w:rFonts w:hint="default"/>
          <w:strike w:val="0"/>
          <w:dstrike w:val="0"/>
          <w:color w:val="auto"/>
          <w:sz w:val="24"/>
          <w:highlight w:val="none"/>
          <w:lang w:val="en-US" w:eastAsia="zh-CN"/>
        </w:rPr>
        <w:t>衡阳市城市建设投资发展集团有限公司（以下简称</w:t>
      </w:r>
      <w:r>
        <w:rPr>
          <w:rFonts w:hint="eastAsia"/>
          <w:strike w:val="0"/>
          <w:dstrike w:val="0"/>
          <w:color w:val="auto"/>
          <w:sz w:val="24"/>
          <w:highlight w:val="none"/>
          <w:lang w:val="en-US" w:eastAsia="zh-CN"/>
        </w:rPr>
        <w:t>“</w:t>
      </w:r>
      <w:r>
        <w:rPr>
          <w:rFonts w:hint="default" w:ascii="Times New Roman" w:hAnsi="Times New Roman" w:cs="Times New Roman"/>
          <w:color w:val="auto"/>
          <w:kern w:val="0"/>
          <w:sz w:val="24"/>
          <w:szCs w:val="24"/>
          <w:highlight w:val="none"/>
          <w:lang w:val="en-US" w:eastAsia="zh-CN" w:bidi="ar"/>
        </w:rPr>
        <w:t>建设</w:t>
      </w:r>
      <w:r>
        <w:rPr>
          <w:rFonts w:hint="default" w:ascii="Times New Roman" w:hAnsi="Times New Roman" w:cs="Times New Roman"/>
          <w:color w:val="auto"/>
          <w:sz w:val="24"/>
          <w:szCs w:val="24"/>
          <w:highlight w:val="none"/>
          <w:lang w:val="en-US" w:eastAsia="zh-CN"/>
        </w:rPr>
        <w:t>单位</w:t>
      </w:r>
      <w:r>
        <w:rPr>
          <w:rFonts w:hint="eastAsia"/>
          <w:strike w:val="0"/>
          <w:dstrike w:val="0"/>
          <w:color w:val="auto"/>
          <w:sz w:val="24"/>
          <w:highlight w:val="none"/>
          <w:lang w:val="en-US" w:eastAsia="zh-CN"/>
        </w:rPr>
        <w:t>”</w:t>
      </w:r>
      <w:r>
        <w:rPr>
          <w:rFonts w:hint="default"/>
          <w:strike w:val="0"/>
          <w:dstrike w:val="0"/>
          <w:color w:val="auto"/>
          <w:sz w:val="24"/>
          <w:highlight w:val="none"/>
          <w:lang w:val="en-US" w:eastAsia="zh-CN"/>
        </w:rPr>
        <w:t>）</w:t>
      </w:r>
      <w:r>
        <w:rPr>
          <w:rFonts w:ascii="Times New Roman" w:hAnsi="Times New Roman" w:cs="Times New Roman"/>
          <w:color w:val="auto"/>
          <w:kern w:val="0"/>
          <w:sz w:val="24"/>
          <w:szCs w:val="24"/>
          <w:highlight w:val="none"/>
          <w:lang w:bidi="ar"/>
        </w:rPr>
        <w:t>委托</w:t>
      </w:r>
      <w:r>
        <w:rPr>
          <w:rFonts w:hint="default"/>
          <w:strike w:val="0"/>
          <w:dstrike w:val="0"/>
          <w:color w:val="auto"/>
          <w:sz w:val="24"/>
          <w:highlight w:val="none"/>
          <w:lang w:val="en-US" w:eastAsia="zh-CN"/>
        </w:rPr>
        <w:t>湖南晶康环保科技有限公司（以下简称</w:t>
      </w:r>
      <w:r>
        <w:rPr>
          <w:rFonts w:hint="eastAsia"/>
          <w:strike w:val="0"/>
          <w:dstrike w:val="0"/>
          <w:color w:val="auto"/>
          <w:sz w:val="24"/>
          <w:highlight w:val="none"/>
          <w:lang w:val="en-US" w:eastAsia="zh-CN"/>
        </w:rPr>
        <w:t>“</w:t>
      </w:r>
      <w:r>
        <w:rPr>
          <w:rFonts w:hint="default"/>
          <w:strike w:val="0"/>
          <w:dstrike w:val="0"/>
          <w:color w:val="auto"/>
          <w:sz w:val="24"/>
          <w:highlight w:val="none"/>
          <w:lang w:val="en-US" w:eastAsia="zh-CN"/>
        </w:rPr>
        <w:t>我公司</w:t>
      </w:r>
      <w:r>
        <w:rPr>
          <w:rFonts w:hint="eastAsia"/>
          <w:strike w:val="0"/>
          <w:dstrike w:val="0"/>
          <w:color w:val="auto"/>
          <w:sz w:val="24"/>
          <w:highlight w:val="none"/>
          <w:lang w:val="en-US" w:eastAsia="zh-CN"/>
        </w:rPr>
        <w:t>”</w:t>
      </w:r>
      <w:r>
        <w:rPr>
          <w:rFonts w:hint="default"/>
          <w:strike w:val="0"/>
          <w:dstrike w:val="0"/>
          <w:color w:val="auto"/>
          <w:sz w:val="24"/>
          <w:highlight w:val="none"/>
          <w:lang w:val="en-US" w:eastAsia="zh-CN"/>
        </w:rPr>
        <w:t>）</w:t>
      </w:r>
      <w:r>
        <w:rPr>
          <w:rFonts w:ascii="Times New Roman" w:hAnsi="Times New Roman" w:cs="Times New Roman"/>
          <w:color w:val="auto"/>
          <w:kern w:val="0"/>
          <w:sz w:val="24"/>
          <w:szCs w:val="24"/>
          <w:highlight w:val="none"/>
          <w:lang w:bidi="ar"/>
        </w:rPr>
        <w:t>承担了本项目的环境影响评价工作，在现场踏勘、收集有关工程及周边环境资料，委托环境现状监测、工程分析的基础上</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val="en-US" w:eastAsia="zh-CN" w:bidi="ar"/>
        </w:rPr>
        <w:t>在建设单位和其他相关部门的大力协助下</w:t>
      </w:r>
      <w:r>
        <w:rPr>
          <w:rFonts w:ascii="Times New Roman" w:hAnsi="Times New Roman" w:cs="Times New Roman"/>
          <w:color w:val="auto"/>
          <w:kern w:val="0"/>
          <w:sz w:val="24"/>
          <w:szCs w:val="24"/>
          <w:highlight w:val="none"/>
          <w:lang w:bidi="ar"/>
        </w:rPr>
        <w:t>编制了《</w:t>
      </w:r>
      <w:r>
        <w:rPr>
          <w:rFonts w:hint="default" w:ascii="Times New Roman" w:hAnsi="Times New Roman" w:eastAsia="宋体" w:cs="Times New Roman"/>
          <w:color w:val="auto"/>
          <w:sz w:val="24"/>
          <w:szCs w:val="24"/>
          <w:highlight w:val="none"/>
        </w:rPr>
        <w:t>衡阳市</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美丽湘江</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项目</w:t>
      </w:r>
      <w:r>
        <w:rPr>
          <w:rStyle w:val="27"/>
          <w:rFonts w:ascii="Times New Roman" w:hAnsi="Times New Roman" w:cs="Times New Roman"/>
          <w:color w:val="auto"/>
          <w:kern w:val="0"/>
          <w:sz w:val="24"/>
          <w:szCs w:val="24"/>
          <w:highlight w:val="none"/>
        </w:rPr>
        <w:t>环境影响报告</w:t>
      </w:r>
      <w:r>
        <w:rPr>
          <w:rStyle w:val="27"/>
          <w:rFonts w:hint="default" w:ascii="Times New Roman" w:hAnsi="Times New Roman" w:cs="Times New Roman"/>
          <w:color w:val="auto"/>
          <w:kern w:val="0"/>
          <w:sz w:val="24"/>
          <w:szCs w:val="24"/>
          <w:highlight w:val="none"/>
          <w:lang w:val="en-US" w:eastAsia="zh-CN"/>
        </w:rPr>
        <w:t>书</w:t>
      </w:r>
      <w:r>
        <w:rPr>
          <w:rFonts w:ascii="Times New Roman" w:hAnsi="Times New Roman" w:cs="Times New Roman"/>
          <w:color w:val="auto"/>
          <w:kern w:val="0"/>
          <w:sz w:val="24"/>
          <w:szCs w:val="24"/>
          <w:highlight w:val="none"/>
          <w:lang w:bidi="ar"/>
        </w:rPr>
        <w:t>》。</w:t>
      </w:r>
    </w:p>
    <w:p>
      <w:pPr>
        <w:pStyle w:val="21"/>
        <w:keepLines w:val="0"/>
        <w:pageBreakBefore w:val="0"/>
        <w:widowControl w:val="0"/>
        <w:kinsoku/>
        <w:wordWrap/>
        <w:overflowPunct/>
        <w:topLinePunct w:val="0"/>
        <w:bidi w:val="0"/>
        <w:ind w:left="0" w:leftChars="0" w:firstLine="0" w:firstLineChars="0"/>
        <w:jc w:val="center"/>
        <w:rPr>
          <w:rFonts w:ascii="Times New Roman" w:hAnsi="Times New Roman" w:cs="Times New Roman"/>
          <w:color w:val="auto"/>
          <w:highlight w:val="none"/>
        </w:rPr>
      </w:pPr>
      <w:r>
        <w:rPr>
          <w:rFonts w:hint="default" w:ascii="Times New Roman" w:hAnsi="Times New Roman" w:eastAsia="仿宋" w:cs="Times New Roman"/>
          <w:color w:val="auto"/>
          <w:highlight w:val="none"/>
        </w:rPr>
        <w:drawing>
          <wp:inline distT="0" distB="0" distL="114300" distR="114300">
            <wp:extent cx="5556885" cy="3582035"/>
            <wp:effectExtent l="0" t="0" r="5715" b="184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9"/>
                    <a:stretch>
                      <a:fillRect/>
                    </a:stretch>
                  </pic:blipFill>
                  <pic:spPr>
                    <a:xfrm>
                      <a:off x="0" y="0"/>
                      <a:ext cx="5556885" cy="3582035"/>
                    </a:xfrm>
                    <a:prstGeom prst="rect">
                      <a:avLst/>
                    </a:prstGeom>
                    <a:noFill/>
                    <a:ln>
                      <a:noFill/>
                    </a:ln>
                  </pic:spPr>
                </pic:pic>
              </a:graphicData>
            </a:graphic>
          </wp:inline>
        </w:drawing>
      </w:r>
    </w:p>
    <w:p>
      <w:pPr>
        <w:pStyle w:val="21"/>
        <w:keepLines w:val="0"/>
        <w:pageBreakBefore w:val="0"/>
        <w:widowControl w:val="0"/>
        <w:kinsoku/>
        <w:wordWrap/>
        <w:overflowPunct/>
        <w:topLinePunct w:val="0"/>
        <w:bidi w:val="0"/>
        <w:ind w:left="0" w:leftChars="0" w:firstLine="0" w:firstLineChars="0"/>
        <w:jc w:val="center"/>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cs="Times New Roman"/>
          <w:b/>
          <w:bCs/>
          <w:color w:val="auto"/>
          <w:sz w:val="24"/>
          <w:szCs w:val="32"/>
          <w:highlight w:val="none"/>
          <w:lang w:val="en-US" w:eastAsia="zh-CN"/>
        </w:rPr>
        <w:t>图1.1-1项目具体位置图</w:t>
      </w:r>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cs="Times New Roman"/>
          <w:b/>
          <w:bCs/>
          <w:color w:val="auto"/>
          <w:kern w:val="0"/>
          <w:sz w:val="30"/>
          <w:szCs w:val="30"/>
          <w:highlight w:val="none"/>
        </w:rPr>
      </w:pPr>
      <w:bookmarkStart w:id="16" w:name="_Toc24114"/>
      <w:bookmarkStart w:id="17" w:name="_Toc23368"/>
      <w:bookmarkStart w:id="18" w:name="_Toc148904229"/>
      <w:r>
        <w:rPr>
          <w:rFonts w:hint="default" w:ascii="Times New Roman" w:hAnsi="Times New Roman" w:eastAsia="宋体" w:cs="Times New Roman"/>
          <w:b/>
          <w:bCs/>
          <w:color w:val="auto"/>
          <w:kern w:val="0"/>
          <w:sz w:val="30"/>
          <w:szCs w:val="30"/>
          <w:highlight w:val="none"/>
        </w:rPr>
        <w:t>项目</w:t>
      </w:r>
      <w:r>
        <w:rPr>
          <w:rFonts w:hint="default" w:cs="Times New Roman"/>
          <w:b/>
          <w:bCs/>
          <w:color w:val="auto"/>
          <w:kern w:val="0"/>
          <w:sz w:val="30"/>
          <w:szCs w:val="30"/>
          <w:highlight w:val="none"/>
          <w:lang w:val="en-US" w:eastAsia="zh-CN"/>
        </w:rPr>
        <w:t>主要</w:t>
      </w:r>
      <w:r>
        <w:rPr>
          <w:rFonts w:hint="default" w:cs="Times New Roman"/>
          <w:b/>
          <w:bCs/>
          <w:color w:val="auto"/>
          <w:kern w:val="0"/>
          <w:sz w:val="30"/>
          <w:szCs w:val="30"/>
          <w:highlight w:val="none"/>
        </w:rPr>
        <w:t>特点</w:t>
      </w:r>
      <w:bookmarkEnd w:id="16"/>
      <w:bookmarkEnd w:id="17"/>
      <w:bookmarkEnd w:id="18"/>
    </w:p>
    <w:p>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（1）本项目风光带（龙家坪路-冶金中路）整治工程位于衡阳市珠晖区，北起龙家坪路，南至冶金中路，总长度约650m，风光带整治具体内容为规划范围内防洪堤加固、岸坡整治、抛石护岸、亲水平台</w:t>
      </w:r>
      <w:r>
        <w:rPr>
          <w:rFonts w:hint="eastAsia" w:cs="Times New Roman"/>
          <w:color w:val="auto"/>
          <w:sz w:val="24"/>
          <w:highlight w:val="none"/>
          <w:lang w:val="en-US" w:eastAsia="zh-CN"/>
        </w:rPr>
        <w:t>（不涉水）</w:t>
      </w:r>
      <w:r>
        <w:rPr>
          <w:rFonts w:hint="default" w:ascii="Times New Roman" w:hAnsi="Times New Roman" w:eastAsia="宋体" w:cs="Times New Roman"/>
          <w:color w:val="auto"/>
          <w:sz w:val="24"/>
          <w:highlight w:val="none"/>
          <w:lang w:val="en-US" w:eastAsia="zh-CN"/>
        </w:rPr>
        <w:t>、栈道、游步道及景观建设等。</w:t>
      </w:r>
    </w:p>
    <w:p>
      <w:pPr>
        <w:keepLines w:val="0"/>
        <w:pageBreakBefore w:val="0"/>
        <w:widowControl w:val="0"/>
        <w:kinsoku/>
        <w:wordWrap/>
        <w:overflowPunct/>
        <w:topLinePunct w:val="0"/>
        <w:bidi w:val="0"/>
        <w:snapToGrid w:val="0"/>
        <w:spacing w:line="360" w:lineRule="auto"/>
        <w:ind w:firstLine="480" w:firstLineChars="200"/>
        <w:rPr>
          <w:rFonts w:hint="default"/>
          <w:color w:val="auto"/>
          <w:lang w:val="en-US" w:eastAsia="zh-CN"/>
        </w:rPr>
      </w:pPr>
      <w:r>
        <w:rPr>
          <w:rFonts w:hint="default" w:ascii="Times New Roman" w:hAnsi="Times New Roman" w:eastAsia="宋体" w:cs="Times New Roman"/>
          <w:color w:val="auto"/>
          <w:sz w:val="24"/>
          <w:highlight w:val="none"/>
          <w:lang w:val="en-US" w:eastAsia="zh-CN"/>
        </w:rPr>
        <w:t>（2）本工程不涉及拆迁，工程占地涉及珠晖区、雁峰区，永久占地3.93hm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，临时占地0.95hm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w:t>
      </w:r>
    </w:p>
    <w:p>
      <w:pPr>
        <w:keepLines w:val="0"/>
        <w:pageBreakBefore w:val="0"/>
        <w:widowControl w:val="0"/>
        <w:kinsoku/>
        <w:wordWrap/>
        <w:overflowPunct/>
        <w:topLinePunct w:val="0"/>
        <w:bidi w:val="0"/>
        <w:snapToGrid w:val="0"/>
        <w:spacing w:line="360" w:lineRule="auto"/>
        <w:ind w:firstLine="480" w:firstLineChars="200"/>
        <w:rPr>
          <w:rFonts w:hint="default"/>
          <w:color w:val="auto"/>
          <w:sz w:val="24"/>
          <w:highlight w:val="none"/>
          <w:lang w:val="en-US" w:eastAsia="zh-CN"/>
        </w:rPr>
      </w:pPr>
      <w:r>
        <w:rPr>
          <w:rFonts w:hint="default"/>
          <w:color w:val="auto"/>
          <w:sz w:val="24"/>
          <w:highlight w:val="none"/>
          <w:lang w:val="en-US" w:eastAsia="zh-CN"/>
        </w:rPr>
        <w:t>（3）本项目位于湘江东岸及东洲岛范围，项目周边有衡阳市江东水厂、城南水厂及城北水厂3个饮用水源保护区。</w:t>
      </w:r>
    </w:p>
    <w:p>
      <w:pPr>
        <w:keepLines w:val="0"/>
        <w:pageBreakBefore w:val="0"/>
        <w:widowControl w:val="0"/>
        <w:kinsoku/>
        <w:wordWrap/>
        <w:overflowPunct/>
        <w:topLinePunct w:val="0"/>
        <w:bidi w:val="0"/>
        <w:snapToGrid w:val="0"/>
        <w:spacing w:line="360" w:lineRule="auto"/>
        <w:ind w:firstLine="480" w:firstLineChars="200"/>
        <w:rPr>
          <w:rFonts w:hint="default"/>
          <w:color w:val="auto"/>
          <w:sz w:val="24"/>
          <w:highlight w:val="none"/>
          <w:lang w:val="en-US" w:eastAsia="zh-CN"/>
        </w:rPr>
      </w:pPr>
      <w:r>
        <w:rPr>
          <w:rFonts w:hint="default"/>
          <w:color w:val="auto"/>
          <w:sz w:val="24"/>
          <w:highlight w:val="none"/>
          <w:lang w:val="en-US" w:eastAsia="zh-CN"/>
        </w:rPr>
        <w:t>（4）项目位于湘江四大家鱼水产种质资源保护区核心区，位于</w:t>
      </w:r>
      <w:r>
        <w:rPr>
          <w:rFonts w:hint="eastAsia"/>
          <w:color w:val="auto"/>
          <w:sz w:val="24"/>
          <w:highlight w:val="none"/>
          <w:lang w:val="en-US" w:eastAsia="zh-CN"/>
        </w:rPr>
        <w:t>“</w:t>
      </w:r>
      <w:r>
        <w:rPr>
          <w:rFonts w:hint="default"/>
          <w:color w:val="auto"/>
          <w:sz w:val="24"/>
          <w:highlight w:val="none"/>
          <w:lang w:val="en-US" w:eastAsia="zh-CN"/>
        </w:rPr>
        <w:t>四大家鱼</w:t>
      </w:r>
      <w:r>
        <w:rPr>
          <w:rFonts w:hint="eastAsia"/>
          <w:color w:val="auto"/>
          <w:sz w:val="24"/>
          <w:highlight w:val="none"/>
          <w:lang w:val="en-US" w:eastAsia="zh-CN"/>
        </w:rPr>
        <w:t>”</w:t>
      </w:r>
      <w:r>
        <w:rPr>
          <w:rFonts w:hint="default"/>
          <w:color w:val="auto"/>
          <w:sz w:val="24"/>
          <w:highlight w:val="none"/>
          <w:lang w:val="en-US" w:eastAsia="zh-CN"/>
        </w:rPr>
        <w:t>产卵场下游，距离上游柏枋-大渔湾-松柏</w:t>
      </w:r>
      <w:r>
        <w:rPr>
          <w:rFonts w:hint="eastAsia"/>
          <w:color w:val="auto"/>
          <w:sz w:val="24"/>
          <w:highlight w:val="none"/>
          <w:lang w:val="en-US" w:eastAsia="zh-CN"/>
        </w:rPr>
        <w:t>“</w:t>
      </w:r>
      <w:r>
        <w:rPr>
          <w:rFonts w:hint="default"/>
          <w:color w:val="auto"/>
          <w:sz w:val="24"/>
          <w:highlight w:val="none"/>
          <w:lang w:val="en-US" w:eastAsia="zh-CN"/>
        </w:rPr>
        <w:t>四大家鱼</w:t>
      </w:r>
      <w:r>
        <w:rPr>
          <w:rFonts w:hint="eastAsia"/>
          <w:color w:val="auto"/>
          <w:sz w:val="24"/>
          <w:highlight w:val="none"/>
          <w:lang w:val="en-US" w:eastAsia="zh-CN"/>
        </w:rPr>
        <w:t>”</w:t>
      </w:r>
      <w:r>
        <w:rPr>
          <w:rFonts w:hint="default"/>
          <w:color w:val="auto"/>
          <w:sz w:val="24"/>
          <w:highlight w:val="none"/>
          <w:lang w:val="en-US" w:eastAsia="zh-CN"/>
        </w:rPr>
        <w:t>产卵场约59km，距离上游衡南从洲-云集-车江</w:t>
      </w:r>
      <w:r>
        <w:rPr>
          <w:rFonts w:hint="eastAsia"/>
          <w:color w:val="auto"/>
          <w:sz w:val="24"/>
          <w:highlight w:val="none"/>
          <w:lang w:val="en-US" w:eastAsia="zh-CN"/>
        </w:rPr>
        <w:t>“</w:t>
      </w:r>
      <w:r>
        <w:rPr>
          <w:rFonts w:hint="default"/>
          <w:color w:val="auto"/>
          <w:sz w:val="24"/>
          <w:highlight w:val="none"/>
          <w:lang w:val="en-US" w:eastAsia="zh-CN"/>
        </w:rPr>
        <w:t>四大家鱼</w:t>
      </w:r>
      <w:r>
        <w:rPr>
          <w:rFonts w:hint="eastAsia"/>
          <w:color w:val="auto"/>
          <w:sz w:val="24"/>
          <w:highlight w:val="none"/>
          <w:lang w:val="en-US" w:eastAsia="zh-CN"/>
        </w:rPr>
        <w:t>”</w:t>
      </w:r>
      <w:r>
        <w:rPr>
          <w:rFonts w:hint="default"/>
          <w:color w:val="auto"/>
          <w:sz w:val="24"/>
          <w:highlight w:val="none"/>
          <w:lang w:val="en-US" w:eastAsia="zh-CN"/>
        </w:rPr>
        <w:t>产卵场约1</w:t>
      </w:r>
      <w:r>
        <w:rPr>
          <w:rFonts w:hint="eastAsia"/>
          <w:color w:val="auto"/>
          <w:sz w:val="24"/>
          <w:highlight w:val="none"/>
          <w:lang w:val="en-US" w:eastAsia="zh-CN"/>
        </w:rPr>
        <w:t>8</w:t>
      </w:r>
      <w:r>
        <w:rPr>
          <w:rFonts w:hint="default"/>
          <w:color w:val="auto"/>
          <w:sz w:val="24"/>
          <w:highlight w:val="none"/>
          <w:lang w:val="en-US" w:eastAsia="zh-CN"/>
        </w:rPr>
        <w:t>km。</w:t>
      </w:r>
    </w:p>
    <w:p>
      <w:pPr>
        <w:keepLines w:val="0"/>
        <w:pageBreakBefore w:val="0"/>
        <w:widowControl w:val="0"/>
        <w:numPr>
          <w:ilvl w:val="0"/>
          <w:numId w:val="0"/>
        </w:numPr>
        <w:kinsoku/>
        <w:wordWrap/>
        <w:overflowPunct/>
        <w:topLinePunct w:val="0"/>
        <w:bidi w:val="0"/>
        <w:snapToGrid w:val="0"/>
        <w:spacing w:line="360" w:lineRule="auto"/>
        <w:ind w:firstLine="480" w:firstLineChars="200"/>
        <w:rPr>
          <w:rFonts w:hint="default"/>
          <w:color w:val="auto"/>
          <w:sz w:val="24"/>
          <w:highlight w:val="none"/>
          <w:lang w:val="en-US" w:eastAsia="zh-CN"/>
        </w:rPr>
      </w:pPr>
      <w:r>
        <w:rPr>
          <w:rFonts w:hint="default"/>
          <w:color w:val="auto"/>
          <w:sz w:val="24"/>
          <w:highlight w:val="none"/>
          <w:lang w:val="en-US" w:eastAsia="zh-CN"/>
        </w:rPr>
        <w:t xml:space="preserve">（5）本项目为生态类项目。对环境的不利影响主要发生在施工期，表现在建设工程对土地的占用、对植被的破坏、引发水土流失等生态环境和景观的影响，施工扬尘、施工机械尾气对空气环境的影响，施工运输车辆行驶噪声、施工机械噪声对沿线声环境的影响，以及施工期固体废物的影响。经采取必要的施工期环保措施和管理措施后，项目施工期影响可以得到有效控制和消减。工程运营期对周围环境污染很小。 </w:t>
      </w:r>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cs="Times New Roman"/>
          <w:b/>
          <w:bCs/>
          <w:color w:val="auto"/>
          <w:kern w:val="0"/>
          <w:sz w:val="30"/>
          <w:szCs w:val="30"/>
          <w:highlight w:val="none"/>
        </w:rPr>
      </w:pPr>
      <w:bookmarkStart w:id="19" w:name="_Toc17178"/>
      <w:bookmarkStart w:id="20" w:name="_Toc19321"/>
      <w:bookmarkStart w:id="21" w:name="_Toc148904230"/>
      <w:r>
        <w:rPr>
          <w:rFonts w:hint="default" w:cs="Times New Roman"/>
          <w:b/>
          <w:bCs/>
          <w:color w:val="auto"/>
          <w:kern w:val="0"/>
          <w:sz w:val="30"/>
          <w:szCs w:val="30"/>
          <w:highlight w:val="none"/>
        </w:rPr>
        <w:t>环境影响评价过程</w:t>
      </w:r>
      <w:bookmarkEnd w:id="19"/>
      <w:bookmarkEnd w:id="20"/>
      <w:bookmarkEnd w:id="21"/>
    </w:p>
    <w:p>
      <w:pPr>
        <w:keepLines w:val="0"/>
        <w:pageBreakBefore w:val="0"/>
        <w:widowControl w:val="0"/>
        <w:kinsoku/>
        <w:wordWrap/>
        <w:overflowPunct/>
        <w:topLinePunct w:val="0"/>
        <w:bidi w:val="0"/>
        <w:spacing w:line="360" w:lineRule="auto"/>
        <w:ind w:firstLine="480" w:firstLineChars="200"/>
        <w:rPr>
          <w:color w:val="auto"/>
          <w:sz w:val="24"/>
          <w:highlight w:val="none"/>
        </w:rPr>
      </w:pPr>
      <w:r>
        <w:rPr>
          <w:rFonts w:hint="default"/>
          <w:color w:val="auto"/>
          <w:sz w:val="24"/>
          <w:szCs w:val="20"/>
          <w:highlight w:val="none"/>
          <w:lang w:val="en-US" w:eastAsia="zh-CN"/>
        </w:rPr>
        <w:t>本次环境影响评价工作分为三个阶段</w:t>
      </w:r>
      <w:r>
        <w:rPr>
          <w:color w:val="auto"/>
          <w:sz w:val="24"/>
          <w:szCs w:val="20"/>
          <w:highlight w:val="none"/>
        </w:rPr>
        <w:t>。</w:t>
      </w:r>
      <w:r>
        <w:rPr>
          <w:rFonts w:hint="default"/>
          <w:color w:val="auto"/>
          <w:sz w:val="24"/>
          <w:szCs w:val="20"/>
          <w:highlight w:val="none"/>
          <w:lang w:val="en-US" w:eastAsia="zh-CN"/>
        </w:rPr>
        <w:t>即前期准备、调研和工作方案阶段，分析论证和预测评价阶段，环境影响评价文件编制阶段</w:t>
      </w:r>
      <w:r>
        <w:rPr>
          <w:rFonts w:hint="default"/>
          <w:color w:val="auto"/>
          <w:sz w:val="24"/>
          <w:szCs w:val="20"/>
          <w:highlight w:val="none"/>
          <w:lang w:eastAsia="zh-CN"/>
        </w:rPr>
        <w:t>。</w:t>
      </w:r>
      <w:r>
        <w:rPr>
          <w:rFonts w:hint="default"/>
          <w:color w:val="auto"/>
          <w:sz w:val="24"/>
          <w:szCs w:val="20"/>
          <w:highlight w:val="none"/>
          <w:lang w:val="en-US" w:eastAsia="zh-CN"/>
        </w:rPr>
        <w:t>具体工作过程见</w:t>
      </w:r>
      <w:r>
        <w:rPr>
          <w:color w:val="auto"/>
          <w:sz w:val="24"/>
          <w:szCs w:val="20"/>
          <w:highlight w:val="none"/>
        </w:rPr>
        <w:t>图</w:t>
      </w:r>
      <w:r>
        <w:rPr>
          <w:rFonts w:hint="default"/>
          <w:color w:val="auto"/>
          <w:sz w:val="24"/>
          <w:szCs w:val="20"/>
          <w:highlight w:val="none"/>
          <w:lang w:val="en-US" w:eastAsia="zh-CN"/>
        </w:rPr>
        <w:t>1.3-1</w:t>
      </w:r>
      <w:r>
        <w:rPr>
          <w:color w:val="auto"/>
          <w:sz w:val="24"/>
          <w:szCs w:val="20"/>
          <w:highlight w:val="none"/>
        </w:rPr>
        <w:t>。</w:t>
      </w:r>
    </w:p>
    <w:p>
      <w:pPr>
        <w:keepLines w:val="0"/>
        <w:pageBreakBefore w:val="0"/>
        <w:widowControl w:val="0"/>
        <w:kinsoku/>
        <w:wordWrap/>
        <w:overflowPunct/>
        <w:topLinePunct w:val="0"/>
        <w:bidi w:val="0"/>
        <w:spacing w:line="360" w:lineRule="auto"/>
        <w:rPr>
          <w:rFonts w:hint="default" w:ascii="Times New Roman" w:hAnsi="Times New Roman"/>
          <w:color w:val="auto"/>
          <w:sz w:val="24"/>
          <w:szCs w:val="20"/>
          <w:highlight w:val="none"/>
        </w:rPr>
      </w:pPr>
      <w:r>
        <w:rPr>
          <w:rFonts w:ascii="Times New Roman" w:hAnsi="Times New Roman"/>
          <w:color w:val="auto"/>
          <w:sz w:val="24"/>
          <w:szCs w:val="20"/>
          <w:highlight w:val="none"/>
        </w:rPr>
        <w:drawing>
          <wp:inline distT="0" distB="0" distL="114300" distR="114300">
            <wp:extent cx="5927090" cy="6263640"/>
            <wp:effectExtent l="0" t="0" r="1651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rcRect l="1413" t="1199" r="3556"/>
                    <a:stretch>
                      <a:fillRect/>
                    </a:stretch>
                  </pic:blipFill>
                  <pic:spPr>
                    <a:xfrm>
                      <a:off x="0" y="0"/>
                      <a:ext cx="5927090" cy="6263640"/>
                    </a:xfrm>
                    <a:prstGeom prst="rect">
                      <a:avLst/>
                    </a:prstGeom>
                    <a:noFill/>
                    <a:ln>
                      <a:noFill/>
                    </a:ln>
                  </pic:spPr>
                </pic:pic>
              </a:graphicData>
            </a:graphic>
          </wp:inline>
        </w:drawing>
      </w:r>
    </w:p>
    <w:p>
      <w:pPr>
        <w:keepLines w:val="0"/>
        <w:pageBreakBefore w:val="0"/>
        <w:widowControl w:val="0"/>
        <w:kinsoku/>
        <w:wordWrap/>
        <w:overflowPunct/>
        <w:topLinePunct w:val="0"/>
        <w:bidi w:val="0"/>
        <w:snapToGrid w:val="0"/>
        <w:jc w:val="center"/>
        <w:rPr>
          <w:b/>
          <w:color w:val="auto"/>
          <w:sz w:val="24"/>
          <w:highlight w:val="none"/>
        </w:rPr>
      </w:pPr>
      <w:r>
        <w:rPr>
          <w:b/>
          <w:color w:val="auto"/>
          <w:sz w:val="24"/>
          <w:highlight w:val="none"/>
        </w:rPr>
        <w:t>图1.</w:t>
      </w:r>
      <w:r>
        <w:rPr>
          <w:rFonts w:hint="default"/>
          <w:b/>
          <w:color w:val="auto"/>
          <w:sz w:val="24"/>
          <w:highlight w:val="none"/>
        </w:rPr>
        <w:t>3</w:t>
      </w:r>
      <w:r>
        <w:rPr>
          <w:b/>
          <w:color w:val="auto"/>
          <w:sz w:val="24"/>
          <w:highlight w:val="none"/>
        </w:rPr>
        <w:t>-1环境影响评价程序图</w:t>
      </w:r>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cs="Times New Roman"/>
          <w:b/>
          <w:bCs/>
          <w:color w:val="auto"/>
          <w:kern w:val="0"/>
          <w:sz w:val="30"/>
          <w:szCs w:val="30"/>
          <w:highlight w:val="none"/>
        </w:rPr>
      </w:pPr>
      <w:bookmarkStart w:id="22" w:name="_Toc32292"/>
      <w:r>
        <w:rPr>
          <w:rFonts w:hint="default" w:cs="Times New Roman"/>
          <w:b/>
          <w:bCs/>
          <w:color w:val="auto"/>
          <w:kern w:val="0"/>
          <w:sz w:val="30"/>
          <w:szCs w:val="30"/>
          <w:highlight w:val="none"/>
          <w:lang w:val="en-US" w:eastAsia="zh-CN"/>
        </w:rPr>
        <w:t>关注的主要环境问题</w:t>
      </w:r>
      <w:bookmarkEnd w:id="22"/>
    </w:p>
    <w:p>
      <w:pPr>
        <w:keepLines w:val="0"/>
        <w:pageBreakBefore w:val="0"/>
        <w:widowControl w:val="0"/>
        <w:kinsoku/>
        <w:wordWrap/>
        <w:overflowPunct/>
        <w:topLinePunct w:val="0"/>
        <w:bidi w:val="0"/>
        <w:snapToGrid w:val="0"/>
        <w:spacing w:line="360" w:lineRule="auto"/>
        <w:ind w:firstLine="480" w:firstLineChars="200"/>
        <w:rPr>
          <w:rFonts w:hint="default"/>
          <w:color w:val="auto"/>
          <w:sz w:val="24"/>
          <w:highlight w:val="none"/>
          <w:u w:val="none"/>
          <w:lang w:val="en-US" w:eastAsia="zh-CN"/>
        </w:rPr>
      </w:pPr>
      <w:r>
        <w:rPr>
          <w:rFonts w:hint="default"/>
          <w:color w:val="auto"/>
          <w:sz w:val="24"/>
          <w:highlight w:val="none"/>
          <w:u w:val="none"/>
          <w:lang w:val="en-US" w:eastAsia="zh-CN"/>
        </w:rPr>
        <w:t>根据本项目工程特点及周边环境特点，关注的主要问题为：</w:t>
      </w:r>
    </w:p>
    <w:p>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bookmarkStart w:id="23" w:name="_Toc9840"/>
      <w:bookmarkStart w:id="24" w:name="_Toc148904231"/>
      <w:r>
        <w:rPr>
          <w:rFonts w:hint="default" w:ascii="Times New Roman" w:hAnsi="Times New Roman" w:eastAsia="宋体" w:cs="Times New Roman"/>
          <w:color w:val="auto"/>
          <w:sz w:val="24"/>
          <w:highlight w:val="none"/>
          <w:u w:val="none"/>
          <w:lang w:val="en-US" w:eastAsia="zh-CN"/>
        </w:rPr>
        <w:t>（1）本项目评价范围内涉及湘江衡阳段国家级水产种质资源保护区核心区和湘江饮用水水源保护区二级陆域和二级水域，施工及营运期会对生态环境造成一定的不利影响。环评重点分析工程与生态敏感目标的位置关系以及工程施工对其影响。</w:t>
      </w:r>
    </w:p>
    <w:p>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（2）抛石护岸工程施工过程中扰动底泥，引起泥沙悬浮，使施工区域水体中悬浮物增加，对河流水质产生影响，需关注施工期地表水影响。</w:t>
      </w:r>
    </w:p>
    <w:p>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（3）根据以上关注的环境问题，提出切实有效的施工期环保、风险防范对策措施。</w:t>
      </w:r>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eastAsia="宋体" w:cs="Times New Roman"/>
          <w:b/>
          <w:bCs/>
          <w:color w:val="auto"/>
          <w:kern w:val="0"/>
          <w:sz w:val="30"/>
          <w:szCs w:val="30"/>
          <w:highlight w:val="none"/>
          <w:lang w:val="en-US" w:eastAsia="zh-CN"/>
        </w:rPr>
      </w:pPr>
      <w:bookmarkStart w:id="25" w:name="_Toc21010"/>
      <w:r>
        <w:rPr>
          <w:rFonts w:hint="default" w:eastAsia="宋体" w:cs="Times New Roman"/>
          <w:b/>
          <w:bCs/>
          <w:color w:val="auto"/>
          <w:kern w:val="0"/>
          <w:sz w:val="30"/>
          <w:szCs w:val="30"/>
          <w:highlight w:val="none"/>
          <w:lang w:val="en-US" w:eastAsia="zh-CN"/>
        </w:rPr>
        <w:t>分析判定相关情况</w:t>
      </w:r>
      <w:bookmarkEnd w:id="23"/>
      <w:bookmarkEnd w:id="24"/>
      <w:bookmarkEnd w:id="25"/>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1.5.1与产业</w:t>
      </w:r>
      <w:r>
        <w:rPr>
          <w:rFonts w:hint="default" w:ascii="Times New Roman" w:hAnsi="Times New Roman" w:eastAsia="宋体" w:cs="Times New Roman"/>
          <w:b/>
          <w:bCs/>
          <w:color w:val="auto"/>
          <w:kern w:val="0"/>
          <w:sz w:val="28"/>
          <w:szCs w:val="28"/>
          <w:highlight w:val="none"/>
          <w:lang w:val="en-US" w:eastAsia="zh-CN"/>
        </w:rPr>
        <w:t>政策</w:t>
      </w:r>
      <w:r>
        <w:rPr>
          <w:rFonts w:hint="default" w:cs="Times New Roman"/>
          <w:b/>
          <w:bCs/>
          <w:color w:val="auto"/>
          <w:kern w:val="0"/>
          <w:sz w:val="28"/>
          <w:szCs w:val="28"/>
          <w:highlight w:val="none"/>
          <w:lang w:val="en-US" w:eastAsia="zh-CN"/>
        </w:rPr>
        <w:t>相符性</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1.5.1.1与《产业结构调整指导目录（2024年本）》符合性分析</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eastAsia="宋体"/>
          <w:color w:val="auto"/>
          <w:sz w:val="24"/>
          <w:highlight w:val="none"/>
          <w:u w:val="none"/>
          <w:lang w:val="en-US" w:eastAsia="zh-CN"/>
        </w:rPr>
        <w:t>本项目</w:t>
      </w:r>
      <w:r>
        <w:rPr>
          <w:rFonts w:hint="default"/>
          <w:color w:val="auto"/>
          <w:sz w:val="24"/>
          <w:highlight w:val="none"/>
          <w:u w:val="none"/>
          <w:lang w:val="en-US" w:eastAsia="zh-CN"/>
        </w:rPr>
        <w:t>风光带整治工程属于水利工程中的河道整治，包括堤防护坡护岸、岸坡整治等，属于《</w:t>
      </w:r>
      <w:r>
        <w:rPr>
          <w:rFonts w:hint="default" w:eastAsia="宋体"/>
          <w:color w:val="auto"/>
          <w:sz w:val="24"/>
          <w:highlight w:val="none"/>
          <w:u w:val="none"/>
          <w:lang w:val="en-US" w:eastAsia="zh-CN"/>
        </w:rPr>
        <w:t>产业结构调整指导目录（2024年本）</w:t>
      </w:r>
      <w:r>
        <w:rPr>
          <w:rFonts w:hint="default"/>
          <w:color w:val="auto"/>
          <w:sz w:val="24"/>
          <w:highlight w:val="none"/>
          <w:u w:val="none"/>
          <w:lang w:val="en-US" w:eastAsia="zh-CN"/>
        </w:rPr>
        <w:t>》</w:t>
      </w:r>
      <w:r>
        <w:rPr>
          <w:rFonts w:hint="default" w:eastAsia="宋体"/>
          <w:color w:val="auto"/>
          <w:sz w:val="24"/>
          <w:highlight w:val="none"/>
          <w:u w:val="none"/>
          <w:lang w:val="en-US" w:eastAsia="zh-CN"/>
        </w:rPr>
        <w:t>中</w:t>
      </w:r>
      <w:r>
        <w:rPr>
          <w:rFonts w:hint="default" w:ascii="Times New Roman" w:hAnsi="Times New Roman" w:eastAsia="宋体" w:cs="Times New Roman"/>
          <w:color w:val="auto"/>
          <w:sz w:val="24"/>
          <w:szCs w:val="24"/>
          <w:highlight w:val="none"/>
        </w:rPr>
        <w:t>鼓励类</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二、水利1、江河湖海堤防建设及河道治理工程</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故本项目建设符合国家产业政策。</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1.5.1.2与《湖南省长江经济带发展负面清单实施细则（试行）》（2022年版）符合性分析</w:t>
      </w:r>
    </w:p>
    <w:p>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4"/>
          <w:highlight w:val="none"/>
          <w:lang w:val="zh-CN" w:eastAsia="zh-CN"/>
        </w:rPr>
      </w:pPr>
      <w:r>
        <w:rPr>
          <w:rFonts w:hint="default" w:ascii="Times New Roman" w:hAnsi="Times New Roman" w:eastAsia="宋体" w:cs="Times New Roman"/>
          <w:b/>
          <w:color w:val="auto"/>
          <w:sz w:val="24"/>
          <w:highlight w:val="none"/>
          <w:lang w:val="zh-CN" w:eastAsia="zh-CN"/>
        </w:rPr>
        <w:t>表</w:t>
      </w:r>
      <w:r>
        <w:rPr>
          <w:rFonts w:hint="default" w:ascii="Times New Roman" w:hAnsi="Times New Roman" w:eastAsia="宋体" w:cs="Times New Roman"/>
          <w:b/>
          <w:color w:val="auto"/>
          <w:sz w:val="24"/>
          <w:highlight w:val="none"/>
          <w:lang w:val="en-US" w:eastAsia="zh-CN"/>
        </w:rPr>
        <w:t>1.5-1</w:t>
      </w:r>
      <w:r>
        <w:rPr>
          <w:rFonts w:hint="default" w:cs="Times New Roman"/>
          <w:b/>
          <w:color w:val="auto"/>
          <w:sz w:val="24"/>
          <w:highlight w:val="none"/>
          <w:lang w:val="en-US" w:eastAsia="zh-CN"/>
        </w:rPr>
        <w:t xml:space="preserve">  </w:t>
      </w:r>
      <w:r>
        <w:rPr>
          <w:rFonts w:hint="default" w:ascii="Times New Roman" w:hAnsi="Times New Roman" w:eastAsia="宋体" w:cs="Times New Roman"/>
          <w:b/>
          <w:color w:val="auto"/>
          <w:sz w:val="24"/>
          <w:highlight w:val="none"/>
          <w:lang w:val="zh-CN" w:eastAsia="zh-CN"/>
        </w:rPr>
        <w:t>与《湖南省长江经济带发展负面清单实施细则》符合性分析</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0"/>
        <w:gridCol w:w="4996"/>
        <w:gridCol w:w="2597"/>
        <w:gridCol w:w="9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序号</w:t>
            </w:r>
          </w:p>
        </w:tc>
        <w:tc>
          <w:tcPr>
            <w:tcW w:w="4584"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长江经济带发展负面清单实施细则</w:t>
            </w:r>
          </w:p>
        </w:tc>
        <w:tc>
          <w:tcPr>
            <w:tcW w:w="2383" w:type="dxa"/>
            <w:noWrap w:val="0"/>
            <w:vAlign w:val="center"/>
          </w:tcPr>
          <w:p>
            <w:pPr>
              <w:adjustRightInd/>
              <w:spacing w:line="240" w:lineRule="atLeast"/>
              <w:ind w:firstLine="0" w:firstLineChars="0"/>
              <w:jc w:val="center"/>
              <w:rPr>
                <w:rFonts w:hint="default" w:ascii="Times New Roman" w:hAnsi="Times New Roman" w:eastAsia="宋体"/>
                <w:color w:val="auto"/>
                <w:sz w:val="21"/>
                <w:szCs w:val="21"/>
                <w:highlight w:val="none"/>
                <w:lang w:val="en-US" w:eastAsia="zh-CN"/>
              </w:rPr>
            </w:pPr>
            <w:r>
              <w:rPr>
                <w:rFonts w:hint="default" w:ascii="Times New Roman" w:hAnsi="Times New Roman"/>
                <w:color w:val="auto"/>
                <w:sz w:val="21"/>
                <w:szCs w:val="21"/>
                <w:highlight w:val="none"/>
                <w:lang w:val="en-US" w:eastAsia="zh-CN"/>
              </w:rPr>
              <w:t>本项目情况</w:t>
            </w:r>
          </w:p>
        </w:tc>
        <w:tc>
          <w:tcPr>
            <w:tcW w:w="858"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697"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1</w:t>
            </w:r>
          </w:p>
        </w:tc>
        <w:tc>
          <w:tcPr>
            <w:tcW w:w="4584" w:type="dxa"/>
            <w:noWrap w:val="0"/>
            <w:vAlign w:val="center"/>
          </w:tcPr>
          <w:p>
            <w:pPr>
              <w:adjustRightInd/>
              <w:spacing w:line="240" w:lineRule="atLeast"/>
              <w:ind w:firstLine="0" w:firstLineChars="0"/>
              <w:jc w:val="left"/>
              <w:rPr>
                <w:rFonts w:ascii="Times New Roman" w:hAnsi="Times New Roman"/>
                <w:color w:val="auto"/>
                <w:sz w:val="21"/>
                <w:szCs w:val="21"/>
                <w:highlight w:val="none"/>
              </w:rPr>
            </w:pPr>
            <w:r>
              <w:rPr>
                <w:rFonts w:ascii="Times New Roman" w:hAnsi="Times New Roman"/>
                <w:color w:val="auto"/>
                <w:sz w:val="21"/>
                <w:szCs w:val="21"/>
                <w:highlight w:val="none"/>
              </w:rPr>
              <w:t>禁止在水产种质资源保护区内新建排污口、从事围湖造田造地等投资建设项目。</w:t>
            </w:r>
          </w:p>
        </w:tc>
        <w:tc>
          <w:tcPr>
            <w:tcW w:w="2383" w:type="dxa"/>
            <w:noWrap w:val="0"/>
            <w:vAlign w:val="center"/>
          </w:tcPr>
          <w:p>
            <w:pPr>
              <w:adjustRightInd/>
              <w:spacing w:line="240" w:lineRule="atLeast"/>
              <w:ind w:firstLine="0" w:firstLineChars="0"/>
              <w:jc w:val="left"/>
              <w:rPr>
                <w:rFonts w:hint="default" w:ascii="Times New Roman" w:hAnsi="Times New Roman" w:eastAsia="宋体"/>
                <w:color w:val="auto"/>
                <w:sz w:val="21"/>
                <w:szCs w:val="21"/>
                <w:highlight w:val="none"/>
                <w:lang w:val="en-US" w:eastAsia="zh-CN"/>
              </w:rPr>
            </w:pPr>
            <w:r>
              <w:rPr>
                <w:rFonts w:hint="default" w:ascii="Times New Roman" w:hAnsi="Times New Roman"/>
                <w:color w:val="auto"/>
                <w:sz w:val="21"/>
                <w:szCs w:val="21"/>
                <w:highlight w:val="none"/>
                <w:lang w:val="en-US" w:eastAsia="zh-CN"/>
              </w:rPr>
              <w:t>本项目不新建排污口，不涉及围湖造田造地</w:t>
            </w:r>
          </w:p>
        </w:tc>
        <w:tc>
          <w:tcPr>
            <w:tcW w:w="858"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2</w:t>
            </w:r>
          </w:p>
        </w:tc>
        <w:tc>
          <w:tcPr>
            <w:tcW w:w="4584" w:type="dxa"/>
            <w:noWrap w:val="0"/>
            <w:vAlign w:val="center"/>
          </w:tcPr>
          <w:p>
            <w:pPr>
              <w:adjustRightInd/>
              <w:spacing w:line="240" w:lineRule="atLeast"/>
              <w:ind w:firstLine="0" w:firstLineChars="0"/>
              <w:jc w:val="left"/>
              <w:rPr>
                <w:rFonts w:ascii="Times New Roman" w:hAnsi="Times New Roman"/>
                <w:color w:val="auto"/>
                <w:sz w:val="21"/>
                <w:szCs w:val="21"/>
                <w:highlight w:val="none"/>
              </w:rPr>
            </w:pPr>
            <w:r>
              <w:rPr>
                <w:rFonts w:ascii="Times New Roman" w:hAnsi="Times New Roman"/>
                <w:color w:val="auto"/>
                <w:sz w:val="21"/>
                <w:szCs w:val="21"/>
                <w:highlight w:val="none"/>
              </w:rPr>
              <w:t>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2383" w:type="dxa"/>
            <w:noWrap w:val="0"/>
            <w:vAlign w:val="center"/>
          </w:tcPr>
          <w:p>
            <w:pPr>
              <w:autoSpaceDE w:val="0"/>
              <w:autoSpaceDN w:val="0"/>
              <w:snapToGrid/>
              <w:spacing w:line="240" w:lineRule="auto"/>
              <w:ind w:firstLine="0" w:firstLineChars="0"/>
              <w:jc w:val="left"/>
              <w:rPr>
                <w:rFonts w:ascii="Times New Roman" w:hAnsi="Times New Roman"/>
                <w:color w:val="auto"/>
                <w:sz w:val="21"/>
                <w:szCs w:val="21"/>
                <w:highlight w:val="none"/>
              </w:rPr>
            </w:pPr>
            <w:r>
              <w:rPr>
                <w:rFonts w:ascii="Times New Roman" w:hAnsi="Times New Roman"/>
                <w:color w:val="auto"/>
                <w:sz w:val="21"/>
                <w:szCs w:val="21"/>
                <w:highlight w:val="none"/>
              </w:rPr>
              <w:t>本</w:t>
            </w:r>
            <w:r>
              <w:rPr>
                <w:rFonts w:hint="default"/>
                <w:color w:val="auto"/>
                <w:sz w:val="21"/>
                <w:szCs w:val="21"/>
                <w:highlight w:val="none"/>
                <w:lang w:val="en-US" w:eastAsia="zh-CN"/>
              </w:rPr>
              <w:t>项目不在</w:t>
            </w:r>
            <w:r>
              <w:rPr>
                <w:rFonts w:ascii="Times New Roman" w:hAnsi="Times New Roman"/>
                <w:color w:val="auto"/>
                <w:sz w:val="21"/>
                <w:szCs w:val="21"/>
                <w:highlight w:val="none"/>
              </w:rPr>
              <w:t>生态保护红线和永久基本农田</w:t>
            </w:r>
            <w:r>
              <w:rPr>
                <w:rFonts w:hint="default"/>
                <w:color w:val="auto"/>
                <w:sz w:val="21"/>
                <w:szCs w:val="21"/>
                <w:highlight w:val="none"/>
                <w:lang w:val="en-US" w:eastAsia="zh-CN"/>
              </w:rPr>
              <w:t>范围内</w:t>
            </w:r>
            <w:r>
              <w:rPr>
                <w:rFonts w:ascii="Times New Roman" w:hAnsi="Times New Roman"/>
                <w:color w:val="auto"/>
                <w:sz w:val="21"/>
                <w:szCs w:val="21"/>
                <w:highlight w:val="none"/>
              </w:rPr>
              <w:t>。</w:t>
            </w:r>
          </w:p>
        </w:tc>
        <w:tc>
          <w:tcPr>
            <w:tcW w:w="858"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3</w:t>
            </w:r>
          </w:p>
        </w:tc>
        <w:tc>
          <w:tcPr>
            <w:tcW w:w="4584" w:type="dxa"/>
            <w:noWrap w:val="0"/>
            <w:vAlign w:val="center"/>
          </w:tcPr>
          <w:p>
            <w:pPr>
              <w:adjustRightInd/>
              <w:spacing w:line="240" w:lineRule="atLeast"/>
              <w:ind w:firstLine="0" w:firstLineChars="0"/>
              <w:jc w:val="left"/>
              <w:rPr>
                <w:rFonts w:ascii="Times New Roman" w:hAnsi="Times New Roman"/>
                <w:color w:val="auto"/>
                <w:sz w:val="21"/>
                <w:szCs w:val="21"/>
                <w:highlight w:val="none"/>
              </w:rPr>
            </w:pPr>
            <w:r>
              <w:rPr>
                <w:rFonts w:ascii="Times New Roman" w:hAnsi="Times New Roman"/>
                <w:color w:val="auto"/>
                <w:sz w:val="21"/>
                <w:szCs w:val="21"/>
                <w:highlight w:val="none"/>
              </w:rPr>
              <w:t>生态保护红线原则上按禁止开发区域的要求进行管理。严禁不符合主体功能定位的各类开发活动，严禁任意改变用途。因国家重大基础设施、重大民生保障项目建设等需要调整的，依法按有关程序报批。因国家重大战略资源勘查需要，在不影响主体功能定位的前提下，经依法批准后予以安排勘查项目。</w:t>
            </w:r>
          </w:p>
        </w:tc>
        <w:tc>
          <w:tcPr>
            <w:tcW w:w="2383" w:type="dxa"/>
            <w:noWrap w:val="0"/>
            <w:vAlign w:val="center"/>
          </w:tcPr>
          <w:p>
            <w:pPr>
              <w:autoSpaceDE w:val="0"/>
              <w:autoSpaceDN w:val="0"/>
              <w:snapToGrid/>
              <w:spacing w:line="240" w:lineRule="auto"/>
              <w:ind w:firstLine="0" w:firstLineChars="0"/>
              <w:jc w:val="left"/>
              <w:rPr>
                <w:rFonts w:ascii="Times New Roman" w:hAnsi="Times New Roman"/>
                <w:color w:val="auto"/>
                <w:sz w:val="21"/>
                <w:szCs w:val="21"/>
                <w:highlight w:val="none"/>
              </w:rPr>
            </w:pPr>
            <w:r>
              <w:rPr>
                <w:rFonts w:ascii="Times New Roman" w:hAnsi="Times New Roman"/>
                <w:color w:val="auto"/>
                <w:sz w:val="21"/>
                <w:szCs w:val="21"/>
                <w:highlight w:val="none"/>
              </w:rPr>
              <w:t>本</w:t>
            </w:r>
            <w:r>
              <w:rPr>
                <w:rFonts w:hint="default"/>
                <w:color w:val="auto"/>
                <w:sz w:val="21"/>
                <w:szCs w:val="21"/>
                <w:highlight w:val="none"/>
                <w:lang w:val="en-US" w:eastAsia="zh-CN"/>
              </w:rPr>
              <w:t>项目不在</w:t>
            </w:r>
            <w:r>
              <w:rPr>
                <w:rFonts w:ascii="Times New Roman" w:hAnsi="Times New Roman"/>
                <w:color w:val="auto"/>
                <w:sz w:val="21"/>
                <w:szCs w:val="21"/>
                <w:highlight w:val="none"/>
              </w:rPr>
              <w:t>生态保护红线</w:t>
            </w:r>
            <w:r>
              <w:rPr>
                <w:rFonts w:hint="default" w:ascii="Times New Roman" w:hAnsi="Times New Roman"/>
                <w:color w:val="auto"/>
                <w:sz w:val="21"/>
                <w:szCs w:val="21"/>
                <w:highlight w:val="none"/>
                <w:lang w:val="en-US" w:eastAsia="zh-CN"/>
              </w:rPr>
              <w:t>范围内</w:t>
            </w:r>
            <w:r>
              <w:rPr>
                <w:rFonts w:ascii="Times New Roman" w:hAnsi="Times New Roman"/>
                <w:color w:val="auto"/>
                <w:sz w:val="21"/>
                <w:szCs w:val="21"/>
                <w:highlight w:val="none"/>
              </w:rPr>
              <w:t>。</w:t>
            </w:r>
          </w:p>
        </w:tc>
        <w:tc>
          <w:tcPr>
            <w:tcW w:w="858"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4</w:t>
            </w:r>
          </w:p>
        </w:tc>
        <w:tc>
          <w:tcPr>
            <w:tcW w:w="4584" w:type="dxa"/>
            <w:noWrap w:val="0"/>
            <w:vAlign w:val="center"/>
          </w:tcPr>
          <w:p>
            <w:pPr>
              <w:adjustRightInd/>
              <w:spacing w:line="240" w:lineRule="atLeast"/>
              <w:ind w:firstLine="0" w:firstLineChars="0"/>
              <w:jc w:val="left"/>
              <w:rPr>
                <w:rFonts w:ascii="Times New Roman" w:hAnsi="Times New Roman"/>
                <w:color w:val="auto"/>
                <w:sz w:val="21"/>
                <w:szCs w:val="21"/>
                <w:highlight w:val="none"/>
              </w:rPr>
            </w:pPr>
            <w:r>
              <w:rPr>
                <w:rFonts w:ascii="Times New Roman" w:hAnsi="Times New Roman"/>
                <w:color w:val="auto"/>
                <w:sz w:val="21"/>
                <w:szCs w:val="21"/>
                <w:highlight w:val="none"/>
              </w:rPr>
              <w:t>禁止在长江干支流</w:t>
            </w:r>
            <w:r>
              <w:rPr>
                <w:rFonts w:hint="default" w:ascii="Times New Roman" w:hAnsi="Times New Roman"/>
                <w:color w:val="auto"/>
                <w:sz w:val="21"/>
                <w:szCs w:val="21"/>
                <w:highlight w:val="none"/>
              </w:rPr>
              <w:t>（</w:t>
            </w:r>
            <w:r>
              <w:rPr>
                <w:rFonts w:ascii="Times New Roman" w:hAnsi="Times New Roman"/>
                <w:color w:val="auto"/>
                <w:sz w:val="21"/>
                <w:szCs w:val="21"/>
                <w:highlight w:val="none"/>
              </w:rPr>
              <w:t>长江干流湖南段、湘江沅江干流及洞庭湖</w:t>
            </w:r>
            <w:r>
              <w:rPr>
                <w:rFonts w:hint="default" w:ascii="Times New Roman" w:hAnsi="Times New Roman"/>
                <w:color w:val="auto"/>
                <w:sz w:val="21"/>
                <w:szCs w:val="21"/>
                <w:highlight w:val="none"/>
              </w:rPr>
              <w:t>）</w:t>
            </w:r>
            <w:r>
              <w:rPr>
                <w:rFonts w:ascii="Times New Roman" w:hAnsi="Times New Roman"/>
                <w:color w:val="auto"/>
                <w:sz w:val="21"/>
                <w:szCs w:val="21"/>
                <w:highlight w:val="none"/>
              </w:rPr>
              <w:t>岸线1公里范围</w:t>
            </w:r>
            <w:r>
              <w:rPr>
                <w:rFonts w:hint="default" w:ascii="Times New Roman" w:hAnsi="Times New Roman"/>
                <w:color w:val="auto"/>
                <w:sz w:val="21"/>
                <w:szCs w:val="21"/>
                <w:highlight w:val="none"/>
              </w:rPr>
              <w:t>（</w:t>
            </w:r>
            <w:r>
              <w:rPr>
                <w:rFonts w:ascii="Times New Roman" w:hAnsi="Times New Roman"/>
                <w:color w:val="auto"/>
                <w:sz w:val="21"/>
                <w:szCs w:val="21"/>
                <w:highlight w:val="none"/>
              </w:rPr>
              <w:t>指长江干支流岸线边界向陆域纵深1公里，边界指水利部门河道管理范围边界</w:t>
            </w:r>
            <w:r>
              <w:rPr>
                <w:rFonts w:hint="default" w:ascii="Times New Roman" w:hAnsi="Times New Roman"/>
                <w:color w:val="auto"/>
                <w:sz w:val="21"/>
                <w:szCs w:val="21"/>
                <w:highlight w:val="none"/>
              </w:rPr>
              <w:t>）</w:t>
            </w:r>
            <w:r>
              <w:rPr>
                <w:rFonts w:ascii="Times New Roman" w:hAnsi="Times New Roman"/>
                <w:color w:val="auto"/>
                <w:sz w:val="21"/>
                <w:szCs w:val="21"/>
                <w:highlight w:val="none"/>
              </w:rPr>
              <w:t>内新建、扩建化工园区和化工项目。</w:t>
            </w:r>
          </w:p>
        </w:tc>
        <w:tc>
          <w:tcPr>
            <w:tcW w:w="2383" w:type="dxa"/>
            <w:noWrap w:val="0"/>
            <w:vAlign w:val="center"/>
          </w:tcPr>
          <w:p>
            <w:pPr>
              <w:autoSpaceDE w:val="0"/>
              <w:autoSpaceDN w:val="0"/>
              <w:snapToGrid/>
              <w:spacing w:line="240" w:lineRule="auto"/>
              <w:ind w:firstLine="0" w:firstLineChars="0"/>
              <w:jc w:val="left"/>
              <w:rPr>
                <w:rFonts w:hint="default" w:ascii="Times New Roman" w:hAnsi="Times New Roman" w:eastAsia="宋体"/>
                <w:color w:val="auto"/>
                <w:sz w:val="21"/>
                <w:szCs w:val="21"/>
                <w:highlight w:val="none"/>
                <w:lang w:val="en-US" w:eastAsia="zh-CN"/>
              </w:rPr>
            </w:pPr>
            <w:r>
              <w:rPr>
                <w:rFonts w:hint="default" w:ascii="Times New Roman" w:hAnsi="Times New Roman"/>
                <w:color w:val="auto"/>
                <w:sz w:val="21"/>
                <w:szCs w:val="21"/>
                <w:highlight w:val="none"/>
                <w:lang w:val="en-US" w:eastAsia="zh-CN"/>
              </w:rPr>
              <w:t>本项目不属于化工项目</w:t>
            </w:r>
          </w:p>
        </w:tc>
        <w:tc>
          <w:tcPr>
            <w:tcW w:w="858" w:type="dxa"/>
            <w:noWrap w:val="0"/>
            <w:vAlign w:val="center"/>
          </w:tcPr>
          <w:p>
            <w:pPr>
              <w:adjustRightInd/>
              <w:spacing w:line="240" w:lineRule="atLeas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bl>
    <w:p>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因此，本项目建设符合《湖南省长江经济带发展负面清单实施细则（试行）》（2022年版）相关要求。</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1.5.2相关法律法规</w:t>
      </w:r>
      <w:r>
        <w:rPr>
          <w:rFonts w:hint="default" w:ascii="Times New Roman" w:hAnsi="Times New Roman" w:eastAsia="宋体" w:cs="Times New Roman"/>
          <w:b/>
          <w:bCs/>
          <w:color w:val="auto"/>
          <w:kern w:val="0"/>
          <w:sz w:val="28"/>
          <w:szCs w:val="28"/>
          <w:highlight w:val="none"/>
          <w:lang w:val="en-US" w:eastAsia="zh-CN"/>
        </w:rPr>
        <w:t>政策</w:t>
      </w:r>
      <w:r>
        <w:rPr>
          <w:rFonts w:hint="default" w:cs="Times New Roman"/>
          <w:b/>
          <w:bCs/>
          <w:color w:val="auto"/>
          <w:kern w:val="0"/>
          <w:sz w:val="28"/>
          <w:szCs w:val="28"/>
          <w:highlight w:val="none"/>
          <w:lang w:val="en-US" w:eastAsia="zh-CN"/>
        </w:rPr>
        <w:t>的相符性</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1.5.2.1与饮用水源保护区相关管理规定符合性分析</w:t>
      </w:r>
    </w:p>
    <w:p>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根据《中华人民共和国水污染防治法</w:t>
      </w:r>
      <w:r>
        <w:rPr>
          <w:rFonts w:hint="eastAsia"/>
          <w:color w:val="auto"/>
          <w:sz w:val="24"/>
          <w:highlight w:val="none"/>
          <w:u w:val="none"/>
          <w:lang w:val="en-US" w:eastAsia="zh-CN"/>
        </w:rPr>
        <w:t>》《</w:t>
      </w:r>
      <w:r>
        <w:rPr>
          <w:rFonts w:hint="default" w:eastAsia="宋体"/>
          <w:color w:val="auto"/>
          <w:sz w:val="24"/>
          <w:highlight w:val="none"/>
          <w:u w:val="none"/>
          <w:lang w:val="en-US" w:eastAsia="zh-CN"/>
        </w:rPr>
        <w:t>湖南省主要地表水系水环境功能区划</w:t>
      </w:r>
      <w:r>
        <w:rPr>
          <w:rFonts w:hint="eastAsia"/>
          <w:color w:val="auto"/>
          <w:sz w:val="24"/>
          <w:highlight w:val="none"/>
          <w:u w:val="none"/>
          <w:lang w:val="en-US" w:eastAsia="zh-CN"/>
        </w:rPr>
        <w:t>》《</w:t>
      </w:r>
      <w:r>
        <w:rPr>
          <w:rFonts w:hint="default" w:eastAsia="宋体"/>
          <w:color w:val="auto"/>
          <w:sz w:val="24"/>
          <w:highlight w:val="none"/>
          <w:u w:val="none"/>
          <w:lang w:val="en-US" w:eastAsia="zh-CN"/>
        </w:rPr>
        <w:t>集中式饮用水水源地规范化建设环境保护技术要求》（HJ773-2015）等相关法律法规对饮用水源保护区水质保护提出的相关要求，分析本工程与饮用水源保护区相关要求的相符性，具体分析结果见下表。</w:t>
      </w:r>
    </w:p>
    <w:p>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4"/>
          <w:highlight w:val="none"/>
          <w:lang w:val="zh-CN" w:eastAsia="zh-CN"/>
        </w:rPr>
      </w:pPr>
      <w:r>
        <w:rPr>
          <w:rFonts w:hint="default" w:ascii="Times New Roman" w:hAnsi="Times New Roman" w:eastAsia="宋体" w:cs="Times New Roman"/>
          <w:b/>
          <w:color w:val="auto"/>
          <w:sz w:val="24"/>
          <w:highlight w:val="none"/>
          <w:lang w:val="zh-CN" w:eastAsia="zh-CN"/>
        </w:rPr>
        <w:t>表</w:t>
      </w:r>
      <w:r>
        <w:rPr>
          <w:rFonts w:hint="default" w:ascii="Times New Roman" w:hAnsi="Times New Roman" w:eastAsia="宋体" w:cs="Times New Roman"/>
          <w:b/>
          <w:color w:val="auto"/>
          <w:sz w:val="24"/>
          <w:highlight w:val="none"/>
          <w:lang w:val="en-US" w:eastAsia="zh-CN"/>
        </w:rPr>
        <w:t xml:space="preserve">1.5-2  </w:t>
      </w:r>
      <w:r>
        <w:rPr>
          <w:rFonts w:hint="default" w:ascii="Times New Roman" w:hAnsi="Times New Roman" w:eastAsia="宋体" w:cs="Times New Roman"/>
          <w:b/>
          <w:color w:val="auto"/>
          <w:sz w:val="24"/>
          <w:highlight w:val="none"/>
          <w:lang w:val="zh-CN" w:eastAsia="zh-CN"/>
        </w:rPr>
        <w:t>与饮用水源保护区相关管理规定符合性分析</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4165"/>
        <w:gridCol w:w="2744"/>
        <w:gridCol w:w="10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法律法规名称</w:t>
            </w:r>
          </w:p>
        </w:tc>
        <w:tc>
          <w:tcPr>
            <w:tcW w:w="28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相关条款</w:t>
            </w:r>
          </w:p>
        </w:tc>
        <w:tc>
          <w:tcPr>
            <w:tcW w:w="1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 xml:space="preserve">本项目情况   </w:t>
            </w:r>
          </w:p>
        </w:tc>
        <w:tc>
          <w:tcPr>
            <w:tcW w:w="7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ascii="Times New Roman" w:hAnsi="Times New Roman"/>
                <w:color w:val="auto"/>
                <w:sz w:val="21"/>
                <w:szCs w:val="21"/>
                <w:highlight w:val="none"/>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《中华人民共和国水污染防治法》</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p>
        </w:tc>
        <w:tc>
          <w:tcPr>
            <w:tcW w:w="28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第五十七条 在饮用水水源保护区内，禁止设置排污口。</w:t>
            </w:r>
          </w:p>
        </w:tc>
        <w:tc>
          <w:tcPr>
            <w:tcW w:w="1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本项目不在饮用水源保护区内设置排污口。</w:t>
            </w:r>
          </w:p>
        </w:tc>
        <w:tc>
          <w:tcPr>
            <w:tcW w:w="7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0" w:hRule="atLeast"/>
          <w:jc w:val="center"/>
        </w:trPr>
        <w:tc>
          <w:tcPr>
            <w:tcW w:w="9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p>
        </w:tc>
        <w:tc>
          <w:tcPr>
            <w:tcW w:w="28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第五十八条 禁止在饮用水水源一级保护区内新建、改建、扩建与供水设施和保护水源无关的建设项目；已建成的与供水设施和保护水源无关的建设项目，由县级以上人民政府责令拆除或者关闭。禁止在饮用水水源一级保护区内从事网箱养殖、旅游、游泳、垂钓或者其他可能污染饮用水水体的活动。</w:t>
            </w:r>
          </w:p>
        </w:tc>
        <w:tc>
          <w:tcPr>
            <w:tcW w:w="1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本项目不在饮用水源一级保护区范围内。</w:t>
            </w:r>
          </w:p>
        </w:tc>
        <w:tc>
          <w:tcPr>
            <w:tcW w:w="7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p>
        </w:tc>
        <w:tc>
          <w:tcPr>
            <w:tcW w:w="28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第五十九条 禁止在饮用水水源二级保护区内新建、改建、扩建排放污染物的建设项目；已建成的排放污染物的建设项目，由县级以上人民政府责令拆除或者关闭。在饮用水水源二级保护区内从事网箱养殖、旅游等活动的，应当按照规定采取措施，防止污染饮用水水体。</w:t>
            </w:r>
          </w:p>
        </w:tc>
        <w:tc>
          <w:tcPr>
            <w:tcW w:w="1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本项目涉及饮用水水源保护区，</w:t>
            </w:r>
            <w:r>
              <w:rPr>
                <w:rFonts w:hint="default"/>
                <w:color w:val="auto"/>
                <w:sz w:val="21"/>
                <w:szCs w:val="21"/>
                <w:highlight w:val="none"/>
                <w:u w:val="none"/>
                <w:vertAlign w:val="baseline"/>
                <w:lang w:val="en-US" w:eastAsia="zh-CN"/>
              </w:rPr>
              <w:t>风光带整治工程</w:t>
            </w:r>
            <w:r>
              <w:rPr>
                <w:rFonts w:hint="default" w:eastAsia="宋体"/>
                <w:color w:val="auto"/>
                <w:sz w:val="21"/>
                <w:szCs w:val="21"/>
                <w:highlight w:val="none"/>
                <w:u w:val="none"/>
                <w:vertAlign w:val="baseline"/>
                <w:lang w:val="en-US" w:eastAsia="zh-CN"/>
              </w:rPr>
              <w:t>位于饮用水水源二级保护区范围内</w:t>
            </w:r>
            <w:r>
              <w:rPr>
                <w:rFonts w:hint="default"/>
                <w:color w:val="auto"/>
                <w:sz w:val="21"/>
                <w:szCs w:val="21"/>
                <w:highlight w:val="none"/>
                <w:u w:val="none"/>
                <w:vertAlign w:val="baseline"/>
                <w:lang w:val="en-US" w:eastAsia="zh-CN"/>
              </w:rPr>
              <w:t>，项目在二级饮用水水源保护区陆域范围内的建设内容均为绿化、景观，二级保护区内不建设排污的</w:t>
            </w:r>
            <w:r>
              <w:rPr>
                <w:rFonts w:hint="eastAsia"/>
                <w:color w:val="auto"/>
                <w:sz w:val="21"/>
                <w:szCs w:val="21"/>
                <w:highlight w:val="none"/>
                <w:u w:val="none"/>
                <w:vertAlign w:val="baseline"/>
                <w:lang w:val="en-US" w:eastAsia="zh-CN"/>
              </w:rPr>
              <w:t>项目</w:t>
            </w:r>
            <w:r>
              <w:rPr>
                <w:rFonts w:hint="default"/>
                <w:color w:val="auto"/>
                <w:sz w:val="21"/>
                <w:szCs w:val="21"/>
                <w:highlight w:val="none"/>
                <w:u w:val="none"/>
                <w:vertAlign w:val="baseline"/>
                <w:lang w:val="en-US" w:eastAsia="zh-CN"/>
              </w:rPr>
              <w:t>。不会对饮用水水源产生负面影响。</w:t>
            </w:r>
          </w:p>
        </w:tc>
        <w:tc>
          <w:tcPr>
            <w:tcW w:w="7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《湖南省主要地表水系环境功能区划》（DB43/023-2005）</w:t>
            </w:r>
          </w:p>
        </w:tc>
        <w:tc>
          <w:tcPr>
            <w:tcW w:w="28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本标准中饮用水源一级保护区，禁止新建、扩建与供水设施和保护水源无关的建设项目，禁止从事旅游、游泳和其他可能污染水体的活动，已设置的排污口，由县级以上人民政府按照国务院规定的权限责令限期拆除或者限期治理</w:t>
            </w:r>
            <w:r>
              <w:rPr>
                <w:rFonts w:hint="default"/>
                <w:color w:val="auto"/>
                <w:sz w:val="21"/>
                <w:szCs w:val="21"/>
                <w:highlight w:val="none"/>
                <w:u w:val="none"/>
                <w:vertAlign w:val="baseline"/>
                <w:lang w:val="en-US" w:eastAsia="zh-CN"/>
              </w:rPr>
              <w:t>。</w:t>
            </w:r>
          </w:p>
        </w:tc>
        <w:tc>
          <w:tcPr>
            <w:tcW w:w="1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本项目不在饮用水源一级保护区范围内。</w:t>
            </w:r>
          </w:p>
        </w:tc>
        <w:tc>
          <w:tcPr>
            <w:tcW w:w="7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p>
        </w:tc>
        <w:tc>
          <w:tcPr>
            <w:tcW w:w="28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本标准中生活饮用水源二级保护区，禁止新建、扩建向水体排放污染物的建设项目，在生活饮用水源二级保护区内改建项目，必须削减污染物排放量，禁止超过国家规定的或者地方规定的污染物排放标准排放污染物，禁止设立装卸垃圾、油类及其他有毒有害物品的码头。</w:t>
            </w:r>
          </w:p>
        </w:tc>
        <w:tc>
          <w:tcPr>
            <w:tcW w:w="1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本项目</w:t>
            </w:r>
            <w:r>
              <w:rPr>
                <w:rFonts w:hint="default"/>
                <w:color w:val="auto"/>
                <w:sz w:val="21"/>
                <w:szCs w:val="21"/>
                <w:highlight w:val="none"/>
                <w:u w:val="none"/>
                <w:vertAlign w:val="baseline"/>
                <w:lang w:val="en-US" w:eastAsia="zh-CN"/>
              </w:rPr>
              <w:t>风光带整治工程</w:t>
            </w:r>
            <w:r>
              <w:rPr>
                <w:rFonts w:hint="default" w:eastAsia="宋体"/>
                <w:color w:val="auto"/>
                <w:sz w:val="21"/>
                <w:szCs w:val="21"/>
                <w:highlight w:val="none"/>
                <w:u w:val="none"/>
                <w:vertAlign w:val="baseline"/>
                <w:lang w:val="en-US" w:eastAsia="zh-CN"/>
              </w:rPr>
              <w:t>位于饮用水水源二级保护区范围内</w:t>
            </w:r>
            <w:r>
              <w:rPr>
                <w:rFonts w:hint="default"/>
                <w:color w:val="auto"/>
                <w:sz w:val="21"/>
                <w:szCs w:val="21"/>
                <w:highlight w:val="none"/>
                <w:u w:val="none"/>
                <w:vertAlign w:val="baseline"/>
                <w:lang w:val="en-US" w:eastAsia="zh-CN"/>
              </w:rPr>
              <w:t>，</w:t>
            </w:r>
            <w:r>
              <w:rPr>
                <w:rFonts w:hint="default" w:eastAsia="宋体"/>
                <w:color w:val="auto"/>
                <w:sz w:val="21"/>
                <w:szCs w:val="21"/>
                <w:highlight w:val="none"/>
                <w:u w:val="none"/>
                <w:vertAlign w:val="baseline"/>
                <w:lang w:val="en-US" w:eastAsia="zh-CN"/>
              </w:rPr>
              <w:t>建成运行后</w:t>
            </w:r>
            <w:r>
              <w:rPr>
                <w:rFonts w:hint="default"/>
                <w:color w:val="auto"/>
                <w:sz w:val="21"/>
                <w:szCs w:val="21"/>
                <w:highlight w:val="none"/>
                <w:u w:val="none"/>
                <w:vertAlign w:val="baseline"/>
                <w:lang w:val="en-US" w:eastAsia="zh-CN"/>
              </w:rPr>
              <w:t>不向水体排放</w:t>
            </w:r>
            <w:r>
              <w:rPr>
                <w:rFonts w:hint="default" w:eastAsia="宋体"/>
                <w:color w:val="auto"/>
                <w:sz w:val="21"/>
                <w:szCs w:val="21"/>
                <w:highlight w:val="none"/>
                <w:u w:val="none"/>
                <w:vertAlign w:val="baseline"/>
                <w:lang w:val="en-US" w:eastAsia="zh-CN"/>
              </w:rPr>
              <w:t>污染物</w:t>
            </w:r>
            <w:r>
              <w:rPr>
                <w:rFonts w:hint="default"/>
                <w:color w:val="auto"/>
                <w:sz w:val="21"/>
                <w:szCs w:val="21"/>
                <w:highlight w:val="none"/>
                <w:u w:val="none"/>
                <w:vertAlign w:val="baseline"/>
                <w:lang w:val="en-US" w:eastAsia="zh-CN"/>
              </w:rPr>
              <w:t>，本项目不设立</w:t>
            </w:r>
            <w:r>
              <w:rPr>
                <w:rFonts w:hint="default" w:eastAsia="宋体"/>
                <w:color w:val="auto"/>
                <w:sz w:val="21"/>
                <w:szCs w:val="21"/>
                <w:highlight w:val="none"/>
                <w:u w:val="none"/>
                <w:vertAlign w:val="baseline"/>
                <w:lang w:val="en-US" w:eastAsia="zh-CN"/>
              </w:rPr>
              <w:t>装卸垃圾、油类及其他有毒有害物品的码头</w:t>
            </w:r>
            <w:r>
              <w:rPr>
                <w:rFonts w:hint="default"/>
                <w:color w:val="auto"/>
                <w:sz w:val="21"/>
                <w:szCs w:val="21"/>
                <w:highlight w:val="none"/>
                <w:u w:val="none"/>
                <w:vertAlign w:val="baseline"/>
                <w:lang w:val="en-US" w:eastAsia="zh-CN"/>
              </w:rPr>
              <w:t>。</w:t>
            </w:r>
          </w:p>
        </w:tc>
        <w:tc>
          <w:tcPr>
            <w:tcW w:w="7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《集中式饮用水水源地规范化建设环境保护技术要求》（HJ773-2015）</w:t>
            </w:r>
          </w:p>
        </w:tc>
        <w:tc>
          <w:tcPr>
            <w:tcW w:w="28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b/>
                <w:bCs/>
                <w:color w:val="auto"/>
                <w:sz w:val="21"/>
                <w:szCs w:val="21"/>
                <w:highlight w:val="none"/>
                <w:u w:val="none"/>
                <w:vertAlign w:val="baseline"/>
                <w:lang w:val="en-US" w:eastAsia="zh-CN"/>
              </w:rPr>
            </w:pPr>
            <w:r>
              <w:rPr>
                <w:rFonts w:hint="default" w:eastAsia="宋体"/>
                <w:b/>
                <w:bCs/>
                <w:color w:val="auto"/>
                <w:sz w:val="21"/>
                <w:szCs w:val="21"/>
                <w:highlight w:val="none"/>
                <w:u w:val="none"/>
                <w:vertAlign w:val="baseline"/>
                <w:lang w:val="en-US" w:eastAsia="zh-CN"/>
              </w:rPr>
              <w:t>一级保护区：</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（1）保护区内不存在与供水设施和保护水源无关的建设项目，保护区划定前已有的建设项目拆除或关闭，并视情进行生态修复。</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（2）保护区内无工业、生活排污口。保护区划定前已有的工业排污口拆除或关闭，生活排污口关闭或迁出。</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（3）保护区内无畜禽养殖、网箱养殖、旅游、游泳、垂钓或者其他可能污染水源的活动。保护区划定前已有的畜禽养殖、网箱养殖和旅游设施拆除或关闭。</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w:t>
            </w:r>
          </w:p>
        </w:tc>
        <w:tc>
          <w:tcPr>
            <w:tcW w:w="1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本项目不在饮用水源一级保护区范围内</w:t>
            </w:r>
          </w:p>
        </w:tc>
        <w:tc>
          <w:tcPr>
            <w:tcW w:w="7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88" w:hRule="atLeast"/>
          <w:jc w:val="center"/>
        </w:trPr>
        <w:tc>
          <w:tcPr>
            <w:tcW w:w="9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p>
        </w:tc>
        <w:tc>
          <w:tcPr>
            <w:tcW w:w="28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b/>
                <w:bCs/>
                <w:color w:val="auto"/>
                <w:sz w:val="21"/>
                <w:szCs w:val="21"/>
                <w:highlight w:val="none"/>
                <w:u w:val="none"/>
                <w:vertAlign w:val="baseline"/>
                <w:lang w:val="en-US" w:eastAsia="zh-CN"/>
              </w:rPr>
            </w:pPr>
            <w:r>
              <w:rPr>
                <w:rFonts w:hint="default" w:eastAsia="宋体"/>
                <w:b/>
                <w:bCs/>
                <w:color w:val="auto"/>
                <w:sz w:val="21"/>
                <w:szCs w:val="21"/>
                <w:highlight w:val="none"/>
                <w:u w:val="none"/>
                <w:vertAlign w:val="baseline"/>
                <w:lang w:val="en-US" w:eastAsia="zh-CN"/>
              </w:rPr>
              <w:t>二级保护区：</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（1）</w:t>
            </w:r>
            <w:r>
              <w:rPr>
                <w:rFonts w:hint="default" w:eastAsia="宋体"/>
                <w:color w:val="auto"/>
                <w:sz w:val="21"/>
                <w:szCs w:val="21"/>
                <w:highlight w:val="none"/>
                <w:u w:val="none"/>
                <w:vertAlign w:val="baseline"/>
                <w:lang w:val="en-US" w:eastAsia="zh-CN"/>
              </w:rPr>
              <w:t>保护区内无新建、改建、扩建排放污染物的建设项目。保护区划定前已建成排放污染物的建设项目拆除或关闭，并视情进行生态修复。</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（2）</w:t>
            </w:r>
            <w:r>
              <w:rPr>
                <w:rFonts w:hint="default" w:eastAsia="宋体"/>
                <w:color w:val="auto"/>
                <w:sz w:val="21"/>
                <w:szCs w:val="21"/>
                <w:highlight w:val="none"/>
                <w:u w:val="none"/>
                <w:vertAlign w:val="baseline"/>
                <w:lang w:val="en-US" w:eastAsia="zh-CN"/>
              </w:rPr>
              <w:t>保护区内无工业和生活排污口。保护区内城镇生活污水经收集后引到保护区外处理排放，或全部收集到污水处理厂（设施），处理后引到保护区下游排放。</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（3）</w:t>
            </w:r>
            <w:r>
              <w:rPr>
                <w:rFonts w:hint="default" w:eastAsia="宋体"/>
                <w:color w:val="auto"/>
                <w:sz w:val="21"/>
                <w:szCs w:val="21"/>
                <w:highlight w:val="none"/>
                <w:u w:val="none"/>
                <w:vertAlign w:val="baseline"/>
                <w:lang w:val="en-US" w:eastAsia="zh-CN"/>
              </w:rPr>
              <w:t>保护区内城镇生活垃圾全部集中收集并在保护区外进行无害化处置。</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（4）</w:t>
            </w:r>
            <w:r>
              <w:rPr>
                <w:rFonts w:hint="default" w:eastAsia="宋体"/>
                <w:color w:val="auto"/>
                <w:sz w:val="21"/>
                <w:szCs w:val="21"/>
                <w:highlight w:val="none"/>
                <w:u w:val="none"/>
                <w:vertAlign w:val="baseline"/>
                <w:lang w:val="en-US" w:eastAsia="zh-CN"/>
              </w:rPr>
              <w:t>保护区内无易溶性、有毒有害废弃物暂存或转运站；无化工原料、危险化学品、矿物油类及有毒有害矿产品的堆放场所；生活垃圾转运站采取防渗漏措施。</w:t>
            </w:r>
          </w:p>
        </w:tc>
        <w:tc>
          <w:tcPr>
            <w:tcW w:w="1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（1）</w:t>
            </w:r>
            <w:r>
              <w:rPr>
                <w:rFonts w:hint="default" w:eastAsia="宋体"/>
                <w:color w:val="auto"/>
                <w:sz w:val="21"/>
                <w:szCs w:val="21"/>
                <w:highlight w:val="none"/>
                <w:u w:val="none"/>
                <w:vertAlign w:val="baseline"/>
                <w:lang w:val="en-US" w:eastAsia="zh-CN"/>
              </w:rPr>
              <w:t>本项目风光带整治工程涉及衡阳市饮用水水源二级保护区，但风光带整治工程不属于排放污染物的建设项目。</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（2）本项目不设置排污口；</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（3）本项目生活垃圾全部集中收集并在保护区外进行无害化处置</w:t>
            </w:r>
            <w:r>
              <w:rPr>
                <w:rFonts w:hint="default"/>
                <w:color w:val="auto"/>
                <w:sz w:val="21"/>
                <w:szCs w:val="21"/>
                <w:highlight w:val="none"/>
                <w:u w:val="none"/>
                <w:vertAlign w:val="baseline"/>
                <w:lang w:val="en-US" w:eastAsia="zh-CN"/>
              </w:rPr>
              <w:t>；</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（4）本项目不涉及易溶性、有毒有害废弃物暂存或转运站，无化工原料、危险化学品、矿物油类及有毒有害矿产品的堆放场所及生活垃圾中转站。</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p>
        </w:tc>
        <w:tc>
          <w:tcPr>
            <w:tcW w:w="7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p>
        </w:tc>
        <w:tc>
          <w:tcPr>
            <w:tcW w:w="28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b/>
                <w:bCs/>
                <w:color w:val="auto"/>
                <w:sz w:val="21"/>
                <w:szCs w:val="21"/>
                <w:highlight w:val="none"/>
                <w:u w:val="none"/>
                <w:vertAlign w:val="baseline"/>
                <w:lang w:val="en-US" w:eastAsia="zh-CN"/>
              </w:rPr>
            </w:pPr>
            <w:r>
              <w:rPr>
                <w:rFonts w:hint="default"/>
                <w:b/>
                <w:bCs/>
                <w:color w:val="auto"/>
                <w:sz w:val="21"/>
                <w:szCs w:val="21"/>
                <w:highlight w:val="none"/>
                <w:u w:val="none"/>
                <w:vertAlign w:val="baseline"/>
                <w:lang w:val="en-US" w:eastAsia="zh-CN"/>
              </w:rPr>
              <w:t>流动源管理：</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（1）</w:t>
            </w:r>
            <w:r>
              <w:rPr>
                <w:rFonts w:hint="default" w:eastAsia="宋体"/>
                <w:color w:val="auto"/>
                <w:sz w:val="21"/>
                <w:szCs w:val="21"/>
                <w:highlight w:val="none"/>
                <w:u w:val="none"/>
                <w:vertAlign w:val="baseline"/>
                <w:lang w:val="en-US" w:eastAsia="zh-CN"/>
              </w:rPr>
              <w:t>保护区内无从事危险化学品或煤炭、矿砂、水泥等装卸作业的货运码头。无水上加油站。</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（2）</w:t>
            </w:r>
            <w:r>
              <w:rPr>
                <w:rFonts w:hint="default" w:eastAsia="宋体"/>
                <w:color w:val="auto"/>
                <w:sz w:val="21"/>
                <w:szCs w:val="21"/>
                <w:highlight w:val="none"/>
                <w:u w:val="none"/>
                <w:vertAlign w:val="baseline"/>
                <w:lang w:val="en-US" w:eastAsia="zh-CN"/>
              </w:rPr>
              <w:t>保护区内危险化学品运输管理制度健全。</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color w:val="auto"/>
                <w:highlight w:val="none"/>
                <w:lang w:val="en-US" w:eastAsia="zh-CN"/>
              </w:rPr>
            </w:pPr>
            <w:r>
              <w:rPr>
                <w:rFonts w:hint="default"/>
                <w:color w:val="auto"/>
                <w:sz w:val="21"/>
                <w:szCs w:val="21"/>
                <w:highlight w:val="none"/>
                <w:u w:val="none"/>
                <w:vertAlign w:val="baseline"/>
                <w:lang w:val="en-US" w:eastAsia="zh-CN"/>
              </w:rPr>
              <w:t>（3）</w:t>
            </w:r>
            <w:r>
              <w:rPr>
                <w:rFonts w:hint="default" w:eastAsia="宋体"/>
                <w:color w:val="auto"/>
                <w:sz w:val="21"/>
                <w:szCs w:val="21"/>
                <w:highlight w:val="none"/>
                <w:u w:val="none"/>
                <w:vertAlign w:val="baseline"/>
                <w:lang w:val="en-US" w:eastAsia="zh-CN"/>
              </w:rPr>
              <w:t>保护区内有道路、桥梁穿越的，危险化学品运输采取限制运载重量和物资种类、限定行驶线路等管理措施，并完善应急处置设施。</w:t>
            </w:r>
          </w:p>
        </w:tc>
        <w:tc>
          <w:tcPr>
            <w:tcW w:w="1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（1）</w:t>
            </w:r>
            <w:r>
              <w:rPr>
                <w:rFonts w:hint="default" w:eastAsia="宋体"/>
                <w:color w:val="auto"/>
                <w:sz w:val="21"/>
                <w:szCs w:val="21"/>
                <w:highlight w:val="none"/>
                <w:u w:val="none"/>
                <w:vertAlign w:val="baseline"/>
                <w:lang w:val="en-US" w:eastAsia="zh-CN"/>
              </w:rPr>
              <w:t>本项目未在饮用水源</w:t>
            </w:r>
            <w:r>
              <w:rPr>
                <w:rFonts w:hint="default"/>
                <w:color w:val="auto"/>
                <w:sz w:val="21"/>
                <w:szCs w:val="21"/>
                <w:highlight w:val="none"/>
                <w:u w:val="none"/>
                <w:vertAlign w:val="baseline"/>
                <w:lang w:val="en-US" w:eastAsia="zh-CN"/>
              </w:rPr>
              <w:t>保护区</w:t>
            </w:r>
            <w:r>
              <w:rPr>
                <w:rFonts w:hint="default" w:eastAsia="宋体"/>
                <w:color w:val="auto"/>
                <w:sz w:val="21"/>
                <w:szCs w:val="21"/>
                <w:highlight w:val="none"/>
                <w:u w:val="none"/>
                <w:vertAlign w:val="baseline"/>
                <w:lang w:val="en-US" w:eastAsia="zh-CN"/>
              </w:rPr>
              <w:t>范围内从事危险化学品或煤炭、矿砂、水泥等装卸作业的货运码头，本项目不涉及水上加油站</w:t>
            </w:r>
            <w:r>
              <w:rPr>
                <w:rFonts w:hint="default"/>
                <w:color w:val="auto"/>
                <w:sz w:val="21"/>
                <w:szCs w:val="21"/>
                <w:highlight w:val="none"/>
                <w:u w:val="none"/>
                <w:vertAlign w:val="baseline"/>
                <w:lang w:val="en-US" w:eastAsia="zh-CN"/>
              </w:rPr>
              <w:t>；</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（2）本项目</w:t>
            </w:r>
            <w:r>
              <w:rPr>
                <w:rFonts w:hint="default"/>
                <w:color w:val="auto"/>
                <w:sz w:val="21"/>
                <w:szCs w:val="21"/>
                <w:highlight w:val="none"/>
                <w:u w:val="none"/>
                <w:vertAlign w:val="baseline"/>
                <w:lang w:val="en-US" w:eastAsia="zh-CN"/>
              </w:rPr>
              <w:t>不涉及危险化学品运输</w:t>
            </w:r>
            <w:r>
              <w:rPr>
                <w:rFonts w:hint="default" w:eastAsia="宋体"/>
                <w:color w:val="auto"/>
                <w:sz w:val="21"/>
                <w:szCs w:val="21"/>
                <w:highlight w:val="none"/>
                <w:u w:val="none"/>
                <w:vertAlign w:val="baseline"/>
                <w:lang w:val="en-US" w:eastAsia="zh-CN"/>
              </w:rPr>
              <w:t>；</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default" w:eastAsia="宋体"/>
                <w:color w:val="auto"/>
                <w:sz w:val="21"/>
                <w:szCs w:val="21"/>
                <w:highlight w:val="none"/>
                <w:u w:val="none"/>
                <w:vertAlign w:val="baseline"/>
                <w:lang w:val="en-US" w:eastAsia="zh-CN"/>
              </w:rPr>
            </w:pPr>
            <w:r>
              <w:rPr>
                <w:rFonts w:hint="default" w:eastAsia="宋体"/>
                <w:color w:val="auto"/>
                <w:sz w:val="21"/>
                <w:szCs w:val="21"/>
                <w:highlight w:val="none"/>
                <w:u w:val="none"/>
                <w:vertAlign w:val="baseline"/>
                <w:lang w:val="en-US" w:eastAsia="zh-CN"/>
              </w:rPr>
              <w:t>（3）本项目</w:t>
            </w:r>
            <w:r>
              <w:rPr>
                <w:rFonts w:hint="default"/>
                <w:color w:val="auto"/>
                <w:sz w:val="21"/>
                <w:szCs w:val="21"/>
                <w:highlight w:val="none"/>
                <w:u w:val="none"/>
                <w:vertAlign w:val="baseline"/>
                <w:lang w:val="en-US" w:eastAsia="zh-CN"/>
              </w:rPr>
              <w:t>不涉及穿越保护区的道路、桥梁建设。</w:t>
            </w:r>
          </w:p>
        </w:tc>
        <w:tc>
          <w:tcPr>
            <w:tcW w:w="7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符合</w:t>
            </w:r>
          </w:p>
        </w:tc>
      </w:tr>
    </w:tbl>
    <w:p>
      <w:pPr>
        <w:pStyle w:val="28"/>
        <w:rPr>
          <w:rFonts w:hint="default" w:ascii="Times New Roman" w:cs="Times New Roman"/>
          <w:color w:val="auto"/>
          <w:lang w:val="en-US" w:eastAsia="zh-CN"/>
        </w:rPr>
      </w:pP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1.5.2.2与《水产种质资源保护区管理暂行办法》符合性分析</w:t>
      </w:r>
    </w:p>
    <w:p>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根据《水产种质资源保护区管理暂行办法》（农业部2016年第3号令修订，2016年6月1日起施行）</w:t>
      </w:r>
      <w:r>
        <w:rPr>
          <w:rFonts w:hint="default"/>
          <w:color w:val="auto"/>
          <w:sz w:val="24"/>
          <w:highlight w:val="none"/>
          <w:u w:val="none"/>
          <w:lang w:val="en-US" w:eastAsia="zh-CN"/>
        </w:rPr>
        <w:t>：</w:t>
      </w:r>
      <w:r>
        <w:rPr>
          <w:rFonts w:hint="eastAsia"/>
          <w:color w:val="auto"/>
          <w:sz w:val="24"/>
          <w:highlight w:val="none"/>
          <w:u w:val="none"/>
          <w:lang w:val="en-US" w:eastAsia="zh-CN"/>
        </w:rPr>
        <w:t>“第二十条，禁止在水产种质资源保护区内从事围湖造田、围海造地或围填海工程；第二十一条，禁止在水产种质资源保护区内新增排污口；在水产种质资源保护区附近新建、改建、扩建排污口，应当保证保护区水体不受污染”</w:t>
      </w:r>
    </w:p>
    <w:p>
      <w:pPr>
        <w:keepLines w:val="0"/>
        <w:pageBreakBefore w:val="0"/>
        <w:widowControl w:val="0"/>
        <w:kinsoku/>
        <w:wordWrap/>
        <w:overflowPunct/>
        <w:topLinePunct w:val="0"/>
        <w:bidi w:val="0"/>
        <w:snapToGrid w:val="0"/>
        <w:spacing w:line="360" w:lineRule="auto"/>
        <w:ind w:firstLine="480" w:firstLineChars="200"/>
        <w:rPr>
          <w:rFonts w:hint="default"/>
          <w:color w:val="auto"/>
          <w:sz w:val="24"/>
          <w:highlight w:val="none"/>
          <w:u w:val="none"/>
          <w:lang w:val="en-US" w:eastAsia="zh-CN"/>
        </w:rPr>
      </w:pPr>
      <w:r>
        <w:rPr>
          <w:rFonts w:hint="eastAsia"/>
          <w:color w:val="auto"/>
          <w:sz w:val="24"/>
          <w:highlight w:val="none"/>
          <w:u w:val="none"/>
          <w:lang w:val="en-US" w:eastAsia="zh-CN"/>
        </w:rPr>
        <w:t>本项目不属于上述禁止建设工程，</w:t>
      </w:r>
      <w:r>
        <w:rPr>
          <w:rFonts w:hint="default" w:eastAsia="宋体"/>
          <w:color w:val="auto"/>
          <w:sz w:val="24"/>
          <w:highlight w:val="none"/>
          <w:u w:val="none"/>
          <w:lang w:val="en-US" w:eastAsia="zh-CN"/>
        </w:rPr>
        <w:t>符合《水产种质资源保护区管理暂行办法》</w:t>
      </w:r>
      <w:r>
        <w:rPr>
          <w:rFonts w:hint="eastAsia"/>
          <w:color w:val="auto"/>
          <w:sz w:val="24"/>
          <w:highlight w:val="none"/>
          <w:u w:val="none"/>
          <w:lang w:val="en-US" w:eastAsia="zh-CN"/>
        </w:rPr>
        <w:t>的相关要求</w:t>
      </w:r>
      <w:r>
        <w:rPr>
          <w:rFonts w:hint="default" w:eastAsia="宋体"/>
          <w:color w:val="auto"/>
          <w:sz w:val="24"/>
          <w:highlight w:val="none"/>
          <w:u w:val="none"/>
          <w:lang w:val="en-US"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1.5.2.3与《湖南省湘江保护条例》符合性分析</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根据《湖南省湘江保护条例》：</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1）禁止在湘江流域饮用水水源一级保护区内设置排污口（渠），禁止新建、改建、扩建与供水设施和保护水源无关的建设项目；已经设置排污口（渠）、建成与供水设施和保护水源无关的建设项目，县级以上人民政府应当在省人民政府规定期限内组织拆除或者关闭。禁止在湘江流域饮用水水源一级保护区内从事网箱养殖、旅游、游泳、垂钓或者其他可能污染饮用水水体的活动。（2）禁止在湘江流域饮用水水源二级保护区内设置排污口（渠），禁止新建、改建、扩建排放污染物的建设项目；已经设置排污口（渠）、建成排放污染物的建设项目，县级以上人民政府应当在省人民政府规定期限内组织拆除或者关闭。（3）在湘江干流两岸各二十公里范围内不得新建化学制浆、造纸、制革和外排水污染物涉及重金属的项目。</w:t>
      </w:r>
      <w:r>
        <w:rPr>
          <w:rFonts w:hint="default" w:cs="Times New Roman"/>
          <w:color w:val="auto"/>
          <w:sz w:val="24"/>
          <w:highlight w:val="none"/>
          <w:u w:val="none"/>
          <w:lang w:val="en-US" w:eastAsia="zh-CN"/>
        </w:rPr>
        <w:t>（4）</w:t>
      </w:r>
      <w:r>
        <w:rPr>
          <w:rFonts w:hint="default" w:ascii="Times New Roman" w:hAnsi="Times New Roman" w:eastAsia="宋体" w:cs="Times New Roman"/>
          <w:color w:val="auto"/>
          <w:kern w:val="0"/>
          <w:sz w:val="24"/>
          <w:szCs w:val="24"/>
          <w:highlight w:val="none"/>
          <w:lang w:val="en-US" w:eastAsia="zh-CN" w:bidi="ar"/>
        </w:rPr>
        <w:t>禁止在湘江干流和一、二级支流水域上经营餐饮业。</w:t>
      </w:r>
      <w:r>
        <w:rPr>
          <w:rFonts w:hint="eastAsia" w:cs="Times New Roman"/>
          <w:color w:val="auto"/>
          <w:sz w:val="24"/>
          <w:highlight w:val="none"/>
          <w:u w:val="none"/>
          <w:lang w:val="en-US" w:eastAsia="zh-CN"/>
        </w:rPr>
        <w:t>”</w:t>
      </w:r>
    </w:p>
    <w:p>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本项目不在饮用水水源一级保护区内，本项目</w:t>
      </w:r>
      <w:r>
        <w:rPr>
          <w:rFonts w:hint="default"/>
          <w:color w:val="auto"/>
          <w:sz w:val="24"/>
          <w:highlight w:val="none"/>
          <w:u w:val="none"/>
          <w:lang w:val="en-US" w:eastAsia="zh-CN"/>
        </w:rPr>
        <w:t>废水通过市政管网进入江东污水处理厂，不新建排污口</w:t>
      </w:r>
      <w:r>
        <w:rPr>
          <w:rFonts w:hint="default" w:ascii="Times New Roman" w:hAnsi="Times New Roman" w:eastAsia="宋体" w:cs="Times New Roman"/>
          <w:color w:val="auto"/>
          <w:sz w:val="24"/>
          <w:highlight w:val="none"/>
          <w:u w:val="none"/>
          <w:lang w:val="en-US" w:eastAsia="zh-CN"/>
        </w:rPr>
        <w:t>，项目不属于化学制浆、造纸、制革和外排水污染物涉及重金属的项目，</w:t>
      </w:r>
      <w:r>
        <w:rPr>
          <w:rFonts w:hint="default" w:cs="Times New Roman"/>
          <w:color w:val="auto"/>
          <w:sz w:val="24"/>
          <w:highlight w:val="none"/>
          <w:u w:val="none"/>
          <w:lang w:val="en-US" w:eastAsia="zh-CN"/>
        </w:rPr>
        <w:t>本项目风光带整治部分工程位于饮用水水源二级保护区，项目在二级饮用水水源保护区陆域范围内的建设内容均为绿化、景观，二级保护区内不建设排污的建筑物。本项目不在湘江干流水域上经营餐饮业。</w:t>
      </w:r>
      <w:r>
        <w:rPr>
          <w:rFonts w:hint="default" w:ascii="Times New Roman" w:hAnsi="Times New Roman" w:eastAsia="宋体" w:cs="Times New Roman"/>
          <w:color w:val="auto"/>
          <w:sz w:val="24"/>
          <w:highlight w:val="none"/>
          <w:u w:val="none"/>
          <w:lang w:val="en-US" w:eastAsia="zh-CN"/>
        </w:rPr>
        <w:t>因此</w:t>
      </w:r>
      <w:r>
        <w:rPr>
          <w:rFonts w:hint="default"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符合《湖南省湘江保护条例》的相关要求。</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1.5.3与</w:t>
      </w:r>
      <w:r>
        <w:rPr>
          <w:rFonts w:hint="eastAsia" w:cs="Times New Roman"/>
          <w:b/>
          <w:bCs/>
          <w:color w:val="auto"/>
          <w:kern w:val="0"/>
          <w:sz w:val="28"/>
          <w:szCs w:val="28"/>
          <w:highlight w:val="none"/>
          <w:lang w:val="en-US" w:eastAsia="zh-CN"/>
        </w:rPr>
        <w:t>“</w:t>
      </w:r>
      <w:r>
        <w:rPr>
          <w:rFonts w:hint="default" w:cs="Times New Roman"/>
          <w:b/>
          <w:bCs/>
          <w:color w:val="auto"/>
          <w:kern w:val="0"/>
          <w:sz w:val="28"/>
          <w:szCs w:val="28"/>
          <w:highlight w:val="none"/>
          <w:lang w:val="en-US" w:eastAsia="zh-CN"/>
        </w:rPr>
        <w:t>三线一单</w:t>
      </w:r>
      <w:r>
        <w:rPr>
          <w:rFonts w:hint="eastAsia" w:cs="Times New Roman"/>
          <w:b/>
          <w:bCs/>
          <w:color w:val="auto"/>
          <w:kern w:val="0"/>
          <w:sz w:val="28"/>
          <w:szCs w:val="28"/>
          <w:highlight w:val="none"/>
          <w:lang w:val="en-US" w:eastAsia="zh-CN"/>
        </w:rPr>
        <w:t>”</w:t>
      </w:r>
      <w:r>
        <w:rPr>
          <w:rFonts w:hint="default" w:cs="Times New Roman"/>
          <w:b/>
          <w:bCs/>
          <w:color w:val="auto"/>
          <w:kern w:val="0"/>
          <w:sz w:val="28"/>
          <w:szCs w:val="28"/>
          <w:highlight w:val="none"/>
          <w:lang w:val="en-US" w:eastAsia="zh-CN"/>
        </w:rPr>
        <w:t>相符性</w:t>
      </w:r>
    </w:p>
    <w:p>
      <w:pPr>
        <w:pStyle w:val="36"/>
        <w:keepNext w:val="0"/>
        <w:keepLines w:val="0"/>
        <w:pageBreakBefore w:val="0"/>
        <w:widowControl w:val="0"/>
        <w:kinsoku/>
        <w:wordWrap/>
        <w:overflowPunct/>
        <w:topLinePunct w:val="0"/>
        <w:autoSpaceDE/>
        <w:autoSpaceDN/>
        <w:bidi w:val="0"/>
        <w:adjustRightInd/>
        <w:snapToGrid/>
        <w:ind w:firstLine="482"/>
        <w:textAlignment w:val="auto"/>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本项目与</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三线一单</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符合性分析详见下表。</w:t>
      </w:r>
    </w:p>
    <w:p>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4"/>
          <w:highlight w:val="none"/>
          <w:lang w:val="zh-CN" w:eastAsia="zh-CN"/>
        </w:rPr>
      </w:pPr>
      <w:r>
        <w:rPr>
          <w:rFonts w:hint="default" w:ascii="Times New Roman" w:hAnsi="Times New Roman" w:eastAsia="宋体" w:cs="Times New Roman"/>
          <w:b/>
          <w:color w:val="auto"/>
          <w:sz w:val="24"/>
          <w:highlight w:val="none"/>
          <w:lang w:val="zh-CN" w:eastAsia="zh-CN"/>
        </w:rPr>
        <w:t>表</w:t>
      </w:r>
      <w:r>
        <w:rPr>
          <w:rFonts w:hint="default" w:ascii="Times New Roman" w:hAnsi="Times New Roman" w:eastAsia="宋体" w:cs="Times New Roman"/>
          <w:b/>
          <w:color w:val="auto"/>
          <w:sz w:val="24"/>
          <w:highlight w:val="none"/>
          <w:lang w:val="en-US" w:eastAsia="zh-CN"/>
        </w:rPr>
        <w:t xml:space="preserve">1.5-3  </w:t>
      </w:r>
      <w:r>
        <w:rPr>
          <w:rFonts w:hint="default" w:ascii="Times New Roman" w:hAnsi="Times New Roman" w:eastAsia="宋体" w:cs="Times New Roman"/>
          <w:b/>
          <w:color w:val="auto"/>
          <w:sz w:val="24"/>
          <w:highlight w:val="none"/>
          <w:lang w:val="zh-CN" w:eastAsia="zh-CN"/>
        </w:rPr>
        <w:t>与</w:t>
      </w:r>
      <w:r>
        <w:rPr>
          <w:rFonts w:hint="eastAsia" w:cs="Times New Roman"/>
          <w:b/>
          <w:color w:val="auto"/>
          <w:sz w:val="24"/>
          <w:highlight w:val="none"/>
          <w:lang w:val="zh-CN" w:eastAsia="zh-CN"/>
        </w:rPr>
        <w:t>“</w:t>
      </w:r>
      <w:r>
        <w:rPr>
          <w:rFonts w:hint="default" w:ascii="Times New Roman" w:hAnsi="Times New Roman" w:eastAsia="宋体" w:cs="Times New Roman"/>
          <w:b/>
          <w:color w:val="auto"/>
          <w:sz w:val="24"/>
          <w:highlight w:val="none"/>
          <w:lang w:val="en-US" w:eastAsia="zh-CN"/>
        </w:rPr>
        <w:t>三线一单</w:t>
      </w:r>
      <w:r>
        <w:rPr>
          <w:rFonts w:hint="eastAsia" w:cs="Times New Roman"/>
          <w:b/>
          <w:color w:val="auto"/>
          <w:sz w:val="24"/>
          <w:highlight w:val="none"/>
          <w:lang w:val="zh-CN" w:eastAsia="zh-CN"/>
        </w:rPr>
        <w:t>”</w:t>
      </w:r>
      <w:r>
        <w:rPr>
          <w:rFonts w:hint="default" w:ascii="Times New Roman" w:hAnsi="Times New Roman" w:eastAsia="宋体" w:cs="Times New Roman"/>
          <w:b/>
          <w:color w:val="auto"/>
          <w:sz w:val="24"/>
          <w:highlight w:val="none"/>
          <w:lang w:val="zh-CN" w:eastAsia="zh-CN"/>
        </w:rPr>
        <w:t>符合性分析</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76"/>
        <w:gridCol w:w="71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96" w:type="dxa"/>
            <w:noWrap w:val="0"/>
            <w:vAlign w:val="center"/>
          </w:tcPr>
          <w:p>
            <w:pPr>
              <w:adjustRightInd/>
              <w:spacing w:line="240" w:lineRule="atLeast"/>
              <w:ind w:firstLine="0" w:firstLineChars="0"/>
              <w:jc w:val="center"/>
              <w:rPr>
                <w:rFonts w:hint="default" w:ascii="Times New Roman" w:hAnsi="Times New Roman" w:eastAsia="宋体"/>
                <w:color w:val="auto"/>
                <w:sz w:val="21"/>
                <w:szCs w:val="21"/>
                <w:highlight w:val="none"/>
                <w:lang w:val="en-US" w:eastAsia="zh-CN"/>
              </w:rPr>
            </w:pPr>
            <w:r>
              <w:rPr>
                <w:rFonts w:hint="default" w:ascii="Times New Roman" w:hAnsi="Times New Roman"/>
                <w:color w:val="auto"/>
                <w:sz w:val="21"/>
                <w:szCs w:val="21"/>
                <w:highlight w:val="none"/>
                <w:lang w:val="en-US" w:eastAsia="zh-CN"/>
              </w:rPr>
              <w:t>内容</w:t>
            </w:r>
          </w:p>
        </w:tc>
        <w:tc>
          <w:tcPr>
            <w:tcW w:w="6196" w:type="dxa"/>
            <w:noWrap w:val="0"/>
            <w:vAlign w:val="center"/>
          </w:tcPr>
          <w:p>
            <w:pPr>
              <w:adjustRightInd/>
              <w:spacing w:line="240" w:lineRule="atLeast"/>
              <w:ind w:firstLine="0" w:firstLineChars="0"/>
              <w:jc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96" w:type="dxa"/>
            <w:noWrap w:val="0"/>
            <w:vAlign w:val="center"/>
          </w:tcPr>
          <w:p>
            <w:pPr>
              <w:adjustRightInd/>
              <w:spacing w:line="240" w:lineRule="atLeast"/>
              <w:ind w:firstLine="0" w:firstLineChars="0"/>
              <w:jc w:val="center"/>
              <w:rPr>
                <w:rFonts w:hint="default" w:ascii="Times New Roman" w:hAnsi="Times New Roman" w:eastAsia="宋体"/>
                <w:color w:val="auto"/>
                <w:sz w:val="21"/>
                <w:szCs w:val="21"/>
                <w:highlight w:val="none"/>
                <w:lang w:val="en-US" w:eastAsia="zh-CN"/>
              </w:rPr>
            </w:pPr>
            <w:r>
              <w:rPr>
                <w:rFonts w:hint="default" w:ascii="Times New Roman" w:hAnsi="Times New Roman"/>
                <w:color w:val="auto"/>
                <w:sz w:val="21"/>
                <w:szCs w:val="21"/>
                <w:highlight w:val="none"/>
                <w:lang w:val="en-US" w:eastAsia="zh-CN"/>
              </w:rPr>
              <w:t>生态保护红线</w:t>
            </w:r>
          </w:p>
        </w:tc>
        <w:tc>
          <w:tcPr>
            <w:tcW w:w="6196" w:type="dxa"/>
            <w:noWrap w:val="0"/>
            <w:vAlign w:val="center"/>
          </w:tcPr>
          <w:p>
            <w:pPr>
              <w:adjustRightInd/>
              <w:spacing w:line="240" w:lineRule="atLeast"/>
              <w:ind w:firstLine="0" w:firstLineChars="0"/>
              <w:jc w:val="left"/>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本项目位于衡阳市湘江东岸（龙家坪路-冶金中路）风光带和东洲岛景区范围内，本项目未占用生态</w:t>
            </w:r>
            <w:r>
              <w:rPr>
                <w:rFonts w:hint="eastAsia"/>
                <w:color w:val="auto"/>
                <w:sz w:val="21"/>
                <w:szCs w:val="21"/>
                <w:highlight w:val="none"/>
                <w:lang w:val="en-US" w:eastAsia="zh-CN"/>
              </w:rPr>
              <w:t>保护</w:t>
            </w:r>
            <w:r>
              <w:rPr>
                <w:rFonts w:hint="default" w:ascii="Times New Roman" w:hAnsi="Times New Roman" w:eastAsia="宋体"/>
                <w:color w:val="auto"/>
                <w:sz w:val="21"/>
                <w:szCs w:val="21"/>
                <w:highlight w:val="none"/>
                <w:lang w:val="en-US" w:eastAsia="zh-CN"/>
              </w:rPr>
              <w:t>红线区域，因此，符合生态红线区域保护规划的要求。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96" w:type="dxa"/>
            <w:noWrap w:val="0"/>
            <w:vAlign w:val="center"/>
          </w:tcPr>
          <w:p>
            <w:pPr>
              <w:adjustRightInd/>
              <w:spacing w:line="240" w:lineRule="atLeast"/>
              <w:ind w:firstLine="0" w:firstLineChars="0"/>
              <w:jc w:val="center"/>
              <w:rPr>
                <w:rFonts w:hint="default" w:ascii="Times New Roman" w:hAnsi="Times New Roman" w:eastAsia="宋体"/>
                <w:color w:val="auto"/>
                <w:sz w:val="21"/>
                <w:szCs w:val="21"/>
                <w:highlight w:val="none"/>
                <w:lang w:val="en-US" w:eastAsia="zh-CN"/>
              </w:rPr>
            </w:pPr>
            <w:r>
              <w:rPr>
                <w:rFonts w:hint="default" w:ascii="Times New Roman" w:hAnsi="Times New Roman"/>
                <w:color w:val="auto"/>
                <w:sz w:val="21"/>
                <w:szCs w:val="21"/>
                <w:highlight w:val="none"/>
                <w:lang w:val="en-US" w:eastAsia="zh-CN"/>
              </w:rPr>
              <w:t>资源利用上线</w:t>
            </w:r>
          </w:p>
        </w:tc>
        <w:tc>
          <w:tcPr>
            <w:tcW w:w="6196" w:type="dxa"/>
            <w:noWrap w:val="0"/>
            <w:vAlign w:val="center"/>
          </w:tcPr>
          <w:p>
            <w:pPr>
              <w:autoSpaceDE w:val="0"/>
              <w:autoSpaceDN w:val="0"/>
              <w:snapToGrid/>
              <w:spacing w:line="240" w:lineRule="auto"/>
              <w:ind w:firstLine="0" w:firstLineChars="0"/>
              <w:jc w:val="left"/>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项目占地均在规划用地范围内，未占用规划范围外的用地，不会突破区域土地资源上限；使用的资源主要为电和水，用电依托当地电网供电，生产用水与生活用水来自自来水，项目资源消耗量相对区域资源利用总量较少，符合资源利用上限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96" w:type="dxa"/>
            <w:noWrap w:val="0"/>
            <w:vAlign w:val="center"/>
          </w:tcPr>
          <w:p>
            <w:pPr>
              <w:adjustRightInd/>
              <w:spacing w:line="240" w:lineRule="atLeast"/>
              <w:ind w:firstLine="0" w:firstLineChars="0"/>
              <w:jc w:val="center"/>
              <w:rPr>
                <w:rFonts w:hint="default" w:ascii="Times New Roman" w:hAnsi="Times New Roman" w:eastAsia="宋体"/>
                <w:color w:val="auto"/>
                <w:sz w:val="21"/>
                <w:szCs w:val="21"/>
                <w:highlight w:val="none"/>
                <w:lang w:val="en-US" w:eastAsia="zh-CN"/>
              </w:rPr>
            </w:pPr>
            <w:r>
              <w:rPr>
                <w:rFonts w:hint="default" w:ascii="Times New Roman" w:hAnsi="Times New Roman"/>
                <w:color w:val="auto"/>
                <w:sz w:val="21"/>
                <w:szCs w:val="21"/>
                <w:highlight w:val="none"/>
                <w:lang w:val="en-US" w:eastAsia="zh-CN"/>
              </w:rPr>
              <w:t>环境质量底线</w:t>
            </w:r>
          </w:p>
        </w:tc>
        <w:tc>
          <w:tcPr>
            <w:tcW w:w="6196" w:type="dxa"/>
            <w:noWrap w:val="0"/>
            <w:vAlign w:val="center"/>
          </w:tcPr>
          <w:p>
            <w:pPr>
              <w:autoSpaceDE w:val="0"/>
              <w:autoSpaceDN w:val="0"/>
              <w:snapToGrid/>
              <w:spacing w:line="240" w:lineRule="auto"/>
              <w:ind w:firstLine="0" w:firstLineChars="0"/>
              <w:jc w:val="left"/>
              <w:rPr>
                <w:rFonts w:hint="default" w:ascii="Times New Roman" w:hAnsi="Times New Roman" w:eastAsia="宋体"/>
                <w:color w:val="auto"/>
                <w:sz w:val="21"/>
                <w:szCs w:val="21"/>
                <w:highlight w:val="none"/>
                <w:lang w:eastAsia="zh-CN"/>
              </w:rPr>
            </w:pPr>
            <w:r>
              <w:rPr>
                <w:rFonts w:hint="default" w:ascii="Times New Roman" w:hAnsi="Times New Roman" w:eastAsia="宋体"/>
                <w:color w:val="auto"/>
                <w:sz w:val="21"/>
                <w:szCs w:val="21"/>
                <w:highlight w:val="none"/>
                <w:lang w:eastAsia="zh-CN"/>
              </w:rPr>
              <w:t>本项目所在区域属于环境空气质量达标区，本项目所在区域大气环境质量满足《环境空气质量标准》（GB3095-2012）中二级标准要求；区域地表水满足《地表水环境质量标准》（GB3838-2002）中相应标准要求；区域声环境能达到《声环境质量标准》（GB3096-2008）中4a类、2类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96" w:type="dxa"/>
            <w:noWrap w:val="0"/>
            <w:vAlign w:val="center"/>
          </w:tcPr>
          <w:p>
            <w:pPr>
              <w:adjustRightInd/>
              <w:spacing w:line="240" w:lineRule="atLeast"/>
              <w:ind w:firstLine="0" w:firstLineChars="0"/>
              <w:jc w:val="center"/>
              <w:rPr>
                <w:rFonts w:hint="default" w:ascii="Times New Roman" w:hAnsi="Times New Roman" w:eastAsia="宋体"/>
                <w:color w:val="auto"/>
                <w:sz w:val="21"/>
                <w:szCs w:val="21"/>
                <w:highlight w:val="none"/>
                <w:lang w:val="en-US" w:eastAsia="zh-CN"/>
              </w:rPr>
            </w:pPr>
            <w:r>
              <w:rPr>
                <w:rFonts w:hint="default" w:ascii="Times New Roman" w:hAnsi="Times New Roman"/>
                <w:color w:val="auto"/>
                <w:sz w:val="21"/>
                <w:szCs w:val="21"/>
                <w:highlight w:val="none"/>
                <w:lang w:val="en-US" w:eastAsia="zh-CN"/>
              </w:rPr>
              <w:t>负面清单</w:t>
            </w:r>
          </w:p>
        </w:tc>
        <w:tc>
          <w:tcPr>
            <w:tcW w:w="6196" w:type="dxa"/>
            <w:noWrap w:val="0"/>
            <w:vAlign w:val="center"/>
          </w:tcPr>
          <w:p>
            <w:pPr>
              <w:autoSpaceDE w:val="0"/>
              <w:autoSpaceDN w:val="0"/>
              <w:snapToGrid/>
              <w:spacing w:line="240" w:lineRule="auto"/>
              <w:ind w:firstLine="0" w:firstLineChars="0"/>
              <w:jc w:val="left"/>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本项目符合国家和地方产业政策，位于衡阳市湘江东岸（龙家坪路-冶金中路）风光带和东洲岛景区范围内，不在《湖南省国家重点生态功能区产业准入负面清单》内，符合相关规划和要求。</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26" w:name="_Toc27855"/>
      <w:bookmarkStart w:id="27" w:name="_Toc6143"/>
      <w:r>
        <w:rPr>
          <w:rFonts w:hint="default" w:cs="Times New Roman"/>
          <w:b/>
          <w:bCs/>
          <w:color w:val="auto"/>
          <w:kern w:val="0"/>
          <w:sz w:val="28"/>
          <w:szCs w:val="28"/>
          <w:highlight w:val="none"/>
          <w:lang w:val="en-US" w:eastAsia="zh-CN"/>
        </w:rPr>
        <w:t>1.5.4与衡阳市</w:t>
      </w:r>
      <w:r>
        <w:rPr>
          <w:rFonts w:hint="eastAsia" w:cs="Times New Roman"/>
          <w:b/>
          <w:bCs/>
          <w:color w:val="auto"/>
          <w:kern w:val="0"/>
          <w:sz w:val="28"/>
          <w:szCs w:val="28"/>
          <w:highlight w:val="none"/>
          <w:lang w:val="en-US" w:eastAsia="zh-CN"/>
        </w:rPr>
        <w:t>“</w:t>
      </w:r>
      <w:r>
        <w:rPr>
          <w:rFonts w:hint="default" w:cs="Times New Roman"/>
          <w:b/>
          <w:bCs/>
          <w:color w:val="auto"/>
          <w:kern w:val="0"/>
          <w:sz w:val="28"/>
          <w:szCs w:val="28"/>
          <w:highlight w:val="none"/>
          <w:lang w:val="en-US" w:eastAsia="zh-CN"/>
        </w:rPr>
        <w:t>三线一单</w:t>
      </w:r>
      <w:r>
        <w:rPr>
          <w:rFonts w:hint="eastAsia" w:cs="Times New Roman"/>
          <w:b/>
          <w:bCs/>
          <w:color w:val="auto"/>
          <w:kern w:val="0"/>
          <w:sz w:val="28"/>
          <w:szCs w:val="28"/>
          <w:highlight w:val="none"/>
          <w:lang w:val="en-US" w:eastAsia="zh-CN"/>
        </w:rPr>
        <w:t>”</w:t>
      </w:r>
      <w:r>
        <w:rPr>
          <w:rFonts w:hint="default" w:cs="Times New Roman"/>
          <w:b/>
          <w:bCs/>
          <w:color w:val="auto"/>
          <w:kern w:val="0"/>
          <w:sz w:val="28"/>
          <w:szCs w:val="28"/>
          <w:highlight w:val="none"/>
          <w:lang w:val="en-US" w:eastAsia="zh-CN"/>
        </w:rPr>
        <w:t>生态环境分区管控符合性分析</w:t>
      </w:r>
    </w:p>
    <w:p>
      <w:pPr>
        <w:pStyle w:val="36"/>
        <w:keepNext w:val="0"/>
        <w:keepLines w:val="0"/>
        <w:pageBreakBefore w:val="0"/>
        <w:widowControl w:val="0"/>
        <w:kinsoku/>
        <w:wordWrap/>
        <w:overflowPunct/>
        <w:topLinePunct w:val="0"/>
        <w:autoSpaceDE/>
        <w:autoSpaceDN/>
        <w:bidi w:val="0"/>
        <w:adjustRightInd/>
        <w:snapToGrid/>
        <w:ind w:firstLine="482"/>
        <w:textAlignment w:val="auto"/>
        <w:rPr>
          <w:rFonts w:hint="default"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rPr>
        <w:t>根据《</w:t>
      </w:r>
      <w:r>
        <w:rPr>
          <w:rFonts w:hint="default" w:ascii="Times New Roman" w:hAnsi="Times New Roman" w:eastAsia="宋体" w:cs="Times New Roman"/>
          <w:color w:val="auto"/>
          <w:sz w:val="24"/>
          <w:highlight w:val="none"/>
          <w:u w:val="none"/>
          <w:lang w:val="en-US" w:eastAsia="zh-CN"/>
        </w:rPr>
        <w:t>衡阳市</w:t>
      </w:r>
      <w:r>
        <w:rPr>
          <w:rFonts w:hint="eastAsia"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三线一单</w:t>
      </w:r>
      <w:r>
        <w:rPr>
          <w:rFonts w:hint="eastAsia"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生态环境分区管控方案》，本项目</w:t>
      </w:r>
      <w:r>
        <w:rPr>
          <w:rFonts w:hint="default" w:cs="Times New Roman"/>
          <w:color w:val="auto"/>
          <w:sz w:val="24"/>
          <w:highlight w:val="none"/>
          <w:u w:val="none"/>
          <w:lang w:val="en-US" w:eastAsia="zh-CN"/>
        </w:rPr>
        <w:t>位于衡阳市珠晖区和雁峰区，本项目与上述管控单元的生态环境准入清单的符合性分析见下表。</w:t>
      </w:r>
    </w:p>
    <w:p>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zh-CN" w:eastAsia="zh-CN"/>
        </w:rPr>
        <w:t>表</w:t>
      </w:r>
      <w:r>
        <w:rPr>
          <w:rFonts w:hint="default" w:ascii="Times New Roman" w:hAnsi="Times New Roman" w:eastAsia="宋体" w:cs="Times New Roman"/>
          <w:b/>
          <w:color w:val="auto"/>
          <w:sz w:val="24"/>
          <w:highlight w:val="none"/>
          <w:lang w:val="en-US" w:eastAsia="zh-CN"/>
        </w:rPr>
        <w:t>1.5-4  本项目珠晖区环境管控单元的符合性分析</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751"/>
        <w:gridCol w:w="751"/>
        <w:gridCol w:w="753"/>
        <w:gridCol w:w="5132"/>
        <w:gridCol w:w="17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blHeader/>
          <w:jc w:val="center"/>
        </w:trPr>
        <w:tc>
          <w:tcPr>
            <w:tcW w:w="658" w:type="dxa"/>
            <w:tcBorders>
              <w:tl2br w:val="nil"/>
              <w:tr2bl w:val="nil"/>
            </w:tcBorders>
            <w:noWrap w:val="0"/>
            <w:vAlign w:val="center"/>
          </w:tcPr>
          <w:p>
            <w:pPr>
              <w:adjustRightInd w:val="0"/>
              <w:snapToGrid w:val="0"/>
              <w:jc w:val="center"/>
              <w:rPr>
                <w:rFonts w:hint="default" w:eastAsia="宋体"/>
                <w:b/>
                <w:color w:val="auto"/>
                <w:kern w:val="0"/>
                <w:szCs w:val="21"/>
                <w:lang w:val="en-US" w:eastAsia="zh-CN"/>
              </w:rPr>
            </w:pPr>
            <w:r>
              <w:rPr>
                <w:rFonts w:hint="default"/>
                <w:b/>
                <w:color w:val="auto"/>
                <w:kern w:val="0"/>
                <w:szCs w:val="21"/>
                <w:lang w:val="en-US" w:eastAsia="zh-CN"/>
              </w:rPr>
              <w:t>管控区域</w:t>
            </w:r>
          </w:p>
        </w:tc>
        <w:tc>
          <w:tcPr>
            <w:tcW w:w="658" w:type="dxa"/>
            <w:tcBorders>
              <w:tl2br w:val="nil"/>
              <w:tr2bl w:val="nil"/>
            </w:tcBorders>
            <w:noWrap w:val="0"/>
            <w:vAlign w:val="center"/>
          </w:tcPr>
          <w:p>
            <w:pPr>
              <w:adjustRightInd w:val="0"/>
              <w:snapToGrid w:val="0"/>
              <w:jc w:val="center"/>
              <w:rPr>
                <w:rFonts w:hint="default" w:eastAsia="宋体"/>
                <w:b/>
                <w:color w:val="auto"/>
                <w:kern w:val="0"/>
                <w:szCs w:val="21"/>
                <w:lang w:val="en-US" w:eastAsia="zh-CN"/>
              </w:rPr>
            </w:pPr>
            <w:r>
              <w:rPr>
                <w:rFonts w:hint="default"/>
                <w:b/>
                <w:color w:val="auto"/>
                <w:kern w:val="0"/>
                <w:szCs w:val="21"/>
                <w:lang w:val="en-US" w:eastAsia="zh-CN"/>
              </w:rPr>
              <w:t>单元分类</w:t>
            </w:r>
          </w:p>
        </w:tc>
        <w:tc>
          <w:tcPr>
            <w:tcW w:w="660" w:type="dxa"/>
            <w:tcBorders>
              <w:tl2br w:val="nil"/>
              <w:tr2bl w:val="nil"/>
            </w:tcBorders>
            <w:noWrap w:val="0"/>
            <w:vAlign w:val="center"/>
          </w:tcPr>
          <w:p>
            <w:pPr>
              <w:adjustRightInd w:val="0"/>
              <w:snapToGrid w:val="0"/>
              <w:jc w:val="center"/>
              <w:rPr>
                <w:b/>
                <w:color w:val="auto"/>
                <w:kern w:val="0"/>
                <w:szCs w:val="21"/>
              </w:rPr>
            </w:pPr>
            <w:r>
              <w:rPr>
                <w:b/>
                <w:color w:val="auto"/>
                <w:kern w:val="0"/>
                <w:szCs w:val="21"/>
              </w:rPr>
              <w:t>管控</w:t>
            </w:r>
          </w:p>
          <w:p>
            <w:pPr>
              <w:adjustRightInd w:val="0"/>
              <w:snapToGrid w:val="0"/>
              <w:jc w:val="center"/>
              <w:rPr>
                <w:b/>
                <w:color w:val="auto"/>
                <w:kern w:val="0"/>
                <w:szCs w:val="21"/>
              </w:rPr>
            </w:pPr>
            <w:r>
              <w:rPr>
                <w:b/>
                <w:color w:val="auto"/>
                <w:kern w:val="0"/>
                <w:szCs w:val="21"/>
              </w:rPr>
              <w:t>维度</w:t>
            </w:r>
          </w:p>
        </w:tc>
        <w:tc>
          <w:tcPr>
            <w:tcW w:w="4496" w:type="dxa"/>
            <w:tcBorders>
              <w:tl2br w:val="nil"/>
              <w:tr2bl w:val="nil"/>
            </w:tcBorders>
            <w:noWrap w:val="0"/>
            <w:vAlign w:val="center"/>
          </w:tcPr>
          <w:p>
            <w:pPr>
              <w:adjustRightInd w:val="0"/>
              <w:snapToGrid w:val="0"/>
              <w:jc w:val="center"/>
              <w:rPr>
                <w:b/>
                <w:color w:val="auto"/>
                <w:kern w:val="0"/>
                <w:szCs w:val="21"/>
              </w:rPr>
            </w:pPr>
            <w:r>
              <w:rPr>
                <w:b/>
                <w:color w:val="auto"/>
                <w:kern w:val="0"/>
                <w:szCs w:val="21"/>
              </w:rPr>
              <w:t>管控要求</w:t>
            </w:r>
          </w:p>
        </w:tc>
        <w:tc>
          <w:tcPr>
            <w:tcW w:w="1525" w:type="dxa"/>
            <w:tcBorders>
              <w:tl2br w:val="nil"/>
              <w:tr2bl w:val="nil"/>
            </w:tcBorders>
            <w:noWrap w:val="0"/>
            <w:vAlign w:val="center"/>
          </w:tcPr>
          <w:p>
            <w:pPr>
              <w:adjustRightInd w:val="0"/>
              <w:snapToGrid w:val="0"/>
              <w:jc w:val="center"/>
              <w:rPr>
                <w:rFonts w:hint="default" w:eastAsia="宋体"/>
                <w:b/>
                <w:color w:val="auto"/>
                <w:kern w:val="0"/>
                <w:szCs w:val="21"/>
                <w:lang w:val="en-US" w:eastAsia="zh-CN"/>
              </w:rPr>
            </w:pPr>
            <w:r>
              <w:rPr>
                <w:rFonts w:hint="default"/>
                <w:b/>
                <w:color w:val="auto"/>
                <w:kern w:val="0"/>
                <w:szCs w:val="21"/>
                <w:lang w:val="en-US" w:eastAsia="zh-CN"/>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658" w:type="dxa"/>
            <w:vMerge w:val="restart"/>
            <w:tcBorders>
              <w:tl2br w:val="nil"/>
              <w:tr2bl w:val="nil"/>
            </w:tcBorders>
            <w:noWrap w:val="0"/>
            <w:vAlign w:val="center"/>
          </w:tcPr>
          <w:p>
            <w:pPr>
              <w:adjustRightInd w:val="0"/>
              <w:snapToGrid w:val="0"/>
              <w:jc w:val="center"/>
              <w:rPr>
                <w:rFonts w:hint="default"/>
                <w:b/>
                <w:bCs/>
                <w:color w:val="auto"/>
                <w:kern w:val="0"/>
                <w:szCs w:val="21"/>
                <w:lang w:val="en-US" w:eastAsia="zh-CN"/>
              </w:rPr>
            </w:pPr>
            <w:r>
              <w:rPr>
                <w:rFonts w:hint="default"/>
                <w:b/>
                <w:bCs/>
                <w:color w:val="auto"/>
                <w:kern w:val="0"/>
                <w:szCs w:val="21"/>
                <w:lang w:val="en-US" w:eastAsia="zh-CN"/>
              </w:rPr>
              <w:t>珠</w:t>
            </w:r>
          </w:p>
          <w:p>
            <w:pPr>
              <w:adjustRightInd w:val="0"/>
              <w:snapToGrid w:val="0"/>
              <w:jc w:val="center"/>
              <w:rPr>
                <w:rFonts w:hint="default"/>
                <w:b/>
                <w:bCs/>
                <w:color w:val="auto"/>
                <w:kern w:val="0"/>
                <w:szCs w:val="21"/>
                <w:lang w:val="en-US" w:eastAsia="zh-CN"/>
              </w:rPr>
            </w:pPr>
            <w:r>
              <w:rPr>
                <w:rFonts w:hint="default"/>
                <w:b/>
                <w:bCs/>
                <w:color w:val="auto"/>
                <w:kern w:val="0"/>
                <w:szCs w:val="21"/>
                <w:lang w:val="en-US" w:eastAsia="zh-CN"/>
              </w:rPr>
              <w:t>晖</w:t>
            </w:r>
          </w:p>
          <w:p>
            <w:pPr>
              <w:adjustRightInd w:val="0"/>
              <w:snapToGrid w:val="0"/>
              <w:jc w:val="center"/>
              <w:rPr>
                <w:rFonts w:hint="default" w:eastAsia="宋体"/>
                <w:color w:val="auto"/>
                <w:kern w:val="0"/>
                <w:szCs w:val="21"/>
                <w:lang w:val="en-US" w:eastAsia="zh-CN"/>
              </w:rPr>
            </w:pPr>
            <w:r>
              <w:rPr>
                <w:rFonts w:hint="default"/>
                <w:b/>
                <w:bCs/>
                <w:color w:val="auto"/>
                <w:kern w:val="0"/>
                <w:szCs w:val="21"/>
                <w:lang w:val="en-US" w:eastAsia="zh-CN"/>
              </w:rPr>
              <w:t>区</w:t>
            </w:r>
          </w:p>
        </w:tc>
        <w:tc>
          <w:tcPr>
            <w:tcW w:w="658" w:type="dxa"/>
            <w:vMerge w:val="restart"/>
            <w:tcBorders>
              <w:tl2br w:val="nil"/>
              <w:tr2bl w:val="nil"/>
            </w:tcBorders>
            <w:noWrap w:val="0"/>
            <w:vAlign w:val="center"/>
          </w:tcPr>
          <w:p>
            <w:pPr>
              <w:adjustRightInd w:val="0"/>
              <w:snapToGrid w:val="0"/>
              <w:jc w:val="center"/>
              <w:rPr>
                <w:rFonts w:hint="default" w:eastAsia="宋体"/>
                <w:color w:val="auto"/>
                <w:kern w:val="0"/>
                <w:szCs w:val="21"/>
                <w:lang w:val="en-US" w:eastAsia="zh-CN"/>
              </w:rPr>
            </w:pPr>
            <w:r>
              <w:rPr>
                <w:rFonts w:hint="default"/>
                <w:color w:val="auto"/>
                <w:kern w:val="0"/>
                <w:szCs w:val="21"/>
                <w:lang w:val="en-US" w:eastAsia="zh-CN"/>
              </w:rPr>
              <w:t>重点管控单元</w:t>
            </w:r>
          </w:p>
        </w:tc>
        <w:tc>
          <w:tcPr>
            <w:tcW w:w="660" w:type="dxa"/>
            <w:tcBorders>
              <w:tl2br w:val="nil"/>
              <w:tr2bl w:val="nil"/>
            </w:tcBorders>
            <w:noWrap w:val="0"/>
            <w:vAlign w:val="center"/>
          </w:tcPr>
          <w:p>
            <w:pPr>
              <w:adjustRightInd w:val="0"/>
              <w:snapToGrid w:val="0"/>
              <w:jc w:val="center"/>
              <w:rPr>
                <w:color w:val="auto"/>
                <w:kern w:val="0"/>
                <w:szCs w:val="21"/>
              </w:rPr>
            </w:pPr>
            <w:r>
              <w:rPr>
                <w:color w:val="auto"/>
                <w:kern w:val="0"/>
                <w:szCs w:val="21"/>
              </w:rPr>
              <w:t>空间布局约束</w:t>
            </w:r>
          </w:p>
        </w:tc>
        <w:tc>
          <w:tcPr>
            <w:tcW w:w="449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（1.1）新建工业企业原则上都应在工业园区内建设并符合相关规划和园区定位，现有重污染行业企业要限期搬入产业对口园区；</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（1.2）禁止侵占自然湿地等水源涵养空间，已侵占的要限期予以恢复；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 xml:space="preserve">（1.3）基本完成城市建成区重污染企业搬迁改造，制定重点行业淘汰落后产能实施方案，结合化解过剩产能和企业兼并重组，加快产业布局调整。强化主体功能区划约束，科学制定重点行业发展规划； </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color w:val="auto"/>
                <w:kern w:val="0"/>
                <w:szCs w:val="21"/>
              </w:rPr>
            </w:pPr>
            <w:r>
              <w:rPr>
                <w:rFonts w:hint="default"/>
                <w:color w:val="auto"/>
                <w:kern w:val="0"/>
                <w:szCs w:val="21"/>
              </w:rPr>
              <w:t>（1.4）水产种质资源保护区按《水产种质资源保护区管理暂行办法》要求管理。</w:t>
            </w:r>
          </w:p>
        </w:tc>
        <w:tc>
          <w:tcPr>
            <w:tcW w:w="15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eastAsia="宋体"/>
                <w:color w:val="auto"/>
                <w:kern w:val="0"/>
                <w:szCs w:val="21"/>
                <w:lang w:val="en-US" w:eastAsia="zh-CN"/>
              </w:rPr>
            </w:pPr>
            <w:r>
              <w:rPr>
                <w:rFonts w:hint="default"/>
                <w:color w:val="auto"/>
                <w:kern w:val="0"/>
                <w:szCs w:val="21"/>
                <w:lang w:val="en-US" w:eastAsia="zh-CN"/>
              </w:rPr>
              <w:t>本项目不属于工业项目，不侵占自然湿地等水源涵养空间，项目建设涉及湘江四大家鱼水产种质资源保护区，按</w:t>
            </w:r>
            <w:r>
              <w:rPr>
                <w:rFonts w:hint="default"/>
                <w:color w:val="auto"/>
                <w:kern w:val="0"/>
                <w:szCs w:val="21"/>
              </w:rPr>
              <w:t>《水产种质资源保护区管理暂行办法》要求管理</w:t>
            </w:r>
            <w:r>
              <w:rPr>
                <w:rFonts w:hint="default"/>
                <w:color w:val="auto"/>
                <w:kern w:val="0"/>
                <w:szCs w:val="21"/>
                <w:lang w:val="en-US" w:eastAsia="zh-CN"/>
              </w:rPr>
              <w:t>。符合空间约束布局要求。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60" w:type="dxa"/>
            <w:tcBorders>
              <w:tl2br w:val="nil"/>
              <w:tr2bl w:val="nil"/>
            </w:tcBorders>
            <w:noWrap w:val="0"/>
            <w:vAlign w:val="center"/>
          </w:tcPr>
          <w:p>
            <w:pPr>
              <w:adjustRightInd w:val="0"/>
              <w:snapToGrid w:val="0"/>
              <w:jc w:val="center"/>
              <w:rPr>
                <w:color w:val="auto"/>
                <w:kern w:val="0"/>
                <w:szCs w:val="21"/>
              </w:rPr>
            </w:pPr>
            <w:r>
              <w:rPr>
                <w:color w:val="auto"/>
                <w:kern w:val="0"/>
                <w:szCs w:val="21"/>
              </w:rPr>
              <w:t>污染物排放管控</w:t>
            </w:r>
          </w:p>
        </w:tc>
        <w:tc>
          <w:tcPr>
            <w:tcW w:w="449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2.1）积极推进雨污分流、老旧污水管网改造和破损修复等工作，加快消除城中村、老旧城区和城乡结合部生活污水收集处理设施空白区，显著提升城镇生活污水集中收集效能，2020年年底，城市污水处理率达到95%左右；全区乡镇基本实现污水处理设施全覆盖；对污水处理设施产生的污泥应进行稳定化、无害化和资源化处理处置，取缔非法污泥堆放点，2020年年底，城市污泥无害化处理处置率达到90%以上；</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2.2）因地制宜，统筹推进乡镇黑臭水体治理。建成区黑臭水体消除比例达到90%以上；以城市黑臭河道为重点，加快推进清淤疏浚。因地制宜实施排污口下游、主要入河口等区域人工湿地水质净化工程，在河道两侧建设植被缓冲带和隔离带；</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（2.3）2020年底前，全面完成</w:t>
            </w:r>
            <w:r>
              <w:rPr>
                <w:rFonts w:hint="eastAsia"/>
                <w:color w:val="auto"/>
                <w:kern w:val="0"/>
                <w:szCs w:val="21"/>
                <w:lang w:eastAsia="zh-CN"/>
              </w:rPr>
              <w:t>“</w:t>
            </w:r>
            <w:r>
              <w:rPr>
                <w:rFonts w:hint="default"/>
                <w:color w:val="auto"/>
                <w:kern w:val="0"/>
                <w:szCs w:val="21"/>
              </w:rPr>
              <w:t>散乱污</w:t>
            </w:r>
            <w:r>
              <w:rPr>
                <w:rFonts w:hint="eastAsia"/>
                <w:color w:val="auto"/>
                <w:kern w:val="0"/>
                <w:szCs w:val="21"/>
                <w:lang w:eastAsia="zh-CN"/>
              </w:rPr>
              <w:t>”</w:t>
            </w:r>
            <w:r>
              <w:rPr>
                <w:rFonts w:hint="default"/>
                <w:color w:val="auto"/>
                <w:kern w:val="0"/>
                <w:szCs w:val="21"/>
              </w:rPr>
              <w:t>企业及集群综合整治工作。依据</w:t>
            </w:r>
            <w:r>
              <w:rPr>
                <w:rFonts w:hint="eastAsia"/>
                <w:color w:val="auto"/>
                <w:kern w:val="0"/>
                <w:szCs w:val="21"/>
                <w:lang w:eastAsia="zh-CN"/>
              </w:rPr>
              <w:t>“</w:t>
            </w:r>
            <w:r>
              <w:rPr>
                <w:rFonts w:hint="default"/>
                <w:color w:val="auto"/>
                <w:kern w:val="0"/>
                <w:szCs w:val="21"/>
              </w:rPr>
              <w:t>散乱污</w:t>
            </w:r>
            <w:r>
              <w:rPr>
                <w:rFonts w:hint="eastAsia"/>
                <w:color w:val="auto"/>
                <w:kern w:val="0"/>
                <w:szCs w:val="21"/>
                <w:lang w:eastAsia="zh-CN"/>
              </w:rPr>
              <w:t>”</w:t>
            </w:r>
            <w:r>
              <w:rPr>
                <w:rFonts w:hint="default"/>
                <w:color w:val="auto"/>
                <w:kern w:val="0"/>
                <w:szCs w:val="21"/>
              </w:rPr>
              <w:t>企业整治清单，对改造措施为</w:t>
            </w:r>
            <w:r>
              <w:rPr>
                <w:rFonts w:hint="eastAsia"/>
                <w:color w:val="auto"/>
                <w:kern w:val="0"/>
                <w:szCs w:val="21"/>
                <w:lang w:eastAsia="zh-CN"/>
              </w:rPr>
              <w:t>“</w:t>
            </w:r>
            <w:r>
              <w:rPr>
                <w:rFonts w:hint="default"/>
                <w:color w:val="auto"/>
                <w:kern w:val="0"/>
                <w:szCs w:val="21"/>
              </w:rPr>
              <w:t>提升改造、整合搬迁</w:t>
            </w:r>
            <w:r>
              <w:rPr>
                <w:rFonts w:hint="eastAsia"/>
                <w:color w:val="auto"/>
                <w:kern w:val="0"/>
                <w:szCs w:val="21"/>
                <w:lang w:eastAsia="zh-CN"/>
              </w:rPr>
              <w:t>”</w:t>
            </w:r>
            <w:r>
              <w:rPr>
                <w:rFonts w:hint="default"/>
                <w:color w:val="auto"/>
                <w:kern w:val="0"/>
                <w:szCs w:val="21"/>
              </w:rPr>
              <w:t>的企业，依法依规完成分类整治工作，并防止</w:t>
            </w:r>
            <w:r>
              <w:rPr>
                <w:rFonts w:hint="eastAsia"/>
                <w:color w:val="auto"/>
                <w:kern w:val="0"/>
                <w:szCs w:val="21"/>
                <w:lang w:eastAsia="zh-CN"/>
              </w:rPr>
              <w:t>“</w:t>
            </w:r>
            <w:r>
              <w:rPr>
                <w:rFonts w:hint="default"/>
                <w:color w:val="auto"/>
                <w:kern w:val="0"/>
                <w:szCs w:val="21"/>
              </w:rPr>
              <w:t>散乱污</w:t>
            </w:r>
            <w:r>
              <w:rPr>
                <w:rFonts w:hint="eastAsia"/>
                <w:color w:val="auto"/>
                <w:kern w:val="0"/>
                <w:szCs w:val="21"/>
                <w:lang w:eastAsia="zh-CN"/>
              </w:rPr>
              <w:t>”</w:t>
            </w:r>
            <w:r>
              <w:rPr>
                <w:rFonts w:hint="default"/>
                <w:color w:val="auto"/>
                <w:kern w:val="0"/>
                <w:szCs w:val="21"/>
              </w:rPr>
              <w:t>企业死灰复燃和新的</w:t>
            </w:r>
            <w:r>
              <w:rPr>
                <w:rFonts w:hint="eastAsia"/>
                <w:color w:val="auto"/>
                <w:kern w:val="0"/>
                <w:szCs w:val="21"/>
                <w:lang w:eastAsia="zh-CN"/>
              </w:rPr>
              <w:t>“</w:t>
            </w:r>
            <w:r>
              <w:rPr>
                <w:rFonts w:hint="default"/>
                <w:color w:val="auto"/>
                <w:kern w:val="0"/>
                <w:szCs w:val="21"/>
              </w:rPr>
              <w:t>散乱污</w:t>
            </w:r>
            <w:r>
              <w:rPr>
                <w:rFonts w:hint="eastAsia"/>
                <w:color w:val="auto"/>
                <w:kern w:val="0"/>
                <w:szCs w:val="21"/>
                <w:lang w:eastAsia="zh-CN"/>
              </w:rPr>
              <w:t>”</w:t>
            </w:r>
            <w:r>
              <w:rPr>
                <w:rFonts w:hint="default"/>
                <w:color w:val="auto"/>
                <w:kern w:val="0"/>
                <w:szCs w:val="21"/>
              </w:rPr>
              <w:t>企业产生；</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2.4）以建材、化工等行业为重点，全面推进清洁生产技术改造，注重过程控制。积极推进建材、化工等重点行业以及符合政策予以保留的在用燃煤锅炉环保设施升级改造，实现连续稳定达标排放；按照《湖南省工业炉窑大气污染综合治理实施方案》要求，2020年，重点推进水泥、无机化工等行业炉窑深度治理；</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（2.5）按照《关于执行污染物特别排放限值（第一批）的公告》的要求，对全区水泥</w:t>
            </w:r>
            <w:r>
              <w:rPr>
                <w:rFonts w:hint="eastAsia"/>
                <w:color w:val="auto"/>
                <w:kern w:val="0"/>
                <w:szCs w:val="21"/>
                <w:lang w:eastAsia="zh-CN"/>
              </w:rPr>
              <w:t>等</w:t>
            </w:r>
            <w:r>
              <w:rPr>
                <w:rFonts w:hint="default"/>
                <w:color w:val="auto"/>
                <w:kern w:val="0"/>
                <w:szCs w:val="21"/>
              </w:rPr>
              <w:t>重点行业所有企业全面实施特别排放限值标准。对未实施改造，超标排放的企业，依法采取按日计罚、限制生产、停产整治等措施；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（2.6）2020年全区每小时65蒸吨及以上燃煤锅炉完成超低排放改造，完成湘衡盐化1台150蒸吨燃煤锅炉超低排放改造；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2.7）按照《湖南省挥发性有机物污染防治三年行动实施方案（2018—2020年）》要求，完成年排放量100吨以上包装印刷、工业涂装、家具制造等重点行业VOCs污染治理。2020年底前，加油站、储油库、油罐车基本完成油气回收治理工作；</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color w:val="auto"/>
                <w:kern w:val="0"/>
                <w:szCs w:val="21"/>
              </w:rPr>
            </w:pPr>
            <w:r>
              <w:rPr>
                <w:rFonts w:hint="default"/>
                <w:color w:val="auto"/>
                <w:kern w:val="0"/>
                <w:szCs w:val="21"/>
              </w:rPr>
              <w:t>（2.8）严格施工扬尘监管。严管餐饮油烟和城区垃圾焚烧。严格控制烟花鞭炮燃放。</w:t>
            </w:r>
          </w:p>
        </w:tc>
        <w:tc>
          <w:tcPr>
            <w:tcW w:w="15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eastAsia="宋体"/>
                <w:color w:val="auto"/>
                <w:kern w:val="0"/>
                <w:szCs w:val="21"/>
                <w:lang w:val="en-US" w:eastAsia="zh-CN"/>
              </w:rPr>
            </w:pPr>
            <w:r>
              <w:rPr>
                <w:rFonts w:hint="default"/>
                <w:color w:val="auto"/>
                <w:kern w:val="0"/>
                <w:szCs w:val="21"/>
                <w:lang w:val="en-US" w:eastAsia="zh-CN"/>
              </w:rPr>
              <w:t>本项目实施雨污分流，施工期废水回用（多余部分接入江东污水处理厂处理），运营期污水接入江东污水处理厂处理符合污染物排放管控要求。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60" w:type="dxa"/>
            <w:tcBorders>
              <w:tl2br w:val="nil"/>
              <w:tr2bl w:val="nil"/>
            </w:tcBorders>
            <w:noWrap w:val="0"/>
            <w:vAlign w:val="center"/>
          </w:tcPr>
          <w:p>
            <w:pPr>
              <w:adjustRightInd w:val="0"/>
              <w:snapToGrid w:val="0"/>
              <w:jc w:val="center"/>
              <w:rPr>
                <w:rFonts w:hint="default" w:eastAsia="宋体"/>
                <w:color w:val="auto"/>
                <w:kern w:val="0"/>
                <w:szCs w:val="21"/>
                <w:lang w:val="en-US" w:eastAsia="zh-CN"/>
              </w:rPr>
            </w:pPr>
            <w:r>
              <w:rPr>
                <w:rFonts w:hint="default"/>
                <w:color w:val="auto"/>
                <w:kern w:val="0"/>
                <w:szCs w:val="21"/>
                <w:lang w:val="en-US" w:eastAsia="zh-CN"/>
              </w:rPr>
              <w:t>环境风险</w:t>
            </w:r>
          </w:p>
        </w:tc>
        <w:tc>
          <w:tcPr>
            <w:tcW w:w="449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（3.1）督促涉及重点工业企业按照</w:t>
            </w:r>
            <w:r>
              <w:rPr>
                <w:rFonts w:hint="eastAsia"/>
                <w:color w:val="auto"/>
                <w:kern w:val="0"/>
                <w:szCs w:val="21"/>
                <w:lang w:eastAsia="zh-CN"/>
              </w:rPr>
              <w:t>“</w:t>
            </w:r>
            <w:r>
              <w:rPr>
                <w:rFonts w:hint="default"/>
                <w:color w:val="auto"/>
                <w:kern w:val="0"/>
                <w:szCs w:val="21"/>
              </w:rPr>
              <w:t>一厂一案</w:t>
            </w:r>
            <w:r>
              <w:rPr>
                <w:rFonts w:hint="eastAsia"/>
                <w:color w:val="auto"/>
                <w:kern w:val="0"/>
                <w:szCs w:val="21"/>
                <w:lang w:eastAsia="zh-CN"/>
              </w:rPr>
              <w:t>”</w:t>
            </w:r>
            <w:r>
              <w:rPr>
                <w:rFonts w:hint="default"/>
                <w:color w:val="auto"/>
                <w:kern w:val="0"/>
                <w:szCs w:val="21"/>
              </w:rPr>
              <w:t>要求，配套制定具体的应急响应方案。</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3.2）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15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lang w:val="en-US" w:eastAsia="zh-CN"/>
              </w:rPr>
            </w:pPr>
            <w:r>
              <w:rPr>
                <w:rFonts w:hint="default"/>
                <w:color w:val="auto"/>
                <w:kern w:val="0"/>
                <w:szCs w:val="21"/>
                <w:lang w:val="en-US" w:eastAsia="zh-CN"/>
              </w:rPr>
              <w:t>本项目不属于工业项目。符合环境风险防控要求。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60" w:type="dxa"/>
            <w:tcBorders>
              <w:tl2br w:val="nil"/>
              <w:tr2bl w:val="nil"/>
            </w:tcBorders>
            <w:noWrap w:val="0"/>
            <w:vAlign w:val="center"/>
          </w:tcPr>
          <w:p>
            <w:pPr>
              <w:adjustRightInd w:val="0"/>
              <w:snapToGrid w:val="0"/>
              <w:jc w:val="center"/>
              <w:rPr>
                <w:rFonts w:hint="default"/>
                <w:color w:val="auto"/>
                <w:kern w:val="0"/>
                <w:szCs w:val="21"/>
                <w:lang w:val="en-US" w:eastAsia="zh-CN"/>
              </w:rPr>
            </w:pPr>
            <w:r>
              <w:rPr>
                <w:rFonts w:hint="default"/>
                <w:color w:val="auto"/>
                <w:kern w:val="0"/>
                <w:szCs w:val="21"/>
                <w:lang w:val="en-US" w:eastAsia="zh-CN"/>
              </w:rPr>
              <w:t>资源开发效率要求</w:t>
            </w:r>
          </w:p>
        </w:tc>
        <w:tc>
          <w:tcPr>
            <w:tcW w:w="449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4.1）能源：加快秸秆肥料化、饲料化、能源化利用，制定秸秆综合利用工作方案。到2020年，秸秆综合利用率达到100%。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到2020年，全区能耗强度降低17%，控制目标117.1万吨标准煤。</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4.2）水资源：严格用水强度指标管理，建立重点用水单位监控名录，对纳入取水许可管理的单位和其他用水大户实行计划用水管理；鼓励钢铁、纺织印染、造纸、化工等高耗水企业废水深度处理回用；积极推进农业节水，完成高效节水灌溉年度目标任务；推进循环发展，将再生水、雨水、矿井水等非常规水源纳入区域水资源统一配置。推进公共供水管网改造，城市公共供水管网漏损率控制在10%以内。到2020年，全区万元国内生产总值用水量、万元工业增加值用水量分别比2015年降低30%和32.7%；农田灌溉水有效利用系数提高到0.594。</w:t>
            </w:r>
          </w:p>
        </w:tc>
        <w:tc>
          <w:tcPr>
            <w:tcW w:w="15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color w:val="auto"/>
                <w:kern w:val="0"/>
                <w:szCs w:val="21"/>
                <w:lang w:val="en-US" w:eastAsia="zh-CN"/>
              </w:rPr>
            </w:pPr>
            <w:r>
              <w:rPr>
                <w:rFonts w:hint="default"/>
                <w:color w:val="auto"/>
                <w:kern w:val="0"/>
                <w:szCs w:val="21"/>
                <w:lang w:val="en-US" w:eastAsia="zh-CN"/>
              </w:rPr>
              <w:t>本项目属于旅游开发及水利工程项目，所用的资源主要为水、电。符合资源开发效率要求。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658" w:type="dxa"/>
            <w:tcBorders>
              <w:tl2br w:val="nil"/>
              <w:tr2bl w:val="nil"/>
            </w:tcBorders>
            <w:noWrap w:val="0"/>
            <w:vAlign w:val="center"/>
          </w:tcPr>
          <w:p>
            <w:pPr>
              <w:adjustRightInd w:val="0"/>
              <w:snapToGrid w:val="0"/>
              <w:jc w:val="center"/>
              <w:rPr>
                <w:color w:val="auto"/>
                <w:kern w:val="0"/>
                <w:szCs w:val="21"/>
              </w:rPr>
            </w:pPr>
          </w:p>
        </w:tc>
        <w:tc>
          <w:tcPr>
            <w:tcW w:w="658" w:type="dxa"/>
            <w:tcBorders>
              <w:tl2br w:val="nil"/>
              <w:tr2bl w:val="nil"/>
            </w:tcBorders>
            <w:noWrap w:val="0"/>
            <w:vAlign w:val="center"/>
          </w:tcPr>
          <w:p>
            <w:pPr>
              <w:adjustRightInd w:val="0"/>
              <w:snapToGrid w:val="0"/>
              <w:jc w:val="center"/>
              <w:rPr>
                <w:color w:val="auto"/>
                <w:kern w:val="0"/>
                <w:szCs w:val="21"/>
              </w:rPr>
            </w:pPr>
          </w:p>
        </w:tc>
        <w:tc>
          <w:tcPr>
            <w:tcW w:w="660" w:type="dxa"/>
            <w:tcBorders>
              <w:tl2br w:val="nil"/>
              <w:tr2bl w:val="nil"/>
            </w:tcBorders>
            <w:noWrap w:val="0"/>
            <w:vAlign w:val="center"/>
          </w:tcPr>
          <w:p>
            <w:pPr>
              <w:adjustRightInd w:val="0"/>
              <w:snapToGrid w:val="0"/>
              <w:jc w:val="center"/>
              <w:rPr>
                <w:rFonts w:hint="default"/>
                <w:color w:val="auto"/>
                <w:kern w:val="0"/>
                <w:szCs w:val="21"/>
                <w:lang w:val="en-US" w:eastAsia="zh-CN"/>
              </w:rPr>
            </w:pPr>
          </w:p>
        </w:tc>
        <w:tc>
          <w:tcPr>
            <w:tcW w:w="449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p>
        </w:tc>
        <w:tc>
          <w:tcPr>
            <w:tcW w:w="15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color w:val="auto"/>
                <w:kern w:val="0"/>
                <w:szCs w:val="21"/>
                <w:lang w:val="en-US" w:eastAsia="zh-CN"/>
              </w:rPr>
            </w:pPr>
          </w:p>
        </w:tc>
      </w:tr>
    </w:tbl>
    <w:p>
      <w:pPr>
        <w:rPr>
          <w:rFonts w:hint="default" w:ascii="Times New Roman" w:hAnsi="Times New Roman" w:eastAsia="宋体" w:cs="Times New Roman"/>
          <w:b/>
          <w:color w:val="auto"/>
          <w:sz w:val="24"/>
          <w:highlight w:val="none"/>
          <w:lang w:val="zh-CN" w:eastAsia="zh-CN"/>
        </w:rPr>
      </w:pPr>
      <w:r>
        <w:rPr>
          <w:rFonts w:hint="default" w:ascii="Times New Roman" w:hAnsi="Times New Roman" w:eastAsia="宋体" w:cs="Times New Roman"/>
          <w:b/>
          <w:color w:val="auto"/>
          <w:sz w:val="24"/>
          <w:highlight w:val="none"/>
          <w:lang w:val="zh-CN" w:eastAsia="zh-CN"/>
        </w:rPr>
        <w:br w:type="page"/>
      </w:r>
    </w:p>
    <w:p>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zh-CN" w:eastAsia="zh-CN"/>
        </w:rPr>
        <w:t>表</w:t>
      </w:r>
      <w:r>
        <w:rPr>
          <w:rFonts w:hint="default" w:ascii="Times New Roman" w:hAnsi="Times New Roman" w:eastAsia="宋体" w:cs="Times New Roman"/>
          <w:b/>
          <w:color w:val="auto"/>
          <w:sz w:val="24"/>
          <w:highlight w:val="none"/>
          <w:lang w:val="en-US" w:eastAsia="zh-CN"/>
        </w:rPr>
        <w:t>1.5-5  本项目雁峰区环境管控单元的符合性分析</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751"/>
        <w:gridCol w:w="751"/>
        <w:gridCol w:w="753"/>
        <w:gridCol w:w="5132"/>
        <w:gridCol w:w="17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blHeader/>
          <w:jc w:val="center"/>
        </w:trPr>
        <w:tc>
          <w:tcPr>
            <w:tcW w:w="658" w:type="dxa"/>
            <w:tcBorders>
              <w:tl2br w:val="nil"/>
              <w:tr2bl w:val="nil"/>
            </w:tcBorders>
            <w:noWrap w:val="0"/>
            <w:vAlign w:val="center"/>
          </w:tcPr>
          <w:p>
            <w:pPr>
              <w:adjustRightInd w:val="0"/>
              <w:snapToGrid w:val="0"/>
              <w:jc w:val="center"/>
              <w:rPr>
                <w:rFonts w:hint="default" w:eastAsia="宋体"/>
                <w:b/>
                <w:color w:val="auto"/>
                <w:kern w:val="0"/>
                <w:szCs w:val="21"/>
                <w:lang w:val="en-US" w:eastAsia="zh-CN"/>
              </w:rPr>
            </w:pPr>
            <w:r>
              <w:rPr>
                <w:rFonts w:hint="default"/>
                <w:b/>
                <w:color w:val="auto"/>
                <w:kern w:val="0"/>
                <w:szCs w:val="21"/>
                <w:lang w:val="en-US" w:eastAsia="zh-CN"/>
              </w:rPr>
              <w:t>管控区域</w:t>
            </w:r>
          </w:p>
        </w:tc>
        <w:tc>
          <w:tcPr>
            <w:tcW w:w="658" w:type="dxa"/>
            <w:tcBorders>
              <w:tl2br w:val="nil"/>
              <w:tr2bl w:val="nil"/>
            </w:tcBorders>
            <w:noWrap w:val="0"/>
            <w:vAlign w:val="center"/>
          </w:tcPr>
          <w:p>
            <w:pPr>
              <w:adjustRightInd w:val="0"/>
              <w:snapToGrid w:val="0"/>
              <w:jc w:val="center"/>
              <w:rPr>
                <w:rFonts w:hint="default" w:eastAsia="宋体"/>
                <w:b/>
                <w:color w:val="auto"/>
                <w:kern w:val="0"/>
                <w:szCs w:val="21"/>
                <w:lang w:val="en-US" w:eastAsia="zh-CN"/>
              </w:rPr>
            </w:pPr>
            <w:r>
              <w:rPr>
                <w:rFonts w:hint="default"/>
                <w:b/>
                <w:color w:val="auto"/>
                <w:kern w:val="0"/>
                <w:szCs w:val="21"/>
                <w:lang w:val="en-US" w:eastAsia="zh-CN"/>
              </w:rPr>
              <w:t>单元分类</w:t>
            </w:r>
          </w:p>
        </w:tc>
        <w:tc>
          <w:tcPr>
            <w:tcW w:w="660" w:type="dxa"/>
            <w:tcBorders>
              <w:tl2br w:val="nil"/>
              <w:tr2bl w:val="nil"/>
            </w:tcBorders>
            <w:noWrap w:val="0"/>
            <w:vAlign w:val="center"/>
          </w:tcPr>
          <w:p>
            <w:pPr>
              <w:adjustRightInd w:val="0"/>
              <w:snapToGrid w:val="0"/>
              <w:jc w:val="center"/>
              <w:rPr>
                <w:b/>
                <w:color w:val="auto"/>
                <w:kern w:val="0"/>
                <w:szCs w:val="21"/>
              </w:rPr>
            </w:pPr>
            <w:r>
              <w:rPr>
                <w:b/>
                <w:color w:val="auto"/>
                <w:kern w:val="0"/>
                <w:szCs w:val="21"/>
              </w:rPr>
              <w:t>管控</w:t>
            </w:r>
          </w:p>
          <w:p>
            <w:pPr>
              <w:adjustRightInd w:val="0"/>
              <w:snapToGrid w:val="0"/>
              <w:jc w:val="center"/>
              <w:rPr>
                <w:b/>
                <w:color w:val="auto"/>
                <w:kern w:val="0"/>
                <w:szCs w:val="21"/>
              </w:rPr>
            </w:pPr>
            <w:r>
              <w:rPr>
                <w:b/>
                <w:color w:val="auto"/>
                <w:kern w:val="0"/>
                <w:szCs w:val="21"/>
              </w:rPr>
              <w:t>维度</w:t>
            </w:r>
          </w:p>
        </w:tc>
        <w:tc>
          <w:tcPr>
            <w:tcW w:w="4496" w:type="dxa"/>
            <w:tcBorders>
              <w:tl2br w:val="nil"/>
              <w:tr2bl w:val="nil"/>
            </w:tcBorders>
            <w:noWrap w:val="0"/>
            <w:vAlign w:val="center"/>
          </w:tcPr>
          <w:p>
            <w:pPr>
              <w:adjustRightInd w:val="0"/>
              <w:snapToGrid w:val="0"/>
              <w:jc w:val="center"/>
              <w:rPr>
                <w:b/>
                <w:color w:val="auto"/>
                <w:kern w:val="0"/>
                <w:szCs w:val="21"/>
              </w:rPr>
            </w:pPr>
            <w:r>
              <w:rPr>
                <w:b/>
                <w:color w:val="auto"/>
                <w:kern w:val="0"/>
                <w:szCs w:val="21"/>
              </w:rPr>
              <w:t>管控要求</w:t>
            </w:r>
          </w:p>
        </w:tc>
        <w:tc>
          <w:tcPr>
            <w:tcW w:w="1525" w:type="dxa"/>
            <w:tcBorders>
              <w:tl2br w:val="nil"/>
              <w:tr2bl w:val="nil"/>
            </w:tcBorders>
            <w:noWrap w:val="0"/>
            <w:vAlign w:val="center"/>
          </w:tcPr>
          <w:p>
            <w:pPr>
              <w:adjustRightInd w:val="0"/>
              <w:snapToGrid w:val="0"/>
              <w:jc w:val="center"/>
              <w:rPr>
                <w:rFonts w:hint="default" w:eastAsia="宋体"/>
                <w:b/>
                <w:color w:val="auto"/>
                <w:kern w:val="0"/>
                <w:szCs w:val="21"/>
                <w:lang w:val="en-US" w:eastAsia="zh-CN"/>
              </w:rPr>
            </w:pPr>
            <w:r>
              <w:rPr>
                <w:rFonts w:hint="default"/>
                <w:b/>
                <w:color w:val="auto"/>
                <w:kern w:val="0"/>
                <w:szCs w:val="21"/>
                <w:lang w:val="en-US" w:eastAsia="zh-CN"/>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658" w:type="dxa"/>
            <w:vMerge w:val="restart"/>
            <w:tcBorders>
              <w:tl2br w:val="nil"/>
              <w:tr2bl w:val="nil"/>
            </w:tcBorders>
            <w:noWrap w:val="0"/>
            <w:vAlign w:val="center"/>
          </w:tcPr>
          <w:p>
            <w:pPr>
              <w:adjustRightInd w:val="0"/>
              <w:snapToGrid w:val="0"/>
              <w:jc w:val="center"/>
              <w:rPr>
                <w:rFonts w:hint="default"/>
                <w:b/>
                <w:bCs/>
                <w:color w:val="auto"/>
                <w:kern w:val="0"/>
                <w:szCs w:val="21"/>
                <w:lang w:val="en-US" w:eastAsia="zh-CN"/>
              </w:rPr>
            </w:pPr>
            <w:r>
              <w:rPr>
                <w:rFonts w:hint="default"/>
                <w:b/>
                <w:bCs/>
                <w:color w:val="auto"/>
                <w:kern w:val="0"/>
                <w:szCs w:val="21"/>
                <w:lang w:val="en-US" w:eastAsia="zh-CN"/>
              </w:rPr>
              <w:t>雁</w:t>
            </w:r>
          </w:p>
          <w:p>
            <w:pPr>
              <w:adjustRightInd w:val="0"/>
              <w:snapToGrid w:val="0"/>
              <w:jc w:val="center"/>
              <w:rPr>
                <w:rFonts w:hint="default"/>
                <w:b/>
                <w:bCs/>
                <w:color w:val="auto"/>
                <w:kern w:val="0"/>
                <w:szCs w:val="21"/>
                <w:lang w:val="en-US" w:eastAsia="zh-CN"/>
              </w:rPr>
            </w:pPr>
            <w:r>
              <w:rPr>
                <w:rFonts w:hint="default"/>
                <w:b/>
                <w:bCs/>
                <w:color w:val="auto"/>
                <w:kern w:val="0"/>
                <w:szCs w:val="21"/>
                <w:lang w:val="en-US" w:eastAsia="zh-CN"/>
              </w:rPr>
              <w:t>峰</w:t>
            </w:r>
          </w:p>
          <w:p>
            <w:pPr>
              <w:adjustRightInd w:val="0"/>
              <w:snapToGrid w:val="0"/>
              <w:jc w:val="center"/>
              <w:rPr>
                <w:rFonts w:hint="default" w:eastAsia="宋体"/>
                <w:color w:val="auto"/>
                <w:kern w:val="0"/>
                <w:szCs w:val="21"/>
                <w:lang w:val="en-US" w:eastAsia="zh-CN"/>
              </w:rPr>
            </w:pPr>
            <w:r>
              <w:rPr>
                <w:rFonts w:hint="default"/>
                <w:b/>
                <w:bCs/>
                <w:color w:val="auto"/>
                <w:kern w:val="0"/>
                <w:szCs w:val="21"/>
                <w:lang w:val="en-US" w:eastAsia="zh-CN"/>
              </w:rPr>
              <w:t>区</w:t>
            </w:r>
          </w:p>
        </w:tc>
        <w:tc>
          <w:tcPr>
            <w:tcW w:w="658" w:type="dxa"/>
            <w:vMerge w:val="restart"/>
            <w:tcBorders>
              <w:tl2br w:val="nil"/>
              <w:tr2bl w:val="nil"/>
            </w:tcBorders>
            <w:noWrap w:val="0"/>
            <w:vAlign w:val="center"/>
          </w:tcPr>
          <w:p>
            <w:pPr>
              <w:adjustRightInd w:val="0"/>
              <w:snapToGrid w:val="0"/>
              <w:jc w:val="center"/>
              <w:rPr>
                <w:color w:val="auto"/>
                <w:kern w:val="0"/>
                <w:szCs w:val="21"/>
              </w:rPr>
            </w:pPr>
            <w:r>
              <w:rPr>
                <w:rFonts w:hint="default"/>
                <w:color w:val="auto"/>
                <w:kern w:val="0"/>
                <w:szCs w:val="21"/>
                <w:lang w:val="en-US" w:eastAsia="zh-CN"/>
              </w:rPr>
              <w:t>重点管控单元</w:t>
            </w:r>
          </w:p>
        </w:tc>
        <w:tc>
          <w:tcPr>
            <w:tcW w:w="660" w:type="dxa"/>
            <w:tcBorders>
              <w:tl2br w:val="nil"/>
              <w:tr2bl w:val="nil"/>
            </w:tcBorders>
            <w:noWrap w:val="0"/>
            <w:vAlign w:val="center"/>
          </w:tcPr>
          <w:p>
            <w:pPr>
              <w:adjustRightInd w:val="0"/>
              <w:snapToGrid w:val="0"/>
              <w:jc w:val="center"/>
              <w:rPr>
                <w:rFonts w:hint="default"/>
                <w:color w:val="auto"/>
                <w:kern w:val="0"/>
                <w:szCs w:val="21"/>
                <w:lang w:val="en-US" w:eastAsia="zh-CN"/>
              </w:rPr>
            </w:pPr>
            <w:r>
              <w:rPr>
                <w:color w:val="auto"/>
                <w:kern w:val="0"/>
                <w:szCs w:val="21"/>
              </w:rPr>
              <w:t>空间布局约束</w:t>
            </w:r>
          </w:p>
        </w:tc>
        <w:tc>
          <w:tcPr>
            <w:tcW w:w="449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（1.1）依法关停并取缔不符合国家产业政策、装备水平低和环保设施差的小型造纸、制革、印染、染料、炼焦、炼硫、炼砷、炼油、电镀、农药等</w:t>
            </w:r>
            <w:r>
              <w:rPr>
                <w:rFonts w:hint="eastAsia"/>
                <w:color w:val="auto"/>
                <w:kern w:val="0"/>
                <w:szCs w:val="21"/>
                <w:lang w:eastAsia="zh-CN"/>
              </w:rPr>
              <w:t>“</w:t>
            </w:r>
            <w:r>
              <w:rPr>
                <w:rFonts w:hint="default"/>
                <w:color w:val="auto"/>
                <w:kern w:val="0"/>
                <w:szCs w:val="21"/>
              </w:rPr>
              <w:t>十小</w:t>
            </w:r>
            <w:r>
              <w:rPr>
                <w:rFonts w:hint="eastAsia"/>
                <w:color w:val="auto"/>
                <w:kern w:val="0"/>
                <w:szCs w:val="21"/>
                <w:lang w:eastAsia="zh-CN"/>
              </w:rPr>
              <w:t>”</w:t>
            </w:r>
            <w:r>
              <w:rPr>
                <w:rFonts w:hint="default"/>
                <w:color w:val="auto"/>
                <w:kern w:val="0"/>
                <w:szCs w:val="21"/>
              </w:rPr>
              <w:t>严重污染水环境的行业。</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（1.2）在全区范围内对淘汰类</w:t>
            </w:r>
            <w:r>
              <w:rPr>
                <w:rFonts w:hint="eastAsia"/>
                <w:color w:val="auto"/>
                <w:kern w:val="0"/>
                <w:szCs w:val="21"/>
                <w:lang w:eastAsia="zh-CN"/>
              </w:rPr>
              <w:t>“</w:t>
            </w:r>
            <w:r>
              <w:rPr>
                <w:rFonts w:hint="default"/>
                <w:color w:val="auto"/>
                <w:kern w:val="0"/>
                <w:szCs w:val="21"/>
              </w:rPr>
              <w:t>散乱污</w:t>
            </w:r>
            <w:r>
              <w:rPr>
                <w:rFonts w:hint="eastAsia"/>
                <w:color w:val="auto"/>
                <w:kern w:val="0"/>
                <w:szCs w:val="21"/>
                <w:lang w:eastAsia="zh-CN"/>
              </w:rPr>
              <w:t>”</w:t>
            </w:r>
            <w:r>
              <w:rPr>
                <w:rFonts w:hint="default"/>
                <w:color w:val="auto"/>
                <w:kern w:val="0"/>
                <w:szCs w:val="21"/>
              </w:rPr>
              <w:t>企业依法依规完成关停取缔。</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（1.3）水产种质资源保护区按《水产种质资源保护区管理暂行办法》要求管理。</w:t>
            </w:r>
          </w:p>
        </w:tc>
        <w:tc>
          <w:tcPr>
            <w:tcW w:w="15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eastAsia="宋体"/>
                <w:color w:val="auto"/>
                <w:kern w:val="0"/>
                <w:szCs w:val="21"/>
                <w:lang w:val="en-US" w:eastAsia="zh-CN"/>
              </w:rPr>
            </w:pPr>
            <w:r>
              <w:rPr>
                <w:rFonts w:hint="default"/>
                <w:color w:val="auto"/>
                <w:kern w:val="0"/>
                <w:szCs w:val="21"/>
                <w:lang w:val="en-US" w:eastAsia="zh-CN"/>
              </w:rPr>
              <w:t>本项目不属于</w:t>
            </w:r>
            <w:r>
              <w:rPr>
                <w:rFonts w:hint="eastAsia"/>
                <w:color w:val="auto"/>
                <w:kern w:val="0"/>
                <w:szCs w:val="21"/>
                <w:lang w:eastAsia="zh-CN"/>
              </w:rPr>
              <w:t>“</w:t>
            </w:r>
            <w:r>
              <w:rPr>
                <w:rFonts w:hint="default"/>
                <w:color w:val="auto"/>
                <w:kern w:val="0"/>
                <w:szCs w:val="21"/>
              </w:rPr>
              <w:t>十小</w:t>
            </w:r>
            <w:r>
              <w:rPr>
                <w:rFonts w:hint="eastAsia"/>
                <w:color w:val="auto"/>
                <w:kern w:val="0"/>
                <w:szCs w:val="21"/>
                <w:lang w:eastAsia="zh-CN"/>
              </w:rPr>
              <w:t>”</w:t>
            </w:r>
            <w:r>
              <w:rPr>
                <w:rFonts w:hint="default"/>
                <w:color w:val="auto"/>
                <w:kern w:val="0"/>
                <w:szCs w:val="21"/>
              </w:rPr>
              <w:t>严重污染水环境的行业</w:t>
            </w:r>
            <w:r>
              <w:rPr>
                <w:rFonts w:hint="default"/>
                <w:color w:val="auto"/>
                <w:kern w:val="0"/>
                <w:szCs w:val="21"/>
                <w:lang w:val="en-US" w:eastAsia="zh-CN"/>
              </w:rPr>
              <w:t>和</w:t>
            </w:r>
            <w:r>
              <w:rPr>
                <w:rFonts w:hint="default"/>
                <w:color w:val="auto"/>
                <w:kern w:val="0"/>
                <w:szCs w:val="21"/>
              </w:rPr>
              <w:t>淘汰类</w:t>
            </w:r>
            <w:r>
              <w:rPr>
                <w:rFonts w:hint="eastAsia"/>
                <w:color w:val="auto"/>
                <w:kern w:val="0"/>
                <w:szCs w:val="21"/>
                <w:lang w:eastAsia="zh-CN"/>
              </w:rPr>
              <w:t>“</w:t>
            </w:r>
            <w:r>
              <w:rPr>
                <w:rFonts w:hint="default"/>
                <w:color w:val="auto"/>
                <w:kern w:val="0"/>
                <w:szCs w:val="21"/>
              </w:rPr>
              <w:t>散乱污</w:t>
            </w:r>
            <w:r>
              <w:rPr>
                <w:rFonts w:hint="eastAsia"/>
                <w:color w:val="auto"/>
                <w:kern w:val="0"/>
                <w:szCs w:val="21"/>
                <w:lang w:eastAsia="zh-CN"/>
              </w:rPr>
              <w:t>”</w:t>
            </w:r>
            <w:r>
              <w:rPr>
                <w:rFonts w:hint="default"/>
                <w:color w:val="auto"/>
                <w:kern w:val="0"/>
                <w:szCs w:val="21"/>
              </w:rPr>
              <w:t>企业</w:t>
            </w:r>
            <w:r>
              <w:rPr>
                <w:rFonts w:hint="default"/>
                <w:color w:val="auto"/>
                <w:kern w:val="0"/>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60" w:type="dxa"/>
            <w:tcBorders>
              <w:tl2br w:val="nil"/>
              <w:tr2bl w:val="nil"/>
            </w:tcBorders>
            <w:noWrap w:val="0"/>
            <w:vAlign w:val="center"/>
          </w:tcPr>
          <w:p>
            <w:pPr>
              <w:adjustRightInd w:val="0"/>
              <w:snapToGrid w:val="0"/>
              <w:jc w:val="center"/>
              <w:rPr>
                <w:rFonts w:hint="default"/>
                <w:color w:val="auto"/>
                <w:kern w:val="0"/>
                <w:szCs w:val="21"/>
                <w:lang w:val="en-US" w:eastAsia="zh-CN"/>
              </w:rPr>
            </w:pPr>
            <w:r>
              <w:rPr>
                <w:color w:val="auto"/>
                <w:kern w:val="0"/>
                <w:szCs w:val="21"/>
              </w:rPr>
              <w:t>污染物排放管控</w:t>
            </w:r>
          </w:p>
        </w:tc>
        <w:tc>
          <w:tcPr>
            <w:tcW w:w="449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（2.1）加强医疗卫生机构废水处理。未达到行业排放标准的医院，须强化污水处理设施建设或改造升级，2020年底前，全区医疗废水处理率应达到100%。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（2.2）现有污水处理厂污泥处理处置设施全部完成达标改造。污泥应进行稳定化、无害化和资源化处理处置，禁止处理处置未达标的污泥进入耕地。非法污泥堆放点一律予以取缔。</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2.3）科学划定畜禽养殖禁养区，在畜禽养殖污染防治规划编制和禁养区划定工作基础上，依法关闭或搬迁禁养区内的畜禽养殖场（小区）和养殖专业户。现有规模化畜禽养殖场（小区）要根据污染防治需要，配套建设粪便污水贮存、处理、利用设施，到2020年，配套设施比例达到95%以上。散养密集区要实行畜禽粪便污水分户收集、集中处理利用。全面完成适养区内存栏生猪500头以上规模养殖场的污染防治设施配套；新建、改建、扩建规模化畜禽养殖场（小区）全面实施雨污分流，粪便污水和病死畜禽等有机废弃物实现资源化利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（2.4）推广低毒、低残留农药，开展农作物病虫害绿色防控和统防统治。</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2.5）以钢铁、建材、化工、有色金属冶炼等行业为重点，全面推进清洁生产技术改造，注重过程控制。积极推进火电、钢铁、建材、平板玻璃、有色、化工等重点行业以及符合政策予以保留的在用燃煤锅炉环保设施升级改造，实现连续稳定达标排放。</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2.6）加快建材、有色、化工等行业和锅炉物料（含废渣）运输、装卸、储存、转移与输送以及生产工艺过程等无组织排放治理。工业生产企业采取密闭、围挡、遮盖、清扫、洒水等措施，减少内部物料的堆存、传输、装卸等环节产生的粉尘和气态污染物的排放。</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2.7）严禁在城市建成区内新建石化、有机化工、包装印刷、沥青搅拌站、工业涂装等高VOCs排放建设项目。强化末端治理，加快推进有机化工、工业涂装、包装印刷、沥青搅拌等行业企业VOCs治理，确保达标排放。完成交通运输设备制造、汽车制造、工程机械制造和家具制造行业全面实施油性漆改水性漆，减少VOCs产生量。</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（2.8）年销售汽油量大于5000吨的加油站，要安装油气回收在线监测设备。禁止露天烧烤直排，禁止秸秆违规露天焚烧。</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2.9）积极推进垃圾分类，建设覆盖城乡的垃圾收运体系和垃圾分类收集系统。完善生活垃圾处理设施建设、运营和排放监管体系，加强垃圾处理监管能力。开展非正规垃圾堆放点排查整治。以整县推进为主要方式，推进农村环境综合整治全区域覆盖</w:t>
            </w:r>
          </w:p>
        </w:tc>
        <w:tc>
          <w:tcPr>
            <w:tcW w:w="15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lang w:val="en-US" w:eastAsia="zh-CN"/>
              </w:rPr>
            </w:pPr>
            <w:r>
              <w:rPr>
                <w:rFonts w:hint="default"/>
                <w:color w:val="auto"/>
                <w:kern w:val="0"/>
                <w:szCs w:val="21"/>
                <w:lang w:val="en-US" w:eastAsia="zh-CN"/>
              </w:rPr>
              <w:t>本项目不属于工业企业，项目实施雨污分流，运营期东洲岛污水经岛上污水处理设施处理后回用岛上绿化，不外排，生活垃圾收集后交由环卫部门清运无害化处置，符合污染物排放管控要求。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60" w:type="dxa"/>
            <w:tcBorders>
              <w:tl2br w:val="nil"/>
              <w:tr2bl w:val="nil"/>
            </w:tcBorders>
            <w:noWrap w:val="0"/>
            <w:vAlign w:val="center"/>
          </w:tcPr>
          <w:p>
            <w:pPr>
              <w:adjustRightInd w:val="0"/>
              <w:snapToGrid w:val="0"/>
              <w:jc w:val="center"/>
              <w:rPr>
                <w:rFonts w:hint="default"/>
                <w:color w:val="auto"/>
                <w:kern w:val="0"/>
                <w:szCs w:val="21"/>
                <w:lang w:val="en-US" w:eastAsia="zh-CN"/>
              </w:rPr>
            </w:pPr>
            <w:r>
              <w:rPr>
                <w:rFonts w:hint="default"/>
                <w:color w:val="auto"/>
                <w:kern w:val="0"/>
                <w:szCs w:val="21"/>
                <w:lang w:val="en-US" w:eastAsia="zh-CN"/>
              </w:rPr>
              <w:t>环境风险</w:t>
            </w:r>
          </w:p>
        </w:tc>
        <w:tc>
          <w:tcPr>
            <w:tcW w:w="449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（3.1）强化固体废物、危险废物等污染源管控。推进现有危险废物经营企业进入工业园区。</w:t>
            </w:r>
          </w:p>
        </w:tc>
        <w:tc>
          <w:tcPr>
            <w:tcW w:w="15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lang w:val="en-US" w:eastAsia="zh-CN"/>
              </w:rPr>
            </w:pPr>
            <w:r>
              <w:rPr>
                <w:rFonts w:hint="default"/>
                <w:color w:val="auto"/>
                <w:kern w:val="0"/>
                <w:szCs w:val="21"/>
                <w:lang w:val="en-US" w:eastAsia="zh-CN"/>
              </w:rPr>
              <w:t>本项目固废均妥善处置。符合环境风险防控要求。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58" w:type="dxa"/>
            <w:vMerge w:val="continue"/>
            <w:tcBorders>
              <w:tl2br w:val="nil"/>
              <w:tr2bl w:val="nil"/>
            </w:tcBorders>
            <w:noWrap w:val="0"/>
            <w:vAlign w:val="center"/>
          </w:tcPr>
          <w:p>
            <w:pPr>
              <w:adjustRightInd w:val="0"/>
              <w:snapToGrid w:val="0"/>
              <w:jc w:val="center"/>
              <w:rPr>
                <w:color w:val="auto"/>
                <w:kern w:val="0"/>
                <w:szCs w:val="21"/>
              </w:rPr>
            </w:pPr>
          </w:p>
        </w:tc>
        <w:tc>
          <w:tcPr>
            <w:tcW w:w="660" w:type="dxa"/>
            <w:tcBorders>
              <w:tl2br w:val="nil"/>
              <w:tr2bl w:val="nil"/>
            </w:tcBorders>
            <w:noWrap w:val="0"/>
            <w:vAlign w:val="center"/>
          </w:tcPr>
          <w:p>
            <w:pPr>
              <w:adjustRightInd w:val="0"/>
              <w:snapToGrid w:val="0"/>
              <w:jc w:val="center"/>
              <w:rPr>
                <w:rFonts w:hint="default"/>
                <w:color w:val="auto"/>
                <w:kern w:val="0"/>
                <w:szCs w:val="21"/>
                <w:lang w:val="en-US" w:eastAsia="zh-CN"/>
              </w:rPr>
            </w:pPr>
            <w:r>
              <w:rPr>
                <w:rFonts w:hint="default"/>
                <w:color w:val="auto"/>
                <w:kern w:val="0"/>
                <w:szCs w:val="21"/>
                <w:lang w:val="en-US" w:eastAsia="zh-CN"/>
              </w:rPr>
              <w:t>资源开发效率要求</w:t>
            </w:r>
          </w:p>
        </w:tc>
        <w:tc>
          <w:tcPr>
            <w:tcW w:w="449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color w:val="auto"/>
                <w:kern w:val="0"/>
                <w:szCs w:val="21"/>
              </w:rPr>
            </w:pPr>
            <w:r>
              <w:rPr>
                <w:rFonts w:hint="default"/>
                <w:color w:val="auto"/>
                <w:kern w:val="0"/>
                <w:szCs w:val="21"/>
              </w:rPr>
              <w:t>（4.1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到2020年，全区能耗强度降低16%，控制目标111.22万吨标准煤。</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eastAsia="宋体"/>
                <w:color w:val="auto"/>
                <w:kern w:val="0"/>
                <w:szCs w:val="21"/>
                <w:lang w:eastAsia="zh-CN"/>
              </w:rPr>
            </w:pPr>
            <w:r>
              <w:rPr>
                <w:rFonts w:hint="default"/>
                <w:color w:val="auto"/>
                <w:kern w:val="0"/>
                <w:szCs w:val="21"/>
              </w:rPr>
              <w:t>（4.2）水资源：鼓励企业在稳定达标排放的基础上进行深度治理，实施清洁化改造，提高工业用水循环利用率。到2020年，全区万元国内生产总值用水量、万元工业增加值用水量分别比2015年降低30%和32.7%；农田灌溉水有效利用系数提高到0.604</w:t>
            </w:r>
            <w:r>
              <w:rPr>
                <w:rFonts w:hint="default"/>
                <w:color w:val="auto"/>
                <w:kern w:val="0"/>
                <w:szCs w:val="21"/>
                <w:lang w:eastAsia="zh-CN"/>
              </w:rPr>
              <w:t>。</w:t>
            </w:r>
          </w:p>
        </w:tc>
        <w:tc>
          <w:tcPr>
            <w:tcW w:w="15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lang w:val="en-US" w:eastAsia="zh-CN"/>
              </w:rPr>
            </w:pPr>
            <w:r>
              <w:rPr>
                <w:rFonts w:hint="default"/>
                <w:color w:val="auto"/>
                <w:kern w:val="0"/>
                <w:szCs w:val="21"/>
                <w:lang w:val="en-US" w:eastAsia="zh-CN"/>
              </w:rPr>
              <w:t>本项目属于旅游开发及水利工程项目，所用的资源主要为水、电。符合资源开发效率要求。</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1.5.5选址合理性分析</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本项目选址位于衡阳市珠晖区、雁峰区，项目新增用地不涉及基本农田</w:t>
      </w:r>
      <w:r>
        <w:rPr>
          <w:rFonts w:hint="default"/>
          <w:color w:val="auto"/>
          <w:sz w:val="24"/>
          <w:highlight w:val="none"/>
          <w:u w:val="none"/>
          <w:lang w:val="en-US" w:eastAsia="zh-CN"/>
        </w:rPr>
        <w:t>，项目选址已取得衡阳市自然资源和规划局用地预审与选址意见书</w:t>
      </w:r>
      <w:r>
        <w:rPr>
          <w:rFonts w:hint="default" w:eastAsia="宋体"/>
          <w:color w:val="auto"/>
          <w:sz w:val="24"/>
          <w:highlight w:val="none"/>
          <w:u w:val="none"/>
          <w:lang w:val="en-US" w:eastAsia="zh-CN"/>
        </w:rPr>
        <w:t>。本项目施工总布置应遵循因地制宜、有利于生产、方便生活、易于管理、安全经济等原则</w:t>
      </w:r>
      <w:r>
        <w:rPr>
          <w:rFonts w:hint="default"/>
          <w:color w:val="auto"/>
          <w:sz w:val="24"/>
          <w:highlight w:val="none"/>
          <w:u w:val="none"/>
          <w:lang w:val="en-US" w:eastAsia="zh-CN"/>
        </w:rPr>
        <w:t>：（1）</w:t>
      </w:r>
      <w:r>
        <w:rPr>
          <w:rFonts w:hint="default" w:eastAsia="宋体"/>
          <w:color w:val="auto"/>
          <w:sz w:val="24"/>
          <w:highlight w:val="none"/>
          <w:u w:val="none"/>
          <w:lang w:val="en-US" w:eastAsia="zh-CN"/>
        </w:rPr>
        <w:t>尽量减少对附近居民生活影响</w:t>
      </w:r>
      <w:r>
        <w:rPr>
          <w:rFonts w:hint="default"/>
          <w:color w:val="auto"/>
          <w:sz w:val="24"/>
          <w:highlight w:val="none"/>
          <w:u w:val="none"/>
          <w:lang w:val="en-US" w:eastAsia="zh-CN"/>
        </w:rPr>
        <w:t>；（2）</w:t>
      </w:r>
      <w:r>
        <w:rPr>
          <w:rFonts w:hint="default" w:eastAsia="宋体"/>
          <w:color w:val="auto"/>
          <w:sz w:val="24"/>
          <w:highlight w:val="none"/>
          <w:u w:val="none"/>
          <w:lang w:val="en-US" w:eastAsia="zh-CN"/>
        </w:rPr>
        <w:t>施工布置充分考虑施工要求影响。合理利用有利地形，采取就近布置，尽量减少临建工程量</w:t>
      </w:r>
      <w:r>
        <w:rPr>
          <w:rFonts w:hint="default"/>
          <w:color w:val="auto"/>
          <w:sz w:val="24"/>
          <w:highlight w:val="none"/>
          <w:u w:val="none"/>
          <w:lang w:val="en-US" w:eastAsia="zh-CN"/>
        </w:rPr>
        <w:t>；（3）生活设施依托已有设施。项目对外交通较便利。</w:t>
      </w:r>
      <w:r>
        <w:rPr>
          <w:rFonts w:hint="eastAsia"/>
          <w:color w:val="auto"/>
          <w:sz w:val="24"/>
          <w:highlight w:val="none"/>
          <w:u w:val="none"/>
          <w:lang w:val="en-US" w:eastAsia="zh-CN"/>
        </w:rPr>
        <w:t>临时堆场</w:t>
      </w:r>
      <w:r>
        <w:rPr>
          <w:rFonts w:hint="default"/>
          <w:color w:val="auto"/>
          <w:sz w:val="24"/>
          <w:highlight w:val="none"/>
          <w:u w:val="none"/>
          <w:lang w:val="en-US" w:eastAsia="zh-CN"/>
        </w:rPr>
        <w:t>不涉及河道水域；（4）</w:t>
      </w:r>
      <w:r>
        <w:rPr>
          <w:rFonts w:hint="default" w:eastAsia="宋体"/>
          <w:color w:val="auto"/>
          <w:sz w:val="24"/>
          <w:highlight w:val="none"/>
          <w:u w:val="none"/>
          <w:lang w:val="en-US" w:eastAsia="zh-CN"/>
        </w:rPr>
        <w:t>防洪堤施工期安排在枯水期进行，不会影响行洪。随着施工期结束，不会对环境造成影响。</w:t>
      </w:r>
      <w:r>
        <w:rPr>
          <w:rFonts w:hint="eastAsia"/>
          <w:color w:val="auto"/>
          <w:sz w:val="24"/>
          <w:highlight w:val="none"/>
          <w:u w:val="none"/>
          <w:lang w:val="en-US" w:eastAsia="zh-CN"/>
        </w:rPr>
        <w:t>项目</w:t>
      </w:r>
      <w:r>
        <w:rPr>
          <w:rFonts w:hint="default" w:eastAsia="宋体"/>
          <w:color w:val="auto"/>
          <w:sz w:val="24"/>
          <w:highlight w:val="none"/>
          <w:u w:val="none"/>
          <w:lang w:val="en-US" w:eastAsia="zh-CN"/>
        </w:rPr>
        <w:t>投运后可阻隔周边污水进入湘江，减少水流对岸坡的冲刷，也可极大改善沿岸风光面貌。因此，</w:t>
      </w:r>
      <w:r>
        <w:rPr>
          <w:rFonts w:hint="default"/>
          <w:color w:val="auto"/>
          <w:sz w:val="24"/>
          <w:highlight w:val="none"/>
          <w:u w:val="none"/>
          <w:lang w:val="en-US" w:eastAsia="zh-CN"/>
        </w:rPr>
        <w:t>从环境角度分析，</w:t>
      </w:r>
      <w:r>
        <w:rPr>
          <w:rFonts w:hint="default" w:eastAsia="宋体"/>
          <w:color w:val="auto"/>
          <w:sz w:val="24"/>
          <w:highlight w:val="none"/>
          <w:u w:val="none"/>
          <w:lang w:val="en-US" w:eastAsia="zh-CN"/>
        </w:rPr>
        <w:t>本项目选址可行。</w:t>
      </w:r>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ascii="Times New Roman" w:hAnsi="Times New Roman" w:eastAsia="宋体" w:cs="Times New Roman"/>
          <w:b/>
          <w:bCs/>
          <w:color w:val="auto"/>
          <w:kern w:val="0"/>
          <w:sz w:val="30"/>
          <w:szCs w:val="30"/>
          <w:highlight w:val="none"/>
          <w:lang w:val="en-US" w:eastAsia="zh-CN"/>
        </w:rPr>
      </w:pPr>
      <w:bookmarkStart w:id="28" w:name="_Toc16423"/>
      <w:r>
        <w:rPr>
          <w:rFonts w:hint="default" w:ascii="Times New Roman" w:hAnsi="Times New Roman" w:eastAsia="宋体" w:cs="Times New Roman"/>
          <w:b/>
          <w:bCs/>
          <w:color w:val="auto"/>
          <w:kern w:val="0"/>
          <w:sz w:val="30"/>
          <w:szCs w:val="30"/>
          <w:highlight w:val="none"/>
          <w:lang w:val="en-US" w:eastAsia="zh-CN"/>
        </w:rPr>
        <w:t>环境影响</w:t>
      </w:r>
      <w:r>
        <w:rPr>
          <w:rFonts w:hint="default" w:cs="Times New Roman"/>
          <w:b/>
          <w:bCs/>
          <w:color w:val="auto"/>
          <w:kern w:val="0"/>
          <w:sz w:val="30"/>
          <w:szCs w:val="30"/>
          <w:highlight w:val="none"/>
          <w:lang w:val="en-US" w:eastAsia="zh-CN"/>
        </w:rPr>
        <w:t>评价</w:t>
      </w:r>
      <w:r>
        <w:rPr>
          <w:rFonts w:hint="default" w:ascii="Times New Roman" w:hAnsi="Times New Roman" w:eastAsia="宋体" w:cs="Times New Roman"/>
          <w:b/>
          <w:bCs/>
          <w:color w:val="auto"/>
          <w:kern w:val="0"/>
          <w:sz w:val="30"/>
          <w:szCs w:val="30"/>
          <w:highlight w:val="none"/>
          <w:lang w:val="en-US" w:eastAsia="zh-CN"/>
        </w:rPr>
        <w:t>主要结论</w:t>
      </w:r>
      <w:bookmarkEnd w:id="28"/>
    </w:p>
    <w:bookmarkEnd w:id="26"/>
    <w:p>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本项目建设符合国家产业政策的相关要求，符合区域</w:t>
      </w:r>
      <w:r>
        <w:rPr>
          <w:rFonts w:hint="eastAsia"/>
          <w:color w:val="auto"/>
          <w:sz w:val="24"/>
          <w:highlight w:val="none"/>
          <w:u w:val="none"/>
          <w:lang w:val="en-US" w:eastAsia="zh-CN"/>
        </w:rPr>
        <w:t>“</w:t>
      </w:r>
      <w:r>
        <w:rPr>
          <w:rFonts w:hint="default" w:eastAsia="宋体"/>
          <w:color w:val="auto"/>
          <w:sz w:val="24"/>
          <w:highlight w:val="none"/>
          <w:u w:val="none"/>
          <w:lang w:val="en-US" w:eastAsia="zh-CN"/>
        </w:rPr>
        <w:t>三线一单</w:t>
      </w:r>
      <w:r>
        <w:rPr>
          <w:rFonts w:hint="eastAsia"/>
          <w:color w:val="auto"/>
          <w:sz w:val="24"/>
          <w:highlight w:val="none"/>
          <w:u w:val="none"/>
          <w:lang w:val="en-US" w:eastAsia="zh-CN"/>
        </w:rPr>
        <w:t>”</w:t>
      </w:r>
      <w:r>
        <w:rPr>
          <w:rFonts w:hint="default" w:eastAsia="宋体"/>
          <w:color w:val="auto"/>
          <w:sz w:val="24"/>
          <w:highlight w:val="none"/>
          <w:u w:val="none"/>
          <w:lang w:val="en-US" w:eastAsia="zh-CN"/>
        </w:rPr>
        <w:t>环境管控要求</w:t>
      </w:r>
      <w:r>
        <w:rPr>
          <w:rFonts w:hint="default"/>
          <w:color w:val="auto"/>
          <w:sz w:val="24"/>
          <w:highlight w:val="none"/>
          <w:u w:val="none"/>
          <w:lang w:val="en-US" w:eastAsia="zh-CN"/>
        </w:rPr>
        <w:t>项目建成后可改善河岸环境现状，</w:t>
      </w:r>
      <w:r>
        <w:rPr>
          <w:rFonts w:hint="default" w:eastAsia="宋体"/>
          <w:color w:val="auto"/>
          <w:sz w:val="24"/>
          <w:highlight w:val="none"/>
          <w:u w:val="none"/>
          <w:lang w:val="en-US" w:eastAsia="zh-CN"/>
        </w:rPr>
        <w:t>带动沿线土地的增值和商业的发展。</w:t>
      </w:r>
      <w:r>
        <w:rPr>
          <w:rFonts w:hint="default"/>
          <w:color w:val="auto"/>
          <w:sz w:val="24"/>
          <w:highlight w:val="none"/>
          <w:u w:val="none"/>
          <w:lang w:val="en-US" w:eastAsia="zh-CN"/>
        </w:rPr>
        <w:t>本工程占地、人为扰动对</w:t>
      </w:r>
      <w:r>
        <w:rPr>
          <w:rFonts w:hint="default" w:ascii="Times New Roman" w:hAnsi="Times New Roman" w:eastAsia="宋体" w:cs="Times New Roman"/>
          <w:color w:val="auto"/>
          <w:sz w:val="24"/>
          <w:highlight w:val="none"/>
          <w:u w:val="none"/>
          <w:lang w:val="en-US" w:eastAsia="zh-CN"/>
        </w:rPr>
        <w:t>衡阳段四大家鱼国家级水产种质资源保护区、湘江饮用水水源保护区、区域生态环境、自然环境造成一定的不利影响，同时还存在一定的环境风险，但在采取相应的环境影响减缓措施和风险防范措施的前提下，其环境影响和环境风险处于可接受的范围内。在落实本环评提出的各项污染防治措施和生态保护措施的前提下，从环保的角度分析，本工程建设可行。</w:t>
      </w:r>
    </w:p>
    <w:p>
      <w:pP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br w:type="page"/>
      </w:r>
    </w:p>
    <w:p>
      <w:pPr>
        <w:pStyle w:val="2"/>
        <w:keepNext/>
        <w:keepLines w:val="0"/>
        <w:pageBreakBefore w:val="0"/>
        <w:widowControl w:val="0"/>
        <w:numPr>
          <w:ilvl w:val="0"/>
          <w:numId w:val="4"/>
        </w:numPr>
        <w:kinsoku/>
        <w:wordWrap/>
        <w:overflowPunct/>
        <w:topLinePunct w:val="0"/>
        <w:autoSpaceDE/>
        <w:autoSpaceDN/>
        <w:bidi w:val="0"/>
        <w:adjustRightInd/>
        <w:snapToGrid/>
        <w:ind w:left="0"/>
        <w:jc w:val="center"/>
        <w:textAlignment w:val="auto"/>
        <w:rPr>
          <w:rFonts w:cs="Times New Roman"/>
          <w:b/>
          <w:bCs/>
          <w:color w:val="auto"/>
          <w:kern w:val="44"/>
          <w:sz w:val="32"/>
          <w:szCs w:val="32"/>
          <w:highlight w:val="none"/>
        </w:rPr>
      </w:pPr>
      <w:bookmarkStart w:id="29" w:name="_Toc28470"/>
      <w:r>
        <w:rPr>
          <w:rFonts w:hint="default" w:cs="Times New Roman"/>
          <w:b/>
          <w:bCs/>
          <w:color w:val="auto"/>
          <w:kern w:val="44"/>
          <w:sz w:val="32"/>
          <w:szCs w:val="32"/>
          <w:highlight w:val="none"/>
          <w:lang w:val="en-US" w:eastAsia="zh-CN"/>
        </w:rPr>
        <w:t>总则</w:t>
      </w:r>
      <w:bookmarkEnd w:id="27"/>
      <w:bookmarkEnd w:id="29"/>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ascii="Times New Roman" w:hAnsi="Times New Roman" w:eastAsia="宋体" w:cs="Times New Roman"/>
          <w:b/>
          <w:bCs/>
          <w:color w:val="auto"/>
          <w:kern w:val="0"/>
          <w:sz w:val="30"/>
          <w:szCs w:val="30"/>
          <w:highlight w:val="none"/>
          <w:lang w:val="en-US" w:eastAsia="zh-CN"/>
        </w:rPr>
      </w:pPr>
      <w:bookmarkStart w:id="30" w:name="_Toc4436"/>
      <w:r>
        <w:rPr>
          <w:rFonts w:hint="default" w:ascii="Times New Roman" w:hAnsi="Times New Roman" w:eastAsia="宋体" w:cs="Times New Roman"/>
          <w:b/>
          <w:bCs/>
          <w:color w:val="auto"/>
          <w:kern w:val="0"/>
          <w:sz w:val="30"/>
          <w:szCs w:val="30"/>
          <w:highlight w:val="none"/>
          <w:lang w:val="en-US" w:eastAsia="zh-CN"/>
        </w:rPr>
        <w:t>编制依据</w:t>
      </w:r>
      <w:bookmarkEnd w:id="30"/>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2.1.</w:t>
      </w:r>
      <w:r>
        <w:rPr>
          <w:rFonts w:hint="default" w:cs="Times New Roman"/>
          <w:b/>
          <w:bCs/>
          <w:color w:val="auto"/>
          <w:kern w:val="0"/>
          <w:sz w:val="28"/>
          <w:szCs w:val="28"/>
          <w:highlight w:val="none"/>
          <w:lang w:val="en-US" w:eastAsia="zh-CN"/>
        </w:rPr>
        <w:t>1</w:t>
      </w:r>
      <w:r>
        <w:rPr>
          <w:rFonts w:hint="eastAsia" w:cs="Times New Roman"/>
          <w:b/>
          <w:bCs/>
          <w:color w:val="auto"/>
          <w:kern w:val="0"/>
          <w:sz w:val="28"/>
          <w:szCs w:val="28"/>
          <w:highlight w:val="none"/>
          <w:lang w:val="en-US" w:eastAsia="zh-CN"/>
        </w:rPr>
        <w:t>法律法规</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（1）《中华人民共和国环境保护法》，2015年1月1日施行；</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（2）《中华人民共和国环境影响评价法》，2018年12月29日修订并施行；</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（3）《中华人民共和国噪声污染防治法》，2022年6月5日施行；</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（4）《中华人民共和国大气污染防治法》，2018年10月26日修订；</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（5）《中华人民共和国水污染防治法》，2018年1月1日施行；</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（6）《中华人民共和国固体废物污染环境防治法》，2020年9月1日施行；</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（7）《中华人民共和国土壤污染防治法》，2019年1月1日施行；</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（8）《中华人民共和国水法》，2016年7月2日修订；</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（9）《中华人民共和国文物保护法》，2013年6月29日修订；</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（10）《中华人民共和国水土保持法》，2011年3月1日施行；</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（11）《中华人民共和国野生动物保护法》，2022年12月30日修订；</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（12）《中华人民共和国</w:t>
      </w:r>
      <w:r>
        <w:rPr>
          <w:rFonts w:hint="eastAsia" w:cs="Times New Roman"/>
          <w:color w:val="auto"/>
          <w:sz w:val="24"/>
          <w:szCs w:val="24"/>
          <w:highlight w:val="none"/>
          <w:lang w:val="en-US" w:eastAsia="zh-CN"/>
        </w:rPr>
        <w:t>野生植</w:t>
      </w:r>
      <w:r>
        <w:rPr>
          <w:rFonts w:hint="default" w:ascii="Times New Roman" w:hAnsi="Times New Roman" w:eastAsia="宋体" w:cs="Times New Roman"/>
          <w:color w:val="auto"/>
          <w:sz w:val="24"/>
          <w:szCs w:val="24"/>
          <w:highlight w:val="none"/>
          <w:lang w:val="en-US" w:eastAsia="zh-CN"/>
        </w:rPr>
        <w:t>物保护</w:t>
      </w:r>
      <w:r>
        <w:rPr>
          <w:rFonts w:hint="eastAsia" w:cs="Times New Roman"/>
          <w:color w:val="auto"/>
          <w:sz w:val="24"/>
          <w:szCs w:val="24"/>
          <w:highlight w:val="none"/>
          <w:lang w:val="en-US" w:eastAsia="zh-CN"/>
        </w:rPr>
        <w:t>条例</w:t>
      </w:r>
      <w:r>
        <w:rPr>
          <w:rFonts w:hint="default" w:ascii="Times New Roman" w:hAnsi="Times New Roman" w:eastAsia="宋体" w:cs="Times New Roman"/>
          <w:color w:val="auto"/>
          <w:sz w:val="24"/>
          <w:szCs w:val="24"/>
          <w:highlight w:val="none"/>
          <w:lang w:val="en-US" w:eastAsia="zh-CN"/>
        </w:rPr>
        <w:t>》，20</w:t>
      </w:r>
      <w:r>
        <w:rPr>
          <w:rFonts w:hint="eastAsia" w:cs="Times New Roman"/>
          <w:color w:val="auto"/>
          <w:sz w:val="24"/>
          <w:szCs w:val="24"/>
          <w:highlight w:val="none"/>
          <w:lang w:val="en-US" w:eastAsia="zh-CN"/>
        </w:rPr>
        <w:t>17</w:t>
      </w:r>
      <w:r>
        <w:rPr>
          <w:rFonts w:hint="default" w:ascii="Times New Roman" w:hAnsi="Times New Roman" w:eastAsia="宋体" w:cs="Times New Roman"/>
          <w:color w:val="auto"/>
          <w:sz w:val="24"/>
          <w:szCs w:val="24"/>
          <w:highlight w:val="none"/>
          <w:lang w:val="en-US" w:eastAsia="zh-CN"/>
        </w:rPr>
        <w:t>年1</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月</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日修订；</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（13）《中华人民共和国防洪法》，2016年7月2日修订；</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（14）《中华人民共和国河道管理条例》，2018年3月19日修订；</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（15）《中华人民共和国河渔业法》，2013年12月28日修订；</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（16）《中华人民共和国安全生产法》，2014年12月1日施行；</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（17）《建设项目环境保护管理条例》，2017年10月1日施行；</w:t>
      </w:r>
    </w:p>
    <w:p>
      <w:pPr>
        <w:pStyle w:val="11"/>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（18）《水产种质资源保护区管理办法》，2016年5月30日修订；</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2.1.2部门规章、规范性文件</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（1）《国务院关于印发水污染防治行动计划的通知》，国发〔2015〕17号，2015年4月2日；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（2）《国务院关于印发土壤污染防治行动计划的通知》，国发〔2016〕31号，2016年5月28日；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（3）《国务院办公厅关于印发&lt;控制污染物排放许可制实施方案&gt;的通知》，国办发〔2016〕81号，2016年11月10日；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（4）《建设项目环境影响评价分类管理名录》（2021年本）；</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（5）《国家危险废物名录》（2021年本）；</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（6）《产业结构调整指导目录（2024年本）》，2024年2月1日起施行；</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（7）《环境影响评价公众参与办法》，2019年1月1日施行；</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（8）《关于进一步加强环境影响评价管理防范环境风险的通知》，环发〔2012〕77号，2012年7月3日；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（9）《关于切实加强风险防范严格环境影响评价管理的通知》，环发〔2012〕98号，2012年8月7日；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（10）《关于切实加强环境影响评价监督管理工作的通知》，环办〔2013〕104号，2013年11月15日；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（11）《关于落实大气污染防治行动计划严格环境影响评价准入的通知》，环办〔2014〕30号，2014年3月25日；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（12）《企业事业单位突发环境事件应急预案备案管理办法（试行）》，环发〔2015〕4号，2015年1月8日；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（13）《关于印发&lt;企业突发环境事件风险评估指南（试行））&gt;的通知》，环办〔2014〕34号，2014年4月3日；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（14）《关于印发&lt;建设项目环境保护事中事后监督管理办法（试行）&gt;的通知》，环发〔2015〕163号，2015年12月10日；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（15）《关于以改善环境质量为核心加强环境影响评价管理的通知》，环环评〔2016〕150号，2016年10月26日；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（16）《关于印发&lt;长江经济带生态环境保护规划&gt;的通知》，环财规〔2017〕88号，2017年7月13日；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（17）《水利建设项目(河湖整治与防洪除涝工程)环境影响评价文件审批原则》(环办环评〔2018〕2号)。</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2.1.3地方规章、规范性文件</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（1）《湖南省环境保护条例》，2019年9月28日修订；</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（2）《湖南省大气污染防治条例》，2017年6月1日起施行；</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（3）《湖南省渔业条例》，2018年7月19日修订；</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（4）《湖南省</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十四五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水安全保障规划》，2021年8月24日修订；</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（5）《湖南省</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十四五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生态环境保护规划》，湘政办发〔2021〕61号，2021年9月30日；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（6）《关于公布湖南省县级以上地表水集中式饮用水水源保护区划定方案的通知》，湘政函〔2016〕176号，2016年12月30日；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（7）《湖南省主要水系地表水环境功能区划》（DB43/023-2005）；</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（8）《湖南省主体功能区规划》，2012年12月27日；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（9）《湖南省地方标准用水定额》（DB43/T388-2020）；</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（10）《湖南省人民政府关于印发&lt;湖南省贯彻落实&lt;水污染防治行动计划&gt;实施方案（2016-2020年）</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的通知，湘政发〔2015〕53号，2015年12月31日；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（11）《湖南省人民政府关于印发&lt;湖南省污染防治攻坚战三年行动计划（2018-2020年）&gt;的通知》，湘政发〔2018〕17号，2018年6月18日；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（12）《湖南省人民政府关于印发&lt;湖南省土壤污染防治工作方案&gt;的通知》，湘政发〔2017〕4号，2017年1月23日；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（13）《湖南省人民政府关于印发&lt;湖南省生态保护红线&gt;的通知》，湘政发〔2018〕20号，2018年7月25日；</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（14）《湖南省长江经济带发展负面清单实施细则（试行，2022年版）》（湖南省推动长江经济领导小组发展办公室）</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（15）《湖南省</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生态环境总体管控要求暨省级以上产业园区生态环境准入清单》﹔</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（16）《湖南省人民政府关于实施</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生态环境分区管控的意见》湘政发〔2020〕12号；</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（17）《湖南省国家重点生态功能区产业准入负面清单（试行）》，湘发改规划〔2016〕659号；</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（18）《湖南省建设项目环境保护管理办法》，湖南省人民政府第107次常务会议，2007年10月1实施；</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（19）《湖南省湘江保护条例》，湖南省第十一届人民代表大会常务委员会公告〔2012〕第75号；</w:t>
      </w:r>
    </w:p>
    <w:p>
      <w:pPr>
        <w:widowControl/>
        <w:numPr>
          <w:ilvl w:val="0"/>
          <w:numId w:val="0"/>
        </w:num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20</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《湖南省古树名木保护办法》（2021年11月26日湖南省人民政府令第306号公布，2022年3月12日起施行）；</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（21）《衡阳市人民政府关于实施</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生态环境分区管控的意见》，衡政发〔2020〕9号；</w:t>
      </w:r>
    </w:p>
    <w:p>
      <w:pPr>
        <w:pStyle w:val="11"/>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i w:val="0"/>
          <w:iCs w:val="0"/>
          <w:caps w:val="0"/>
          <w:color w:val="auto"/>
          <w:spacing w:val="0"/>
          <w:sz w:val="24"/>
          <w:szCs w:val="24"/>
          <w:highlight w:val="none"/>
          <w:shd w:val="clear" w:fill="FFFFFF"/>
          <w:lang w:eastAsia="zh-CN"/>
        </w:rPr>
      </w:pPr>
      <w:r>
        <w:rPr>
          <w:rFonts w:hint="default" w:ascii="Times New Roman" w:hAnsi="Times New Roman" w:eastAsia="宋体" w:cs="Times New Roman"/>
          <w:color w:val="auto"/>
          <w:sz w:val="24"/>
          <w:szCs w:val="24"/>
          <w:highlight w:val="none"/>
          <w:lang w:val="en-US" w:eastAsia="zh-CN"/>
        </w:rPr>
        <w:t>（22）《衡阳市</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十四五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生态环境保护规划》。</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2.1.4技术规范及导则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建设项目环境影响评价技术导则 总纲</w:t>
      </w:r>
      <w:r>
        <w:rPr>
          <w:rFonts w:hint="default" w:ascii="Times New Roman" w:hAnsi="Times New Roman" w:eastAsia="宋体" w:cs="Times New Roman"/>
          <w:color w:val="auto"/>
          <w:sz w:val="24"/>
          <w:szCs w:val="24"/>
          <w:highlight w:val="none"/>
          <w:lang w:val="en-US" w:eastAsia="zh-CN"/>
        </w:rPr>
        <w:t>》（HJ2.1-2016）；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环境影响评价技术导则 大气环境</w:t>
      </w:r>
      <w:r>
        <w:rPr>
          <w:rFonts w:hint="default" w:ascii="Times New Roman" w:hAnsi="Times New Roman" w:eastAsia="宋体" w:cs="Times New Roman"/>
          <w:color w:val="auto"/>
          <w:sz w:val="24"/>
          <w:szCs w:val="24"/>
          <w:highlight w:val="none"/>
          <w:lang w:val="en-US" w:eastAsia="zh-CN"/>
        </w:rPr>
        <w:t>》（HJ2.2-2018）；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环境影响评价技术导则 地表水环境</w:t>
      </w:r>
      <w:r>
        <w:rPr>
          <w:rFonts w:hint="default" w:ascii="Times New Roman" w:hAnsi="Times New Roman" w:eastAsia="宋体" w:cs="Times New Roman"/>
          <w:color w:val="auto"/>
          <w:sz w:val="24"/>
          <w:szCs w:val="24"/>
          <w:highlight w:val="none"/>
          <w:lang w:val="en-US" w:eastAsia="zh-CN"/>
        </w:rPr>
        <w:t>》（HJ2.3-2018）；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环境影响评价技术导则 地下水环境</w:t>
      </w:r>
      <w:r>
        <w:rPr>
          <w:rFonts w:hint="default" w:ascii="Times New Roman" w:hAnsi="Times New Roman" w:eastAsia="宋体" w:cs="Times New Roman"/>
          <w:color w:val="auto"/>
          <w:sz w:val="24"/>
          <w:szCs w:val="24"/>
          <w:highlight w:val="none"/>
          <w:lang w:val="en-US" w:eastAsia="zh-CN"/>
        </w:rPr>
        <w:t>》（HJ610-2016）；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w:t>
      </w:r>
      <w:r>
        <w:rPr>
          <w:rFonts w:hint="eastAsia" w:cs="Times New Roman"/>
          <w:color w:val="auto"/>
          <w:sz w:val="24"/>
          <w:szCs w:val="24"/>
          <w:highlight w:val="none"/>
          <w:lang w:val="en-US" w:eastAsia="zh-CN"/>
        </w:rPr>
        <w:t>环境影响评价技术导则 声环境</w:t>
      </w:r>
      <w:r>
        <w:rPr>
          <w:rFonts w:hint="default" w:ascii="Times New Roman" w:hAnsi="Times New Roman" w:eastAsia="宋体" w:cs="Times New Roman"/>
          <w:color w:val="auto"/>
          <w:sz w:val="24"/>
          <w:szCs w:val="24"/>
          <w:highlight w:val="none"/>
          <w:lang w:val="en-US" w:eastAsia="zh-CN"/>
        </w:rPr>
        <w:t>》（HJ2.4-2021）；</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w:t>
      </w:r>
      <w:r>
        <w:rPr>
          <w:rFonts w:hint="eastAsia" w:cs="Times New Roman"/>
          <w:color w:val="auto"/>
          <w:sz w:val="24"/>
          <w:szCs w:val="24"/>
          <w:highlight w:val="none"/>
          <w:lang w:val="en-US" w:eastAsia="zh-CN"/>
        </w:rPr>
        <w:t>环境影响评价技术导则 生态影响</w:t>
      </w:r>
      <w:r>
        <w:rPr>
          <w:rFonts w:hint="default" w:ascii="Times New Roman" w:hAnsi="Times New Roman" w:eastAsia="宋体" w:cs="Times New Roman"/>
          <w:color w:val="auto"/>
          <w:sz w:val="24"/>
          <w:szCs w:val="24"/>
          <w:highlight w:val="none"/>
          <w:lang w:val="en-US" w:eastAsia="zh-CN"/>
        </w:rPr>
        <w:t>》（HJ19-2022）；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w:t>
      </w:r>
      <w:r>
        <w:rPr>
          <w:rFonts w:hint="eastAsia" w:cs="Times New Roman"/>
          <w:color w:val="auto"/>
          <w:sz w:val="24"/>
          <w:szCs w:val="24"/>
          <w:highlight w:val="none"/>
          <w:lang w:val="en-US" w:eastAsia="zh-CN"/>
        </w:rPr>
        <w:t>环境影响评价技术导则 土壤环境（试行）</w:t>
      </w:r>
      <w:r>
        <w:rPr>
          <w:rFonts w:hint="default" w:ascii="Times New Roman" w:hAnsi="Times New Roman" w:eastAsia="宋体" w:cs="Times New Roman"/>
          <w:color w:val="auto"/>
          <w:sz w:val="24"/>
          <w:szCs w:val="24"/>
          <w:highlight w:val="none"/>
          <w:lang w:val="en-US" w:eastAsia="zh-CN"/>
        </w:rPr>
        <w:t>》（HJ964-2018）；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（8）《建设项目环境风险评价技术导则》（HJ169-2018）；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w:t>
      </w:r>
      <w:r>
        <w:rPr>
          <w:rFonts w:hint="eastAsia" w:cs="Times New Roman"/>
          <w:color w:val="auto"/>
          <w:sz w:val="24"/>
          <w:szCs w:val="24"/>
          <w:highlight w:val="none"/>
          <w:lang w:val="en-US" w:eastAsia="zh-CN"/>
        </w:rPr>
        <w:t>排污单位自行监测技术指南 总则</w:t>
      </w:r>
      <w:r>
        <w:rPr>
          <w:rFonts w:hint="default" w:ascii="Times New Roman" w:hAnsi="Times New Roman" w:eastAsia="宋体" w:cs="Times New Roman"/>
          <w:color w:val="auto"/>
          <w:sz w:val="24"/>
          <w:szCs w:val="24"/>
          <w:highlight w:val="none"/>
          <w:lang w:val="en-US" w:eastAsia="zh-CN"/>
        </w:rPr>
        <w:t>》（HJ 819-2017）；</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（10）《污染源源强核算技术指南准则》（HJ884-2018)；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（11）《排污许可证申请与核发技术规范总则》(HJ942-2018）；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（12）《建设项目竣工环境保护验收技术规范生态影响类》（</w:t>
      </w:r>
      <w:r>
        <w:rPr>
          <w:rFonts w:hint="eastAsia" w:cs="Times New Roman"/>
          <w:color w:val="auto"/>
          <w:sz w:val="24"/>
          <w:szCs w:val="24"/>
          <w:highlight w:val="none"/>
          <w:lang w:val="en-US" w:eastAsia="zh-CN"/>
        </w:rPr>
        <w:t>HJ/T 394-2007</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（13）《建设项目竣工环境保护验收技术规范水利水电》（HJ 464一2009）；</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（14）《环境空气质量功能区划分原则与技术方法》（HJ14-1996）；</w:t>
      </w:r>
    </w:p>
    <w:p>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15</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内陆水域鱼类》（HJ710-2014）；</w:t>
      </w:r>
    </w:p>
    <w:p>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16</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《淡水渔业资源调查规范 河流》（SC/T 9429-2019）；</w:t>
      </w:r>
    </w:p>
    <w:p>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17</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陆生维管植物》（HJ 710.1-2014）；</w:t>
      </w:r>
    </w:p>
    <w:p>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18</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陆生哺乳动物》（HJ 710.3-2014）；</w:t>
      </w:r>
    </w:p>
    <w:p>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19</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生物多样性观测技术导则 鸟类</w:t>
      </w:r>
      <w:r>
        <w:rPr>
          <w:rFonts w:hint="default" w:ascii="Times New Roman" w:hAnsi="Times New Roman" w:cs="Times New Roman"/>
          <w:color w:val="auto"/>
          <w:sz w:val="24"/>
          <w:szCs w:val="24"/>
          <w:highlight w:val="none"/>
        </w:rPr>
        <w:t>》（HJ 710.4-2014）；</w:t>
      </w:r>
    </w:p>
    <w:p>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20</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爬行动物》（HJ 710.5-2014）；</w:t>
      </w:r>
    </w:p>
    <w:p>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21</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两栖动物》（HJ 710.6-2014）；</w:t>
      </w:r>
    </w:p>
    <w:p>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22</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淡水底栖大型无脊椎动物》（HJ 710.8-2014）；</w:t>
      </w:r>
    </w:p>
    <w:p>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23</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《淡水浮游生物调查技术规范》SC/T 9402-2010；</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24</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生态环境状况评价技术规范</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HJ 192-2015</w:t>
      </w:r>
      <w:r>
        <w:rPr>
          <w:rFonts w:hint="default" w:ascii="Times New Roman" w:hAnsi="Times New Roman" w:cs="Times New Roman"/>
          <w:color w:val="auto"/>
          <w:sz w:val="24"/>
          <w:szCs w:val="24"/>
          <w:highlight w:val="none"/>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2.1.5项目相关技术报告、文件</w:t>
      </w:r>
    </w:p>
    <w:p>
      <w:pPr>
        <w:keepNext w:val="0"/>
        <w:keepLines w:val="0"/>
        <w:pageBreakBefore w:val="0"/>
        <w:widowControl w:val="0"/>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（1）环评委托书；</w:t>
      </w:r>
    </w:p>
    <w:p>
      <w:pPr>
        <w:keepNext w:val="0"/>
        <w:keepLines w:val="0"/>
        <w:pageBreakBefore w:val="0"/>
        <w:widowControl w:val="0"/>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（2）《衡阳市发展和改革委员会关于核准阳市</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美丽湘江</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项目申请报告的批复》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（衡发改审〔2023〕128号）；</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《衡阳</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美丽湘江</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项目项目申请报告》；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28"/>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（4）《美丽湘江项目湘江东岸沿江风光带（龙家坪-冶金中路）整治工程水土保持方案报告表》，2024年3月；</w:t>
      </w:r>
    </w:p>
    <w:p>
      <w:pPr>
        <w:keepNext w:val="0"/>
        <w:keepLines w:val="0"/>
        <w:pageBreakBefore w:val="0"/>
        <w:widowControl w:val="0"/>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）建设单位提供的其他相关技术资料。</w:t>
      </w:r>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ascii="Times New Roman" w:hAnsi="Times New Roman" w:eastAsia="宋体" w:cs="Times New Roman"/>
          <w:b/>
          <w:bCs/>
          <w:color w:val="auto"/>
          <w:kern w:val="0"/>
          <w:sz w:val="30"/>
          <w:szCs w:val="30"/>
          <w:highlight w:val="none"/>
          <w:lang w:val="en-US" w:eastAsia="zh-CN"/>
        </w:rPr>
      </w:pPr>
      <w:bookmarkStart w:id="31" w:name="_Toc15706"/>
      <w:bookmarkStart w:id="32" w:name="_Toc2958"/>
      <w:r>
        <w:rPr>
          <w:rFonts w:hint="default" w:ascii="Times New Roman" w:hAnsi="Times New Roman" w:eastAsia="宋体" w:cs="Times New Roman"/>
          <w:b/>
          <w:bCs/>
          <w:color w:val="auto"/>
          <w:kern w:val="0"/>
          <w:sz w:val="30"/>
          <w:szCs w:val="30"/>
          <w:highlight w:val="none"/>
          <w:lang w:val="en-US" w:eastAsia="zh-CN"/>
        </w:rPr>
        <w:t>环境影响识别与评价因子筛选</w:t>
      </w:r>
      <w:bookmarkEnd w:id="31"/>
      <w:bookmarkEnd w:id="32"/>
    </w:p>
    <w:p>
      <w:pPr>
        <w:keepNext w:val="0"/>
        <w:keepLines w:val="0"/>
        <w:pageBreakBefore w:val="0"/>
        <w:widowControl/>
        <w:kinsoku w:val="0"/>
        <w:wordWrap/>
        <w:overflowPunct/>
        <w:topLinePunct w:val="0"/>
        <w:autoSpaceDE/>
        <w:autoSpaceDN/>
        <w:bidi w:val="0"/>
        <w:adjustRightInd w:val="0"/>
        <w:snapToGrid w:val="0"/>
        <w:ind w:left="0" w:leftChars="0" w:firstLine="0" w:firstLineChars="0"/>
        <w:textAlignment w:val="baseline"/>
        <w:outlineLvl w:val="2"/>
        <w:rPr>
          <w:rFonts w:hint="default" w:ascii="Times New Roman" w:hAnsi="Times New Roman" w:eastAsia="宋体" w:cs="Times New Roman"/>
          <w:b/>
          <w:bCs/>
          <w:snapToGrid/>
          <w:color w:val="auto"/>
          <w:kern w:val="0"/>
          <w:sz w:val="30"/>
          <w:szCs w:val="30"/>
          <w:highlight w:val="none"/>
          <w:lang w:val="en-US" w:eastAsia="zh-CN" w:bidi="ar-SA"/>
        </w:rPr>
      </w:pPr>
      <w:r>
        <w:rPr>
          <w:rFonts w:hint="default" w:ascii="Times New Roman" w:hAnsi="Times New Roman" w:eastAsia="宋体" w:cs="Times New Roman"/>
          <w:b/>
          <w:bCs/>
          <w:snapToGrid/>
          <w:color w:val="auto"/>
          <w:kern w:val="0"/>
          <w:sz w:val="30"/>
          <w:szCs w:val="30"/>
          <w:highlight w:val="none"/>
          <w:lang w:val="en-US" w:eastAsia="zh-CN" w:bidi="ar-SA"/>
        </w:rPr>
        <w:t>2</w:t>
      </w:r>
      <w:r>
        <w:rPr>
          <w:rFonts w:hint="eastAsia" w:cs="Times New Roman"/>
          <w:b/>
          <w:bCs/>
          <w:snapToGrid/>
          <w:color w:val="auto"/>
          <w:kern w:val="0"/>
          <w:sz w:val="30"/>
          <w:szCs w:val="30"/>
          <w:highlight w:val="none"/>
          <w:lang w:val="en-US" w:eastAsia="zh-CN" w:bidi="ar-SA"/>
        </w:rPr>
        <w:t>.2</w:t>
      </w:r>
      <w:r>
        <w:rPr>
          <w:rFonts w:hint="default" w:ascii="Times New Roman" w:hAnsi="Times New Roman" w:eastAsia="宋体" w:cs="Times New Roman"/>
          <w:b/>
          <w:bCs/>
          <w:snapToGrid/>
          <w:color w:val="auto"/>
          <w:kern w:val="0"/>
          <w:sz w:val="30"/>
          <w:szCs w:val="30"/>
          <w:highlight w:val="none"/>
          <w:lang w:val="en-US" w:eastAsia="zh-CN" w:bidi="ar-SA"/>
        </w:rPr>
        <w:t>.1环境影响因素识别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根据项目污染物排放特征及所在区域的环境特征，本项目的环境影响因素识别详见下表。</w:t>
      </w:r>
    </w:p>
    <w:p>
      <w:pPr>
        <w:pStyle w:val="18"/>
        <w:keepNext w:val="0"/>
        <w:keepLines w:val="0"/>
        <w:pageBreakBefore w:val="0"/>
        <w:widowControl/>
        <w:kinsoku w:val="0"/>
        <w:wordWrap/>
        <w:overflowPunct/>
        <w:topLinePunct w:val="0"/>
        <w:autoSpaceDE/>
        <w:autoSpaceDN/>
        <w:bidi w:val="0"/>
        <w:adjustRightInd w:val="0"/>
        <w:snapToGrid w:val="0"/>
        <w:ind w:left="0" w:leftChars="0" w:firstLine="0" w:firstLineChars="0"/>
        <w:jc w:val="center"/>
        <w:textAlignment w:val="baseline"/>
        <w:outlineLvl w:val="9"/>
        <w:rPr>
          <w:rFonts w:hint="default" w:cs="Times New Roman"/>
          <w:b/>
          <w:bCs/>
          <w:color w:val="auto"/>
          <w:sz w:val="21"/>
          <w:szCs w:val="21"/>
          <w:highlight w:val="none"/>
          <w:lang w:val="en-US" w:eastAsia="zh-CN" w:bidi="zh-TW"/>
        </w:rPr>
      </w:pPr>
      <w:r>
        <w:rPr>
          <w:rFonts w:hint="default" w:ascii="Times New Roman" w:hAnsi="Times New Roman" w:eastAsia="宋体" w:cs="Times New Roman"/>
          <w:b/>
          <w:bCs/>
          <w:color w:val="auto"/>
          <w:sz w:val="21"/>
          <w:szCs w:val="21"/>
          <w:highlight w:val="none"/>
          <w:lang w:bidi="zh-TW"/>
        </w:rPr>
        <w:t>表2.</w:t>
      </w:r>
      <w:r>
        <w:rPr>
          <w:rFonts w:hint="eastAsia" w:cs="Times New Roman"/>
          <w:b/>
          <w:bCs/>
          <w:color w:val="auto"/>
          <w:sz w:val="21"/>
          <w:szCs w:val="21"/>
          <w:highlight w:val="none"/>
          <w:lang w:val="en-US" w:eastAsia="zh-CN" w:bidi="zh-TW"/>
        </w:rPr>
        <w:t>2</w:t>
      </w:r>
      <w:r>
        <w:rPr>
          <w:rFonts w:hint="default" w:ascii="Times New Roman" w:hAnsi="Times New Roman" w:eastAsia="宋体" w:cs="Times New Roman"/>
          <w:b/>
          <w:bCs/>
          <w:color w:val="auto"/>
          <w:sz w:val="21"/>
          <w:szCs w:val="21"/>
          <w:highlight w:val="none"/>
          <w:lang w:bidi="zh-TW"/>
        </w:rPr>
        <w:t>-1工程环境影响</w:t>
      </w:r>
      <w:r>
        <w:rPr>
          <w:rFonts w:hint="default" w:cs="Times New Roman"/>
          <w:b/>
          <w:bCs/>
          <w:color w:val="auto"/>
          <w:sz w:val="21"/>
          <w:szCs w:val="21"/>
          <w:highlight w:val="none"/>
          <w:lang w:val="en-US" w:eastAsia="zh-CN" w:bidi="zh-TW"/>
        </w:rPr>
        <w:t>因子</w:t>
      </w:r>
      <w:r>
        <w:rPr>
          <w:rFonts w:hint="default" w:ascii="Times New Roman" w:hAnsi="Times New Roman" w:eastAsia="宋体" w:cs="Times New Roman"/>
          <w:b/>
          <w:bCs/>
          <w:color w:val="auto"/>
          <w:sz w:val="21"/>
          <w:szCs w:val="21"/>
          <w:highlight w:val="none"/>
          <w:lang w:bidi="zh-TW"/>
        </w:rPr>
        <w:t>识别</w:t>
      </w:r>
      <w:r>
        <w:rPr>
          <w:rFonts w:hint="default" w:cs="Times New Roman"/>
          <w:b/>
          <w:bCs/>
          <w:color w:val="auto"/>
          <w:sz w:val="21"/>
          <w:szCs w:val="21"/>
          <w:highlight w:val="none"/>
          <w:lang w:val="en-US" w:eastAsia="zh-CN" w:bidi="zh-TW"/>
        </w:rPr>
        <w:t>与筛选表</w:t>
      </w:r>
    </w:p>
    <w:tbl>
      <w:tblPr>
        <w:tblStyle w:val="2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657"/>
        <w:gridCol w:w="1455"/>
        <w:gridCol w:w="1197"/>
        <w:gridCol w:w="1256"/>
        <w:gridCol w:w="1110"/>
        <w:gridCol w:w="15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2767" w:type="dxa"/>
            <w:gridSpan w:val="2"/>
            <w:vMerge w:val="restar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lang w:val="en-US" w:eastAsia="zh-CN"/>
              </w:rPr>
            </w:pPr>
          </w:p>
          <w:p>
            <w:pPr>
              <w:rPr>
                <w:rFonts w:hint="default" w:ascii="Times New Roman" w:hAnsi="Times New Roman" w:eastAsia="宋体" w:cs="Times New Roman"/>
                <w:b w:val="0"/>
                <w:bCs w:val="0"/>
                <w:color w:val="auto"/>
                <w:sz w:val="21"/>
                <w:szCs w:val="21"/>
                <w:highlight w:val="none"/>
                <w:vertAlign w:val="baseline"/>
                <w:lang w:val="en-US" w:eastAsia="zh-CN" w:bidi="zh-TW"/>
              </w:rPr>
            </w:pPr>
          </w:p>
          <w:p>
            <w:pPr>
              <mc:AlternateContent>
                <mc:Choice Requires="wpsCustomData">
                  <wpsCustomData:diagonalParaType/>
                </mc:Choice>
              </mc:AlternateContent>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环境资源</w:t>
            </w:r>
          </w:p>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lang w:val="en-US" w:eastAsia="zh-CN"/>
              </w:rPr>
            </w:pPr>
            <w:r>
              <w:rPr>
                <w:rFonts w:hint="default"/>
                <w:color w:val="auto"/>
                <w:lang w:val="en-US" w:eastAsia="zh-CN"/>
              </w:rPr>
              <w:t>影响因素</w:t>
            </w:r>
          </w:p>
        </w:tc>
        <w:tc>
          <w:tcPr>
            <w:tcW w:w="5018" w:type="dxa"/>
            <w:gridSpan w:val="4"/>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施工期</w:t>
            </w: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运行期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2767" w:type="dxa"/>
            <w:gridSpan w:val="2"/>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土石方工程</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材料运输</w:t>
            </w: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机械保养</w:t>
            </w: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施工人员办公生活</w:t>
            </w: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工程运行管理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restart"/>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生态环境</w:t>
            </w: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vertAlign w:val="baseline"/>
                <w:lang w:val="en-US" w:eastAsia="zh-CN"/>
              </w:rPr>
              <w:t>生态敏感区</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vertAlign w:val="baseline"/>
                <w:lang w:val="en-US" w:eastAsia="zh-CN"/>
              </w:rPr>
              <w:t>陆生生态</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90" w:hRule="atLeast"/>
        </w:trPr>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vertAlign w:val="baseline"/>
                <w:lang w:val="en-US" w:eastAsia="zh-CN"/>
              </w:rPr>
              <w:t>水生生态</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olor w:val="auto"/>
                <w:w w:val="100"/>
                <w:sz w:val="21"/>
                <w:szCs w:val="21"/>
                <w:vertAlign w:val="baseline"/>
                <w:lang w:val="en-US" w:eastAsia="zh-CN"/>
              </w:rPr>
              <w:t>水土流失</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vertAlign w:val="baseline"/>
                <w:lang w:val="en-US" w:eastAsia="zh-CN"/>
              </w:rPr>
              <w:t>地表水</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vertAlign w:val="baseline"/>
                <w:lang w:val="en-US" w:eastAsia="zh-CN"/>
              </w:rPr>
            </w:pPr>
            <w:r>
              <w:rPr>
                <w:rFonts w:hint="default"/>
                <w:color w:val="auto"/>
                <w:w w:val="100"/>
                <w:sz w:val="21"/>
                <w:szCs w:val="21"/>
                <w:vertAlign w:val="baseline"/>
                <w:lang w:val="en-US" w:eastAsia="zh-CN"/>
              </w:rPr>
              <w:t>地下水</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vertAlign w:val="baseline"/>
                <w:lang w:val="en-US" w:eastAsia="zh-CN"/>
              </w:rPr>
            </w:pPr>
            <w:r>
              <w:rPr>
                <w:rFonts w:hint="default"/>
                <w:color w:val="auto"/>
                <w:w w:val="100"/>
                <w:sz w:val="21"/>
                <w:szCs w:val="21"/>
                <w:vertAlign w:val="baseline"/>
                <w:lang w:val="en-US" w:eastAsia="zh-CN"/>
              </w:rPr>
              <w:t>环境空气</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vertAlign w:val="baseline"/>
                <w:lang w:val="en-US" w:eastAsia="zh-CN"/>
              </w:rPr>
            </w:pPr>
            <w:r>
              <w:rPr>
                <w:rFonts w:hint="default"/>
                <w:color w:val="auto"/>
                <w:w w:val="100"/>
                <w:sz w:val="21"/>
                <w:szCs w:val="21"/>
                <w:vertAlign w:val="baseline"/>
                <w:lang w:val="en-US" w:eastAsia="zh-CN"/>
              </w:rPr>
              <w:t>声环境</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vertAlign w:val="baseline"/>
                <w:lang w:val="en-US" w:eastAsia="zh-CN"/>
              </w:rPr>
            </w:pPr>
            <w:r>
              <w:rPr>
                <w:rFonts w:hint="default"/>
                <w:color w:val="auto"/>
                <w:w w:val="100"/>
                <w:sz w:val="21"/>
                <w:szCs w:val="21"/>
                <w:vertAlign w:val="baseline"/>
                <w:lang w:val="en-US" w:eastAsia="zh-CN"/>
              </w:rPr>
              <w:t>固体废物</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1110" w:type="dxa"/>
            <w:vMerge w:val="restart"/>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社会环境</w:t>
            </w: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vertAlign w:val="baseline"/>
                <w:lang w:val="en-US" w:eastAsia="zh-CN"/>
              </w:rPr>
              <w:t>人群健康</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vertAlign w:val="baseline"/>
                <w:lang w:val="en-US" w:eastAsia="zh-CN"/>
              </w:rPr>
              <w:t>交通</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vertAlign w:val="baseline"/>
                <w:lang w:val="en-US" w:eastAsia="zh-CN"/>
              </w:rPr>
              <w:t>景观</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vertAlign w:val="baseline"/>
                <w:lang w:val="en-US" w:eastAsia="zh-CN"/>
              </w:rPr>
            </w:pPr>
            <w:r>
              <w:rPr>
                <w:rFonts w:hint="default"/>
                <w:color w:val="auto"/>
                <w:w w:val="100"/>
                <w:sz w:val="21"/>
                <w:szCs w:val="21"/>
                <w:vertAlign w:val="baseline"/>
                <w:lang w:val="en-US" w:eastAsia="zh-CN"/>
              </w:rPr>
              <w:t>土地利用</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olor w:val="auto"/>
                <w:w w:val="100"/>
                <w:sz w:val="21"/>
                <w:szCs w:val="21"/>
                <w:vertAlign w:val="baseline"/>
                <w:lang w:val="en-US" w:eastAsia="zh-CN"/>
              </w:rPr>
              <w:t>社会经济</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1110" w:type="dxa"/>
            <w:vMerge w:val="continue"/>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vertAlign w:val="baseline"/>
                <w:lang w:val="en-US" w:eastAsia="zh-CN"/>
              </w:rPr>
            </w:pPr>
            <w:r>
              <w:rPr>
                <w:rFonts w:hint="default"/>
                <w:color w:val="auto"/>
                <w:w w:val="100"/>
                <w:sz w:val="21"/>
                <w:szCs w:val="21"/>
                <w:vertAlign w:val="baseline"/>
                <w:lang w:val="en-US" w:eastAsia="zh-CN"/>
              </w:rPr>
              <w:t>环境风险</w:t>
            </w:r>
          </w:p>
        </w:tc>
        <w:tc>
          <w:tcPr>
            <w:tcW w:w="1455"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val="en-US" w:eastAsia="zh-CN"/>
              </w:rPr>
            </w:pPr>
          </w:p>
        </w:tc>
        <w:tc>
          <w:tcPr>
            <w:tcW w:w="1256"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val="en-US" w:eastAsia="zh-CN"/>
              </w:rPr>
            </w:pPr>
          </w:p>
        </w:tc>
        <w:tc>
          <w:tcPr>
            <w:tcW w:w="1110"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288" w:type="dxa"/>
            <w:gridSpan w:val="7"/>
            <w:tcBorders>
              <w:tl2br w:val="nil"/>
              <w:tr2bl w:val="nil"/>
            </w:tcBorders>
            <w:vAlign w:val="center"/>
          </w:tcPr>
          <w:p>
            <w:pPr>
              <w:pStyle w:val="18"/>
              <w:keepNext w:val="0"/>
              <w:keepLines w:val="0"/>
              <w:pageBreakBefore w:val="0"/>
              <w:widowControl/>
              <w:kinsoku w:val="0"/>
              <w:wordWrap/>
              <w:overflowPunct/>
              <w:topLinePunct w:val="0"/>
              <w:autoSpaceDE/>
              <w:autoSpaceDN/>
              <w:bidi w:val="0"/>
              <w:adjustRightInd w:val="0"/>
              <w:snapToGrid w:val="0"/>
              <w:ind w:left="0" w:leftChars="0"/>
              <w:jc w:val="left"/>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注：</w:t>
            </w:r>
            <w:r>
              <w:rPr>
                <w:rFonts w:hint="default" w:ascii="Times New Roman" w:hAnsi="Times New Roman" w:eastAsia="微软雅黑" w:cs="Times New Roman"/>
                <w:color w:val="auto"/>
                <w:sz w:val="18"/>
                <w:szCs w:val="18"/>
                <w:highlight w:val="none"/>
                <w:lang w:val="en-US" w:eastAsia="zh-CN"/>
              </w:rPr>
              <w:t xml:space="preserve">●影响较大  </w:t>
            </w:r>
            <w:r>
              <w:rPr>
                <w:rFonts w:hint="default" w:ascii="Times New Roman" w:hAnsi="Times New Roman" w:eastAsia="微软雅黑" w:cs="Times New Roman"/>
                <w:color w:val="auto"/>
                <w:sz w:val="18"/>
                <w:szCs w:val="18"/>
                <w:highlight w:val="none"/>
                <w:lang w:eastAsia="zh-CN"/>
              </w:rPr>
              <w:t>▲</w:t>
            </w:r>
            <w:r>
              <w:rPr>
                <w:rFonts w:hint="default" w:ascii="Times New Roman" w:hAnsi="Times New Roman" w:eastAsia="微软雅黑" w:cs="Times New Roman"/>
                <w:color w:val="auto"/>
                <w:sz w:val="18"/>
                <w:szCs w:val="18"/>
                <w:highlight w:val="none"/>
                <w:lang w:val="en-US" w:eastAsia="zh-CN"/>
              </w:rPr>
              <w:t xml:space="preserve">影响一般  </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微软雅黑" w:cs="Times New Roman"/>
                <w:color w:val="auto"/>
                <w:sz w:val="18"/>
                <w:szCs w:val="18"/>
                <w:highlight w:val="none"/>
                <w:lang w:val="en-US" w:eastAsia="zh-CN"/>
              </w:rPr>
              <w:t>影响轻微  ★影响十</w:t>
            </w:r>
            <w:r>
              <w:rPr>
                <w:rFonts w:hint="eastAsia" w:eastAsia="微软雅黑" w:cs="Times New Roman"/>
                <w:color w:val="auto"/>
                <w:sz w:val="18"/>
                <w:szCs w:val="18"/>
                <w:highlight w:val="none"/>
                <w:lang w:val="en-US" w:eastAsia="zh-CN"/>
              </w:rPr>
              <w:t>分</w:t>
            </w:r>
            <w:r>
              <w:rPr>
                <w:rFonts w:hint="default" w:ascii="Times New Roman" w:hAnsi="Times New Roman" w:eastAsia="微软雅黑" w:cs="Times New Roman"/>
                <w:color w:val="auto"/>
                <w:sz w:val="18"/>
                <w:szCs w:val="18"/>
                <w:highlight w:val="none"/>
                <w:lang w:val="en-US" w:eastAsia="zh-CN"/>
              </w:rPr>
              <w:t>有限但较敏感  +有利影响  -不利影响</w:t>
            </w:r>
          </w:p>
        </w:tc>
      </w:tr>
    </w:tbl>
    <w:p>
      <w:pPr>
        <w:keepNext w:val="0"/>
        <w:keepLines w:val="0"/>
        <w:pageBreakBefore w:val="0"/>
        <w:widowControl/>
        <w:kinsoku w:val="0"/>
        <w:wordWrap/>
        <w:overflowPunct/>
        <w:topLinePunct w:val="0"/>
        <w:autoSpaceDE/>
        <w:autoSpaceDN/>
        <w:bidi w:val="0"/>
        <w:adjustRightInd w:val="0"/>
        <w:snapToGrid w:val="0"/>
        <w:ind w:left="0" w:leftChars="0" w:firstLine="0" w:firstLineChars="0"/>
        <w:textAlignment w:val="baseline"/>
        <w:outlineLvl w:val="2"/>
        <w:rPr>
          <w:rFonts w:hint="default" w:ascii="Times New Roman" w:hAnsi="Times New Roman" w:eastAsia="宋体" w:cs="Times New Roman"/>
          <w:b/>
          <w:bCs/>
          <w:snapToGrid/>
          <w:color w:val="auto"/>
          <w:kern w:val="0"/>
          <w:sz w:val="30"/>
          <w:szCs w:val="30"/>
          <w:highlight w:val="none"/>
          <w:lang w:val="en-US" w:eastAsia="zh-CN" w:bidi="ar-SA"/>
        </w:rPr>
      </w:pPr>
      <w:r>
        <w:rPr>
          <w:rFonts w:hint="default" w:ascii="Times New Roman" w:hAnsi="Times New Roman" w:eastAsia="宋体" w:cs="Times New Roman"/>
          <w:b/>
          <w:bCs/>
          <w:snapToGrid/>
          <w:color w:val="auto"/>
          <w:kern w:val="0"/>
          <w:sz w:val="30"/>
          <w:szCs w:val="30"/>
          <w:highlight w:val="none"/>
          <w:lang w:val="en-US" w:eastAsia="zh-CN" w:bidi="ar-SA"/>
        </w:rPr>
        <w:t>2.</w:t>
      </w:r>
      <w:r>
        <w:rPr>
          <w:rFonts w:hint="eastAsia" w:cs="Times New Roman"/>
          <w:b/>
          <w:bCs/>
          <w:snapToGrid/>
          <w:color w:val="auto"/>
          <w:kern w:val="0"/>
          <w:sz w:val="30"/>
          <w:szCs w:val="30"/>
          <w:highlight w:val="none"/>
          <w:lang w:val="en-US" w:eastAsia="zh-CN" w:bidi="ar-SA"/>
        </w:rPr>
        <w:t>2</w:t>
      </w:r>
      <w:r>
        <w:rPr>
          <w:rFonts w:hint="default" w:ascii="Times New Roman" w:hAnsi="Times New Roman" w:eastAsia="宋体" w:cs="Times New Roman"/>
          <w:b/>
          <w:bCs/>
          <w:snapToGrid/>
          <w:color w:val="auto"/>
          <w:kern w:val="0"/>
          <w:sz w:val="30"/>
          <w:szCs w:val="30"/>
          <w:highlight w:val="none"/>
          <w:lang w:val="en-US" w:eastAsia="zh-CN" w:bidi="ar-SA"/>
        </w:rPr>
        <w:t>.2评价因子筛选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根据工程性质、生产工艺与污染物排放特点，确定本项目评价因子，详见表2.</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cs="Times New Roman"/>
          <w:color w:val="auto"/>
          <w:sz w:val="24"/>
          <w:szCs w:val="24"/>
          <w:highlight w:val="none"/>
          <w:lang w:val="en-US" w:eastAsia="zh-CN"/>
        </w:rPr>
        <w:t>2及</w:t>
      </w: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w:t>
      </w:r>
    </w:p>
    <w:p>
      <w:pPr>
        <w:pStyle w:val="3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zh-CN"/>
        </w:rPr>
        <w:t>表2.</w:t>
      </w:r>
      <w:r>
        <w:rPr>
          <w:rFonts w:hint="eastAsia"/>
          <w:b/>
          <w:color w:val="auto"/>
          <w:highlight w:val="none"/>
          <w:u w:val="none" w:color="auto"/>
          <w:lang w:val="en-US" w:eastAsia="zh-CN"/>
        </w:rPr>
        <w:t>2</w:t>
      </w:r>
      <w:r>
        <w:rPr>
          <w:rFonts w:hint="default" w:ascii="Times New Roman" w:hAnsi="Times New Roman"/>
          <w:b/>
          <w:color w:val="auto"/>
          <w:highlight w:val="none"/>
          <w:u w:val="none" w:color="auto"/>
          <w:lang w:val="en-US" w:eastAsia="zh-CN"/>
        </w:rPr>
        <w:t>-</w:t>
      </w:r>
      <w:r>
        <w:rPr>
          <w:rFonts w:hint="default"/>
          <w:b/>
          <w:color w:val="auto"/>
          <w:highlight w:val="none"/>
          <w:u w:val="none" w:color="auto"/>
          <w:lang w:val="en-US" w:eastAsia="zh-CN"/>
        </w:rPr>
        <w:t>2</w:t>
      </w:r>
      <w:r>
        <w:rPr>
          <w:rFonts w:hint="default" w:ascii="Times New Roman" w:hAnsi="Times New Roman"/>
          <w:b/>
          <w:color w:val="auto"/>
          <w:highlight w:val="none"/>
          <w:u w:val="none" w:color="auto"/>
          <w:lang w:val="en-US" w:eastAsia="zh-CN"/>
        </w:rPr>
        <w:t>评价因子一览表</w:t>
      </w:r>
    </w:p>
    <w:tbl>
      <w:tblPr>
        <w:tblStyle w:val="22"/>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1268"/>
        <w:gridCol w:w="67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36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9"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、CO</w:t>
            </w:r>
            <w:r>
              <w:rPr>
                <w:rFonts w:hint="default" w:cs="Times New Roman"/>
                <w:color w:val="auto"/>
                <w:sz w:val="21"/>
                <w:szCs w:val="21"/>
                <w:highlight w:val="none"/>
                <w:lang w:eastAsia="zh-CN"/>
              </w:rPr>
              <w:t>、</w:t>
            </w:r>
            <w:r>
              <w:rPr>
                <w:rFonts w:hint="default" w:cs="Times New Roman"/>
                <w:color w:val="auto"/>
                <w:sz w:val="21"/>
                <w:szCs w:val="21"/>
                <w:highlight w:val="none"/>
                <w:lang w:val="en-US" w:eastAsia="zh-CN"/>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9"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9"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pH、COD、BOD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eastAsia="宋体" w:cs="Times New Roman"/>
                <w:color w:val="auto"/>
                <w:sz w:val="21"/>
                <w:szCs w:val="21"/>
                <w:highlight w:val="no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-N、总磷</w:t>
            </w:r>
            <w:r>
              <w:rPr>
                <w:rFonts w:hint="default" w:cs="Times New Roman"/>
                <w:color w:val="auto"/>
                <w:sz w:val="21"/>
                <w:szCs w:val="21"/>
                <w:highlight w:val="none"/>
                <w:lang w:val="en-US" w:eastAsia="zh-CN"/>
              </w:rPr>
              <w:t>、SS、石油类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63" w:hRule="atLeast"/>
          <w:jc w:val="center"/>
        </w:trPr>
        <w:tc>
          <w:tcPr>
            <w:tcW w:w="679"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w:t>
            </w:r>
            <w:r>
              <w:rPr>
                <w:rFonts w:hint="default" w:ascii="Times New Roman" w:hAnsi="Times New Roman" w:eastAsia="宋体" w:cs="Times New Roman"/>
                <w:color w:val="auto"/>
                <w:sz w:val="21"/>
                <w:szCs w:val="21"/>
                <w:highlight w:val="none"/>
                <w:lang w:val="en-US" w:eastAsia="zh-CN"/>
              </w:rPr>
              <w:t>系统</w:t>
            </w:r>
            <w:r>
              <w:rPr>
                <w:rFonts w:hint="default" w:ascii="Times New Roman" w:hAnsi="Times New Roman" w:eastAsia="宋体" w:cs="Times New Roman"/>
                <w:color w:val="auto"/>
                <w:sz w:val="21"/>
                <w:szCs w:val="21"/>
                <w:highlight w:val="none"/>
              </w:rPr>
              <w:t>的可行性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79"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superscript"/>
                <w:lang w:val="en-US" w:eastAsia="zh-CN"/>
              </w:rPr>
              <w:t>K+</w:t>
            </w: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lang w:val="en-US" w:eastAsia="zh-CN"/>
              </w:rPr>
              <w:t>、 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、pH、氨氮、耗氧量、挥发性酚类、砷、汞、铬（六价）、铅、镉、铜、锌、氟化物、总大肠菌群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9"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地下水污染防治措施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9" w:type="pct"/>
            <w:vMerge w:val="restart"/>
            <w:tcBorders>
              <w:tl2br w:val="nil"/>
              <w:tr2bl w:val="nil"/>
            </w:tcBorders>
            <w:noWrap w:val="0"/>
            <w:vAlign w:val="center"/>
          </w:tcPr>
          <w:p>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土壤</w:t>
            </w: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9"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9"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Leq（A）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79"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Leq（A）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9"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9"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一般工业固废、生活垃圾</w:t>
            </w:r>
          </w:p>
        </w:tc>
      </w:tr>
    </w:tbl>
    <w:p>
      <w:pPr>
        <w:pStyle w:val="3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bookmarkStart w:id="33" w:name="_Toc15479"/>
    </w:p>
    <w:p>
      <w:pPr>
        <w:pStyle w:val="3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zh-CN"/>
        </w:rPr>
        <w:t>表2.</w:t>
      </w:r>
      <w:r>
        <w:rPr>
          <w:rFonts w:hint="eastAsia"/>
          <w:b/>
          <w:color w:val="auto"/>
          <w:highlight w:val="none"/>
          <w:u w:val="none" w:color="auto"/>
          <w:lang w:val="en-US" w:eastAsia="zh-CN"/>
        </w:rPr>
        <w:t>2</w:t>
      </w:r>
      <w:r>
        <w:rPr>
          <w:rFonts w:hint="default" w:ascii="Times New Roman" w:hAnsi="Times New Roman"/>
          <w:b/>
          <w:color w:val="auto"/>
          <w:highlight w:val="none"/>
          <w:u w:val="none" w:color="auto"/>
          <w:lang w:val="en-US" w:eastAsia="zh-CN"/>
        </w:rPr>
        <w:t>-</w:t>
      </w:r>
      <w:r>
        <w:rPr>
          <w:rFonts w:hint="default"/>
          <w:b/>
          <w:color w:val="auto"/>
          <w:highlight w:val="none"/>
          <w:u w:val="none" w:color="auto"/>
          <w:lang w:val="en-US" w:eastAsia="zh-CN"/>
        </w:rPr>
        <w:t>3生态环境影响</w:t>
      </w:r>
      <w:r>
        <w:rPr>
          <w:rFonts w:hint="default" w:ascii="Times New Roman" w:hAnsi="Times New Roman"/>
          <w:b/>
          <w:color w:val="auto"/>
          <w:highlight w:val="none"/>
          <w:u w:val="none" w:color="auto"/>
          <w:lang w:val="en-US" w:eastAsia="zh-CN"/>
        </w:rPr>
        <w:t>评价因子一览表</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7"/>
        <w:gridCol w:w="872"/>
        <w:gridCol w:w="1388"/>
        <w:gridCol w:w="4600"/>
        <w:gridCol w:w="1176"/>
        <w:gridCol w:w="6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16" w:type="pct"/>
            <w:tcBorders>
              <w:tl2br w:val="nil"/>
              <w:tr2bl w:val="nil"/>
            </w:tcBorders>
            <w:vAlign w:val="center"/>
          </w:tcPr>
          <w:p>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时段</w:t>
            </w:r>
          </w:p>
        </w:tc>
        <w:tc>
          <w:tcPr>
            <w:tcW w:w="469" w:type="pct"/>
            <w:tcBorders>
              <w:tl2br w:val="nil"/>
              <w:tr2bl w:val="nil"/>
            </w:tcBorders>
            <w:vAlign w:val="center"/>
          </w:tcPr>
          <w:p>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受影响对象</w:t>
            </w:r>
          </w:p>
        </w:tc>
        <w:tc>
          <w:tcPr>
            <w:tcW w:w="747" w:type="pct"/>
            <w:tcBorders>
              <w:tl2br w:val="nil"/>
              <w:tr2bl w:val="nil"/>
            </w:tcBorders>
            <w:vAlign w:val="center"/>
          </w:tcPr>
          <w:p>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评价</w:t>
            </w:r>
          </w:p>
          <w:p>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因子</w:t>
            </w:r>
          </w:p>
        </w:tc>
        <w:tc>
          <w:tcPr>
            <w:tcW w:w="2475" w:type="pct"/>
            <w:tcBorders>
              <w:tl2br w:val="nil"/>
              <w:tr2bl w:val="nil"/>
            </w:tcBorders>
            <w:vAlign w:val="center"/>
          </w:tcPr>
          <w:p>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工程内容及影响方式</w:t>
            </w:r>
          </w:p>
        </w:tc>
        <w:tc>
          <w:tcPr>
            <w:tcW w:w="633" w:type="pct"/>
            <w:tcBorders>
              <w:tl2br w:val="nil"/>
              <w:tr2bl w:val="nil"/>
            </w:tcBorders>
            <w:vAlign w:val="center"/>
          </w:tcPr>
          <w:p>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w:t>
            </w:r>
          </w:p>
          <w:p>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性质</w:t>
            </w:r>
          </w:p>
        </w:tc>
        <w:tc>
          <w:tcPr>
            <w:tcW w:w="358" w:type="pct"/>
            <w:tcBorders>
              <w:tl2br w:val="nil"/>
              <w:tr2bl w:val="nil"/>
            </w:tcBorders>
            <w:vAlign w:val="center"/>
          </w:tcPr>
          <w:p>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w:t>
            </w:r>
          </w:p>
          <w:p>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程度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restar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w:t>
            </w:r>
          </w:p>
        </w:tc>
        <w:tc>
          <w:tcPr>
            <w:tcW w:w="469" w:type="pct"/>
            <w:vMerge w:val="restar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w:t>
            </w:r>
          </w:p>
        </w:tc>
        <w:tc>
          <w:tcPr>
            <w:tcW w:w="747" w:type="pct"/>
            <w:vMerge w:val="restar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分布范围、种群数量、种群结构、行为等</w:t>
            </w: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亲水栈道、旅游步道</w:t>
            </w:r>
            <w:r>
              <w:rPr>
                <w:rFonts w:hint="default" w:ascii="Times New Roman" w:hAnsi="Times New Roman" w:cs="Times New Roman"/>
                <w:color w:val="auto"/>
                <w:highlight w:val="none"/>
              </w:rPr>
              <w:t>等</w:t>
            </w:r>
            <w:r>
              <w:rPr>
                <w:rFonts w:hint="default" w:ascii="Times New Roman" w:hAnsi="Times New Roman" w:cs="Times New Roman"/>
                <w:color w:val="auto"/>
                <w:szCs w:val="21"/>
                <w:highlight w:val="none"/>
              </w:rPr>
              <w:t>永久占地造成植被破坏，植物物种个体数量的减少</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pPr>
              <w:rPr>
                <w:rFonts w:hint="default" w:ascii="Times New Roman" w:hAnsi="Times New Roman" w:cs="Times New Roman"/>
                <w:color w:val="auto"/>
                <w:szCs w:val="21"/>
                <w:highlight w:val="none"/>
              </w:rPr>
            </w:pP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岸坡整治</w:t>
            </w:r>
            <w:r>
              <w:rPr>
                <w:rFonts w:hint="default" w:cs="Times New Roman"/>
                <w:color w:val="auto"/>
                <w:szCs w:val="21"/>
                <w:highlight w:val="none"/>
                <w:lang w:val="en-US" w:eastAsia="zh-CN"/>
              </w:rPr>
              <w:t>、护岸</w:t>
            </w:r>
            <w:r>
              <w:rPr>
                <w:rFonts w:hint="default" w:ascii="Times New Roman" w:hAnsi="Times New Roman" w:cs="Times New Roman"/>
                <w:color w:val="auto"/>
                <w:szCs w:val="21"/>
                <w:highlight w:val="none"/>
                <w:lang w:val="en-US" w:eastAsia="zh-CN"/>
              </w:rPr>
              <w:t>等</w:t>
            </w:r>
            <w:r>
              <w:rPr>
                <w:rFonts w:hint="default" w:cs="Times New Roman"/>
                <w:color w:val="auto"/>
                <w:szCs w:val="21"/>
                <w:highlight w:val="none"/>
                <w:lang w:val="en-US" w:eastAsia="zh-CN"/>
              </w:rPr>
              <w:t>涉水、</w:t>
            </w:r>
            <w:r>
              <w:rPr>
                <w:rFonts w:hint="default" w:ascii="Times New Roman" w:hAnsi="Times New Roman" w:cs="Times New Roman"/>
                <w:color w:val="auto"/>
                <w:szCs w:val="21"/>
                <w:highlight w:val="none"/>
                <w:lang w:val="en-US" w:eastAsia="zh-CN"/>
              </w:rPr>
              <w:t>临水设施建设</w:t>
            </w:r>
            <w:r>
              <w:rPr>
                <w:rFonts w:hint="default" w:ascii="Times New Roman" w:hAnsi="Times New Roman" w:cs="Times New Roman"/>
                <w:color w:val="auto"/>
                <w:szCs w:val="21"/>
                <w:highlight w:val="none"/>
              </w:rPr>
              <w:t>产生水土流失</w:t>
            </w:r>
            <w:r>
              <w:rPr>
                <w:rFonts w:hint="default" w:ascii="Times New Roman" w:hAnsi="Times New Roman" w:cs="Times New Roman"/>
                <w:color w:val="auto"/>
                <w:szCs w:val="21"/>
                <w:highlight w:val="none"/>
                <w:lang w:val="en-US" w:eastAsia="zh-CN"/>
              </w:rPr>
              <w:t>污染湘江水体，影响水生生物分布和饵料生物数量</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pPr>
              <w:rPr>
                <w:rFonts w:hint="default" w:ascii="Times New Roman" w:hAnsi="Times New Roman" w:cs="Times New Roman"/>
                <w:color w:val="auto"/>
                <w:szCs w:val="21"/>
                <w:highlight w:val="none"/>
              </w:rPr>
            </w:pP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施工活动、机械噪声等会驱赶野生动物，使施工区域的动物被迫暂时迁移到</w:t>
            </w:r>
            <w:r>
              <w:rPr>
                <w:rFonts w:hint="default" w:ascii="Times New Roman" w:hAnsi="Times New Roman" w:cs="Times New Roman"/>
                <w:color w:val="auto"/>
                <w:szCs w:val="21"/>
                <w:highlight w:val="none"/>
                <w:lang w:val="en-US" w:eastAsia="zh-CN"/>
              </w:rPr>
              <w:t>受影响区域外</w:t>
            </w:r>
            <w:r>
              <w:rPr>
                <w:rFonts w:hint="default" w:ascii="Times New Roman" w:hAnsi="Times New Roman" w:cs="Times New Roman"/>
                <w:color w:val="auto"/>
                <w:szCs w:val="21"/>
                <w:highlight w:val="none"/>
              </w:rPr>
              <w:t>，周边野生动物个体数量减少</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vMerge w:val="restar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w:t>
            </w:r>
          </w:p>
        </w:tc>
        <w:tc>
          <w:tcPr>
            <w:tcW w:w="747" w:type="pct"/>
            <w:vMerge w:val="restar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生境面积、质量、连通性等</w:t>
            </w:r>
          </w:p>
        </w:tc>
        <w:tc>
          <w:tcPr>
            <w:tcW w:w="2475" w:type="pct"/>
            <w:tcBorders>
              <w:tl2br w:val="nil"/>
              <w:tr2bl w:val="nil"/>
            </w:tcBorders>
            <w:vAlign w:val="center"/>
          </w:tcPr>
          <w:p>
            <w:pPr>
              <w:autoSpaceDE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施工占地区破坏地表植被，减少陆生动植物</w:t>
            </w:r>
            <w:r>
              <w:rPr>
                <w:rFonts w:hint="default" w:ascii="Times New Roman" w:hAnsi="Times New Roman" w:cs="Times New Roman"/>
                <w:color w:val="auto"/>
                <w:szCs w:val="21"/>
                <w:highlight w:val="none"/>
                <w:lang w:val="en-US" w:eastAsia="zh-CN"/>
              </w:rPr>
              <w:t>生境面积；</w:t>
            </w:r>
            <w:r>
              <w:rPr>
                <w:rFonts w:hint="default" w:ascii="Times New Roman" w:hAnsi="Times New Roman" w:cs="Times New Roman"/>
                <w:color w:val="auto"/>
                <w:highlight w:val="none"/>
                <w:lang w:val="en-US" w:eastAsia="zh-CN"/>
              </w:rPr>
              <w:t>抛石护岸、亲水栈道等减少底栖动物、水生植被生境面积</w:t>
            </w:r>
            <w:r>
              <w:rPr>
                <w:rFonts w:hint="default" w:ascii="Times New Roman" w:hAnsi="Times New Roman" w:cs="Times New Roman"/>
                <w:color w:val="auto"/>
                <w:highlight w:val="none"/>
                <w:lang w:eastAsia="zh-CN"/>
              </w:rPr>
              <w:t>。</w:t>
            </w:r>
            <w:r>
              <w:rPr>
                <w:rFonts w:hint="default" w:ascii="Times New Roman" w:hAnsi="Times New Roman" w:cs="Times New Roman"/>
                <w:color w:val="auto"/>
                <w:szCs w:val="21"/>
                <w:highlight w:val="none"/>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pPr>
              <w:autoSpaceDE w:val="0"/>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pPr>
              <w:autoSpaceDE w:val="0"/>
              <w:rPr>
                <w:rFonts w:hint="default" w:ascii="Times New Roman" w:hAnsi="Times New Roman" w:cs="Times New Roman"/>
                <w:color w:val="auto"/>
                <w:szCs w:val="21"/>
                <w:highlight w:val="none"/>
              </w:rPr>
            </w:pP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施工活动、噪声</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振动、固废</w:t>
            </w:r>
            <w:r>
              <w:rPr>
                <w:rFonts w:hint="default" w:ascii="Times New Roman" w:hAnsi="Times New Roman" w:cs="Times New Roman"/>
                <w:color w:val="auto"/>
                <w:szCs w:val="21"/>
                <w:highlight w:val="none"/>
              </w:rPr>
              <w:t>等影响野生动</w:t>
            </w:r>
            <w:r>
              <w:rPr>
                <w:rFonts w:hint="default" w:ascii="Times New Roman" w:hAnsi="Times New Roman" w:cs="Times New Roman"/>
                <w:color w:val="auto"/>
                <w:szCs w:val="21"/>
                <w:highlight w:val="none"/>
                <w:lang w:val="en-US" w:eastAsia="zh-CN"/>
              </w:rPr>
              <w:t>植物和水生生物的生境质量</w:t>
            </w:r>
            <w:r>
              <w:rPr>
                <w:rFonts w:hint="default" w:ascii="Times New Roman" w:hAnsi="Times New Roman" w:cs="Times New Roman"/>
                <w:color w:val="auto"/>
                <w:szCs w:val="21"/>
                <w:highlight w:val="none"/>
              </w:rPr>
              <w:t>；间接影响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pPr>
              <w:rPr>
                <w:rFonts w:hint="default" w:ascii="Times New Roman" w:hAnsi="Times New Roman" w:cs="Times New Roman"/>
                <w:color w:val="auto"/>
                <w:szCs w:val="21"/>
                <w:highlight w:val="none"/>
              </w:rPr>
            </w:pPr>
          </w:p>
        </w:tc>
        <w:tc>
          <w:tcPr>
            <w:tcW w:w="2475" w:type="pct"/>
            <w:tcBorders>
              <w:tl2br w:val="nil"/>
              <w:tr2bl w:val="nil"/>
            </w:tcBorders>
            <w:vAlign w:val="center"/>
          </w:tcPr>
          <w:p>
            <w:pPr>
              <w:autoSpaceDE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临水设施建设产生的噪声、振动影响施工区湘江上下游连通性。直接影响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vMerge w:val="restar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群落</w:t>
            </w:r>
          </w:p>
        </w:tc>
        <w:tc>
          <w:tcPr>
            <w:tcW w:w="747" w:type="pct"/>
            <w:vMerge w:val="restar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物种组成、群落结构等</w:t>
            </w: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工程占地</w:t>
            </w:r>
            <w:r>
              <w:rPr>
                <w:rFonts w:hint="default" w:ascii="Times New Roman" w:hAnsi="Times New Roman" w:cs="Times New Roman"/>
                <w:color w:val="auto"/>
                <w:szCs w:val="21"/>
                <w:highlight w:val="none"/>
                <w:lang w:val="en-US" w:eastAsia="zh-CN"/>
              </w:rPr>
              <w:t>区部分区域原有</w:t>
            </w:r>
            <w:r>
              <w:rPr>
                <w:rFonts w:hint="default" w:ascii="Times New Roman" w:hAnsi="Times New Roman" w:cs="Times New Roman"/>
                <w:color w:val="auto"/>
                <w:szCs w:val="21"/>
                <w:highlight w:val="none"/>
              </w:rPr>
              <w:t>植被破坏，植物群落</w:t>
            </w:r>
            <w:r>
              <w:rPr>
                <w:rFonts w:hint="default" w:ascii="Times New Roman" w:hAnsi="Times New Roman" w:cs="Times New Roman"/>
                <w:color w:val="auto"/>
                <w:szCs w:val="21"/>
                <w:highlight w:val="none"/>
                <w:lang w:val="en-US" w:eastAsia="zh-CN"/>
              </w:rPr>
              <w:t>组成改变</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pPr>
              <w:rPr>
                <w:rFonts w:hint="default" w:ascii="Times New Roman" w:hAnsi="Times New Roman" w:cs="Times New Roman"/>
                <w:color w:val="auto"/>
                <w:szCs w:val="21"/>
                <w:highlight w:val="none"/>
              </w:rPr>
            </w:pP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施工活动、噪声等对野生动物行为产生干扰，迫使其迁移，造成周边区域动物种群数量的减少</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陆生动物群落结构改变</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系统</w:t>
            </w:r>
          </w:p>
        </w:tc>
        <w:tc>
          <w:tcPr>
            <w:tcW w:w="747"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植被覆盖度、生产力、生物量、生态系统功能等</w:t>
            </w:r>
          </w:p>
        </w:tc>
        <w:tc>
          <w:tcPr>
            <w:tcW w:w="2475" w:type="pct"/>
            <w:tcBorders>
              <w:tl2br w:val="nil"/>
              <w:tr2bl w:val="nil"/>
            </w:tcBorders>
            <w:vAlign w:val="center"/>
          </w:tcPr>
          <w:p>
            <w:pPr>
              <w:autoSpaceDE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工程永久和临时占地造成植被损失，引起局部区域植被覆盖度、生产力、生物量的降低，施工干扰驱使野生动物迁移等，可能引起生态系统功能的减弱</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生物多样性</w:t>
            </w:r>
          </w:p>
        </w:tc>
        <w:tc>
          <w:tcPr>
            <w:tcW w:w="747"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物种丰富度、均匀度、优势度等</w:t>
            </w:r>
          </w:p>
        </w:tc>
        <w:tc>
          <w:tcPr>
            <w:tcW w:w="2475" w:type="pct"/>
            <w:tcBorders>
              <w:tl2br w:val="nil"/>
              <w:tr2bl w:val="nil"/>
            </w:tcBorders>
            <w:vAlign w:val="center"/>
          </w:tcPr>
          <w:p>
            <w:pPr>
              <w:autoSpaceDE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工程占地引起局部植被损失，造成植物物种个体和种群数量的减少；施工干扰驱使野生动物迁移，可能会使动物分布发生改变，使动物个体、种群数量减少，可能对局部区域生物多样性造成影响；施工人为活动增加外来入侵植物入侵风险，减少本土物种多样性。</w:t>
            </w:r>
            <w:r>
              <w:rPr>
                <w:rFonts w:hint="default" w:ascii="Times New Roman" w:hAnsi="Times New Roman" w:cs="Times New Roman"/>
                <w:color w:val="auto"/>
                <w:szCs w:val="21"/>
                <w:highlight w:val="none"/>
                <w:lang w:val="en-US" w:eastAsia="zh-CN"/>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自然景观</w:t>
            </w:r>
          </w:p>
        </w:tc>
        <w:tc>
          <w:tcPr>
            <w:tcW w:w="747"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景观多样性、完整性等</w:t>
            </w: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工程占地导致景观破碎度增加，完整性降低。</w:t>
            </w:r>
            <w:r>
              <w:rPr>
                <w:rFonts w:hint="default" w:ascii="Times New Roman" w:hAnsi="Times New Roman" w:cs="Times New Roman"/>
                <w:color w:val="auto"/>
                <w:szCs w:val="21"/>
                <w:highlight w:val="none"/>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restar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营运期</w:t>
            </w:r>
          </w:p>
        </w:tc>
        <w:tc>
          <w:tcPr>
            <w:tcW w:w="469"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w:t>
            </w:r>
          </w:p>
        </w:tc>
        <w:tc>
          <w:tcPr>
            <w:tcW w:w="747"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分布范围、种群数量、种群结构、行为等</w:t>
            </w: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游客活动影响区域动物分布范围；夜间灯光影响动物昼夜节律和鱼类摄食区域，对物种分布范围和行为造成影响。</w:t>
            </w:r>
            <w:r>
              <w:rPr>
                <w:rFonts w:hint="default" w:ascii="Times New Roman" w:hAnsi="Times New Roman" w:cs="Times New Roman"/>
                <w:color w:val="auto"/>
                <w:szCs w:val="21"/>
                <w:highlight w:val="none"/>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w:t>
            </w:r>
          </w:p>
        </w:tc>
        <w:tc>
          <w:tcPr>
            <w:tcW w:w="747"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生境面积、质量、连通性等</w:t>
            </w: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游客活动、夜间灯光影响野生动物和水生生物生境质量。</w:t>
            </w:r>
            <w:r>
              <w:rPr>
                <w:rFonts w:hint="default" w:ascii="Times New Roman" w:hAnsi="Times New Roman" w:cs="Times New Roman"/>
                <w:color w:val="auto"/>
                <w:szCs w:val="21"/>
                <w:highlight w:val="none"/>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群落</w:t>
            </w:r>
          </w:p>
        </w:tc>
        <w:tc>
          <w:tcPr>
            <w:tcW w:w="747"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物种组成、群落结构等</w:t>
            </w: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运行期</w:t>
            </w:r>
            <w:r>
              <w:rPr>
                <w:rFonts w:hint="default" w:ascii="Times New Roman" w:hAnsi="Times New Roman" w:cs="Times New Roman"/>
                <w:color w:val="auto"/>
                <w:szCs w:val="21"/>
                <w:highlight w:val="none"/>
              </w:rPr>
              <w:t>因临时占地而消失的植物个体将会逐渐通过自然更新的方式或人工种植的方式逐渐恢复；部分野生动物会返迁回原分布地，但由于工程建设导致原有各类栖息地面积减小，对动植物群落造成一定影响</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系统</w:t>
            </w:r>
          </w:p>
        </w:tc>
        <w:tc>
          <w:tcPr>
            <w:tcW w:w="747"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植被覆盖度、生产力、生物量、生态系统功能等</w:t>
            </w: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运行期不新增占地，绿化植被种植对植被覆盖度、生产力、</w:t>
            </w:r>
            <w:r>
              <w:rPr>
                <w:rFonts w:hint="default" w:ascii="Times New Roman" w:hAnsi="Times New Roman" w:cs="Times New Roman"/>
                <w:color w:val="auto"/>
                <w:szCs w:val="21"/>
                <w:highlight w:val="none"/>
              </w:rPr>
              <w:t>生物量、生态系统功能</w:t>
            </w:r>
            <w:r>
              <w:rPr>
                <w:rFonts w:hint="default" w:ascii="Times New Roman" w:hAnsi="Times New Roman" w:cs="Times New Roman"/>
                <w:color w:val="auto"/>
                <w:szCs w:val="21"/>
                <w:highlight w:val="none"/>
                <w:lang w:val="en-US" w:eastAsia="zh-CN"/>
              </w:rPr>
              <w:t>有一定积极意义</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8" w:type="pct"/>
            <w:tcBorders>
              <w:tl2br w:val="nil"/>
              <w:tr2bl w:val="nil"/>
            </w:tcBorders>
            <w:vAlign w:val="center"/>
          </w:tcPr>
          <w:p>
            <w:pPr>
              <w:autoSpaceDE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多样性</w:t>
            </w:r>
          </w:p>
        </w:tc>
        <w:tc>
          <w:tcPr>
            <w:tcW w:w="747"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物种丰富度、均匀度、优势度等</w:t>
            </w: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游客增加导致伴人生活物种增加，喜远离人群物种减少，部分物种优势度发生改变。</w:t>
            </w:r>
            <w:r>
              <w:rPr>
                <w:rFonts w:hint="default" w:ascii="Times New Roman" w:hAnsi="Times New Roman" w:cs="Times New Roman"/>
                <w:color w:val="auto"/>
                <w:szCs w:val="21"/>
                <w:highlight w:val="none"/>
              </w:rPr>
              <w:t>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自然</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景观</w:t>
            </w:r>
          </w:p>
        </w:tc>
        <w:tc>
          <w:tcPr>
            <w:tcW w:w="747"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景观多样性、完整性等</w:t>
            </w:r>
          </w:p>
        </w:tc>
        <w:tc>
          <w:tcPr>
            <w:tcW w:w="2475" w:type="pct"/>
            <w:tcBorders>
              <w:tl2br w:val="nil"/>
              <w:tr2bl w:val="nil"/>
            </w:tcBorders>
            <w:vAlign w:val="center"/>
          </w:tcPr>
          <w:p>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建筑景观面积增加，破碎度发生改变，完整性有一定变化。</w:t>
            </w:r>
            <w:r>
              <w:rPr>
                <w:rFonts w:hint="default" w:ascii="Times New Roman" w:hAnsi="Times New Roman" w:cs="Times New Roman"/>
                <w:color w:val="auto"/>
                <w:szCs w:val="21"/>
                <w:highlight w:val="none"/>
              </w:rPr>
              <w:t>直接影响</w:t>
            </w:r>
          </w:p>
        </w:tc>
        <w:tc>
          <w:tcPr>
            <w:tcW w:w="633"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8" w:type="pct"/>
            <w:tcBorders>
              <w:tl2br w:val="nil"/>
              <w:tr2bl w:val="nil"/>
            </w:tcBorders>
            <w:vAlign w:val="center"/>
          </w:tcPr>
          <w:p>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bl>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ascii="Times New Roman" w:hAnsi="Times New Roman" w:eastAsia="宋体" w:cs="Times New Roman"/>
          <w:b/>
          <w:bCs/>
          <w:color w:val="auto"/>
          <w:kern w:val="0"/>
          <w:sz w:val="30"/>
          <w:szCs w:val="30"/>
          <w:highlight w:val="none"/>
          <w:lang w:val="en-US" w:eastAsia="zh-CN"/>
        </w:rPr>
      </w:pPr>
      <w:bookmarkStart w:id="34" w:name="_Toc28623"/>
      <w:r>
        <w:rPr>
          <w:rFonts w:hint="default" w:ascii="Times New Roman" w:hAnsi="Times New Roman" w:eastAsia="宋体" w:cs="Times New Roman"/>
          <w:b/>
          <w:bCs/>
          <w:color w:val="auto"/>
          <w:kern w:val="0"/>
          <w:sz w:val="30"/>
          <w:szCs w:val="30"/>
          <w:highlight w:val="none"/>
          <w:lang w:val="en-US" w:eastAsia="zh-CN"/>
        </w:rPr>
        <w:t>环境功能区划与评价标准</w:t>
      </w:r>
      <w:bookmarkEnd w:id="33"/>
      <w:bookmarkEnd w:id="34"/>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w:t>
      </w:r>
      <w:r>
        <w:rPr>
          <w:rFonts w:hint="eastAsia" w:cs="Times New Roman"/>
          <w:b/>
          <w:bCs/>
          <w:color w:val="auto"/>
          <w:kern w:val="0"/>
          <w:sz w:val="28"/>
          <w:szCs w:val="28"/>
          <w:highlight w:val="none"/>
          <w:lang w:val="en-US" w:eastAsia="zh-CN"/>
        </w:rPr>
        <w:t>3</w:t>
      </w:r>
      <w:r>
        <w:rPr>
          <w:rFonts w:hint="default" w:ascii="Times New Roman" w:hAnsi="Times New Roman" w:eastAsia="宋体" w:cs="Times New Roman"/>
          <w:b/>
          <w:bCs/>
          <w:color w:val="auto"/>
          <w:kern w:val="0"/>
          <w:sz w:val="28"/>
          <w:szCs w:val="28"/>
          <w:highlight w:val="none"/>
          <w:lang w:val="en-US" w:eastAsia="zh-CN"/>
        </w:rPr>
        <w:t>.1环境功能区划</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2.</w:t>
      </w:r>
      <w:r>
        <w:rPr>
          <w:rFonts w:hint="eastAsia" w:cs="Times New Roman"/>
          <w:b/>
          <w:bCs/>
          <w:color w:val="auto"/>
          <w:kern w:val="0"/>
          <w:sz w:val="24"/>
          <w:szCs w:val="24"/>
          <w:highlight w:val="none"/>
          <w:lang w:val="en-US" w:eastAsia="zh-CN"/>
        </w:rPr>
        <w:t>3</w:t>
      </w:r>
      <w:r>
        <w:rPr>
          <w:rFonts w:hint="default" w:cs="Times New Roman"/>
          <w:b/>
          <w:bCs/>
          <w:color w:val="auto"/>
          <w:kern w:val="0"/>
          <w:sz w:val="24"/>
          <w:szCs w:val="24"/>
          <w:highlight w:val="none"/>
          <w:lang w:val="en-US" w:eastAsia="zh-CN"/>
        </w:rPr>
        <w:t>.1.1环境空气功能区划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环境空气质量功能区划分原则与技术方法》（HJ14-1996）和《环境空气质量标准》（GB3095-2012）环境空气质量功能区分类，本项目不涉及自然保护区、风景名胜区和其他需要特殊保护的环境空气一类区，按二类环境空气功能区进行评价。</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2.</w:t>
      </w:r>
      <w:r>
        <w:rPr>
          <w:rFonts w:hint="eastAsia" w:cs="Times New Roman"/>
          <w:b/>
          <w:bCs/>
          <w:color w:val="auto"/>
          <w:kern w:val="0"/>
          <w:sz w:val="24"/>
          <w:szCs w:val="24"/>
          <w:highlight w:val="none"/>
          <w:lang w:val="en-US" w:eastAsia="zh-CN"/>
        </w:rPr>
        <w:t>3</w:t>
      </w:r>
      <w:r>
        <w:rPr>
          <w:rFonts w:hint="default" w:cs="Times New Roman"/>
          <w:b/>
          <w:bCs/>
          <w:color w:val="auto"/>
          <w:kern w:val="0"/>
          <w:sz w:val="24"/>
          <w:szCs w:val="24"/>
          <w:highlight w:val="none"/>
          <w:lang w:val="en-US" w:eastAsia="zh-CN"/>
        </w:rPr>
        <w:t>.1.2地表水环境功能区划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根据《湖南省主要水系地表水环境功能区划》（DB43/023－2005），拟建项目位于丁家桥至蒸水口（石鼓嘴）5.0km河段，为饮用水水源保护区，执行《地表水环境质量标准》（GB3838-2002）中的Ⅱ类标准。</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2.</w:t>
      </w:r>
      <w:r>
        <w:rPr>
          <w:rFonts w:hint="eastAsia" w:cs="Times New Roman"/>
          <w:b/>
          <w:bCs/>
          <w:color w:val="auto"/>
          <w:kern w:val="0"/>
          <w:sz w:val="24"/>
          <w:szCs w:val="24"/>
          <w:highlight w:val="none"/>
          <w:lang w:val="en-US" w:eastAsia="zh-CN"/>
        </w:rPr>
        <w:t>3</w:t>
      </w:r>
      <w:r>
        <w:rPr>
          <w:rFonts w:hint="default" w:cs="Times New Roman"/>
          <w:b/>
          <w:bCs/>
          <w:color w:val="auto"/>
          <w:kern w:val="0"/>
          <w:sz w:val="24"/>
          <w:szCs w:val="24"/>
          <w:highlight w:val="none"/>
          <w:lang w:val="en-US" w:eastAsia="zh-CN"/>
        </w:rPr>
        <w:t>.1.3声环境功能区划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声环境功能区划分技术规范》（GB/T15190-2014）和《声环境质量标准》（GB3096-2008），项目所在一般区域声环境质量现状评价执行《声环境质量标准》（GB3096-2008）为2类声环境功能区，交通干线红线范围外35m内区域为4a类声环境功能区，35m范围外为2类声环境功能区，当临街建筑高于三层楼房以上（含三层）时，将临街建筑面向交通干线一侧至交通干线边界线的区域定为4a类声环境功能区，之外为2类声环境功能区。</w:t>
      </w:r>
    </w:p>
    <w:p>
      <w:pPr>
        <w:keepNext w:val="0"/>
        <w:keepLines w:val="0"/>
        <w:pageBreakBefore w:val="0"/>
        <w:widowControl/>
        <w:kinsoku w:val="0"/>
        <w:wordWrap/>
        <w:overflowPunct/>
        <w:topLinePunct w:val="0"/>
        <w:autoSpaceDE/>
        <w:autoSpaceDN/>
        <w:bidi w:val="0"/>
        <w:adjustRightInd w:val="0"/>
        <w:snapToGrid w:val="0"/>
        <w:ind w:left="0" w:leftChars="0" w:firstLine="0" w:firstLineChars="0"/>
        <w:textAlignment w:val="baseline"/>
        <w:outlineLvl w:val="2"/>
        <w:rPr>
          <w:rFonts w:hint="default" w:ascii="Times New Roman" w:hAnsi="Times New Roman" w:eastAsia="宋体" w:cs="Times New Roman"/>
          <w:b/>
          <w:bCs/>
          <w:snapToGrid/>
          <w:color w:val="auto"/>
          <w:kern w:val="0"/>
          <w:sz w:val="30"/>
          <w:szCs w:val="30"/>
          <w:highlight w:val="none"/>
          <w:lang w:val="en-US" w:eastAsia="zh-CN" w:bidi="ar-SA"/>
        </w:rPr>
      </w:pPr>
      <w:r>
        <w:rPr>
          <w:rFonts w:hint="default" w:ascii="Times New Roman" w:hAnsi="Times New Roman" w:eastAsia="宋体" w:cs="Times New Roman"/>
          <w:b/>
          <w:bCs/>
          <w:snapToGrid/>
          <w:color w:val="auto"/>
          <w:kern w:val="0"/>
          <w:sz w:val="30"/>
          <w:szCs w:val="30"/>
          <w:highlight w:val="none"/>
          <w:lang w:val="en-US" w:eastAsia="zh-CN" w:bidi="ar-SA"/>
        </w:rPr>
        <w:t>2.</w:t>
      </w:r>
      <w:r>
        <w:rPr>
          <w:rFonts w:hint="eastAsia" w:cs="Times New Roman"/>
          <w:b/>
          <w:bCs/>
          <w:snapToGrid/>
          <w:color w:val="auto"/>
          <w:kern w:val="0"/>
          <w:sz w:val="30"/>
          <w:szCs w:val="30"/>
          <w:highlight w:val="none"/>
          <w:lang w:val="en-US" w:eastAsia="zh-CN" w:bidi="ar-SA"/>
        </w:rPr>
        <w:t>3</w:t>
      </w:r>
      <w:r>
        <w:rPr>
          <w:rFonts w:hint="default" w:ascii="Times New Roman" w:hAnsi="Times New Roman" w:eastAsia="宋体" w:cs="Times New Roman"/>
          <w:b/>
          <w:bCs/>
          <w:snapToGrid/>
          <w:color w:val="auto"/>
          <w:kern w:val="0"/>
          <w:sz w:val="30"/>
          <w:szCs w:val="30"/>
          <w:highlight w:val="none"/>
          <w:lang w:val="en-US" w:eastAsia="zh-CN" w:bidi="ar-SA"/>
        </w:rPr>
        <w:t>.2评价标准</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2.</w:t>
      </w:r>
      <w:r>
        <w:rPr>
          <w:rFonts w:hint="eastAsia" w:cs="Times New Roman"/>
          <w:b/>
          <w:bCs/>
          <w:color w:val="auto"/>
          <w:kern w:val="0"/>
          <w:sz w:val="24"/>
          <w:szCs w:val="24"/>
          <w:highlight w:val="none"/>
          <w:lang w:val="en-US" w:eastAsia="zh-CN"/>
        </w:rPr>
        <w:t>3</w:t>
      </w:r>
      <w:r>
        <w:rPr>
          <w:rFonts w:hint="default" w:cs="Times New Roman"/>
          <w:b/>
          <w:bCs/>
          <w:color w:val="auto"/>
          <w:kern w:val="0"/>
          <w:sz w:val="24"/>
          <w:szCs w:val="24"/>
          <w:highlight w:val="none"/>
          <w:lang w:val="en-US" w:eastAsia="zh-CN"/>
        </w:rPr>
        <w:t>.2.1环境质量标准</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35" w:name="_Toc8723"/>
      <w:r>
        <w:rPr>
          <w:rFonts w:hint="default" w:ascii="Times New Roman" w:hAnsi="Times New Roman" w:eastAsia="宋体" w:cs="Times New Roman"/>
          <w:b/>
          <w:bCs/>
          <w:color w:val="auto"/>
          <w:sz w:val="24"/>
          <w:szCs w:val="24"/>
          <w:highlight w:val="none"/>
          <w:lang w:val="en-US" w:eastAsia="zh-CN"/>
        </w:rPr>
        <w:t>1、环境空气质量标准</w:t>
      </w:r>
      <w:bookmarkEnd w:id="3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本项目所在区域属于二类环境空气功能区，环境空气基本污染物执行《环境空气质量标准》（GB3095-2012）及2018年修改单中二级标准。</w:t>
      </w:r>
    </w:p>
    <w:p>
      <w:pPr>
        <w:pStyle w:val="3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-1</w:t>
      </w:r>
      <w:r>
        <w:rPr>
          <w:rFonts w:hint="default" w:ascii="Times New Roman" w:hAnsi="Times New Roman"/>
          <w:b/>
          <w:color w:val="auto"/>
          <w:highlight w:val="none"/>
          <w:u w:val="none" w:color="auto"/>
          <w:lang w:val="en-US" w:eastAsia="en-US"/>
        </w:rPr>
        <w:t>环境空气执行标准限值单位：mg/m3</w:t>
      </w:r>
    </w:p>
    <w:tbl>
      <w:tblPr>
        <w:tblStyle w:val="22"/>
        <w:tblW w:w="502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 w:type="dxa"/>
          <w:bottom w:w="0" w:type="dxa"/>
          <w:right w:w="10" w:type="dxa"/>
        </w:tblCellMar>
      </w:tblPr>
      <w:tblGrid>
        <w:gridCol w:w="1672"/>
        <w:gridCol w:w="2497"/>
        <w:gridCol w:w="2285"/>
        <w:gridCol w:w="26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污染物名称</w:t>
            </w: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取值</w:t>
            </w:r>
            <w:r>
              <w:rPr>
                <w:rFonts w:hint="default" w:ascii="Times New Roman" w:hAnsi="Times New Roman" w:eastAsia="宋体" w:cs="Times New Roman"/>
                <w:b/>
                <w:bCs/>
                <w:color w:val="auto"/>
                <w:sz w:val="21"/>
                <w:szCs w:val="21"/>
                <w:highlight w:val="none"/>
              </w:rPr>
              <w:t>时间</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二级标准浓度限值</w:t>
            </w:r>
          </w:p>
        </w:tc>
        <w:tc>
          <w:tcPr>
            <w:tcW w:w="1473"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选用标准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0.5</w:t>
            </w:r>
          </w:p>
        </w:tc>
        <w:tc>
          <w:tcPr>
            <w:tcW w:w="1473"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《环境空气质量标准》</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en-US"/>
              </w:rPr>
              <w:t>GB3095-20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en-US"/>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zh-TW" w:eastAsia="zh-TW"/>
              </w:rPr>
              <w:t>及2018年修改单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0.15</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0.06</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0.2</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0.08</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0.04</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w:t>
            </w:r>
            <w:r>
              <w:rPr>
                <w:rFonts w:hint="default" w:ascii="Times New Roman" w:hAnsi="Times New Roman" w:eastAsia="宋体" w:cs="Times New Roman"/>
                <w:color w:val="auto"/>
                <w:sz w:val="21"/>
                <w:szCs w:val="21"/>
                <w:highlight w:val="none"/>
                <w:lang w:val="zh-TW" w:eastAsia="zh-TW"/>
              </w:rPr>
              <w:t>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0.15</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0.07</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0.075</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0.035</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CO</w:t>
            </w: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10</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4</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90" w:hRule="atLeast"/>
        </w:trPr>
        <w:tc>
          <w:tcPr>
            <w:tcW w:w="913"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lang w:val="en-US" w:eastAsia="zh-CN"/>
              </w:rPr>
              <w:t>3</w:t>
            </w: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日最大8小时平均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zh-TW" w:eastAsia="zh-TW"/>
              </w:rPr>
              <w:t>16</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zh-TW" w:eastAsia="zh-TW"/>
              </w:rPr>
              <w:t>2</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w:t>
            </w:r>
            <w:r>
              <w:rPr>
                <w:rFonts w:hint="default" w:ascii="Times New Roman" w:hAnsi="Times New Roman" w:eastAsia="宋体" w:cs="Times New Roman"/>
                <w:color w:val="auto"/>
                <w:sz w:val="21"/>
                <w:szCs w:val="21"/>
                <w:highlight w:val="none"/>
              </w:rPr>
              <w:t>3</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473"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zh-TW" w:eastAsia="zh-TW"/>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36" w:name="_Toc14221"/>
      <w:r>
        <w:rPr>
          <w:rFonts w:hint="default" w:ascii="Times New Roman" w:hAnsi="Times New Roman" w:eastAsia="宋体" w:cs="Times New Roman"/>
          <w:b/>
          <w:bCs/>
          <w:color w:val="auto"/>
          <w:sz w:val="24"/>
          <w:szCs w:val="24"/>
          <w:highlight w:val="none"/>
          <w:lang w:val="en-US" w:eastAsia="zh-CN"/>
        </w:rPr>
        <w:t>2、地表水环境质量标准</w:t>
      </w:r>
      <w:bookmarkEnd w:id="3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本项目所在区域</w:t>
      </w:r>
      <w:r>
        <w:rPr>
          <w:rFonts w:hint="default" w:cs="Times New Roman"/>
          <w:color w:val="auto"/>
          <w:sz w:val="24"/>
          <w:szCs w:val="24"/>
          <w:highlight w:val="none"/>
          <w:lang w:val="en-US" w:eastAsia="zh-CN"/>
        </w:rPr>
        <w:t>涉及的主要地表水体位湘江，根据《湖南省主要地表水系水环境功能区划》（DB43/23-2005），项目所在区域</w:t>
      </w:r>
      <w:r>
        <w:rPr>
          <w:rFonts w:hint="default" w:ascii="Times New Roman" w:hAnsi="Times New Roman" w:eastAsia="宋体" w:cs="Times New Roman"/>
          <w:color w:val="auto"/>
          <w:sz w:val="24"/>
          <w:szCs w:val="24"/>
          <w:highlight w:val="none"/>
          <w:lang w:val="en-US" w:eastAsia="zh-CN"/>
        </w:rPr>
        <w:t>为饮用水水源保护区，执行《地表水环境质量标准》（GB3838-2002）中的Ⅱ类标准。</w:t>
      </w:r>
    </w:p>
    <w:p>
      <w:pPr>
        <w:pStyle w:val="3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-2</w:t>
      </w:r>
      <w:r>
        <w:rPr>
          <w:rFonts w:hint="default" w:ascii="Times New Roman" w:hAnsi="Times New Roman"/>
          <w:b/>
          <w:color w:val="auto"/>
          <w:highlight w:val="none"/>
          <w:u w:val="none" w:color="auto"/>
          <w:lang w:val="en-US" w:eastAsia="en-US"/>
        </w:rPr>
        <w:t>地表水环境执行标准限值（GB3838-2002）单位：mg/</w:t>
      </w:r>
      <w:r>
        <w:rPr>
          <w:rFonts w:hint="default" w:ascii="Times New Roman" w:hAnsi="Times New Roman"/>
          <w:b/>
          <w:color w:val="auto"/>
          <w:highlight w:val="none"/>
          <w:u w:val="none" w:color="auto"/>
          <w:lang w:val="en-US" w:eastAsia="zh-CN"/>
        </w:rPr>
        <w:t>L</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573"/>
        <w:gridCol w:w="3425"/>
        <w:gridCol w:w="328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12"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844" w:type="pct"/>
            <w:tcBorders>
              <w:top w:val="single" w:color="auto" w:sz="12"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指标</w:t>
            </w:r>
          </w:p>
        </w:tc>
        <w:tc>
          <w:tcPr>
            <w:tcW w:w="1769" w:type="pct"/>
            <w:tcBorders>
              <w:top w:val="single" w:color="auto" w:sz="12"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Ⅱ</w:t>
            </w:r>
            <w:r>
              <w:rPr>
                <w:rFonts w:hint="default" w:ascii="Times New Roman" w:hAnsi="Times New Roman" w:eastAsia="宋体" w:cs="Times New Roman"/>
                <w:b/>
                <w:bCs/>
                <w:color w:val="auto"/>
                <w:sz w:val="21"/>
                <w:szCs w:val="21"/>
                <w:highlight w:val="none"/>
              </w:rPr>
              <w:t>类标准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水温</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溶解氧</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高锰酸盐指数</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化学需氧量</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五日生化需氧量</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总磷</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总氮</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10</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挥发酚</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11</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石油类</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12</w:t>
            </w:r>
          </w:p>
        </w:tc>
        <w:tc>
          <w:tcPr>
            <w:tcW w:w="18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阴离子表面活性剂</w:t>
            </w:r>
          </w:p>
        </w:tc>
        <w:tc>
          <w:tcPr>
            <w:tcW w:w="1769" w:type="pct"/>
            <w:tcBorders>
              <w:top w:val="single" w:color="auto" w:sz="4" w:space="0"/>
              <w:left w:val="single" w:color="auto" w:sz="4" w:space="0"/>
              <w:bottom w:val="single" w:color="auto" w:sz="4"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385" w:type="pct"/>
            <w:tcBorders>
              <w:top w:val="single" w:color="auto" w:sz="4" w:space="0"/>
              <w:left w:val="single" w:color="auto" w:sz="12" w:space="0"/>
              <w:bottom w:val="single" w:color="auto" w:sz="12"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w:t>
            </w:r>
          </w:p>
        </w:tc>
        <w:tc>
          <w:tcPr>
            <w:tcW w:w="1844" w:type="pct"/>
            <w:tcBorders>
              <w:top w:val="single" w:color="auto" w:sz="4" w:space="0"/>
              <w:left w:val="single" w:color="auto" w:sz="4" w:space="0"/>
              <w:bottom w:val="single" w:color="auto" w:sz="12"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硫化物</w:t>
            </w:r>
          </w:p>
        </w:tc>
        <w:tc>
          <w:tcPr>
            <w:tcW w:w="1769" w:type="pct"/>
            <w:tcBorders>
              <w:top w:val="single" w:color="auto" w:sz="4" w:space="0"/>
              <w:left w:val="single" w:color="auto" w:sz="4" w:space="0"/>
              <w:bottom w:val="single" w:color="auto" w:sz="12" w:space="0"/>
              <w:right w:val="single" w:color="auto" w:sz="12" w:space="0"/>
            </w:tcBorders>
            <w:noWrap/>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37" w:name="_Toc22673"/>
      <w:r>
        <w:rPr>
          <w:rFonts w:hint="default" w:ascii="Times New Roman" w:hAnsi="Times New Roman" w:eastAsia="宋体" w:cs="Times New Roman"/>
          <w:b/>
          <w:bCs/>
          <w:color w:val="auto"/>
          <w:sz w:val="24"/>
          <w:szCs w:val="24"/>
          <w:highlight w:val="none"/>
          <w:lang w:val="en-US" w:eastAsia="zh-CN"/>
        </w:rPr>
        <w:t>3、声环境质量标准</w:t>
      </w:r>
      <w:bookmarkEnd w:id="3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所在一般区域声环境质量现状评价执行《声环境质量标准》（GB3096-2008）2类标准，交通干线红线范围外35m内区域执行4a类标准，35m范围外执行2类标准，当临街建筑高于三层楼房以上（含三层）时，将临街建筑面向交通干线一侧至交通干线边界线的区域定为4a类声环境功能区，之外执行2类标准。</w:t>
      </w:r>
    </w:p>
    <w:p>
      <w:pPr>
        <w:pStyle w:val="3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r>
        <w:rPr>
          <w:rFonts w:hint="default" w:ascii="Times New Roman" w:hAnsi="Times New Roman"/>
          <w:b/>
          <w:color w:val="auto"/>
          <w:highlight w:val="none"/>
          <w:u w:val="none" w:color="auto"/>
          <w:lang w:val="en-US" w:eastAsia="en-US"/>
        </w:rPr>
        <w:t>表2.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-3</w:t>
      </w:r>
      <w:r>
        <w:rPr>
          <w:rFonts w:hint="default" w:ascii="Times New Roman" w:hAnsi="Times New Roman"/>
          <w:b/>
          <w:color w:val="auto"/>
          <w:highlight w:val="none"/>
          <w:u w:val="none" w:color="auto"/>
          <w:lang w:val="en-US" w:eastAsia="en-US"/>
        </w:rPr>
        <w:t>声环境质量标准限值单位：dB（A）</w:t>
      </w:r>
    </w:p>
    <w:tbl>
      <w:tblPr>
        <w:tblStyle w:val="4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25"/>
        <w:gridCol w:w="3021"/>
        <w:gridCol w:w="30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67" w:type="pct"/>
            <w:tcBorders>
              <w:top w:val="single" w:color="000000" w:sz="2" w:space="0"/>
              <w:left w:val="single" w:color="000000" w:sz="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bookmarkStart w:id="38" w:name="_Toc21850"/>
            <w:r>
              <w:rPr>
                <w:rFonts w:hint="default" w:ascii="Times New Roman" w:hAnsi="Times New Roman" w:cs="Times New Roman"/>
                <w:color w:val="auto"/>
                <w:highlight w:val="none"/>
              </w:rPr>
              <w:t>类别</w:t>
            </w:r>
          </w:p>
        </w:tc>
        <w:tc>
          <w:tcPr>
            <w:tcW w:w="1664" w:type="pct"/>
            <w:tcBorders>
              <w:top w:val="single" w:color="000000" w:sz="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1668" w:type="pct"/>
            <w:tcBorders>
              <w:top w:val="single" w:color="000000" w:sz="2" w:space="0"/>
              <w:right w:val="single" w:color="000000" w:sz="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1667" w:type="pct"/>
            <w:tcBorders>
              <w:left w:val="single" w:color="000000" w:sz="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66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668" w:type="pct"/>
            <w:tcBorders>
              <w:right w:val="single" w:color="000000" w:sz="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4" w:hRule="atLeast"/>
        </w:trPr>
        <w:tc>
          <w:tcPr>
            <w:tcW w:w="1667" w:type="pct"/>
            <w:tcBorders>
              <w:left w:val="single" w:color="000000" w:sz="2" w:space="0"/>
              <w:bottom w:val="single" w:color="000000" w:sz="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4a</w:t>
            </w:r>
          </w:p>
        </w:tc>
        <w:tc>
          <w:tcPr>
            <w:tcW w:w="1664" w:type="pct"/>
            <w:tcBorders>
              <w:bottom w:val="single" w:color="000000" w:sz="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668" w:type="pct"/>
            <w:tcBorders>
              <w:bottom w:val="single" w:color="000000" w:sz="2" w:space="0"/>
              <w:right w:val="single" w:color="000000" w:sz="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2.</w:t>
      </w:r>
      <w:r>
        <w:rPr>
          <w:rFonts w:hint="eastAsia" w:cs="Times New Roman"/>
          <w:b/>
          <w:bCs/>
          <w:color w:val="auto"/>
          <w:kern w:val="0"/>
          <w:sz w:val="24"/>
          <w:szCs w:val="24"/>
          <w:highlight w:val="none"/>
          <w:lang w:val="en-US" w:eastAsia="zh-CN"/>
        </w:rPr>
        <w:t>3</w:t>
      </w:r>
      <w:r>
        <w:rPr>
          <w:rFonts w:hint="default" w:cs="Times New Roman"/>
          <w:b/>
          <w:bCs/>
          <w:color w:val="auto"/>
          <w:kern w:val="0"/>
          <w:sz w:val="24"/>
          <w:szCs w:val="24"/>
          <w:highlight w:val="none"/>
          <w:lang w:val="en-US" w:eastAsia="zh-CN"/>
        </w:rPr>
        <w:t>.2.2污染物排放标准</w:t>
      </w:r>
      <w:bookmarkEnd w:id="38"/>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39" w:name="_Toc29421"/>
      <w:r>
        <w:rPr>
          <w:rFonts w:hint="default"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废气</w:t>
      </w:r>
      <w:bookmarkEnd w:id="3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施工期废气主要为施工产生的粉尘、</w:t>
      </w:r>
      <w:r>
        <w:rPr>
          <w:rFonts w:hint="default" w:cs="Times New Roman"/>
          <w:color w:val="auto"/>
          <w:sz w:val="24"/>
          <w:szCs w:val="24"/>
          <w:highlight w:val="none"/>
          <w:lang w:val="en-US" w:eastAsia="zh-CN"/>
        </w:rPr>
        <w:t>施工机械及运输车辆</w:t>
      </w:r>
      <w:r>
        <w:rPr>
          <w:rFonts w:hint="default" w:ascii="Times New Roman" w:hAnsi="Times New Roman" w:eastAsia="宋体" w:cs="Times New Roman"/>
          <w:color w:val="auto"/>
          <w:sz w:val="24"/>
          <w:szCs w:val="24"/>
          <w:highlight w:val="none"/>
          <w:lang w:val="en-US" w:eastAsia="zh-CN"/>
        </w:rPr>
        <w:t>尾气</w:t>
      </w:r>
      <w:r>
        <w:rPr>
          <w:rFonts w:hint="default" w:cs="Times New Roman"/>
          <w:color w:val="auto"/>
          <w:sz w:val="24"/>
          <w:szCs w:val="24"/>
          <w:highlight w:val="none"/>
          <w:lang w:val="en-US" w:eastAsia="zh-CN"/>
        </w:rPr>
        <w:t>，营运期为少量汽车尾气，废气</w:t>
      </w:r>
      <w:r>
        <w:rPr>
          <w:rFonts w:hint="default" w:ascii="Times New Roman" w:hAnsi="Times New Roman" w:eastAsia="宋体" w:cs="Times New Roman"/>
          <w:color w:val="auto"/>
          <w:sz w:val="24"/>
          <w:szCs w:val="24"/>
          <w:highlight w:val="none"/>
          <w:lang w:val="en-US" w:eastAsia="zh-CN"/>
        </w:rPr>
        <w:t>排放执行《大气污染物综合排放标准》（GB16297-1996）中无组织排放监控浓度限值标准。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w:t>
      </w:r>
    </w:p>
    <w:p>
      <w:pPr>
        <w:pStyle w:val="48"/>
        <w:keepNext w:val="0"/>
        <w:keepLines w:val="0"/>
        <w:pageBreakBefore w:val="0"/>
        <w:widowControl w:val="0"/>
        <w:kinsoku/>
        <w:wordWrap/>
        <w:overflowPunct/>
        <w:topLinePunct w:val="0"/>
        <w:autoSpaceDE/>
        <w:autoSpaceDN/>
        <w:bidi w:val="0"/>
        <w:adjustRightInd w:val="0"/>
        <w:snapToGrid w:val="0"/>
        <w:spacing w:line="360" w:lineRule="auto"/>
        <w:ind w:firstLine="238"/>
        <w:textAlignment w:val="auto"/>
        <w:rPr>
          <w:rFonts w:hint="default" w:ascii="Times New Roman" w:hAnsi="Times New Roman" w:eastAsia="宋体" w:cs="Times New Roman"/>
          <w:b/>
          <w:bCs/>
          <w:snapToGrid w:val="0"/>
          <w:color w:val="auto"/>
          <w:kern w:val="0"/>
          <w:sz w:val="21"/>
          <w:szCs w:val="21"/>
          <w:highlight w:val="none"/>
          <w:lang w:val="en-US" w:eastAsia="en-US" w:bidi="zh-TW"/>
        </w:rPr>
      </w:pPr>
      <w:r>
        <w:rPr>
          <w:rFonts w:hint="default" w:ascii="Times New Roman" w:hAnsi="Times New Roman" w:eastAsia="宋体" w:cs="Times New Roman"/>
          <w:b/>
          <w:bCs/>
          <w:snapToGrid w:val="0"/>
          <w:color w:val="auto"/>
          <w:kern w:val="0"/>
          <w:sz w:val="21"/>
          <w:szCs w:val="21"/>
          <w:highlight w:val="none"/>
          <w:lang w:val="en-US" w:eastAsia="en-US" w:bidi="zh-TW"/>
        </w:rPr>
        <w:t>表</w:t>
      </w:r>
      <w:r>
        <w:rPr>
          <w:rFonts w:hint="default" w:ascii="Times New Roman" w:hAnsi="Times New Roman" w:eastAsia="宋体" w:cs="Times New Roman"/>
          <w:b/>
          <w:bCs/>
          <w:snapToGrid w:val="0"/>
          <w:color w:val="auto"/>
          <w:kern w:val="0"/>
          <w:sz w:val="21"/>
          <w:szCs w:val="21"/>
          <w:highlight w:val="none"/>
          <w:lang w:val="en-US" w:eastAsia="zh-CN" w:bidi="zh-TW"/>
        </w:rPr>
        <w:t>2.</w:t>
      </w:r>
      <w:r>
        <w:rPr>
          <w:rFonts w:hint="eastAsia" w:cs="Times New Roman"/>
          <w:b/>
          <w:bCs/>
          <w:snapToGrid w:val="0"/>
          <w:color w:val="auto"/>
          <w:kern w:val="0"/>
          <w:sz w:val="21"/>
          <w:szCs w:val="21"/>
          <w:highlight w:val="none"/>
          <w:lang w:val="en-US" w:eastAsia="zh-CN" w:bidi="zh-TW"/>
        </w:rPr>
        <w:t>3</w:t>
      </w:r>
      <w:r>
        <w:rPr>
          <w:rFonts w:hint="default" w:ascii="Times New Roman" w:hAnsi="Times New Roman" w:eastAsia="宋体" w:cs="Times New Roman"/>
          <w:b/>
          <w:bCs/>
          <w:snapToGrid w:val="0"/>
          <w:color w:val="auto"/>
          <w:kern w:val="0"/>
          <w:sz w:val="21"/>
          <w:szCs w:val="21"/>
          <w:highlight w:val="none"/>
          <w:lang w:val="en-US" w:eastAsia="zh-CN" w:bidi="zh-TW"/>
        </w:rPr>
        <w:t>-</w:t>
      </w:r>
      <w:r>
        <w:rPr>
          <w:rFonts w:hint="default" w:cs="Times New Roman"/>
          <w:b/>
          <w:bCs/>
          <w:snapToGrid w:val="0"/>
          <w:color w:val="auto"/>
          <w:kern w:val="0"/>
          <w:sz w:val="21"/>
          <w:szCs w:val="21"/>
          <w:highlight w:val="none"/>
          <w:lang w:val="en-US" w:eastAsia="zh-CN" w:bidi="zh-TW"/>
        </w:rPr>
        <w:t xml:space="preserve">4 </w:t>
      </w:r>
      <w:r>
        <w:rPr>
          <w:rFonts w:hint="default" w:ascii="Times New Roman" w:hAnsi="Times New Roman" w:eastAsia="宋体" w:cs="Times New Roman"/>
          <w:b/>
          <w:bCs/>
          <w:snapToGrid w:val="0"/>
          <w:color w:val="auto"/>
          <w:kern w:val="0"/>
          <w:sz w:val="21"/>
          <w:szCs w:val="21"/>
          <w:highlight w:val="none"/>
          <w:lang w:val="en-US" w:eastAsia="en-US" w:bidi="zh-TW"/>
        </w:rPr>
        <w:t>大气污染物排放标准值表</w:t>
      </w:r>
    </w:p>
    <w:tbl>
      <w:tblPr>
        <w:tblStyle w:val="23"/>
        <w:tblW w:w="4872"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920"/>
        <w:gridCol w:w="3064"/>
        <w:gridCol w:w="30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trPr>
        <w:tc>
          <w:tcPr>
            <w:tcW w:w="2487" w:type="dxa"/>
            <w:vMerge w:val="restart"/>
            <w:tcBorders>
              <w:top w:val="single" w:color="auto" w:sz="4" w:space="0"/>
              <w:right w:val="single" w:color="auto" w:sz="4" w:space="0"/>
            </w:tcBorders>
            <w:noWrap w:val="0"/>
            <w:vAlign w:val="top"/>
          </w:tcPr>
          <w:p>
            <w:pPr>
              <w:keepNext w:val="0"/>
              <w:keepLines w:val="0"/>
              <w:pageBreakBefore w:val="0"/>
              <w:widowControl/>
              <w:topLinePunct w:val="0"/>
              <w:bidi w:val="0"/>
              <w:snapToGrid/>
              <w:jc w:val="center"/>
              <w:rPr>
                <w:rFonts w:hint="default" w:ascii="Times New Roman" w:hAnsi="Times New Roman" w:eastAsia="宋体" w:cs="Times New Roman"/>
                <w:b w:val="0"/>
                <w:bCs w:val="0"/>
                <w:snapToGrid w:val="0"/>
                <w:color w:val="auto"/>
                <w:kern w:val="0"/>
                <w:szCs w:val="21"/>
                <w:highlight w:val="none"/>
                <w:lang w:val="en-US" w:eastAsia="zh-CN"/>
              </w:rPr>
            </w:pPr>
            <w:bookmarkStart w:id="40" w:name="_Toc1051"/>
            <w:r>
              <w:rPr>
                <w:rFonts w:hint="default" w:ascii="Times New Roman" w:hAnsi="Times New Roman" w:eastAsia="宋体" w:cs="Times New Roman"/>
                <w:b w:val="0"/>
                <w:bCs w:val="0"/>
                <w:snapToGrid w:val="0"/>
                <w:color w:val="auto"/>
                <w:kern w:val="0"/>
                <w:szCs w:val="21"/>
                <w:highlight w:val="none"/>
                <w:lang w:val="en-US" w:eastAsia="zh-CN"/>
              </w:rPr>
              <w:t>污染物</w:t>
            </w:r>
          </w:p>
        </w:tc>
        <w:tc>
          <w:tcPr>
            <w:tcW w:w="5221"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topLinePunct w:val="0"/>
              <w:bidi w:val="0"/>
              <w:snapToGrid/>
              <w:jc w:val="center"/>
              <w:rPr>
                <w:rFonts w:hint="default" w:ascii="Times New Roman" w:hAnsi="Times New Roman" w:eastAsia="宋体" w:cs="Times New Roman"/>
                <w:b w:val="0"/>
                <w:bCs w:val="0"/>
                <w:color w:val="auto"/>
                <w:kern w:val="0"/>
                <w:szCs w:val="21"/>
                <w:highlight w:val="none"/>
              </w:rPr>
            </w:pPr>
            <w:r>
              <w:rPr>
                <w:rFonts w:hint="default" w:ascii="Times New Roman" w:hAnsi="Times New Roman" w:eastAsia="宋体" w:cs="Times New Roman"/>
                <w:b w:val="0"/>
                <w:bCs w:val="0"/>
                <w:color w:val="auto"/>
                <w:kern w:val="0"/>
                <w:szCs w:val="21"/>
                <w:highlight w:val="none"/>
              </w:rPr>
              <w:t>无组织排放限值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trPr>
        <w:tc>
          <w:tcPr>
            <w:tcW w:w="2487" w:type="dxa"/>
            <w:vMerge w:val="continue"/>
            <w:tcBorders>
              <w:bottom w:val="single" w:color="auto" w:sz="4" w:space="0"/>
              <w:right w:val="single" w:color="auto" w:sz="4" w:space="0"/>
            </w:tcBorders>
            <w:noWrap w:val="0"/>
            <w:vAlign w:val="top"/>
          </w:tcPr>
          <w:p>
            <w:pPr>
              <w:keepNext w:val="0"/>
              <w:keepLines w:val="0"/>
              <w:pageBreakBefore w:val="0"/>
              <w:widowControl/>
              <w:topLinePunct w:val="0"/>
              <w:bidi w:val="0"/>
              <w:snapToGrid/>
              <w:jc w:val="center"/>
              <w:rPr>
                <w:rFonts w:hint="default" w:ascii="Times New Roman" w:hAnsi="Times New Roman" w:eastAsia="宋体" w:cs="Times New Roman"/>
                <w:b w:val="0"/>
                <w:bCs w:val="0"/>
                <w:snapToGrid w:val="0"/>
                <w:color w:val="auto"/>
                <w:kern w:val="0"/>
                <w:szCs w:val="21"/>
                <w:highlight w:val="none"/>
                <w:lang w:val="en-US" w:eastAsia="zh-CN"/>
              </w:rPr>
            </w:pPr>
          </w:p>
        </w:tc>
        <w:tc>
          <w:tcPr>
            <w:tcW w:w="2610"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color w:val="auto"/>
                <w:kern w:val="0"/>
                <w:szCs w:val="21"/>
                <w:highlight w:val="none"/>
              </w:rPr>
            </w:pPr>
            <w:r>
              <w:rPr>
                <w:rFonts w:hint="default" w:ascii="Times New Roman" w:hAnsi="Times New Roman" w:eastAsia="宋体" w:cs="Times New Roman"/>
                <w:color w:val="auto"/>
                <w:szCs w:val="21"/>
              </w:rPr>
              <w:t>监控点</w:t>
            </w:r>
          </w:p>
        </w:tc>
        <w:tc>
          <w:tcPr>
            <w:tcW w:w="2611"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color w:val="auto"/>
                <w:kern w:val="0"/>
                <w:szCs w:val="21"/>
                <w:highlight w:val="none"/>
                <w:lang w:eastAsia="zh-CN"/>
              </w:rPr>
            </w:pPr>
            <w:r>
              <w:rPr>
                <w:rFonts w:hint="default" w:ascii="Times New Roman" w:hAnsi="Times New Roman" w:eastAsia="宋体" w:cs="Times New Roman"/>
                <w:color w:val="auto"/>
                <w:szCs w:val="21"/>
              </w:rPr>
              <w:t>浓度</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b w:val="0"/>
                <w:bCs w:val="0"/>
                <w:snapToGrid w:val="0"/>
                <w:color w:val="auto"/>
                <w:kern w:val="0"/>
                <w:szCs w:val="21"/>
                <w:highlight w:val="none"/>
              </w:rPr>
              <w:t>mg/m</w:t>
            </w:r>
            <w:r>
              <w:rPr>
                <w:rFonts w:hint="default" w:ascii="Times New Roman" w:hAnsi="Times New Roman" w:eastAsia="宋体" w:cs="Times New Roman"/>
                <w:b w:val="0"/>
                <w:bCs w:val="0"/>
                <w:snapToGrid w:val="0"/>
                <w:color w:val="auto"/>
                <w:kern w:val="0"/>
                <w:szCs w:val="21"/>
                <w:highlight w:val="none"/>
                <w:vertAlign w:val="superscript"/>
              </w:rPr>
              <w:t>3</w:t>
            </w:r>
            <w:r>
              <w:rPr>
                <w:rFonts w:hint="default" w:ascii="Times New Roman" w:hAnsi="Times New Roman" w:eastAsia="宋体" w:cs="Times New Roman"/>
                <w:color w:val="auto"/>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2487"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snapToGrid w:val="0"/>
                <w:color w:val="auto"/>
                <w:kern w:val="0"/>
                <w:szCs w:val="21"/>
                <w:highlight w:val="none"/>
              </w:rPr>
            </w:pPr>
            <w:r>
              <w:rPr>
                <w:rFonts w:hint="default" w:ascii="Times New Roman" w:hAnsi="Times New Roman" w:eastAsia="宋体" w:cs="Times New Roman"/>
                <w:color w:val="auto"/>
                <w:szCs w:val="21"/>
              </w:rPr>
              <w:t>颗粒物</w:t>
            </w:r>
          </w:p>
        </w:tc>
        <w:tc>
          <w:tcPr>
            <w:tcW w:w="2610"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snapToGrid w:val="0"/>
                <w:color w:val="auto"/>
                <w:kern w:val="0"/>
                <w:szCs w:val="21"/>
                <w:highlight w:val="none"/>
              </w:rPr>
            </w:pPr>
            <w:r>
              <w:rPr>
                <w:rFonts w:hint="default" w:ascii="Times New Roman" w:hAnsi="Times New Roman" w:eastAsia="宋体" w:cs="Times New Roman"/>
                <w:color w:val="auto"/>
                <w:szCs w:val="21"/>
              </w:rPr>
              <w:t>周界外浓度最高点</w:t>
            </w:r>
          </w:p>
        </w:tc>
        <w:tc>
          <w:tcPr>
            <w:tcW w:w="2611"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color w:val="auto"/>
                <w:kern w:val="0"/>
                <w:szCs w:val="21"/>
                <w:highlight w:val="none"/>
              </w:rPr>
            </w:pPr>
            <w:r>
              <w:rPr>
                <w:rFonts w:hint="default" w:ascii="Times New Roman" w:hAnsi="Times New Roman" w:eastAsia="宋体" w:cs="Times New Roman"/>
                <w:color w:val="auto"/>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87"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snapToGrid w:val="0"/>
                <w:color w:val="auto"/>
                <w:kern w:val="0"/>
                <w:szCs w:val="21"/>
                <w:highlight w:val="none"/>
              </w:rPr>
            </w:pPr>
            <w:r>
              <w:rPr>
                <w:rFonts w:hint="default" w:ascii="Times New Roman" w:hAnsi="Times New Roman" w:eastAsia="宋体" w:cs="Times New Roman"/>
                <w:color w:val="auto"/>
                <w:szCs w:val="21"/>
                <w:lang w:val="en-US" w:eastAsia="zh-CN"/>
              </w:rPr>
              <w:t>NO</w:t>
            </w:r>
            <w:r>
              <w:rPr>
                <w:rFonts w:hint="default" w:ascii="Times New Roman" w:hAnsi="Times New Roman" w:eastAsia="宋体" w:cs="Times New Roman"/>
                <w:color w:val="auto"/>
                <w:szCs w:val="21"/>
                <w:vertAlign w:val="subscript"/>
                <w:lang w:val="en-US" w:eastAsia="zh-CN"/>
              </w:rPr>
              <w:t>X</w:t>
            </w:r>
          </w:p>
        </w:tc>
        <w:tc>
          <w:tcPr>
            <w:tcW w:w="2610"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snapToGrid w:val="0"/>
                <w:color w:val="auto"/>
                <w:kern w:val="0"/>
                <w:szCs w:val="21"/>
                <w:highlight w:val="none"/>
              </w:rPr>
            </w:pPr>
            <w:r>
              <w:rPr>
                <w:rFonts w:hint="default" w:ascii="Times New Roman" w:hAnsi="Times New Roman" w:eastAsia="宋体" w:cs="Times New Roman"/>
                <w:color w:val="auto"/>
                <w:szCs w:val="21"/>
              </w:rPr>
              <w:t>周界外浓度最高点</w:t>
            </w:r>
          </w:p>
        </w:tc>
        <w:tc>
          <w:tcPr>
            <w:tcW w:w="2611"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snapToGrid w:val="0"/>
                <w:color w:val="auto"/>
                <w:kern w:val="0"/>
                <w:szCs w:val="21"/>
                <w:highlight w:val="none"/>
              </w:rPr>
            </w:pPr>
            <w:r>
              <w:rPr>
                <w:rFonts w:hint="default" w:ascii="Times New Roman" w:hAnsi="Times New Roman" w:eastAsia="宋体" w:cs="Times New Roman"/>
                <w:color w:val="auto"/>
                <w:szCs w:val="21"/>
                <w:lang w:val="en-US" w:eastAsia="zh-CN"/>
              </w:rPr>
              <w:t>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87"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color w:val="auto"/>
                <w:kern w:val="0"/>
                <w:szCs w:val="21"/>
                <w:highlight w:val="none"/>
              </w:rPr>
            </w:pPr>
            <w:r>
              <w:rPr>
                <w:rFonts w:hint="default" w:ascii="Times New Roman" w:hAnsi="Times New Roman" w:eastAsia="宋体" w:cs="Times New Roman"/>
                <w:color w:val="auto"/>
                <w:szCs w:val="21"/>
                <w:lang w:val="en-US" w:eastAsia="zh-CN"/>
              </w:rPr>
              <w:t>HC</w:t>
            </w:r>
          </w:p>
        </w:tc>
        <w:tc>
          <w:tcPr>
            <w:tcW w:w="2610"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snapToGrid w:val="0"/>
                <w:color w:val="auto"/>
                <w:kern w:val="0"/>
                <w:szCs w:val="21"/>
                <w:highlight w:val="none"/>
              </w:rPr>
            </w:pPr>
            <w:r>
              <w:rPr>
                <w:rFonts w:hint="default" w:ascii="Times New Roman" w:hAnsi="Times New Roman" w:eastAsia="宋体" w:cs="Times New Roman"/>
                <w:color w:val="auto"/>
                <w:szCs w:val="21"/>
              </w:rPr>
              <w:t>周界外浓度最高点</w:t>
            </w:r>
          </w:p>
        </w:tc>
        <w:tc>
          <w:tcPr>
            <w:tcW w:w="2611"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b w:val="0"/>
                <w:bCs w:val="0"/>
                <w:snapToGrid w:val="0"/>
                <w:color w:val="auto"/>
                <w:kern w:val="0"/>
                <w:szCs w:val="21"/>
                <w:highlight w:val="none"/>
              </w:rPr>
            </w:pPr>
            <w:r>
              <w:rPr>
                <w:rFonts w:hint="default" w:ascii="Times New Roman" w:hAnsi="Times New Roman" w:eastAsia="宋体" w:cs="Times New Roman"/>
                <w:color w:val="auto"/>
                <w:szCs w:val="21"/>
                <w:lang w:val="en-US" w:eastAsia="zh-CN"/>
              </w:rPr>
              <w:t>4.0</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Times New Roman"/>
          <w:b/>
          <w:bCs/>
          <w:color w:val="auto"/>
          <w:sz w:val="24"/>
          <w:szCs w:val="24"/>
          <w:highlight w:val="none"/>
          <w:lang w:val="en-US" w:eastAsia="zh-CN"/>
        </w:rPr>
      </w:pPr>
      <w:r>
        <w:rPr>
          <w:rFonts w:hint="default" w:cs="Times New Roman"/>
          <w:b/>
          <w:bCs/>
          <w:color w:val="auto"/>
          <w:sz w:val="24"/>
          <w:szCs w:val="24"/>
          <w:highlight w:val="none"/>
          <w:lang w:val="en-US" w:eastAsia="zh-CN"/>
        </w:rPr>
        <w:t>2、废水</w:t>
      </w:r>
      <w:bookmarkEnd w:id="4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本项目施工期和营运期废水经三级化粪池处理后进市政污水管网排入江东污水处理厂处理</w:t>
      </w:r>
      <w:r>
        <w:rPr>
          <w:rFonts w:hint="default" w:cs="Times New Roman"/>
          <w:color w:val="auto"/>
          <w:sz w:val="24"/>
          <w:szCs w:val="24"/>
          <w:highlight w:val="none"/>
          <w:lang w:val="en-US" w:eastAsia="zh-CN"/>
        </w:rPr>
        <w:t>。东洲岛范围内生活污水经岛内已建污水处理设施处理后回用岛上绿化，不外排。</w:t>
      </w:r>
    </w:p>
    <w:p>
      <w:pPr>
        <w:pStyle w:val="48"/>
        <w:keepNext w:val="0"/>
        <w:keepLines w:val="0"/>
        <w:pageBreakBefore w:val="0"/>
        <w:widowControl w:val="0"/>
        <w:kinsoku/>
        <w:wordWrap/>
        <w:overflowPunct/>
        <w:topLinePunct w:val="0"/>
        <w:autoSpaceDE/>
        <w:autoSpaceDN/>
        <w:bidi w:val="0"/>
        <w:adjustRightInd w:val="0"/>
        <w:snapToGrid w:val="0"/>
        <w:spacing w:line="360" w:lineRule="auto"/>
        <w:ind w:firstLine="238"/>
        <w:textAlignment w:val="auto"/>
        <w:rPr>
          <w:rFonts w:hint="default" w:ascii="Times New Roman" w:hAnsi="Times New Roman" w:eastAsia="宋体" w:cs="Times New Roman"/>
          <w:b/>
          <w:bCs/>
          <w:snapToGrid w:val="0"/>
          <w:color w:val="auto"/>
          <w:kern w:val="0"/>
          <w:sz w:val="21"/>
          <w:szCs w:val="21"/>
          <w:highlight w:val="none"/>
          <w:lang w:val="en-US" w:eastAsia="en-US" w:bidi="zh-TW"/>
        </w:rPr>
      </w:pPr>
      <w:r>
        <w:rPr>
          <w:rFonts w:hint="default" w:ascii="Times New Roman" w:hAnsi="Times New Roman" w:eastAsia="宋体" w:cs="Times New Roman"/>
          <w:b/>
          <w:bCs/>
          <w:snapToGrid w:val="0"/>
          <w:color w:val="auto"/>
          <w:kern w:val="0"/>
          <w:sz w:val="21"/>
          <w:szCs w:val="21"/>
          <w:highlight w:val="none"/>
          <w:lang w:val="en-US" w:eastAsia="zh-CN" w:bidi="zh-TW"/>
        </w:rPr>
        <w:t>表</w:t>
      </w:r>
      <w:r>
        <w:rPr>
          <w:rFonts w:hint="default" w:cs="Times New Roman"/>
          <w:b/>
          <w:bCs/>
          <w:snapToGrid w:val="0"/>
          <w:color w:val="auto"/>
          <w:kern w:val="0"/>
          <w:sz w:val="21"/>
          <w:szCs w:val="21"/>
          <w:highlight w:val="none"/>
          <w:lang w:val="en-US" w:eastAsia="zh-CN" w:bidi="zh-TW"/>
        </w:rPr>
        <w:t>2.</w:t>
      </w:r>
      <w:r>
        <w:rPr>
          <w:rFonts w:hint="eastAsia" w:cs="Times New Roman"/>
          <w:b/>
          <w:bCs/>
          <w:snapToGrid w:val="0"/>
          <w:color w:val="auto"/>
          <w:kern w:val="0"/>
          <w:sz w:val="21"/>
          <w:szCs w:val="21"/>
          <w:highlight w:val="none"/>
          <w:lang w:val="en-US" w:eastAsia="zh-CN" w:bidi="zh-TW"/>
        </w:rPr>
        <w:t>3</w:t>
      </w:r>
      <w:r>
        <w:rPr>
          <w:rFonts w:hint="default" w:cs="Times New Roman"/>
          <w:b/>
          <w:bCs/>
          <w:snapToGrid w:val="0"/>
          <w:color w:val="auto"/>
          <w:kern w:val="0"/>
          <w:sz w:val="21"/>
          <w:szCs w:val="21"/>
          <w:highlight w:val="none"/>
          <w:lang w:val="en-US" w:eastAsia="zh-CN" w:bidi="zh-TW"/>
        </w:rPr>
        <w:t>-5</w:t>
      </w:r>
      <w:r>
        <w:rPr>
          <w:rFonts w:hint="default" w:ascii="Times New Roman" w:hAnsi="Times New Roman" w:eastAsia="宋体" w:cs="Times New Roman"/>
          <w:b/>
          <w:bCs/>
          <w:snapToGrid w:val="0"/>
          <w:color w:val="auto"/>
          <w:kern w:val="0"/>
          <w:sz w:val="21"/>
          <w:szCs w:val="21"/>
          <w:highlight w:val="none"/>
          <w:lang w:val="en-US" w:eastAsia="zh-CN" w:bidi="zh-TW"/>
        </w:rPr>
        <w:t xml:space="preserve"> </w:t>
      </w:r>
      <w:r>
        <w:rPr>
          <w:rFonts w:hint="default" w:ascii="Times New Roman" w:hAnsi="Times New Roman" w:eastAsia="宋体" w:cs="Times New Roman"/>
          <w:b/>
          <w:bCs/>
          <w:snapToGrid w:val="0"/>
          <w:color w:val="auto"/>
          <w:kern w:val="0"/>
          <w:sz w:val="21"/>
          <w:szCs w:val="21"/>
          <w:highlight w:val="none"/>
          <w:lang w:val="en-US" w:eastAsia="en-US" w:bidi="zh-TW"/>
        </w:rPr>
        <w:t xml:space="preserve"> 废水污染物排放标准 单位：mg/L</w:t>
      </w:r>
    </w:p>
    <w:tbl>
      <w:tblPr>
        <w:tblStyle w:val="2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15" w:type="dxa"/>
          <w:left w:w="15" w:type="dxa"/>
          <w:bottom w:w="15" w:type="dxa"/>
          <w:right w:w="15" w:type="dxa"/>
        </w:tblCellMar>
      </w:tblPr>
      <w:tblGrid>
        <w:gridCol w:w="4047"/>
        <w:gridCol w:w="979"/>
        <w:gridCol w:w="863"/>
        <w:gridCol w:w="1003"/>
        <w:gridCol w:w="754"/>
        <w:gridCol w:w="145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15" w:hRule="atLeast"/>
        </w:trPr>
        <w:tc>
          <w:tcPr>
            <w:tcW w:w="2223"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标准</w:t>
            </w:r>
          </w:p>
        </w:tc>
        <w:tc>
          <w:tcPr>
            <w:tcW w:w="538"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CODcr</w:t>
            </w:r>
          </w:p>
        </w:tc>
        <w:tc>
          <w:tcPr>
            <w:tcW w:w="474"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BOD</w:t>
            </w:r>
            <w:r>
              <w:rPr>
                <w:rFonts w:hint="default" w:ascii="Times New Roman" w:hAnsi="Times New Roman" w:eastAsia="宋体" w:cs="Times New Roman"/>
                <w:color w:val="auto"/>
                <w:kern w:val="0"/>
                <w:sz w:val="21"/>
                <w:szCs w:val="21"/>
                <w:highlight w:val="none"/>
                <w:vertAlign w:val="subscript"/>
                <w:lang w:val="en-US" w:eastAsia="zh-CN" w:bidi="ar"/>
              </w:rPr>
              <w:t>5</w:t>
            </w:r>
          </w:p>
        </w:tc>
        <w:tc>
          <w:tcPr>
            <w:tcW w:w="551"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NH</w:t>
            </w:r>
            <w:r>
              <w:rPr>
                <w:rFonts w:hint="default" w:ascii="Times New Roman" w:hAnsi="Times New Roman" w:eastAsia="宋体" w:cs="Times New Roman"/>
                <w:color w:val="auto"/>
                <w:kern w:val="0"/>
                <w:sz w:val="21"/>
                <w:szCs w:val="21"/>
                <w:highlight w:val="none"/>
                <w:vertAlign w:val="sub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-N</w:t>
            </w:r>
          </w:p>
        </w:tc>
        <w:tc>
          <w:tcPr>
            <w:tcW w:w="414"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SS</w:t>
            </w:r>
          </w:p>
        </w:tc>
        <w:tc>
          <w:tcPr>
            <w:tcW w:w="797"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动植物油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00" w:hRule="atLeast"/>
        </w:trPr>
        <w:tc>
          <w:tcPr>
            <w:tcW w:w="2223"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GB8978-1996三级标准</w:t>
            </w:r>
          </w:p>
        </w:tc>
        <w:tc>
          <w:tcPr>
            <w:tcW w:w="538"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≤500</w:t>
            </w:r>
          </w:p>
        </w:tc>
        <w:tc>
          <w:tcPr>
            <w:tcW w:w="474"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≤300</w:t>
            </w:r>
          </w:p>
        </w:tc>
        <w:tc>
          <w:tcPr>
            <w:tcW w:w="551"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w:t>
            </w:r>
          </w:p>
        </w:tc>
        <w:tc>
          <w:tcPr>
            <w:tcW w:w="414"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≤400</w:t>
            </w:r>
          </w:p>
        </w:tc>
        <w:tc>
          <w:tcPr>
            <w:tcW w:w="797" w:type="pct"/>
            <w:tcBorders>
              <w:top w:val="single" w:color="000000" w:sz="4" w:space="0"/>
              <w:left w:val="single" w:color="000000" w:sz="4" w:space="0"/>
              <w:bottom w:val="single" w:color="000000" w:sz="4" w:space="0"/>
              <w:right w:val="single" w:color="000000" w:sz="4" w:space="0"/>
            </w:tcBorders>
            <w:noWrap/>
            <w:vAlign w:val="bottom"/>
          </w:tcPr>
          <w:p>
            <w:pPr>
              <w:keepNext w:val="0"/>
              <w:keepLines w:val="0"/>
              <w:widowControl/>
              <w:suppressLineNumbers w:val="0"/>
              <w:wordWrap/>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≤100</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Times New Roman"/>
          <w:b/>
          <w:bCs/>
          <w:color w:val="auto"/>
          <w:sz w:val="24"/>
          <w:szCs w:val="24"/>
          <w:highlight w:val="none"/>
          <w:lang w:val="en-US" w:eastAsia="zh-CN"/>
        </w:rPr>
      </w:pPr>
      <w:bookmarkStart w:id="41" w:name="_Toc25036"/>
      <w:r>
        <w:rPr>
          <w:rFonts w:hint="default" w:cs="Times New Roman"/>
          <w:b/>
          <w:bCs/>
          <w:color w:val="auto"/>
          <w:sz w:val="24"/>
          <w:szCs w:val="24"/>
          <w:highlight w:val="none"/>
          <w:lang w:val="en-US" w:eastAsia="zh-CN"/>
        </w:rPr>
        <w:t>3、噪声</w:t>
      </w:r>
      <w:bookmarkEnd w:id="4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施工期间排放噪声执行《建筑施工场界环境噪声排放标准》（GB12523-2011）（昼间：70dB，夜间：55dB）。</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营运期噪声排放执行《社会生活环境噪声排放标准》（GB12348-2008）中2类、4a类标准。</w:t>
      </w:r>
    </w:p>
    <w:p>
      <w:pPr>
        <w:pStyle w:val="3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-6</w:t>
      </w:r>
      <w:r>
        <w:rPr>
          <w:rFonts w:hint="default" w:ascii="Times New Roman" w:hAnsi="Times New Roman"/>
          <w:b/>
          <w:color w:val="auto"/>
          <w:highlight w:val="none"/>
          <w:u w:val="none" w:color="auto"/>
          <w:lang w:val="en-US" w:eastAsia="en-US"/>
        </w:rPr>
        <w:t>环境噪声排放标准单位：dB</w:t>
      </w:r>
      <w:r>
        <w:rPr>
          <w:rFonts w:hint="default" w:ascii="Times New Roman" w:hAnsi="Times New Roman"/>
          <w:b/>
          <w:color w:val="auto"/>
          <w:highlight w:val="none"/>
          <w:u w:val="none" w:color="auto"/>
          <w:lang w:val="en-US" w:eastAsia="zh-CN"/>
        </w:rPr>
        <w:t>（</w:t>
      </w:r>
      <w:r>
        <w:rPr>
          <w:rFonts w:hint="default" w:ascii="Times New Roman" w:hAnsi="Times New Roman"/>
          <w:b/>
          <w:color w:val="auto"/>
          <w:highlight w:val="none"/>
          <w:u w:val="none" w:color="auto"/>
          <w:lang w:val="en-US" w:eastAsia="en-US"/>
        </w:rPr>
        <w:t>A</w:t>
      </w:r>
      <w:r>
        <w:rPr>
          <w:rFonts w:hint="default" w:ascii="Times New Roman" w:hAnsi="Times New Roman"/>
          <w:b/>
          <w:color w:val="auto"/>
          <w:highlight w:val="none"/>
          <w:u w:val="none" w:color="auto"/>
          <w:lang w:val="en-US" w:eastAsia="zh-CN"/>
        </w:rPr>
        <w:t>）</w:t>
      </w:r>
    </w:p>
    <w:tbl>
      <w:tblPr>
        <w:tblStyle w:val="22"/>
        <w:tblpPr w:leftFromText="180" w:rightFromText="180" w:vertAnchor="text" w:horzAnchor="margin" w:tblpXSpec="center" w:tblpY="11"/>
        <w:tblOverlap w:val="never"/>
        <w:tblW w:w="8552" w:type="dxa"/>
        <w:tblInd w:w="-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388"/>
        <w:gridCol w:w="1733"/>
        <w:gridCol w:w="1827"/>
        <w:gridCol w:w="16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8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标准名称</w:t>
            </w:r>
          </w:p>
        </w:tc>
        <w:tc>
          <w:tcPr>
            <w:tcW w:w="1013"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边界外声环境功能区类别</w:t>
            </w:r>
          </w:p>
        </w:tc>
        <w:tc>
          <w:tcPr>
            <w:tcW w:w="2005"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8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1013"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106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昼间</w:t>
            </w:r>
          </w:p>
        </w:tc>
        <w:tc>
          <w:tcPr>
            <w:tcW w:w="9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8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《建筑施工场界环境噪声排放标准》GB12523-2011）</w:t>
            </w:r>
          </w:p>
        </w:tc>
        <w:tc>
          <w:tcPr>
            <w:tcW w:w="101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6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9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8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《社会生活环境噪声排放标准》（GB12348-2008）</w:t>
            </w:r>
          </w:p>
        </w:tc>
        <w:tc>
          <w:tcPr>
            <w:tcW w:w="101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2类</w:t>
            </w:r>
          </w:p>
        </w:tc>
        <w:tc>
          <w:tcPr>
            <w:tcW w:w="106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8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01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4a类</w:t>
            </w:r>
          </w:p>
        </w:tc>
        <w:tc>
          <w:tcPr>
            <w:tcW w:w="106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93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Times New Roman"/>
          <w:b/>
          <w:bCs/>
          <w:color w:val="auto"/>
          <w:sz w:val="24"/>
          <w:szCs w:val="24"/>
          <w:highlight w:val="none"/>
          <w:lang w:val="en-US" w:eastAsia="zh-CN"/>
        </w:rPr>
      </w:pPr>
      <w:bookmarkStart w:id="42" w:name="_Toc26681"/>
      <w:r>
        <w:rPr>
          <w:rFonts w:hint="default" w:cs="Times New Roman"/>
          <w:b/>
          <w:bCs/>
          <w:color w:val="auto"/>
          <w:sz w:val="24"/>
          <w:szCs w:val="24"/>
          <w:highlight w:val="none"/>
          <w:lang w:val="en-US" w:eastAsia="zh-CN"/>
        </w:rPr>
        <w:t>4、固体废物</w:t>
      </w:r>
      <w:bookmarkEnd w:id="4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一般固体废物执行《一般工业固体废物贮存和填埋污染控制标准》（GB 18599-2020）相关要求；危险废物执行《危险废物贮存污染控制标准》（GB 18597-2023）要求；生活垃圾固废处置执行《生活垃圾填埋场污染控制标准》（GB16889-2008）。</w:t>
      </w:r>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ascii="Times New Roman" w:hAnsi="Times New Roman" w:eastAsia="宋体" w:cs="Times New Roman"/>
          <w:b/>
          <w:bCs/>
          <w:color w:val="auto"/>
          <w:kern w:val="0"/>
          <w:sz w:val="30"/>
          <w:szCs w:val="30"/>
          <w:highlight w:val="none"/>
          <w:lang w:val="en-US" w:eastAsia="zh-CN"/>
        </w:rPr>
      </w:pPr>
      <w:bookmarkStart w:id="43" w:name="_Toc11308"/>
      <w:bookmarkStart w:id="44" w:name="_Toc5081"/>
      <w:r>
        <w:rPr>
          <w:rFonts w:hint="default" w:ascii="Times New Roman" w:hAnsi="Times New Roman" w:eastAsia="宋体" w:cs="Times New Roman"/>
          <w:b/>
          <w:bCs/>
          <w:color w:val="auto"/>
          <w:kern w:val="0"/>
          <w:sz w:val="30"/>
          <w:szCs w:val="30"/>
          <w:highlight w:val="none"/>
          <w:lang w:val="en-US" w:eastAsia="zh-CN"/>
        </w:rPr>
        <w:t>评价工作等级</w:t>
      </w:r>
      <w:bookmarkEnd w:id="43"/>
      <w:bookmarkEnd w:id="44"/>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2.4.1大气环境影响评价工作等级</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根据《环境影响评价技术导则</w:t>
      </w:r>
      <w:r>
        <w:rPr>
          <w:rFonts w:hint="eastAsia" w:cs="Times New Roman"/>
          <w:color w:val="auto"/>
          <w:sz w:val="24"/>
          <w:highlight w:val="none"/>
          <w:u w:val="none"/>
          <w:lang w:val="en-US" w:eastAsia="zh-CN"/>
        </w:rPr>
        <w:t xml:space="preserve"> </w:t>
      </w:r>
      <w:r>
        <w:rPr>
          <w:rFonts w:hint="default" w:ascii="Times New Roman" w:hAnsi="Times New Roman" w:eastAsia="宋体" w:cs="Times New Roman"/>
          <w:color w:val="auto"/>
          <w:sz w:val="24"/>
          <w:highlight w:val="none"/>
          <w:u w:val="none"/>
          <w:lang w:val="en-US" w:eastAsia="zh-CN"/>
        </w:rPr>
        <w:t>大气环境》（HJ2.2-2018），通过计算本项目主要大气污染物最大地面浓度占标准率Pi来确定大气影响评价等级的计算公式：</w:t>
      </w:r>
    </w:p>
    <w:p>
      <w:pPr>
        <w:keepLines w:val="0"/>
        <w:pageBreakBefore w:val="0"/>
        <w:widowControl w:val="0"/>
        <w:kinsoku/>
        <w:wordWrap/>
        <w:overflowPunct/>
        <w:topLinePunct w:val="0"/>
        <w:bidi w:val="0"/>
        <w:jc w:val="center"/>
        <w:rPr>
          <w:color w:val="auto"/>
          <w:highlight w:val="none"/>
          <w:u w:val="none" w:color="auto"/>
        </w:rPr>
      </w:pPr>
      <w:r>
        <w:rPr>
          <w:color w:val="auto"/>
          <w:highlight w:val="none"/>
          <w:u w:val="none" w:color="auto"/>
        </w:rPr>
        <w:drawing>
          <wp:inline distT="0" distB="0" distL="114300" distR="114300">
            <wp:extent cx="1009650" cy="457200"/>
            <wp:effectExtent l="0" t="0" r="0" b="0"/>
            <wp:docPr id="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
                    <pic:cNvPicPr>
                      <a:picLocks noChangeAspect="1"/>
                    </pic:cNvPicPr>
                  </pic:nvPicPr>
                  <pic:blipFill>
                    <a:blip r:embed="rId21" cstate="print"/>
                    <a:stretch>
                      <a:fillRect/>
                    </a:stretch>
                  </pic:blipFill>
                  <pic:spPr>
                    <a:xfrm>
                      <a:off x="0" y="0"/>
                      <a:ext cx="1009650" cy="4572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sz w:val="24"/>
          <w:szCs w:val="24"/>
          <w:highlight w:val="none"/>
          <w:u w:val="none" w:color="auto"/>
        </w:rPr>
      </w:pPr>
      <w:r>
        <w:rPr>
          <w:color w:val="auto"/>
          <w:sz w:val="24"/>
          <w:szCs w:val="24"/>
          <w:highlight w:val="none"/>
          <w:u w:val="none" w:color="auto"/>
        </w:rPr>
        <w:t>式中：Pi——第i个污染物的最大地面空气质量浓度占标率，%；</w:t>
      </w:r>
    </w:p>
    <w:p>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color w:val="auto"/>
          <w:sz w:val="24"/>
          <w:szCs w:val="24"/>
          <w:highlight w:val="none"/>
          <w:u w:val="none" w:color="auto"/>
        </w:rPr>
      </w:pPr>
      <w:r>
        <w:rPr>
          <w:color w:val="auto"/>
          <w:sz w:val="24"/>
          <w:szCs w:val="24"/>
          <w:highlight w:val="none"/>
          <w:u w:val="none" w:color="auto"/>
        </w:rPr>
        <w:t>Ci——采用估算模式计算出的第i个污染物的最大1h地面空气质量浓度，μg/m</w:t>
      </w:r>
      <w:r>
        <w:rPr>
          <w:color w:val="auto"/>
          <w:sz w:val="24"/>
          <w:szCs w:val="24"/>
          <w:highlight w:val="none"/>
          <w:u w:val="none" w:color="auto"/>
          <w:vertAlign w:val="superscript"/>
        </w:rPr>
        <w:t>3</w:t>
      </w:r>
      <w:r>
        <w:rPr>
          <w:color w:val="auto"/>
          <w:sz w:val="24"/>
          <w:szCs w:val="24"/>
          <w:highlight w:val="none"/>
          <w:u w:val="none" w:color="auto"/>
        </w:rPr>
        <w:t>；</w:t>
      </w:r>
    </w:p>
    <w:p>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color w:val="auto"/>
          <w:sz w:val="24"/>
          <w:szCs w:val="24"/>
          <w:highlight w:val="none"/>
          <w:u w:val="none" w:color="auto"/>
        </w:rPr>
      </w:pPr>
      <w:r>
        <w:rPr>
          <w:color w:val="auto"/>
          <w:sz w:val="24"/>
          <w:szCs w:val="24"/>
          <w:highlight w:val="none"/>
          <w:u w:val="none" w:color="auto"/>
        </w:rPr>
        <w:t>Coi——第i个污染物的环境空气质量浓度标准，μg/m</w:t>
      </w:r>
      <w:r>
        <w:rPr>
          <w:color w:val="auto"/>
          <w:sz w:val="24"/>
          <w:szCs w:val="24"/>
          <w:highlight w:val="none"/>
          <w:u w:val="none" w:color="auto"/>
          <w:vertAlign w:val="superscript"/>
        </w:rPr>
        <w:t>3</w:t>
      </w:r>
      <w:r>
        <w:rPr>
          <w:color w:val="auto"/>
          <w:sz w:val="24"/>
          <w:szCs w:val="24"/>
          <w:highlight w:val="none"/>
          <w:u w:val="none" w:color="auto"/>
        </w:rPr>
        <w:t>；</w:t>
      </w:r>
    </w:p>
    <w:p>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Coi一般选用GB3095中1h平均质量浓度的二级浓度限值，如项目位于一类环境空气功能区，应选择相应的一级浓度限值；对于该标准中未包含的污染物，参照导则附录D取值。如已有地方标准，应选用地方标准中的相应值。</w:t>
      </w:r>
    </w:p>
    <w:p>
      <w:pPr>
        <w:pStyle w:val="28"/>
        <w:keepNext w:val="0"/>
        <w:keepLines w:val="0"/>
        <w:pageBreakBefore w:val="0"/>
        <w:widowControl w:val="0"/>
        <w:kinsoku/>
        <w:wordWrap/>
        <w:overflowPunct/>
        <w:topLinePunct w:val="0"/>
        <w:bidi w:val="0"/>
        <w:snapToGrid/>
        <w:spacing w:line="360" w:lineRule="auto"/>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评价工作等级的判定依据见表2.4-1。</w:t>
      </w:r>
    </w:p>
    <w:p>
      <w:pPr>
        <w:pStyle w:val="3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b/>
          <w:color w:val="auto"/>
          <w:highlight w:val="none"/>
          <w:u w:val="none" w:color="auto"/>
          <w:lang w:eastAsia="zh-CN"/>
        </w:rPr>
      </w:pPr>
      <w:r>
        <w:rPr>
          <w:rFonts w:ascii="Times New Roman" w:hAnsi="Times New Roman"/>
          <w:b/>
          <w:color w:val="auto"/>
          <w:highlight w:val="none"/>
          <w:u w:val="none" w:color="auto"/>
        </w:rPr>
        <w:t>表</w:t>
      </w:r>
      <w:r>
        <w:rPr>
          <w:rFonts w:hint="default" w:ascii="Times New Roman" w:hAnsi="Times New Roman"/>
          <w:b/>
          <w:color w:val="auto"/>
          <w:highlight w:val="none"/>
          <w:u w:val="none" w:color="auto"/>
        </w:rPr>
        <w:t>2.4</w:t>
      </w:r>
      <w:r>
        <w:rPr>
          <w:rFonts w:ascii="Times New Roman" w:hAnsi="Times New Roman"/>
          <w:b/>
          <w:color w:val="auto"/>
          <w:highlight w:val="none"/>
          <w:u w:val="none" w:color="auto"/>
        </w:rPr>
        <w:t>-</w:t>
      </w:r>
      <w:r>
        <w:rPr>
          <w:rFonts w:hint="default" w:ascii="Times New Roman" w:hAnsi="Times New Roman"/>
          <w:b/>
          <w:color w:val="auto"/>
          <w:highlight w:val="none"/>
          <w:u w:val="none" w:color="auto"/>
          <w:lang w:val="en-US" w:eastAsia="zh-CN"/>
        </w:rPr>
        <w:t>1</w:t>
      </w:r>
      <w:r>
        <w:rPr>
          <w:rFonts w:ascii="Times New Roman" w:hAnsi="Times New Roman"/>
          <w:b/>
          <w:color w:val="auto"/>
          <w:highlight w:val="none"/>
          <w:u w:val="none" w:color="auto"/>
        </w:rPr>
        <w:t>环境空气评价工作等级</w:t>
      </w:r>
      <w:r>
        <w:rPr>
          <w:rFonts w:hint="default" w:ascii="Times New Roman" w:hAnsi="Times New Roman"/>
          <w:b/>
          <w:color w:val="auto"/>
          <w:highlight w:val="none"/>
          <w:u w:val="none" w:color="auto"/>
          <w:lang w:val="en-US" w:eastAsia="zh-CN"/>
        </w:rPr>
        <w:t>判定表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286"/>
        <w:gridCol w:w="60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22" w:hRule="atLeast"/>
          <w:jc w:val="center"/>
        </w:trPr>
        <w:tc>
          <w:tcPr>
            <w:tcW w:w="1769"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hint="default" w:ascii="Times New Roman" w:hAnsi="Times New Roman"/>
                <w:color w:val="auto"/>
                <w:highlight w:val="none"/>
                <w:u w:val="none" w:color="auto"/>
                <w:lang w:val="en-US" w:eastAsia="zh-CN"/>
              </w:rPr>
              <w:t>评价</w:t>
            </w:r>
            <w:r>
              <w:rPr>
                <w:rFonts w:ascii="Times New Roman" w:hAnsi="Times New Roman"/>
                <w:color w:val="auto"/>
                <w:highlight w:val="none"/>
                <w:u w:val="none" w:color="auto"/>
              </w:rPr>
              <w:t>工作等级</w:t>
            </w:r>
          </w:p>
        </w:tc>
        <w:tc>
          <w:tcPr>
            <w:tcW w:w="3231"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评价工作分级判据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1769"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一级</w:t>
            </w:r>
          </w:p>
        </w:tc>
        <w:tc>
          <w:tcPr>
            <w:tcW w:w="3231"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P</w:t>
            </w:r>
            <w:r>
              <w:rPr>
                <w:rFonts w:ascii="Times New Roman" w:hAnsi="Times New Roman"/>
                <w:color w:val="auto"/>
                <w:highlight w:val="none"/>
                <w:u w:val="none" w:color="auto"/>
                <w:vertAlign w:val="subscript"/>
              </w:rPr>
              <w:t>Max</w:t>
            </w:r>
            <w:r>
              <w:rPr>
                <w:rFonts w:ascii="Times New Roman" w:hAnsi="Times New Roman"/>
                <w:color w:val="auto"/>
                <w:highlight w:val="none"/>
                <w:u w:val="none" w:color="auto"/>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1769"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二级</w:t>
            </w:r>
          </w:p>
        </w:tc>
        <w:tc>
          <w:tcPr>
            <w:tcW w:w="3231"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10%&gt;PMax≥1%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1769"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三级</w:t>
            </w:r>
          </w:p>
        </w:tc>
        <w:tc>
          <w:tcPr>
            <w:tcW w:w="3231"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Pmax＜1%</w:t>
            </w:r>
          </w:p>
        </w:tc>
      </w:tr>
    </w:tbl>
    <w:p>
      <w:pPr>
        <w:spacing w:line="360" w:lineRule="auto"/>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根据导则要求：同一项目有多个污染源（两个及以上）时，则按各污染源分别确定评价等级，并取评价等级最高者作为项目的评价等级。本环评采用AERSCREEN估算模型计算项目污染源的最大环境影响。</w:t>
      </w:r>
    </w:p>
    <w:p>
      <w:pPr>
        <w:spacing w:line="360" w:lineRule="auto"/>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①评价因子与评价标准</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vertAlign w:val="subscript"/>
          <w:lang w:val="en-US" w:eastAsia="zh-CN"/>
        </w:rPr>
      </w:pPr>
      <w:r>
        <w:rPr>
          <w:rFonts w:hint="default" w:ascii="Times New Roman" w:hAnsi="Times New Roman" w:eastAsia="宋体" w:cs="Times New Roman"/>
          <w:color w:val="auto"/>
          <w:sz w:val="24"/>
          <w:highlight w:val="none"/>
          <w:u w:val="none"/>
          <w:lang w:val="en-US" w:eastAsia="zh-CN"/>
        </w:rPr>
        <w:t>本项目施工期产生一定的施工扬尘、施工机械尾气，营运期产生少量车辆尾气。确定本项目评价因子为：CO、NO</w:t>
      </w:r>
      <w:r>
        <w:rPr>
          <w:rFonts w:hint="default" w:ascii="Times New Roman" w:hAnsi="Times New Roman" w:eastAsia="宋体" w:cs="Times New Roman"/>
          <w:color w:val="auto"/>
          <w:sz w:val="24"/>
          <w:highlight w:val="none"/>
          <w:u w:val="none"/>
          <w:vertAlign w:val="subscript"/>
          <w:lang w:val="en-US" w:eastAsia="zh-CN"/>
        </w:rPr>
        <w:t>2</w:t>
      </w:r>
      <w:r>
        <w:rPr>
          <w:rFonts w:hint="default" w:ascii="Times New Roman" w:hAnsi="Times New Roman" w:eastAsia="宋体" w:cs="Times New Roman"/>
          <w:color w:val="auto"/>
          <w:sz w:val="24"/>
          <w:szCs w:val="24"/>
          <w:highlight w:val="none"/>
          <w:u w:val="none" w:color="auto"/>
        </w:rPr>
        <w:t>。</w:t>
      </w:r>
    </w:p>
    <w:p>
      <w:pPr>
        <w:keepNext/>
        <w:keepLines w:val="0"/>
        <w:pageBreakBefore w:val="0"/>
        <w:widowControl/>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zh-CN"/>
        </w:rPr>
      </w:pPr>
      <w:r>
        <w:rPr>
          <w:rFonts w:hint="default" w:ascii="Times New Roman" w:hAnsi="Times New Roman" w:eastAsia="宋体" w:cs="Times New Roman"/>
          <w:b/>
          <w:bCs w:val="0"/>
          <w:color w:val="auto"/>
          <w:sz w:val="21"/>
          <w:szCs w:val="21"/>
          <w:highlight w:val="none"/>
          <w:u w:val="none" w:color="auto"/>
          <w:lang w:val="zh-CN"/>
        </w:rPr>
        <w:t>表2.4-</w:t>
      </w:r>
      <w:r>
        <w:rPr>
          <w:rFonts w:hint="default" w:ascii="Times New Roman" w:hAnsi="Times New Roman" w:eastAsia="宋体" w:cs="Times New Roman"/>
          <w:b/>
          <w:bCs w:val="0"/>
          <w:color w:val="auto"/>
          <w:sz w:val="21"/>
          <w:szCs w:val="21"/>
          <w:highlight w:val="none"/>
          <w:u w:val="none" w:color="auto"/>
          <w:lang w:val="en-US" w:eastAsia="zh-CN"/>
        </w:rPr>
        <w:t>2</w:t>
      </w:r>
      <w:r>
        <w:rPr>
          <w:rFonts w:hint="default" w:ascii="Times New Roman" w:hAnsi="Times New Roman" w:eastAsia="宋体" w:cs="Times New Roman"/>
          <w:b/>
          <w:bCs w:val="0"/>
          <w:color w:val="auto"/>
          <w:sz w:val="21"/>
          <w:szCs w:val="21"/>
          <w:highlight w:val="none"/>
          <w:u w:val="none" w:color="auto"/>
          <w:lang w:val="zh-CN"/>
        </w:rPr>
        <w:t xml:space="preserve">  评价因子和评价标准表</w:t>
      </w:r>
    </w:p>
    <w:tbl>
      <w:tblPr>
        <w:tblStyle w:val="22"/>
        <w:tblW w:w="91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1"/>
        <w:gridCol w:w="1541"/>
        <w:gridCol w:w="2335"/>
        <w:gridCol w:w="32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1" w:type="dxa"/>
            <w:tcBorders>
              <w:top w:val="single" w:color="auto" w:sz="4" w:space="0"/>
              <w:left w:val="single" w:color="auto" w:sz="4" w:space="0"/>
              <w:bottom w:val="single" w:color="auto" w:sz="4" w:space="0"/>
              <w:right w:val="single" w:color="auto" w:sz="4" w:space="0"/>
            </w:tcBorders>
            <w:vAlign w:val="center"/>
          </w:tcPr>
          <w:p>
            <w:pPr>
              <w:pStyle w:val="5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评价因子</w:t>
            </w:r>
          </w:p>
        </w:tc>
        <w:tc>
          <w:tcPr>
            <w:tcW w:w="1541" w:type="dxa"/>
            <w:tcBorders>
              <w:top w:val="single" w:color="auto" w:sz="4" w:space="0"/>
              <w:left w:val="nil"/>
              <w:bottom w:val="single" w:color="auto" w:sz="4" w:space="0"/>
              <w:right w:val="single" w:color="auto" w:sz="4" w:space="0"/>
            </w:tcBorders>
            <w:vAlign w:val="center"/>
          </w:tcPr>
          <w:p>
            <w:pPr>
              <w:pStyle w:val="5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评价时段</w:t>
            </w:r>
          </w:p>
        </w:tc>
        <w:tc>
          <w:tcPr>
            <w:tcW w:w="2335" w:type="dxa"/>
            <w:tcBorders>
              <w:top w:val="single" w:color="auto" w:sz="4" w:space="0"/>
              <w:left w:val="nil"/>
              <w:bottom w:val="single" w:color="auto" w:sz="4" w:space="0"/>
              <w:right w:val="single" w:color="auto" w:sz="4" w:space="0"/>
            </w:tcBorders>
            <w:vAlign w:val="center"/>
          </w:tcPr>
          <w:p>
            <w:pPr>
              <w:pStyle w:val="5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标准值（</w:t>
            </w:r>
            <w:r>
              <w:rPr>
                <w:rFonts w:hint="eastAsia" w:ascii="Times New Roman" w:hAnsi="Times New Roman" w:eastAsia="宋体" w:cs="Times New Roman"/>
                <w:color w:val="auto"/>
                <w:highlight w:val="none"/>
                <w:u w:val="none" w:color="auto"/>
                <w:lang w:val="en-US" w:eastAsia="zh-CN"/>
              </w:rPr>
              <w:t>m</w:t>
            </w:r>
            <w:r>
              <w:rPr>
                <w:rFonts w:hint="default" w:ascii="Times New Roman" w:hAnsi="Times New Roman" w:eastAsia="宋体" w:cs="Times New Roman"/>
                <w:color w:val="auto"/>
                <w:highlight w:val="none"/>
                <w:u w:val="none" w:color="auto"/>
              </w:rPr>
              <w:t>g/m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w:t>
            </w:r>
          </w:p>
        </w:tc>
        <w:tc>
          <w:tcPr>
            <w:tcW w:w="3292" w:type="dxa"/>
            <w:tcBorders>
              <w:top w:val="single" w:color="auto" w:sz="4" w:space="0"/>
              <w:left w:val="nil"/>
              <w:bottom w:val="single" w:color="auto" w:sz="4" w:space="0"/>
              <w:right w:val="single" w:color="auto" w:sz="4" w:space="0"/>
            </w:tcBorders>
            <w:vAlign w:val="center"/>
          </w:tcPr>
          <w:p>
            <w:pPr>
              <w:pStyle w:val="5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1" w:type="dxa"/>
            <w:tcBorders>
              <w:top w:val="single" w:color="auto" w:sz="4" w:space="0"/>
              <w:left w:val="single" w:color="auto" w:sz="4" w:space="0"/>
              <w:right w:val="single" w:color="auto" w:sz="4" w:space="0"/>
            </w:tcBorders>
            <w:vAlign w:val="center"/>
          </w:tcPr>
          <w:p>
            <w:pPr>
              <w:pStyle w:val="53"/>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lang w:val="en-US" w:eastAsia="zh-CN"/>
              </w:rPr>
              <w:t>CO</w:t>
            </w:r>
          </w:p>
        </w:tc>
        <w:tc>
          <w:tcPr>
            <w:tcW w:w="1541" w:type="dxa"/>
            <w:tcBorders>
              <w:top w:val="single" w:color="auto" w:sz="4" w:space="0"/>
              <w:left w:val="nil"/>
              <w:bottom w:val="single" w:color="auto" w:sz="4" w:space="0"/>
              <w:right w:val="single" w:color="auto" w:sz="4" w:space="0"/>
            </w:tcBorders>
            <w:vAlign w:val="center"/>
          </w:tcPr>
          <w:p>
            <w:pPr>
              <w:pStyle w:val="53"/>
              <w:rPr>
                <w:rFonts w:hint="default" w:ascii="Times New Roman" w:hAnsi="Times New Roman" w:eastAsia="宋体" w:cs="Times New Roman"/>
                <w:color w:val="auto"/>
                <w:highlight w:val="none"/>
                <w:u w:val="none" w:color="auto"/>
              </w:rPr>
            </w:pPr>
            <w:r>
              <w:rPr>
                <w:rFonts w:hint="eastAsia" w:ascii="Times New Roman" w:hAnsi="Times New Roman" w:eastAsia="宋体" w:cs="Times New Roman"/>
                <w:color w:val="auto"/>
                <w:highlight w:val="none"/>
                <w:u w:val="none" w:color="auto"/>
                <w:lang w:val="en-US" w:eastAsia="zh-CN"/>
              </w:rPr>
              <w:t>1</w:t>
            </w:r>
            <w:r>
              <w:rPr>
                <w:rFonts w:hint="default" w:ascii="Times New Roman" w:hAnsi="Times New Roman" w:eastAsia="宋体" w:cs="Times New Roman"/>
                <w:color w:val="auto"/>
                <w:highlight w:val="none"/>
                <w:u w:val="none" w:color="auto"/>
              </w:rPr>
              <w:t>h平均</w:t>
            </w:r>
          </w:p>
        </w:tc>
        <w:tc>
          <w:tcPr>
            <w:tcW w:w="2335" w:type="dxa"/>
            <w:tcBorders>
              <w:top w:val="single" w:color="auto" w:sz="4" w:space="0"/>
              <w:left w:val="nil"/>
              <w:bottom w:val="single" w:color="auto" w:sz="4" w:space="0"/>
              <w:right w:val="single" w:color="auto" w:sz="4" w:space="0"/>
            </w:tcBorders>
            <w:vAlign w:val="center"/>
          </w:tcPr>
          <w:p>
            <w:pPr>
              <w:pStyle w:val="5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10</w:t>
            </w:r>
          </w:p>
        </w:tc>
        <w:tc>
          <w:tcPr>
            <w:tcW w:w="3292" w:type="dxa"/>
            <w:vMerge w:val="restart"/>
            <w:tcBorders>
              <w:top w:val="nil"/>
              <w:left w:val="nil"/>
              <w:right w:val="single" w:color="auto" w:sz="4" w:space="0"/>
            </w:tcBorders>
            <w:vAlign w:val="center"/>
          </w:tcPr>
          <w:p>
            <w:pPr>
              <w:pStyle w:val="5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《环境空气质量标准》</w:t>
            </w:r>
          </w:p>
          <w:p>
            <w:pPr>
              <w:pStyle w:val="5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（GB3095-2012）及2018年修改单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1" w:type="dxa"/>
            <w:tcBorders>
              <w:top w:val="single" w:color="auto" w:sz="4" w:space="0"/>
              <w:left w:val="single" w:color="auto" w:sz="4" w:space="0"/>
              <w:right w:val="single" w:color="auto" w:sz="4" w:space="0"/>
            </w:tcBorders>
            <w:vAlign w:val="center"/>
          </w:tcPr>
          <w:p>
            <w:pPr>
              <w:pStyle w:val="53"/>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lang w:val="en-US" w:eastAsia="zh-CN"/>
              </w:rPr>
              <w:t>NO</w:t>
            </w:r>
            <w:r>
              <w:rPr>
                <w:rFonts w:hint="default" w:ascii="Times New Roman" w:hAnsi="Times New Roman" w:eastAsia="宋体" w:cs="Times New Roman"/>
                <w:color w:val="auto"/>
                <w:sz w:val="21"/>
                <w:szCs w:val="21"/>
                <w:highlight w:val="none"/>
                <w:u w:val="none"/>
                <w:vertAlign w:val="subscript"/>
                <w:lang w:val="en-US" w:eastAsia="zh-CN"/>
              </w:rPr>
              <w:t>2</w:t>
            </w:r>
          </w:p>
        </w:tc>
        <w:tc>
          <w:tcPr>
            <w:tcW w:w="1541" w:type="dxa"/>
            <w:tcBorders>
              <w:top w:val="single" w:color="auto" w:sz="4" w:space="0"/>
              <w:left w:val="nil"/>
              <w:bottom w:val="single" w:color="auto" w:sz="4" w:space="0"/>
              <w:right w:val="single" w:color="auto" w:sz="4" w:space="0"/>
            </w:tcBorders>
            <w:vAlign w:val="center"/>
          </w:tcPr>
          <w:p>
            <w:pPr>
              <w:pStyle w:val="5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1h平均</w:t>
            </w:r>
          </w:p>
        </w:tc>
        <w:tc>
          <w:tcPr>
            <w:tcW w:w="2335" w:type="dxa"/>
            <w:tcBorders>
              <w:top w:val="single" w:color="auto" w:sz="4" w:space="0"/>
              <w:left w:val="nil"/>
              <w:bottom w:val="single" w:color="auto" w:sz="4" w:space="0"/>
              <w:right w:val="single" w:color="auto" w:sz="4" w:space="0"/>
            </w:tcBorders>
            <w:vAlign w:val="center"/>
          </w:tcPr>
          <w:p>
            <w:pPr>
              <w:pStyle w:val="53"/>
              <w:rPr>
                <w:rFonts w:hint="default" w:ascii="Times New Roman" w:hAnsi="Times New Roman" w:eastAsia="宋体" w:cs="Times New Roman"/>
                <w:color w:val="auto"/>
                <w:highlight w:val="none"/>
                <w:u w:val="none" w:color="auto"/>
                <w:lang w:val="en-US" w:eastAsia="zh-CN"/>
              </w:rPr>
            </w:pPr>
            <w:r>
              <w:rPr>
                <w:rFonts w:hint="eastAsia" w:ascii="Times New Roman" w:hAnsi="Times New Roman" w:eastAsia="宋体" w:cs="Times New Roman"/>
                <w:color w:val="auto"/>
                <w:highlight w:val="none"/>
                <w:u w:val="none" w:color="auto"/>
                <w:lang w:val="en-US" w:eastAsia="zh-CN"/>
              </w:rPr>
              <w:t>0.2</w:t>
            </w:r>
          </w:p>
        </w:tc>
        <w:tc>
          <w:tcPr>
            <w:tcW w:w="3292" w:type="dxa"/>
            <w:vMerge w:val="continue"/>
            <w:tcBorders>
              <w:left w:val="nil"/>
              <w:right w:val="single" w:color="auto" w:sz="4" w:space="0"/>
            </w:tcBorders>
            <w:vAlign w:val="center"/>
          </w:tcPr>
          <w:p>
            <w:pPr>
              <w:widowControl/>
              <w:rPr>
                <w:rFonts w:hint="default" w:ascii="Times New Roman" w:hAnsi="Times New Roman" w:eastAsia="宋体" w:cs="Times New Roman"/>
                <w:color w:val="auto"/>
                <w:kern w:val="28"/>
                <w:highlight w:val="none"/>
                <w:u w:val="none" w:color="auto"/>
              </w:rPr>
            </w:pPr>
          </w:p>
        </w:tc>
      </w:tr>
    </w:tbl>
    <w:p>
      <w:pPr>
        <w:spacing w:line="360" w:lineRule="auto"/>
        <w:ind w:firstLine="48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本项目采用《环境影响评价技术导则  大气环境》（HJ2.2-2018）中推荐的AERSCREEN估算模型进行估算。估算模型参数选择详见下表。</w:t>
      </w:r>
    </w:p>
    <w:p>
      <w:pPr>
        <w:keepNext/>
        <w:keepLines w:val="0"/>
        <w:pageBreakBefore w:val="0"/>
        <w:widowControl/>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zh-CN"/>
        </w:rPr>
      </w:pPr>
      <w:r>
        <w:rPr>
          <w:rFonts w:hint="default" w:ascii="Times New Roman" w:hAnsi="Times New Roman" w:eastAsia="宋体" w:cs="Times New Roman"/>
          <w:b/>
          <w:bCs w:val="0"/>
          <w:color w:val="auto"/>
          <w:sz w:val="21"/>
          <w:szCs w:val="21"/>
          <w:highlight w:val="none"/>
          <w:u w:val="none" w:color="auto"/>
          <w:lang w:val="zh-CN"/>
        </w:rPr>
        <w:t>表2.4-</w:t>
      </w:r>
      <w:r>
        <w:rPr>
          <w:rFonts w:hint="default" w:ascii="Times New Roman" w:hAnsi="Times New Roman" w:eastAsia="宋体" w:cs="Times New Roman"/>
          <w:b/>
          <w:bCs w:val="0"/>
          <w:color w:val="auto"/>
          <w:sz w:val="21"/>
          <w:szCs w:val="21"/>
          <w:highlight w:val="none"/>
          <w:u w:val="none" w:color="auto"/>
          <w:lang w:val="en-US" w:eastAsia="zh-CN"/>
        </w:rPr>
        <w:t>3</w:t>
      </w:r>
      <w:r>
        <w:rPr>
          <w:rFonts w:hint="default" w:ascii="Times New Roman" w:hAnsi="Times New Roman" w:eastAsia="宋体" w:cs="Times New Roman"/>
          <w:b/>
          <w:bCs w:val="0"/>
          <w:color w:val="auto"/>
          <w:sz w:val="21"/>
          <w:szCs w:val="21"/>
          <w:highlight w:val="none"/>
          <w:u w:val="none" w:color="auto"/>
          <w:lang w:val="zh-CN"/>
        </w:rPr>
        <w:t xml:space="preserve">  估算模型参数表</w:t>
      </w:r>
    </w:p>
    <w:tbl>
      <w:tblPr>
        <w:tblStyle w:val="22"/>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85"/>
        <w:gridCol w:w="3470"/>
        <w:gridCol w:w="1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0" w:type="pct"/>
            <w:gridSpan w:val="2"/>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参数</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04" w:type="pct"/>
            <w:vMerge w:val="restar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城市农村/选项</w:t>
            </w:r>
          </w:p>
        </w:tc>
        <w:tc>
          <w:tcPr>
            <w:tcW w:w="2036"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城市/农村</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04" w:type="pct"/>
            <w:vMerge w:val="continue"/>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2036"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人口数</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城市人口数</w:t>
            </w:r>
            <w:r>
              <w:rPr>
                <w:rFonts w:hint="default" w:ascii="Times New Roman" w:hAnsi="Times New Roman" w:eastAsia="宋体" w:cs="Times New Roman"/>
                <w:color w:val="auto"/>
                <w:sz w:val="21"/>
                <w:szCs w:val="21"/>
                <w:highlight w:val="none"/>
                <w:u w:val="none" w:color="auto"/>
                <w:lang w:eastAsia="zh-CN"/>
              </w:rPr>
              <w:t>）</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33万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0" w:type="pct"/>
            <w:gridSpan w:val="2"/>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最高环境温度</w:t>
            </w:r>
          </w:p>
        </w:tc>
        <w:tc>
          <w:tcPr>
            <w:tcW w:w="859" w:type="pct"/>
            <w:noWrap w:val="0"/>
            <w:vAlign w:val="center"/>
          </w:tcPr>
          <w:p>
            <w:pPr>
              <w:jc w:val="center"/>
              <w:rPr>
                <w:rFonts w:hint="default" w:ascii="Times New Roman" w:hAnsi="Times New Roman" w:eastAsia="宋体" w:cs="Times New Roman"/>
                <w:color w:val="auto"/>
                <w:sz w:val="21"/>
                <w:szCs w:val="21"/>
                <w:highlight w:val="none"/>
                <w:u w:val="none" w:color="auto"/>
              </w:rPr>
            </w:pPr>
            <w:r>
              <w:rPr>
                <w:rFonts w:hint="eastAsia" w:ascii="Times New Roman" w:hAnsi="Times New Roman" w:eastAsia="宋体" w:cs="Times New Roman"/>
                <w:color w:val="auto"/>
                <w:sz w:val="21"/>
                <w:szCs w:val="21"/>
                <w:highlight w:val="none"/>
                <w:u w:val="none" w:color="auto"/>
                <w:lang w:val="en-US" w:eastAsia="zh-CN"/>
              </w:rPr>
              <w:t>40</w:t>
            </w:r>
            <w:r>
              <w:rPr>
                <w:rFonts w:hint="default" w:ascii="Times New Roman" w:hAnsi="Times New Roman" w:eastAsia="宋体" w:cs="Times New Roman"/>
                <w:color w:val="auto"/>
                <w:sz w:val="21"/>
                <w:szCs w:val="21"/>
                <w:highlight w:val="none"/>
                <w:u w:val="none" w:color="auto"/>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0" w:type="pct"/>
            <w:gridSpan w:val="2"/>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最低环境温度</w:t>
            </w:r>
          </w:p>
        </w:tc>
        <w:tc>
          <w:tcPr>
            <w:tcW w:w="859" w:type="pct"/>
            <w:noWrap w:val="0"/>
            <w:vAlign w:val="center"/>
          </w:tcPr>
          <w:p>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r>
              <w:rPr>
                <w:rFonts w:hint="eastAsia" w:ascii="Times New Roman" w:hAnsi="Times New Roman" w:eastAsia="宋体" w:cs="Times New Roman"/>
                <w:color w:val="auto"/>
                <w:sz w:val="21"/>
                <w:szCs w:val="21"/>
                <w:highlight w:val="none"/>
                <w:u w:val="none" w:color="auto"/>
                <w:lang w:val="en-US" w:eastAsia="zh-CN"/>
              </w:rPr>
              <w:t>3</w:t>
            </w:r>
            <w:r>
              <w:rPr>
                <w:rFonts w:hint="default" w:ascii="Times New Roman" w:hAnsi="Times New Roman" w:eastAsia="宋体" w:cs="Times New Roman"/>
                <w:color w:val="auto"/>
                <w:sz w:val="21"/>
                <w:szCs w:val="21"/>
                <w:highlight w:val="none"/>
                <w:u w:val="none" w:color="auto"/>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0" w:type="pct"/>
            <w:gridSpan w:val="2"/>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土地利用类型</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0" w:type="pct"/>
            <w:gridSpan w:val="2"/>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区域湿度条件</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04" w:type="pct"/>
            <w:vMerge w:val="restar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是否考虑地形</w:t>
            </w:r>
          </w:p>
        </w:tc>
        <w:tc>
          <w:tcPr>
            <w:tcW w:w="2036"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考虑地形</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04" w:type="pct"/>
            <w:vMerge w:val="continue"/>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2036"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地形数据分辨率</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m</w:t>
            </w:r>
            <w:r>
              <w:rPr>
                <w:rFonts w:hint="default" w:ascii="Times New Roman" w:hAnsi="Times New Roman" w:eastAsia="宋体" w:cs="Times New Roman"/>
                <w:color w:val="auto"/>
                <w:sz w:val="21"/>
                <w:szCs w:val="21"/>
                <w:highlight w:val="none"/>
                <w:u w:val="none" w:color="auto"/>
                <w:lang w:eastAsia="zh-CN"/>
              </w:rPr>
              <w:t>）</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04" w:type="pct"/>
            <w:vMerge w:val="restar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是否考虑岸线熏烟</w:t>
            </w:r>
          </w:p>
        </w:tc>
        <w:tc>
          <w:tcPr>
            <w:tcW w:w="2036"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考虑岸线熏烟</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04" w:type="pct"/>
            <w:vMerge w:val="continue"/>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2036"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岸线距离/km</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04" w:type="pct"/>
            <w:vMerge w:val="continue"/>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2036"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岸线方向/o</w:t>
            </w:r>
          </w:p>
        </w:tc>
        <w:tc>
          <w:tcPr>
            <w:tcW w:w="859" w:type="pct"/>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r>
    </w:tbl>
    <w:p>
      <w:pPr>
        <w:spacing w:line="360" w:lineRule="auto"/>
        <w:ind w:firstLine="48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③污染源参数</w:t>
      </w:r>
    </w:p>
    <w:p>
      <w:pPr>
        <w:spacing w:line="360" w:lineRule="auto"/>
        <w:ind w:firstLine="48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主要废气污染源排放参数见下表：</w:t>
      </w:r>
    </w:p>
    <w:p>
      <w:pPr>
        <w:keepNext/>
        <w:keepLines w:val="0"/>
        <w:pageBreakBefore w:val="0"/>
        <w:widowControl/>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zh-CN"/>
        </w:rPr>
      </w:pPr>
      <w:r>
        <w:rPr>
          <w:rFonts w:hint="default" w:ascii="Times New Roman" w:hAnsi="Times New Roman" w:eastAsia="宋体" w:cs="Times New Roman"/>
          <w:b/>
          <w:bCs w:val="0"/>
          <w:color w:val="auto"/>
          <w:sz w:val="21"/>
          <w:szCs w:val="21"/>
          <w:highlight w:val="none"/>
          <w:u w:val="none" w:color="auto"/>
          <w:lang w:val="zh-CN"/>
        </w:rPr>
        <w:t>表2.4-</w:t>
      </w:r>
      <w:r>
        <w:rPr>
          <w:rFonts w:hint="default" w:ascii="Times New Roman" w:hAnsi="Times New Roman" w:eastAsia="宋体" w:cs="Times New Roman"/>
          <w:b/>
          <w:bCs w:val="0"/>
          <w:color w:val="auto"/>
          <w:sz w:val="21"/>
          <w:szCs w:val="21"/>
          <w:highlight w:val="none"/>
          <w:u w:val="none" w:color="auto"/>
          <w:lang w:val="en-US" w:eastAsia="zh-CN"/>
        </w:rPr>
        <w:t>4</w:t>
      </w:r>
      <w:r>
        <w:rPr>
          <w:rFonts w:hint="default" w:ascii="Times New Roman" w:hAnsi="Times New Roman" w:eastAsia="宋体" w:cs="Times New Roman"/>
          <w:b/>
          <w:bCs w:val="0"/>
          <w:color w:val="auto"/>
          <w:sz w:val="21"/>
          <w:szCs w:val="21"/>
          <w:highlight w:val="none"/>
          <w:u w:val="none" w:color="auto"/>
          <w:lang w:val="zh-CN"/>
        </w:rPr>
        <w:t xml:space="preserve">  主要废气污染源参数一览表（面源）</w:t>
      </w:r>
    </w:p>
    <w:tbl>
      <w:tblPr>
        <w:tblStyle w:val="22"/>
        <w:tblW w:w="8801"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807"/>
        <w:gridCol w:w="1031"/>
        <w:gridCol w:w="1153"/>
        <w:gridCol w:w="1530"/>
        <w:gridCol w:w="845"/>
        <w:gridCol w:w="143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07" w:type="dxa"/>
            <w:vMerge w:val="restart"/>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污染物名称</w:t>
            </w:r>
          </w:p>
        </w:tc>
        <w:tc>
          <w:tcPr>
            <w:tcW w:w="3714" w:type="dxa"/>
            <w:gridSpan w:val="3"/>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矩形面源</w:t>
            </w:r>
          </w:p>
        </w:tc>
        <w:tc>
          <w:tcPr>
            <w:tcW w:w="845" w:type="dxa"/>
            <w:vMerge w:val="restart"/>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因子</w:t>
            </w:r>
          </w:p>
        </w:tc>
        <w:tc>
          <w:tcPr>
            <w:tcW w:w="1435" w:type="dxa"/>
            <w:vMerge w:val="restart"/>
            <w:vAlign w:val="center"/>
          </w:tcPr>
          <w:p>
            <w:pPr>
              <w:pStyle w:val="53"/>
              <w:spacing w:line="240" w:lineRule="auto"/>
              <w:contextualSpacing/>
              <w:rPr>
                <w:rFonts w:hint="default" w:ascii="Times New Roman" w:hAnsi="Times New Roman" w:eastAsia="宋体" w:cs="Times New Roman"/>
                <w:color w:val="auto"/>
                <w:spacing w:val="-10"/>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污染物排放速率</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kg/h)</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07" w:type="dxa"/>
            <w:vMerge w:val="continue"/>
            <w:vAlign w:val="center"/>
          </w:tcPr>
          <w:p>
            <w:pPr>
              <w:widowControl/>
              <w:rPr>
                <w:rFonts w:hint="default" w:ascii="Times New Roman" w:hAnsi="Times New Roman" w:eastAsia="宋体" w:cs="Times New Roman"/>
                <w:color w:val="auto"/>
                <w:kern w:val="28"/>
                <w:sz w:val="21"/>
                <w:szCs w:val="21"/>
                <w:highlight w:val="none"/>
                <w:u w:val="none" w:color="auto"/>
              </w:rPr>
            </w:pPr>
          </w:p>
        </w:tc>
        <w:tc>
          <w:tcPr>
            <w:tcW w:w="1031" w:type="dxa"/>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长度</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m)</w:t>
            </w:r>
          </w:p>
        </w:tc>
        <w:tc>
          <w:tcPr>
            <w:tcW w:w="1153" w:type="dxa"/>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宽度</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m)</w:t>
            </w:r>
          </w:p>
        </w:tc>
        <w:tc>
          <w:tcPr>
            <w:tcW w:w="1530" w:type="dxa"/>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有效高度</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m)</w:t>
            </w:r>
          </w:p>
        </w:tc>
        <w:tc>
          <w:tcPr>
            <w:tcW w:w="845" w:type="dxa"/>
            <w:vMerge w:val="continue"/>
            <w:vAlign w:val="center"/>
          </w:tcPr>
          <w:p>
            <w:pPr>
              <w:widowControl/>
              <w:rPr>
                <w:rFonts w:hint="default" w:ascii="Times New Roman" w:hAnsi="Times New Roman" w:eastAsia="宋体" w:cs="Times New Roman"/>
                <w:color w:val="auto"/>
                <w:kern w:val="28"/>
                <w:sz w:val="21"/>
                <w:szCs w:val="21"/>
                <w:highlight w:val="none"/>
                <w:u w:val="none" w:color="auto"/>
              </w:rPr>
            </w:pPr>
          </w:p>
        </w:tc>
        <w:tc>
          <w:tcPr>
            <w:tcW w:w="1435" w:type="dxa"/>
            <w:vMerge w:val="continue"/>
            <w:vAlign w:val="center"/>
          </w:tcPr>
          <w:p>
            <w:pPr>
              <w:widowControl/>
              <w:rPr>
                <w:rFonts w:hint="default" w:ascii="Times New Roman" w:hAnsi="Times New Roman" w:eastAsia="宋体" w:cs="Times New Roman"/>
                <w:color w:val="auto"/>
                <w:spacing w:val="-1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07" w:type="dxa"/>
            <w:vMerge w:val="restart"/>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地下停车场</w:t>
            </w:r>
          </w:p>
        </w:tc>
        <w:tc>
          <w:tcPr>
            <w:tcW w:w="1031" w:type="dxa"/>
            <w:vMerge w:val="restart"/>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80</w:t>
            </w:r>
          </w:p>
        </w:tc>
        <w:tc>
          <w:tcPr>
            <w:tcW w:w="1153" w:type="dxa"/>
            <w:vMerge w:val="restart"/>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40</w:t>
            </w:r>
          </w:p>
        </w:tc>
        <w:tc>
          <w:tcPr>
            <w:tcW w:w="1530" w:type="dxa"/>
            <w:vMerge w:val="restart"/>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3.5</w:t>
            </w:r>
          </w:p>
        </w:tc>
        <w:tc>
          <w:tcPr>
            <w:tcW w:w="845" w:type="dxa"/>
            <w:vAlign w:val="center"/>
          </w:tcPr>
          <w:p>
            <w:pPr>
              <w:overflowPunct w:val="0"/>
              <w:adjustRightInd w:val="0"/>
              <w:snapToGrid w:val="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lang w:val="en-US" w:eastAsia="zh-CN"/>
              </w:rPr>
              <w:t>CO</w:t>
            </w:r>
          </w:p>
        </w:tc>
        <w:tc>
          <w:tcPr>
            <w:tcW w:w="1435" w:type="dxa"/>
            <w:vAlign w:val="center"/>
          </w:tcPr>
          <w:p>
            <w:pPr>
              <w:widowControl/>
              <w:autoSpaceDE/>
              <w:autoSpaceDN/>
              <w:adjustRightInd w:val="0"/>
              <w:snapToGrid w:val="0"/>
              <w:spacing w:line="360" w:lineRule="auto"/>
              <w:jc w:val="center"/>
              <w:textAlignment w:val="center"/>
              <w:rPr>
                <w:rFonts w:hint="default" w:ascii="Times New Roman" w:hAnsi="Times New Roman" w:eastAsia="宋体" w:cs="Times New Roman"/>
                <w:color w:val="auto"/>
                <w:spacing w:val="-10"/>
                <w:sz w:val="21"/>
                <w:szCs w:val="21"/>
                <w:highlight w:val="none"/>
                <w:u w:val="none" w:color="auto"/>
                <w:lang w:val="en-US" w:eastAsia="zh-CN"/>
              </w:rPr>
            </w:pPr>
            <w:r>
              <w:rPr>
                <w:rFonts w:hint="eastAsia" w:ascii="Times New Roman" w:hAnsi="Times New Roman" w:eastAsia="宋体" w:cs="Times New Roman"/>
                <w:color w:val="auto"/>
                <w:spacing w:val="-10"/>
                <w:sz w:val="21"/>
                <w:szCs w:val="21"/>
                <w:highlight w:val="none"/>
                <w:u w:val="none" w:color="auto"/>
                <w:lang w:val="en-US" w:eastAsia="zh-CN"/>
              </w:rPr>
              <w:t>0.022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07" w:type="dxa"/>
            <w:vMerge w:val="continue"/>
            <w:vAlign w:val="center"/>
          </w:tcPr>
          <w:p>
            <w:pPr>
              <w:widowControl/>
              <w:rPr>
                <w:rFonts w:hint="default" w:ascii="Times New Roman" w:hAnsi="Times New Roman" w:eastAsia="宋体" w:cs="Times New Roman"/>
                <w:color w:val="auto"/>
                <w:kern w:val="28"/>
                <w:sz w:val="21"/>
                <w:szCs w:val="21"/>
                <w:highlight w:val="none"/>
                <w:u w:val="none" w:color="auto"/>
              </w:rPr>
            </w:pPr>
          </w:p>
        </w:tc>
        <w:tc>
          <w:tcPr>
            <w:tcW w:w="1031" w:type="dxa"/>
            <w:vMerge w:val="continue"/>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p>
        </w:tc>
        <w:tc>
          <w:tcPr>
            <w:tcW w:w="1153" w:type="dxa"/>
            <w:vMerge w:val="continue"/>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p>
        </w:tc>
        <w:tc>
          <w:tcPr>
            <w:tcW w:w="1530" w:type="dxa"/>
            <w:vMerge w:val="continue"/>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p>
        </w:tc>
        <w:tc>
          <w:tcPr>
            <w:tcW w:w="845" w:type="dxa"/>
            <w:vAlign w:val="center"/>
          </w:tcPr>
          <w:p>
            <w:pPr>
              <w:overflowPunct w:val="0"/>
              <w:adjustRightInd w:val="0"/>
              <w:snapToGrid w:val="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lang w:val="en-US" w:eastAsia="zh-CN"/>
              </w:rPr>
              <w:t>NO</w:t>
            </w:r>
            <w:r>
              <w:rPr>
                <w:rFonts w:hint="default" w:ascii="Times New Roman" w:hAnsi="Times New Roman" w:eastAsia="宋体" w:cs="Times New Roman"/>
                <w:color w:val="auto"/>
                <w:sz w:val="21"/>
                <w:szCs w:val="21"/>
                <w:highlight w:val="none"/>
                <w:u w:val="none"/>
                <w:vertAlign w:val="subscript"/>
                <w:lang w:val="en-US" w:eastAsia="zh-CN"/>
              </w:rPr>
              <w:t>2</w:t>
            </w:r>
          </w:p>
        </w:tc>
        <w:tc>
          <w:tcPr>
            <w:tcW w:w="143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spacing w:val="-10"/>
                <w:sz w:val="21"/>
                <w:szCs w:val="21"/>
                <w:highlight w:val="none"/>
                <w:u w:val="none" w:color="auto"/>
                <w:lang w:val="en-US" w:eastAsia="zh-CN"/>
              </w:rPr>
            </w:pPr>
            <w:r>
              <w:rPr>
                <w:rFonts w:hint="eastAsia" w:ascii="Times New Roman" w:hAnsi="Times New Roman" w:eastAsia="宋体" w:cs="Times New Roman"/>
                <w:color w:val="auto"/>
                <w:spacing w:val="-10"/>
                <w:sz w:val="21"/>
                <w:szCs w:val="21"/>
                <w:highlight w:val="none"/>
                <w:u w:val="none" w:color="auto"/>
                <w:lang w:val="en-US" w:eastAsia="zh-CN"/>
              </w:rPr>
              <w:t>0.0015</w:t>
            </w:r>
          </w:p>
        </w:tc>
      </w:tr>
    </w:tbl>
    <w:p>
      <w:pPr>
        <w:spacing w:line="360" w:lineRule="auto"/>
        <w:ind w:firstLine="48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④估算模型计算结果</w:t>
      </w:r>
    </w:p>
    <w:p>
      <w:pPr>
        <w:spacing w:line="360" w:lineRule="auto"/>
        <w:ind w:firstLine="48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拟建项目估算模型计算结果详见下表。</w:t>
      </w:r>
    </w:p>
    <w:p>
      <w:pPr>
        <w:keepNext/>
        <w:keepLines w:val="0"/>
        <w:pageBreakBefore w:val="0"/>
        <w:widowControl/>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zh-CN"/>
        </w:rPr>
      </w:pPr>
      <w:r>
        <w:rPr>
          <w:rFonts w:hint="default" w:ascii="Times New Roman" w:hAnsi="Times New Roman" w:eastAsia="宋体" w:cs="Times New Roman"/>
          <w:b/>
          <w:bCs w:val="0"/>
          <w:color w:val="auto"/>
          <w:sz w:val="21"/>
          <w:szCs w:val="21"/>
          <w:highlight w:val="none"/>
          <w:u w:val="none" w:color="auto"/>
          <w:lang w:val="zh-CN"/>
        </w:rPr>
        <w:t>表2.4-</w:t>
      </w:r>
      <w:r>
        <w:rPr>
          <w:rFonts w:hint="eastAsia" w:ascii="Times New Roman" w:hAnsi="Times New Roman" w:eastAsia="宋体" w:cs="Times New Roman"/>
          <w:b/>
          <w:bCs w:val="0"/>
          <w:color w:val="auto"/>
          <w:sz w:val="21"/>
          <w:szCs w:val="21"/>
          <w:highlight w:val="none"/>
          <w:u w:val="none" w:color="auto"/>
          <w:lang w:val="en-US" w:eastAsia="zh-CN"/>
        </w:rPr>
        <w:t>5</w:t>
      </w:r>
      <w:r>
        <w:rPr>
          <w:rFonts w:hint="default" w:ascii="Times New Roman" w:hAnsi="Times New Roman" w:eastAsia="宋体" w:cs="Times New Roman"/>
          <w:b/>
          <w:bCs w:val="0"/>
          <w:color w:val="auto"/>
          <w:sz w:val="21"/>
          <w:szCs w:val="21"/>
          <w:highlight w:val="none"/>
          <w:u w:val="none" w:color="auto"/>
          <w:lang w:val="zh-CN"/>
        </w:rPr>
        <w:t xml:space="preserve">  大气环境影响评价工作等级计算结果表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78"/>
        <w:gridCol w:w="1254"/>
        <w:gridCol w:w="1252"/>
        <w:gridCol w:w="1670"/>
        <w:gridCol w:w="1237"/>
        <w:gridCol w:w="12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8" w:type="pct"/>
            <w:vAlign w:val="center"/>
          </w:tcPr>
          <w:p>
            <w:pPr>
              <w:adjustRightInd w:val="0"/>
              <w:snapToGrid w:val="0"/>
              <w:spacing w:line="360" w:lineRule="auto"/>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污染源名称</w:t>
            </w:r>
          </w:p>
        </w:tc>
        <w:tc>
          <w:tcPr>
            <w:tcW w:w="675" w:type="pct"/>
            <w:vAlign w:val="center"/>
          </w:tcPr>
          <w:p>
            <w:pPr>
              <w:adjustRightInd w:val="0"/>
              <w:snapToGrid w:val="0"/>
              <w:spacing w:line="360" w:lineRule="auto"/>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评价因子</w:t>
            </w:r>
          </w:p>
        </w:tc>
        <w:tc>
          <w:tcPr>
            <w:tcW w:w="674" w:type="pct"/>
            <w:vAlign w:val="center"/>
          </w:tcPr>
          <w:p>
            <w:pPr>
              <w:adjustRightInd w:val="0"/>
              <w:snapToGrid w:val="0"/>
              <w:spacing w:line="360" w:lineRule="auto"/>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评价标准</w:t>
            </w:r>
            <w:r>
              <w:rPr>
                <w:rFonts w:hint="default" w:ascii="Times New Roman" w:hAnsi="Times New Roman" w:eastAsia="宋体" w:cs="Times New Roman"/>
                <w:color w:val="auto"/>
                <w:sz w:val="21"/>
                <w:szCs w:val="21"/>
                <w:highlight w:val="none"/>
                <w:u w:val="none" w:color="auto"/>
                <w:lang w:eastAsia="zh-CN"/>
              </w:rPr>
              <w:t>（</w:t>
            </w:r>
            <w:r>
              <w:rPr>
                <w:rFonts w:hint="eastAsia" w:ascii="Times New Roman" w:hAnsi="Times New Roman" w:eastAsia="宋体" w:cs="Times New Roman"/>
                <w:color w:val="auto"/>
                <w:sz w:val="21"/>
                <w:szCs w:val="21"/>
                <w:highlight w:val="none"/>
                <w:u w:val="none" w:color="auto"/>
                <w:lang w:val="en-US" w:eastAsia="zh-CN"/>
              </w:rPr>
              <w:t>m</w:t>
            </w:r>
            <w:r>
              <w:rPr>
                <w:rFonts w:hint="default" w:ascii="Times New Roman" w:hAnsi="Times New Roman" w:eastAsia="宋体" w:cs="Times New Roman"/>
                <w:color w:val="auto"/>
                <w:sz w:val="21"/>
                <w:szCs w:val="21"/>
                <w:highlight w:val="none"/>
                <w:u w:val="none" w:color="auto"/>
              </w:rPr>
              <w:t>g/m³)</w:t>
            </w:r>
          </w:p>
        </w:tc>
        <w:tc>
          <w:tcPr>
            <w:tcW w:w="899" w:type="pct"/>
            <w:vAlign w:val="center"/>
          </w:tcPr>
          <w:p>
            <w:pPr>
              <w:jc w:val="center"/>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z w:val="21"/>
                <w:szCs w:val="21"/>
                <w:highlight w:val="none"/>
                <w:u w:val="none" w:color="auto"/>
              </w:rPr>
              <w:t>Cmax</w:t>
            </w:r>
          </w:p>
          <w:p>
            <w:pPr>
              <w:adjustRightInd w:val="0"/>
              <w:snapToGrid w:val="0"/>
              <w:spacing w:line="360" w:lineRule="auto"/>
              <w:jc w:val="center"/>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z w:val="21"/>
                <w:szCs w:val="21"/>
                <w:highlight w:val="none"/>
                <w:u w:val="none" w:color="auto"/>
              </w:rPr>
              <w:t>(</w:t>
            </w:r>
            <w:r>
              <w:rPr>
                <w:rFonts w:hint="eastAsia" w:ascii="Times New Roman" w:hAnsi="Times New Roman" w:eastAsia="宋体" w:cs="Times New Roman"/>
                <w:color w:val="auto"/>
                <w:sz w:val="21"/>
                <w:szCs w:val="21"/>
                <w:highlight w:val="none"/>
                <w:u w:val="none" w:color="auto"/>
                <w:lang w:val="en-US" w:eastAsia="zh-CN"/>
              </w:rPr>
              <w:t>m</w:t>
            </w:r>
            <w:r>
              <w:rPr>
                <w:rFonts w:hint="default" w:ascii="Times New Roman" w:hAnsi="Times New Roman" w:eastAsia="宋体" w:cs="Times New Roman"/>
                <w:b w:val="0"/>
                <w:bCs w:val="0"/>
                <w:color w:val="auto"/>
                <w:sz w:val="21"/>
                <w:szCs w:val="21"/>
                <w:highlight w:val="none"/>
                <w:u w:val="none" w:color="auto"/>
              </w:rPr>
              <w:t>g/m³)</w:t>
            </w:r>
          </w:p>
        </w:tc>
        <w:tc>
          <w:tcPr>
            <w:tcW w:w="666" w:type="pct"/>
            <w:vAlign w:val="center"/>
          </w:tcPr>
          <w:p>
            <w:pPr>
              <w:jc w:val="center"/>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z w:val="21"/>
                <w:szCs w:val="21"/>
                <w:highlight w:val="none"/>
                <w:u w:val="none" w:color="auto"/>
              </w:rPr>
              <w:t>Pmax</w:t>
            </w:r>
          </w:p>
          <w:p>
            <w:pPr>
              <w:adjustRightInd w:val="0"/>
              <w:snapToGrid w:val="0"/>
              <w:spacing w:line="360" w:lineRule="auto"/>
              <w:jc w:val="center"/>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z w:val="21"/>
                <w:szCs w:val="21"/>
                <w:highlight w:val="none"/>
                <w:u w:val="none" w:color="auto"/>
              </w:rPr>
              <w:t>(%)</w:t>
            </w:r>
          </w:p>
        </w:tc>
        <w:tc>
          <w:tcPr>
            <w:tcW w:w="695" w:type="pct"/>
            <w:vAlign w:val="center"/>
          </w:tcPr>
          <w:p>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D10%</w:t>
            </w:r>
          </w:p>
          <w:p>
            <w:pPr>
              <w:adjustRightInd w:val="0"/>
              <w:snapToGrid w:val="0"/>
              <w:spacing w:line="360" w:lineRule="auto"/>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8" w:type="pct"/>
            <w:vMerge w:val="restart"/>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地下停车场</w:t>
            </w:r>
          </w:p>
        </w:tc>
        <w:tc>
          <w:tcPr>
            <w:tcW w:w="1254" w:type="dxa"/>
            <w:vAlign w:val="center"/>
          </w:tcPr>
          <w:p>
            <w:pPr>
              <w:overflowPunct w:val="0"/>
              <w:adjustRightInd w:val="0"/>
              <w:snapToGrid w:val="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lang w:val="en-US" w:eastAsia="zh-CN"/>
              </w:rPr>
              <w:t>CO</w:t>
            </w:r>
          </w:p>
        </w:tc>
        <w:tc>
          <w:tcPr>
            <w:tcW w:w="1252" w:type="dxa"/>
            <w:vAlign w:val="center"/>
          </w:tcPr>
          <w:p>
            <w:pPr>
              <w:pStyle w:val="53"/>
              <w:ind w:firstLine="0" w:firstLineChars="0"/>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highlight w:val="none"/>
                <w:u w:val="none" w:color="auto"/>
              </w:rPr>
              <w:t>10</w:t>
            </w:r>
          </w:p>
        </w:tc>
        <w:tc>
          <w:tcPr>
            <w:tcW w:w="899" w:type="pct"/>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color="auto"/>
                <w:lang w:val="en-US" w:eastAsia="zh-CN"/>
              </w:rPr>
            </w:pPr>
            <w:r>
              <w:rPr>
                <w:rFonts w:hint="eastAsia" w:cs="Times New Roman"/>
                <w:b w:val="0"/>
                <w:bCs w:val="0"/>
                <w:color w:val="auto"/>
                <w:sz w:val="21"/>
                <w:szCs w:val="21"/>
                <w:highlight w:val="none"/>
                <w:u w:val="none" w:color="auto"/>
                <w:lang w:val="en-US" w:eastAsia="zh-CN"/>
              </w:rPr>
              <w:t>0.047</w:t>
            </w:r>
          </w:p>
        </w:tc>
        <w:tc>
          <w:tcPr>
            <w:tcW w:w="666" w:type="pct"/>
            <w:vAlign w:val="center"/>
          </w:tcPr>
          <w:p>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none"/>
                <w:u w:val="none" w:color="auto"/>
                <w:lang w:val="en-US" w:eastAsia="zh-CN"/>
              </w:rPr>
            </w:pPr>
            <w:r>
              <w:rPr>
                <w:rFonts w:hint="eastAsia" w:cs="Times New Roman"/>
                <w:b w:val="0"/>
                <w:bCs w:val="0"/>
                <w:color w:val="auto"/>
                <w:sz w:val="21"/>
                <w:szCs w:val="21"/>
                <w:highlight w:val="none"/>
                <w:u w:val="none" w:color="auto"/>
                <w:lang w:val="en-US" w:eastAsia="zh-CN"/>
              </w:rPr>
              <w:t>0.47</w:t>
            </w:r>
          </w:p>
        </w:tc>
        <w:tc>
          <w:tcPr>
            <w:tcW w:w="695" w:type="pct"/>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8" w:type="pct"/>
            <w:vMerge w:val="continue"/>
            <w:vAlign w:val="center"/>
          </w:tcPr>
          <w:p>
            <w:pPr>
              <w:widowControl/>
              <w:jc w:val="center"/>
              <w:rPr>
                <w:rFonts w:hint="default" w:ascii="Times New Roman" w:hAnsi="Times New Roman" w:eastAsia="宋体" w:cs="Times New Roman"/>
                <w:color w:val="auto"/>
                <w:kern w:val="28"/>
                <w:sz w:val="21"/>
                <w:szCs w:val="21"/>
                <w:highlight w:val="none"/>
                <w:u w:val="none" w:color="auto"/>
              </w:rPr>
            </w:pPr>
          </w:p>
        </w:tc>
        <w:tc>
          <w:tcPr>
            <w:tcW w:w="1254" w:type="dxa"/>
            <w:vAlign w:val="center"/>
          </w:tcPr>
          <w:p>
            <w:pPr>
              <w:overflowPunct w:val="0"/>
              <w:adjustRightInd w:val="0"/>
              <w:snapToGrid w:val="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lang w:val="en-US" w:eastAsia="zh-CN"/>
              </w:rPr>
              <w:t>NO</w:t>
            </w:r>
            <w:r>
              <w:rPr>
                <w:rFonts w:hint="default" w:ascii="Times New Roman" w:hAnsi="Times New Roman" w:eastAsia="宋体" w:cs="Times New Roman"/>
                <w:color w:val="auto"/>
                <w:sz w:val="21"/>
                <w:szCs w:val="21"/>
                <w:highlight w:val="none"/>
                <w:u w:val="none"/>
                <w:vertAlign w:val="subscript"/>
                <w:lang w:val="en-US" w:eastAsia="zh-CN"/>
              </w:rPr>
              <w:t>2</w:t>
            </w:r>
          </w:p>
        </w:tc>
        <w:tc>
          <w:tcPr>
            <w:tcW w:w="1252" w:type="dxa"/>
            <w:vAlign w:val="center"/>
          </w:tcPr>
          <w:p>
            <w:pPr>
              <w:pStyle w:val="53"/>
              <w:ind w:firstLine="0" w:firstLineChars="0"/>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highlight w:val="none"/>
                <w:u w:val="none" w:color="auto"/>
                <w:lang w:val="en-US" w:eastAsia="zh-CN"/>
              </w:rPr>
              <w:t>0.2</w:t>
            </w:r>
          </w:p>
        </w:tc>
        <w:tc>
          <w:tcPr>
            <w:tcW w:w="899" w:type="pct"/>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color="auto"/>
                <w:lang w:val="en-US" w:eastAsia="zh-CN"/>
              </w:rPr>
            </w:pPr>
            <w:r>
              <w:rPr>
                <w:rFonts w:hint="eastAsia" w:cs="Times New Roman"/>
                <w:b w:val="0"/>
                <w:bCs w:val="0"/>
                <w:color w:val="auto"/>
                <w:sz w:val="21"/>
                <w:szCs w:val="21"/>
                <w:highlight w:val="none"/>
                <w:u w:val="none" w:color="auto"/>
                <w:lang w:val="en-US" w:eastAsia="zh-CN"/>
              </w:rPr>
              <w:t>0.0011</w:t>
            </w:r>
          </w:p>
        </w:tc>
        <w:tc>
          <w:tcPr>
            <w:tcW w:w="666" w:type="pct"/>
            <w:vAlign w:val="center"/>
          </w:tcPr>
          <w:p>
            <w:pPr>
              <w:spacing w:beforeLines="0" w:afterLines="0"/>
              <w:jc w:val="center"/>
              <w:rPr>
                <w:rFonts w:hint="eastAsia" w:ascii="Times New Roman" w:hAnsi="Times New Roman" w:eastAsia="宋体" w:cs="Times New Roman"/>
                <w:b w:val="0"/>
                <w:bCs w:val="0"/>
                <w:color w:val="auto"/>
                <w:sz w:val="21"/>
                <w:szCs w:val="21"/>
                <w:highlight w:val="none"/>
                <w:u w:val="none" w:color="auto"/>
                <w:lang w:val="en-US" w:eastAsia="zh-CN"/>
              </w:rPr>
            </w:pPr>
            <w:r>
              <w:rPr>
                <w:rFonts w:hint="eastAsia" w:cs="Times New Roman"/>
                <w:b w:val="0"/>
                <w:bCs w:val="0"/>
                <w:color w:val="auto"/>
                <w:sz w:val="21"/>
                <w:szCs w:val="21"/>
                <w:highlight w:val="none"/>
                <w:u w:val="none" w:color="auto"/>
                <w:lang w:val="en-US" w:eastAsia="zh-CN"/>
              </w:rPr>
              <w:t>0.55</w:t>
            </w:r>
          </w:p>
        </w:tc>
        <w:tc>
          <w:tcPr>
            <w:tcW w:w="695" w:type="pct"/>
            <w:vAlign w:val="center"/>
          </w:tcPr>
          <w:p>
            <w:pPr>
              <w:pStyle w:val="53"/>
              <w:spacing w:line="240" w:lineRule="auto"/>
              <w:contextualSpacing/>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66</w:t>
            </w:r>
          </w:p>
        </w:tc>
      </w:tr>
    </w:tbl>
    <w:p>
      <w:pPr>
        <w:widowControl/>
        <w:adjustRightInd w:val="0"/>
        <w:snapToGrid w:val="0"/>
        <w:spacing w:line="360" w:lineRule="auto"/>
        <w:ind w:firstLine="504" w:firstLineChars="200"/>
        <w:jc w:val="both"/>
        <w:rPr>
          <w:rFonts w:hint="default" w:ascii="Times New Roman" w:hAnsi="Times New Roman" w:eastAsia="宋体" w:cs="Times New Roman"/>
          <w:color w:val="auto"/>
          <w:spacing w:val="6"/>
          <w:sz w:val="24"/>
          <w:szCs w:val="24"/>
          <w:highlight w:val="none"/>
          <w:u w:val="none" w:color="auto"/>
        </w:rPr>
      </w:pPr>
      <w:r>
        <w:rPr>
          <w:rFonts w:hint="default" w:ascii="Times New Roman" w:hAnsi="Times New Roman" w:eastAsia="宋体" w:cs="Times New Roman"/>
          <w:color w:val="auto"/>
          <w:spacing w:val="6"/>
          <w:sz w:val="24"/>
          <w:szCs w:val="24"/>
          <w:highlight w:val="none"/>
          <w:u w:val="none" w:color="auto"/>
        </w:rPr>
        <w:t>从上表的计算结果可知，根据《环境影响评价技术导则-大气环境》（HJ2.2-2018）的评价等级分析判定，本次环境空气影响评价工作等级为</w:t>
      </w:r>
      <w:r>
        <w:rPr>
          <w:rFonts w:hint="eastAsia" w:ascii="Times New Roman" w:hAnsi="Times New Roman" w:eastAsia="宋体" w:cs="Times New Roman"/>
          <w:color w:val="auto"/>
          <w:spacing w:val="6"/>
          <w:sz w:val="24"/>
          <w:szCs w:val="24"/>
          <w:highlight w:val="none"/>
          <w:u w:val="none" w:color="auto"/>
          <w:lang w:val="en-US" w:eastAsia="zh-CN"/>
        </w:rPr>
        <w:t>三</w:t>
      </w:r>
      <w:r>
        <w:rPr>
          <w:rFonts w:hint="default" w:ascii="Times New Roman" w:hAnsi="Times New Roman" w:eastAsia="宋体" w:cs="Times New Roman"/>
          <w:color w:val="auto"/>
          <w:spacing w:val="6"/>
          <w:sz w:val="24"/>
          <w:szCs w:val="24"/>
          <w:highlight w:val="none"/>
          <w:u w:val="none" w:color="auto"/>
        </w:rPr>
        <w:t>级。</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2.4.2地表水环境影响评价工作等级</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default" w:cs="Times New Roman"/>
          <w:color w:val="auto"/>
          <w:sz w:val="24"/>
          <w:szCs w:val="24"/>
          <w:highlight w:val="none"/>
          <w:u w:val="none"/>
          <w:lang w:val="en-US" w:eastAsia="zh-CN"/>
        </w:rPr>
        <w:t>本项目风光带整治工程涉及抛石护岸、岸坡整治、防洪堤加固等，其中抛石护岸扰动水体，抛石护岸工程量为3320m</w:t>
      </w:r>
      <w:r>
        <w:rPr>
          <w:rFonts w:hint="default" w:cs="Times New Roman"/>
          <w:color w:val="auto"/>
          <w:sz w:val="24"/>
          <w:szCs w:val="24"/>
          <w:highlight w:val="none"/>
          <w:u w:val="none"/>
          <w:vertAlign w:val="superscript"/>
          <w:lang w:val="en-US" w:eastAsia="zh-CN"/>
        </w:rPr>
        <w:t>3</w:t>
      </w:r>
      <w:r>
        <w:rPr>
          <w:rFonts w:hint="default"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本项目抛石护岸工程长度650m，高5m，宽度1m，施工期、营运期不涉及取水，不占用水域面积，</w:t>
      </w:r>
      <w:r>
        <w:rPr>
          <w:rFonts w:hint="default" w:ascii="Times New Roman" w:hAnsi="Times New Roman" w:cs="Times New Roman"/>
          <w:bCs/>
          <w:color w:val="auto"/>
          <w:sz w:val="24"/>
          <w:szCs w:val="24"/>
          <w:highlight w:val="none"/>
          <w:u w:val="none" w:color="auto"/>
          <w:lang w:val="en-US" w:eastAsia="zh-CN"/>
        </w:rPr>
        <w:t>工程</w:t>
      </w:r>
      <w:r>
        <w:rPr>
          <w:rFonts w:hint="eastAsia" w:cs="Times New Roman"/>
          <w:bCs/>
          <w:color w:val="auto"/>
          <w:sz w:val="24"/>
          <w:szCs w:val="24"/>
          <w:highlight w:val="none"/>
          <w:u w:val="none" w:color="auto"/>
          <w:lang w:val="en-US" w:eastAsia="zh-CN"/>
        </w:rPr>
        <w:t>不</w:t>
      </w:r>
      <w:r>
        <w:rPr>
          <w:rFonts w:hint="default" w:ascii="Times New Roman" w:hAnsi="Times New Roman" w:cs="Times New Roman"/>
          <w:bCs/>
          <w:color w:val="auto"/>
          <w:sz w:val="24"/>
          <w:szCs w:val="24"/>
          <w:highlight w:val="none"/>
          <w:u w:val="none" w:color="auto"/>
          <w:lang w:val="en-US" w:eastAsia="zh-CN"/>
        </w:rPr>
        <w:t>扰动水底</w:t>
      </w:r>
      <w:r>
        <w:rPr>
          <w:rFonts w:hint="eastAsia" w:cs="Times New Roman"/>
          <w:bCs/>
          <w:color w:val="auto"/>
          <w:sz w:val="24"/>
          <w:szCs w:val="24"/>
          <w:highlight w:val="none"/>
          <w:u w:val="none" w:color="auto"/>
          <w:lang w:val="en-US" w:eastAsia="zh-CN"/>
        </w:rPr>
        <w:t>，未对湘江水文情势造成影响。</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w:t>
      </w:r>
      <w:r>
        <w:rPr>
          <w:rFonts w:hint="eastAsia" w:cs="Times New Roman"/>
          <w:color w:val="auto"/>
          <w:sz w:val="24"/>
          <w:highlight w:val="none"/>
          <w:u w:val="none"/>
          <w:lang w:val="en-US" w:eastAsia="zh-CN"/>
        </w:rPr>
        <w:t>环境影响评价技术导则 地表水环境</w:t>
      </w:r>
      <w:r>
        <w:rPr>
          <w:rFonts w:hint="default" w:ascii="Times New Roman" w:hAnsi="Times New Roman" w:eastAsia="宋体" w:cs="Times New Roman"/>
          <w:color w:val="auto"/>
          <w:sz w:val="24"/>
          <w:highlight w:val="none"/>
          <w:u w:val="none"/>
          <w:lang w:val="en-US" w:eastAsia="zh-CN"/>
        </w:rPr>
        <w:t>》（HJ2.3-2018）的规定，地表水环境影响评价划分为水污染影响型、水文要素型以及两者兼有的复合型。水污染影响型评价等级按照影响类型、排放方式、排放量或影响情况、受纳水体环境质量现状、水环境保护目标等综合确定，具体判定依据见表2.4-</w:t>
      </w:r>
      <w:r>
        <w:rPr>
          <w:rFonts w:hint="eastAsia" w:cs="Times New Roman"/>
          <w:color w:val="auto"/>
          <w:sz w:val="24"/>
          <w:highlight w:val="none"/>
          <w:u w:val="none"/>
          <w:lang w:val="en-US" w:eastAsia="zh-CN"/>
        </w:rPr>
        <w:t>6</w:t>
      </w:r>
      <w:r>
        <w:rPr>
          <w:rFonts w:hint="default" w:ascii="Times New Roman" w:hAnsi="Times New Roman" w:eastAsia="宋体" w:cs="Times New Roman"/>
          <w:color w:val="auto"/>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color w:val="auto"/>
          <w:szCs w:val="24"/>
          <w:highlight w:val="none"/>
          <w:u w:val="none" w:color="auto"/>
        </w:rPr>
      </w:pPr>
      <w:r>
        <w:rPr>
          <w:rFonts w:ascii="Times New Roman" w:hAnsi="Times New Roman"/>
          <w:b/>
          <w:color w:val="auto"/>
          <w:szCs w:val="24"/>
          <w:highlight w:val="none"/>
          <w:u w:val="none" w:color="auto"/>
        </w:rPr>
        <w:t>表2.4-</w:t>
      </w:r>
      <w:r>
        <w:rPr>
          <w:rFonts w:hint="eastAsia"/>
          <w:b/>
          <w:color w:val="auto"/>
          <w:szCs w:val="24"/>
          <w:highlight w:val="none"/>
          <w:u w:val="none" w:color="auto"/>
          <w:lang w:val="en-US" w:eastAsia="zh-CN"/>
        </w:rPr>
        <w:t xml:space="preserve">6 </w:t>
      </w:r>
      <w:r>
        <w:rPr>
          <w:rFonts w:ascii="Times New Roman" w:hAnsi="Times New Roman"/>
          <w:b/>
          <w:color w:val="auto"/>
          <w:szCs w:val="24"/>
          <w:highlight w:val="none"/>
          <w:u w:val="none" w:color="auto"/>
        </w:rPr>
        <w:t>地表水环境评价等级判定表</w:t>
      </w:r>
    </w:p>
    <w:tbl>
      <w:tblPr>
        <w:tblStyle w:val="22"/>
        <w:tblW w:w="489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7"/>
        <w:gridCol w:w="1702"/>
        <w:gridCol w:w="57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7" w:type="pct"/>
            <w:vMerge w:val="restar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评价等级</w:t>
            </w:r>
          </w:p>
        </w:tc>
        <w:tc>
          <w:tcPr>
            <w:tcW w:w="4082" w:type="pct"/>
            <w:gridSpan w:val="2"/>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7" w:type="pct"/>
            <w:vMerge w:val="continue"/>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p>
        </w:tc>
        <w:tc>
          <w:tcPr>
            <w:tcW w:w="93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排放方式</w:t>
            </w:r>
          </w:p>
        </w:tc>
        <w:tc>
          <w:tcPr>
            <w:tcW w:w="314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废水排放量Q/（m</w:t>
            </w:r>
            <w:r>
              <w:rPr>
                <w:rFonts w:ascii="Times New Roman" w:hAnsi="Times New Roman"/>
                <w:bCs/>
                <w:color w:val="auto"/>
                <w:sz w:val="21"/>
                <w:szCs w:val="21"/>
                <w:highlight w:val="none"/>
                <w:u w:val="none" w:color="auto"/>
                <w:vertAlign w:val="superscript"/>
              </w:rPr>
              <w:t>3</w:t>
            </w:r>
            <w:r>
              <w:rPr>
                <w:rFonts w:ascii="Times New Roman" w:hAnsi="Times New Roman"/>
                <w:bCs/>
                <w:color w:val="auto"/>
                <w:sz w:val="21"/>
                <w:szCs w:val="21"/>
                <w:highlight w:val="none"/>
                <w:u w:val="none" w:color="auto"/>
              </w:rPr>
              <w:t>/d）；水污染物当量数W/（量纲一）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一级</w:t>
            </w:r>
          </w:p>
        </w:tc>
        <w:tc>
          <w:tcPr>
            <w:tcW w:w="93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直接排放</w:t>
            </w:r>
          </w:p>
        </w:tc>
        <w:tc>
          <w:tcPr>
            <w:tcW w:w="314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Q≥20000或W≥600000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二级</w:t>
            </w:r>
          </w:p>
        </w:tc>
        <w:tc>
          <w:tcPr>
            <w:tcW w:w="936" w:type="pct"/>
            <w:tcBorders>
              <w:tl2br w:val="nil"/>
              <w:tr2bl w:val="nil"/>
            </w:tcBorders>
            <w:vAlign w:val="center"/>
          </w:tcPr>
          <w:p>
            <w:pPr>
              <w:keepLines w:val="0"/>
              <w:pageBreakBefore w:val="0"/>
              <w:widowControl w:val="0"/>
              <w:tabs>
                <w:tab w:val="left" w:pos="1170"/>
              </w:tabs>
              <w:kinsoku/>
              <w:wordWrap/>
              <w:overflowPunct/>
              <w:topLinePunct w:val="0"/>
              <w:bidi w:val="0"/>
              <w:spacing w:line="320" w:lineRule="exact"/>
              <w:ind w:firstLine="0" w:firstLineChars="0"/>
              <w:jc w:val="center"/>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直接排放</w:t>
            </w:r>
          </w:p>
        </w:tc>
        <w:tc>
          <w:tcPr>
            <w:tcW w:w="314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三级A</w:t>
            </w:r>
          </w:p>
        </w:tc>
        <w:tc>
          <w:tcPr>
            <w:tcW w:w="93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直接排放</w:t>
            </w:r>
          </w:p>
        </w:tc>
        <w:tc>
          <w:tcPr>
            <w:tcW w:w="314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Q&lt;200且W&lt;6000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三级B</w:t>
            </w:r>
          </w:p>
        </w:tc>
        <w:tc>
          <w:tcPr>
            <w:tcW w:w="93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间接排放</w:t>
            </w:r>
          </w:p>
        </w:tc>
        <w:tc>
          <w:tcPr>
            <w:tcW w:w="314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w:t>
            </w:r>
          </w:p>
        </w:tc>
      </w:tr>
    </w:tbl>
    <w:p>
      <w:pPr>
        <w:snapToGrid w:val="0"/>
        <w:spacing w:line="360" w:lineRule="auto"/>
        <w:ind w:firstLine="489" w:firstLineChars="204"/>
        <w:rPr>
          <w:rFonts w:hint="default" w:cs="Times New Roman"/>
          <w:b w:val="0"/>
          <w:bCs/>
          <w:color w:val="auto"/>
          <w:sz w:val="24"/>
          <w:szCs w:val="24"/>
          <w:highlight w:val="none"/>
          <w:lang w:val="en-US" w:eastAsia="zh-CN"/>
        </w:rPr>
      </w:pPr>
      <w:r>
        <w:rPr>
          <w:rFonts w:hint="eastAsia"/>
          <w:b w:val="0"/>
          <w:bCs/>
          <w:color w:val="auto"/>
          <w:sz w:val="24"/>
          <w:szCs w:val="24"/>
          <w:highlight w:val="none"/>
          <w:u w:val="none" w:color="auto"/>
          <w:lang w:val="en-US" w:eastAsia="zh-CN"/>
        </w:rPr>
        <w:t>本项目营运期</w:t>
      </w:r>
      <w:r>
        <w:rPr>
          <w:rFonts w:hint="default" w:cs="Times New Roman"/>
          <w:b w:val="0"/>
          <w:bCs/>
          <w:color w:val="auto"/>
          <w:sz w:val="24"/>
          <w:szCs w:val="24"/>
          <w:highlight w:val="none"/>
          <w:lang w:val="en-US" w:eastAsia="zh-CN"/>
        </w:rPr>
        <w:t>生活污水产生量为106.54</w:t>
      </w:r>
      <w:r>
        <w:rPr>
          <w:rFonts w:hint="default" w:ascii="Times New Roman" w:hAnsi="Times New Roman" w:cs="Times New Roman"/>
          <w:b w:val="0"/>
          <w:bCs/>
          <w:color w:val="auto"/>
          <w:sz w:val="24"/>
          <w:szCs w:val="24"/>
          <w:highlight w:val="none"/>
          <w:u w:val="none"/>
        </w:rPr>
        <w:t>t/d</w:t>
      </w:r>
      <w:r>
        <w:rPr>
          <w:rFonts w:hint="default" w:ascii="Times New Roman" w:hAnsi="Times New Roman" w:cs="Times New Roman"/>
          <w:b w:val="0"/>
          <w:bCs/>
          <w:color w:val="auto"/>
          <w:sz w:val="24"/>
          <w:szCs w:val="24"/>
          <w:highlight w:val="none"/>
          <w:u w:val="none"/>
          <w:lang w:eastAsia="zh-CN"/>
        </w:rPr>
        <w:t>（</w:t>
      </w:r>
      <w:r>
        <w:rPr>
          <w:rFonts w:hint="default" w:cs="Times New Roman"/>
          <w:b w:val="0"/>
          <w:bCs/>
          <w:color w:val="auto"/>
          <w:sz w:val="24"/>
          <w:szCs w:val="24"/>
          <w:highlight w:val="none"/>
          <w:lang w:val="en-US" w:eastAsia="zh-CN"/>
        </w:rPr>
        <w:t>38887.1</w:t>
      </w:r>
      <w:r>
        <w:rPr>
          <w:rFonts w:hint="default" w:ascii="Times New Roman" w:hAnsi="Times New Roman" w:cs="Times New Roman"/>
          <w:b w:val="0"/>
          <w:bCs/>
          <w:color w:val="auto"/>
          <w:sz w:val="24"/>
          <w:szCs w:val="24"/>
          <w:highlight w:val="none"/>
          <w:u w:val="none"/>
        </w:rPr>
        <w:t>t/a</w:t>
      </w:r>
      <w:r>
        <w:rPr>
          <w:rFonts w:hint="default" w:ascii="Times New Roman" w:hAnsi="Times New Roman" w:cs="Times New Roman"/>
          <w:b w:val="0"/>
          <w:bCs/>
          <w:color w:val="auto"/>
          <w:sz w:val="24"/>
          <w:szCs w:val="24"/>
          <w:highlight w:val="none"/>
          <w:u w:val="none"/>
          <w:lang w:eastAsia="zh-CN"/>
        </w:rPr>
        <w:t>）</w:t>
      </w:r>
      <w:r>
        <w:rPr>
          <w:rFonts w:hint="eastAsia" w:cs="Times New Roman"/>
          <w:b w:val="0"/>
          <w:bCs/>
          <w:color w:val="auto"/>
          <w:sz w:val="24"/>
          <w:szCs w:val="24"/>
          <w:highlight w:val="none"/>
          <w:u w:val="none"/>
          <w:lang w:eastAsia="zh-CN"/>
        </w:rPr>
        <w:t>，</w:t>
      </w:r>
      <w:r>
        <w:rPr>
          <w:rFonts w:hint="default" w:cs="Times New Roman"/>
          <w:b w:val="0"/>
          <w:bCs/>
          <w:color w:val="auto"/>
          <w:sz w:val="24"/>
          <w:szCs w:val="24"/>
          <w:highlight w:val="none"/>
          <w:lang w:val="en-US" w:eastAsia="zh-CN"/>
        </w:rPr>
        <w:t>项目湘江东岸区域</w:t>
      </w:r>
      <w:r>
        <w:rPr>
          <w:rFonts w:hint="default" w:ascii="Times New Roman" w:hAnsi="Times New Roman" w:cs="Times New Roman"/>
          <w:b w:val="0"/>
          <w:bCs/>
          <w:color w:val="auto"/>
          <w:sz w:val="24"/>
          <w:szCs w:val="24"/>
          <w:highlight w:val="none"/>
        </w:rPr>
        <w:t>生活污水经</w:t>
      </w:r>
      <w:r>
        <w:rPr>
          <w:rFonts w:hint="default" w:ascii="Times New Roman" w:hAnsi="Times New Roman" w:cs="Times New Roman"/>
          <w:b w:val="0"/>
          <w:bCs/>
          <w:color w:val="auto"/>
          <w:sz w:val="24"/>
          <w:szCs w:val="24"/>
          <w:highlight w:val="none"/>
          <w:lang w:val="en-US" w:eastAsia="zh-CN"/>
        </w:rPr>
        <w:t>隔油池+</w:t>
      </w:r>
      <w:r>
        <w:rPr>
          <w:rFonts w:hint="default" w:ascii="Times New Roman" w:hAnsi="Times New Roman" w:cs="Times New Roman"/>
          <w:b w:val="0"/>
          <w:bCs/>
          <w:color w:val="auto"/>
          <w:sz w:val="24"/>
          <w:szCs w:val="24"/>
          <w:highlight w:val="none"/>
        </w:rPr>
        <w:t>化粪池预处理后达到《污水综合排放标准》（GB8978-1996）表中三级标准后</w:t>
      </w:r>
      <w:r>
        <w:rPr>
          <w:rFonts w:hint="default" w:cs="Times New Roman"/>
          <w:b w:val="0"/>
          <w:bCs/>
          <w:color w:val="auto"/>
          <w:sz w:val="24"/>
          <w:szCs w:val="24"/>
          <w:highlight w:val="none"/>
          <w:lang w:val="en-US" w:eastAsia="zh-CN"/>
        </w:rPr>
        <w:t>排入市政管网</w:t>
      </w:r>
      <w:r>
        <w:rPr>
          <w:rFonts w:hint="default" w:ascii="Times New Roman" w:hAnsi="Times New Roman" w:cs="Times New Roman"/>
          <w:b w:val="0"/>
          <w:bCs/>
          <w:color w:val="auto"/>
          <w:sz w:val="24"/>
          <w:szCs w:val="24"/>
          <w:highlight w:val="none"/>
        </w:rPr>
        <w:t>进入</w:t>
      </w:r>
      <w:r>
        <w:rPr>
          <w:rFonts w:hint="default" w:ascii="Times New Roman" w:hAnsi="Times New Roman" w:cs="Times New Roman"/>
          <w:b w:val="0"/>
          <w:bCs/>
          <w:color w:val="auto"/>
          <w:sz w:val="24"/>
          <w:szCs w:val="24"/>
          <w:highlight w:val="none"/>
          <w:lang w:val="en-US" w:eastAsia="zh-CN"/>
        </w:rPr>
        <w:t>江东</w:t>
      </w:r>
      <w:r>
        <w:rPr>
          <w:rFonts w:hint="default" w:ascii="Times New Roman" w:hAnsi="Times New Roman" w:cs="Times New Roman"/>
          <w:b w:val="0"/>
          <w:bCs/>
          <w:color w:val="auto"/>
          <w:sz w:val="24"/>
          <w:szCs w:val="24"/>
          <w:highlight w:val="none"/>
        </w:rPr>
        <w:t>污水处理厂进行深度处理。</w:t>
      </w:r>
      <w:r>
        <w:rPr>
          <w:rFonts w:hint="default" w:ascii="Times New Roman" w:hAnsi="Times New Roman" w:cs="Times New Roman"/>
          <w:b w:val="0"/>
          <w:bCs/>
          <w:color w:val="auto"/>
          <w:sz w:val="24"/>
          <w:szCs w:val="24"/>
          <w:highlight w:val="none"/>
          <w:lang w:val="en-US" w:eastAsia="zh-CN"/>
        </w:rPr>
        <w:t>东洲岛内生活污水</w:t>
      </w:r>
      <w:r>
        <w:rPr>
          <w:rFonts w:hint="default" w:ascii="Times New Roman" w:hAnsi="Times New Roman" w:cs="Times New Roman"/>
          <w:b w:val="0"/>
          <w:bCs/>
          <w:color w:val="auto"/>
          <w:sz w:val="24"/>
          <w:szCs w:val="24"/>
          <w:highlight w:val="none"/>
        </w:rPr>
        <w:t>依托东洲岛现有已建污水处理设施（地下式污水处理站+无动力地埋分散式厌氧净化处理系统）处理后达到《污水综合排放标准》（GB8978-1996）一级标准要求，回用于岛上绿化不外排</w:t>
      </w:r>
      <w:r>
        <w:rPr>
          <w:rFonts w:hint="eastAsia" w:cs="Times New Roman"/>
          <w:b w:val="0"/>
          <w:bCs/>
          <w:color w:val="auto"/>
          <w:sz w:val="24"/>
          <w:szCs w:val="24"/>
          <w:highlight w:val="none"/>
          <w:lang w:eastAsia="zh-CN"/>
        </w:rPr>
        <w:t>。</w:t>
      </w:r>
      <w:r>
        <w:rPr>
          <w:rFonts w:hint="eastAsia" w:cs="Times New Roman"/>
          <w:b w:val="0"/>
          <w:bCs/>
          <w:color w:val="auto"/>
          <w:sz w:val="24"/>
          <w:szCs w:val="24"/>
          <w:highlight w:val="none"/>
          <w:lang w:val="en-US" w:eastAsia="zh-CN"/>
        </w:rPr>
        <w:t>属于间接排放，评价等级为三级B。</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2.4.3地下水环境影响评价工作等级</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w:t>
      </w:r>
      <w:r>
        <w:rPr>
          <w:rFonts w:hint="eastAsia" w:cs="Times New Roman"/>
          <w:color w:val="auto"/>
          <w:sz w:val="24"/>
          <w:highlight w:val="none"/>
          <w:u w:val="none"/>
          <w:lang w:val="en-US" w:eastAsia="zh-CN"/>
        </w:rPr>
        <w:t>环境影响评价技术导则 地下水环境</w:t>
      </w:r>
      <w:r>
        <w:rPr>
          <w:rFonts w:hint="default" w:ascii="Times New Roman" w:hAnsi="Times New Roman" w:eastAsia="宋体" w:cs="Times New Roman"/>
          <w:color w:val="auto"/>
          <w:sz w:val="24"/>
          <w:highlight w:val="none"/>
          <w:u w:val="none"/>
          <w:lang w:val="en-US" w:eastAsia="zh-CN"/>
        </w:rPr>
        <w:t>》（HJ</w:t>
      </w:r>
      <w:r>
        <w:rPr>
          <w:rFonts w:hint="default" w:cs="Times New Roman"/>
          <w:color w:val="auto"/>
          <w:sz w:val="24"/>
          <w:highlight w:val="none"/>
          <w:u w:val="none"/>
          <w:lang w:val="en-US" w:eastAsia="zh-CN"/>
        </w:rPr>
        <w:t>610-2016</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，本项目为河湖整治工程，涉及环境敏感区，根据附录A-地下水环境影响评价行业分类表，项目属于</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A水利</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中</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5、河湖整治工程-涉及环境敏感区的</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，此类报告书地下水环境影响评价类别为</w:t>
      </w:r>
      <w:r>
        <w:rPr>
          <w:rFonts w:hint="default" w:ascii="Times New Roman" w:hAnsi="Times New Roman" w:cs="Times New Roman"/>
          <w:color w:val="auto"/>
          <w:sz w:val="24"/>
          <w:highlight w:val="none"/>
          <w:u w:val="none"/>
          <w:lang w:val="en-US" w:eastAsia="zh-CN"/>
        </w:rPr>
        <w:t>Ⅲ</w:t>
      </w:r>
      <w:r>
        <w:rPr>
          <w:rFonts w:hint="default" w:cs="Times New Roman"/>
          <w:color w:val="auto"/>
          <w:sz w:val="24"/>
          <w:highlight w:val="none"/>
          <w:u w:val="none"/>
          <w:lang w:val="en-US" w:eastAsia="zh-CN"/>
        </w:rPr>
        <w:t>类。本项目周边居民生活用水来自当地自来水供水系统供水，无分散式地下水饮用水井供水，周边无地下水集中式饮用水水源且无特殊地下水资源（如热水、矿泉水、温泉等），故本项目所在区域地下水环境敏感程度为不敏感。因此，确定本项目地下水环境影响评价等级为三级</w:t>
      </w:r>
      <w:r>
        <w:rPr>
          <w:rFonts w:hint="default" w:ascii="Times New Roman" w:hAnsi="Times New Roman" w:eastAsia="宋体" w:cs="Times New Roman"/>
          <w:color w:val="auto"/>
          <w:sz w:val="24"/>
          <w:highlight w:val="none"/>
          <w:u w:val="none"/>
          <w:lang w:val="en-US"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2.4.4土壤环境影响评价工作等级</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w:t>
      </w:r>
      <w:r>
        <w:rPr>
          <w:rFonts w:hint="eastAsia" w:cs="Times New Roman"/>
          <w:color w:val="auto"/>
          <w:sz w:val="24"/>
          <w:highlight w:val="none"/>
          <w:u w:val="none"/>
          <w:lang w:val="en-US" w:eastAsia="zh-CN"/>
        </w:rPr>
        <w:t>环境影响评价技术导则 土壤环境（试行）</w:t>
      </w:r>
      <w:r>
        <w:rPr>
          <w:rFonts w:hint="default" w:ascii="Times New Roman" w:hAnsi="Times New Roman" w:eastAsia="宋体" w:cs="Times New Roman"/>
          <w:color w:val="auto"/>
          <w:sz w:val="24"/>
          <w:highlight w:val="none"/>
          <w:u w:val="none"/>
          <w:lang w:val="en-US" w:eastAsia="zh-CN"/>
        </w:rPr>
        <w:t>》（HJ</w:t>
      </w:r>
      <w:r>
        <w:rPr>
          <w:rFonts w:hint="default" w:cs="Times New Roman"/>
          <w:color w:val="auto"/>
          <w:sz w:val="24"/>
          <w:highlight w:val="none"/>
          <w:u w:val="none"/>
          <w:lang w:val="en-US" w:eastAsia="zh-CN"/>
        </w:rPr>
        <w:t>964-2018</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附录A，本项目属于</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水利</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项目中的</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其他</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，土壤环境影响评价类别为</w:t>
      </w:r>
      <w:r>
        <w:rPr>
          <w:rFonts w:hint="default" w:ascii="Times New Roman" w:hAnsi="Times New Roman" w:cs="Times New Roman"/>
          <w:color w:val="auto"/>
          <w:sz w:val="24"/>
          <w:highlight w:val="none"/>
          <w:u w:val="none"/>
          <w:lang w:val="en-US" w:eastAsia="zh-CN"/>
        </w:rPr>
        <w:t>Ⅲ</w:t>
      </w:r>
      <w:r>
        <w:rPr>
          <w:rFonts w:hint="default" w:cs="Times New Roman"/>
          <w:color w:val="auto"/>
          <w:sz w:val="24"/>
          <w:highlight w:val="none"/>
          <w:u w:val="none"/>
          <w:lang w:val="en-US" w:eastAsia="zh-CN"/>
        </w:rPr>
        <w:t>类。</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cs="Times New Roman"/>
          <w:color w:val="auto"/>
          <w:sz w:val="24"/>
          <w:highlight w:val="none"/>
          <w:u w:val="none"/>
          <w:lang w:val="en-US" w:eastAsia="zh-CN"/>
        </w:rPr>
        <w:t>根据生态影响型敏感程度分级表，本项目土壤环境生态影响型敏感程度分级判定为</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不敏感</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。根据生态影响型评价工作等级划分表，判定本项目土壤环境等级低于三级，可不开展土壤环境影响评价工作。</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2.4.5声环境影响评价工作等级</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建设项目所处的声环境功能区为GB3096规定的2类地区，建设项目建设前后评价范围内敏感目标噪声</w:t>
      </w:r>
      <w:r>
        <w:rPr>
          <w:rFonts w:hint="default" w:cs="Times New Roman"/>
          <w:color w:val="auto"/>
          <w:sz w:val="24"/>
          <w:highlight w:val="none"/>
          <w:u w:val="none"/>
          <w:lang w:val="en-US" w:eastAsia="zh-CN"/>
        </w:rPr>
        <w:t>级</w:t>
      </w:r>
      <w:r>
        <w:rPr>
          <w:rFonts w:hint="default" w:ascii="Times New Roman" w:hAnsi="Times New Roman" w:eastAsia="宋体" w:cs="Times New Roman"/>
          <w:color w:val="auto"/>
          <w:sz w:val="24"/>
          <w:highlight w:val="none"/>
          <w:u w:val="none"/>
          <w:lang w:val="en-US" w:eastAsia="zh-CN"/>
        </w:rPr>
        <w:t>增量</w:t>
      </w:r>
      <w:r>
        <w:rPr>
          <w:rFonts w:hint="default" w:cs="Times New Roman"/>
          <w:color w:val="auto"/>
          <w:sz w:val="24"/>
          <w:highlight w:val="none"/>
          <w:u w:val="none"/>
          <w:lang w:val="en-US" w:eastAsia="zh-CN"/>
        </w:rPr>
        <w:t>小于</w:t>
      </w:r>
      <w:r>
        <w:rPr>
          <w:rFonts w:hint="default" w:ascii="Times New Roman" w:hAnsi="Times New Roman" w:eastAsia="宋体" w:cs="Times New Roman"/>
          <w:color w:val="auto"/>
          <w:sz w:val="24"/>
          <w:highlight w:val="none"/>
          <w:u w:val="none"/>
          <w:lang w:val="en-US" w:eastAsia="zh-CN"/>
        </w:rPr>
        <w:t>3dB(A)，</w:t>
      </w:r>
      <w:r>
        <w:rPr>
          <w:rFonts w:hint="default" w:cs="Times New Roman"/>
          <w:color w:val="auto"/>
          <w:sz w:val="24"/>
          <w:highlight w:val="none"/>
          <w:u w:val="none"/>
          <w:lang w:val="en-US" w:eastAsia="zh-CN"/>
        </w:rPr>
        <w:t>依据</w:t>
      </w:r>
      <w:r>
        <w:rPr>
          <w:rFonts w:hint="default"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环境影响评价技术导则 声环境</w:t>
      </w:r>
      <w:r>
        <w:rPr>
          <w:rFonts w:hint="default" w:ascii="Times New Roman" w:hAnsi="Times New Roman" w:eastAsia="宋体" w:cs="Times New Roman"/>
          <w:color w:val="auto"/>
          <w:sz w:val="24"/>
          <w:highlight w:val="none"/>
          <w:u w:val="none"/>
          <w:lang w:val="en-US" w:eastAsia="zh-CN"/>
        </w:rPr>
        <w:t>》（HJ2.4-20</w:t>
      </w:r>
      <w:r>
        <w:rPr>
          <w:rFonts w:hint="default" w:cs="Times New Roman"/>
          <w:color w:val="auto"/>
          <w:sz w:val="24"/>
          <w:highlight w:val="none"/>
          <w:u w:val="none"/>
          <w:lang w:val="en-US" w:eastAsia="zh-CN"/>
        </w:rPr>
        <w:t>21</w:t>
      </w:r>
      <w:r>
        <w:rPr>
          <w:rFonts w:hint="default" w:ascii="Times New Roman" w:hAnsi="Times New Roman" w:eastAsia="宋体" w:cs="Times New Roman"/>
          <w:color w:val="auto"/>
          <w:sz w:val="24"/>
          <w:highlight w:val="none"/>
          <w:u w:val="none"/>
          <w:lang w:val="en-US" w:eastAsia="zh-CN"/>
        </w:rPr>
        <w:t>）的评价分级原则，声环境影响评价等级定为二级。</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考虑本项目噪声影响主要为施工期，施工期时间较短，施工期的噪声影响是暂时的，且影响时间较短，随着施工结束，影响立即消失。因此，综合考虑，本项目声环境评价内容主要为施工场界噪声达标分析和施工噪声对环境敏感目标的影响分析，并提出减轻环境影响的有效措施。</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2.4.6生态环境影响评价工作等级</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根据《环境影响评价技术导则 生态影响》（HJ 19-2022）判定生态环境评价等级。根据6.1.4</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建设项目同时涉及陆生、水生生态影响时，可针对陆生生态、水生生态分别判定评价等级</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。因此可将衡阳市</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美丽湘江</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项目陆生生态和水生生态评价分别定级。</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color w:val="auto"/>
          <w:szCs w:val="24"/>
          <w:highlight w:val="none"/>
          <w:u w:val="none" w:color="auto"/>
        </w:rPr>
      </w:pPr>
      <w:r>
        <w:rPr>
          <w:rFonts w:ascii="Times New Roman" w:hAnsi="Times New Roman"/>
          <w:b/>
          <w:color w:val="auto"/>
          <w:szCs w:val="24"/>
          <w:highlight w:val="none"/>
          <w:u w:val="none" w:color="auto"/>
        </w:rPr>
        <w:t>表2.4-</w:t>
      </w:r>
      <w:r>
        <w:rPr>
          <w:rFonts w:hint="eastAsia"/>
          <w:b/>
          <w:color w:val="auto"/>
          <w:szCs w:val="24"/>
          <w:highlight w:val="none"/>
          <w:u w:val="none" w:color="auto"/>
          <w:lang w:val="en-US" w:eastAsia="zh-CN"/>
        </w:rPr>
        <w:t xml:space="preserve">7 </w:t>
      </w:r>
      <w:r>
        <w:rPr>
          <w:rFonts w:hint="default"/>
          <w:b/>
          <w:color w:val="auto"/>
          <w:szCs w:val="24"/>
          <w:highlight w:val="none"/>
          <w:u w:val="none" w:color="auto"/>
          <w:lang w:val="en-US" w:eastAsia="zh-CN"/>
        </w:rPr>
        <w:t>生态环境影响评价工作</w:t>
      </w:r>
      <w:r>
        <w:rPr>
          <w:rFonts w:ascii="Times New Roman" w:hAnsi="Times New Roman"/>
          <w:b/>
          <w:color w:val="auto"/>
          <w:szCs w:val="24"/>
          <w:highlight w:val="none"/>
          <w:u w:val="none" w:color="auto"/>
        </w:rPr>
        <w:t>等级判定表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2430"/>
        <w:gridCol w:w="1220"/>
        <w:gridCol w:w="2389"/>
        <w:gridCol w:w="1289"/>
        <w:gridCol w:w="12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358" w:type="pct"/>
            <w:vMerge w:val="restar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序号</w:t>
            </w:r>
          </w:p>
        </w:tc>
        <w:tc>
          <w:tcPr>
            <w:tcW w:w="1308" w:type="pct"/>
            <w:vMerge w:val="restar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判定依据</w:t>
            </w:r>
          </w:p>
        </w:tc>
        <w:tc>
          <w:tcPr>
            <w:tcW w:w="657" w:type="pct"/>
            <w:vMerge w:val="restar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评价等级</w:t>
            </w:r>
          </w:p>
        </w:tc>
        <w:tc>
          <w:tcPr>
            <w:tcW w:w="1286" w:type="pct"/>
            <w:vMerge w:val="restar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本项目</w:t>
            </w:r>
          </w:p>
        </w:tc>
        <w:tc>
          <w:tcPr>
            <w:tcW w:w="1388" w:type="pct"/>
            <w:gridSpan w:val="2"/>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本项目评价等级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358" w:type="pct"/>
            <w:vMerge w:val="continue"/>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1308" w:type="pct"/>
            <w:vMerge w:val="continue"/>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p>
        </w:tc>
        <w:tc>
          <w:tcPr>
            <w:tcW w:w="657" w:type="pct"/>
            <w:vMerge w:val="continue"/>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1286" w:type="pct"/>
            <w:vMerge w:val="continue"/>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陆生</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a</w:t>
            </w:r>
          </w:p>
        </w:tc>
        <w:tc>
          <w:tcPr>
            <w:tcW w:w="130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涉及国家公园、自然保护区、世界自然遗产、重要生境</w:t>
            </w:r>
          </w:p>
        </w:tc>
        <w:tc>
          <w:tcPr>
            <w:tcW w:w="65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一级</w:t>
            </w:r>
          </w:p>
        </w:tc>
        <w:tc>
          <w:tcPr>
            <w:tcW w:w="12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涉及湘江衡阳段四大家鱼国家级水产种质资源保护区核心区</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b</w:t>
            </w:r>
          </w:p>
        </w:tc>
        <w:tc>
          <w:tcPr>
            <w:tcW w:w="130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涉及自然公园</w:t>
            </w:r>
          </w:p>
        </w:tc>
        <w:tc>
          <w:tcPr>
            <w:tcW w:w="65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二级</w:t>
            </w:r>
          </w:p>
        </w:tc>
        <w:tc>
          <w:tcPr>
            <w:tcW w:w="12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不涉及</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c</w:t>
            </w:r>
          </w:p>
        </w:tc>
        <w:tc>
          <w:tcPr>
            <w:tcW w:w="130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涉及生态保护红线</w:t>
            </w:r>
          </w:p>
        </w:tc>
        <w:tc>
          <w:tcPr>
            <w:tcW w:w="65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不低于二级</w:t>
            </w:r>
          </w:p>
        </w:tc>
        <w:tc>
          <w:tcPr>
            <w:tcW w:w="12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bCs/>
                <w:color w:val="auto"/>
                <w:sz w:val="21"/>
                <w:szCs w:val="21"/>
                <w:highlight w:val="none"/>
                <w:u w:val="none" w:color="auto"/>
                <w:lang w:val="en-US"/>
              </w:rPr>
            </w:pPr>
            <w:r>
              <w:rPr>
                <w:rFonts w:hint="default"/>
                <w:bCs/>
                <w:color w:val="auto"/>
                <w:sz w:val="21"/>
                <w:szCs w:val="21"/>
                <w:highlight w:val="none"/>
                <w:u w:val="none" w:color="auto"/>
                <w:lang w:val="en-US" w:eastAsia="zh-CN"/>
              </w:rPr>
              <w:t>不涉及</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red"/>
                <w:u w:val="none" w:color="auto"/>
                <w:lang w:val="en-US" w:eastAsia="zh-CN"/>
              </w:rPr>
            </w:pPr>
            <w:r>
              <w:rPr>
                <w:rFonts w:hint="default"/>
                <w:bCs/>
                <w:color w:val="auto"/>
                <w:sz w:val="21"/>
                <w:szCs w:val="21"/>
                <w:highlight w:val="none"/>
                <w:u w:val="none" w:color="auto"/>
                <w:lang w:val="en-US" w:eastAsia="zh-CN"/>
              </w:rPr>
              <w:t>/</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red"/>
                <w:u w:val="none" w:color="auto"/>
                <w:lang w:val="en-US" w:eastAsia="zh-CN"/>
              </w:rPr>
            </w:pPr>
            <w:r>
              <w:rPr>
                <w:rFonts w:hint="default"/>
                <w:bCs/>
                <w:color w:val="auto"/>
                <w:sz w:val="21"/>
                <w:szCs w:val="21"/>
                <w:highlight w:val="none"/>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d</w:t>
            </w:r>
          </w:p>
        </w:tc>
        <w:tc>
          <w:tcPr>
            <w:tcW w:w="130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水文要素影响型且地表水评价等级不低于二级</w:t>
            </w:r>
          </w:p>
        </w:tc>
        <w:tc>
          <w:tcPr>
            <w:tcW w:w="65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不低于二级</w:t>
            </w:r>
          </w:p>
        </w:tc>
        <w:tc>
          <w:tcPr>
            <w:tcW w:w="12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水文要素影响型且地表水评价等级为二级</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二级</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e</w:t>
            </w:r>
          </w:p>
        </w:tc>
        <w:tc>
          <w:tcPr>
            <w:tcW w:w="130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地下水水位或者土壤影响范围内分布有天然林、公益林、湿地等生态保护目标</w:t>
            </w:r>
          </w:p>
        </w:tc>
        <w:tc>
          <w:tcPr>
            <w:tcW w:w="65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不低于二级</w:t>
            </w:r>
          </w:p>
        </w:tc>
        <w:tc>
          <w:tcPr>
            <w:tcW w:w="12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涉及湘江湿地</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二级</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f</w:t>
            </w:r>
          </w:p>
        </w:tc>
        <w:tc>
          <w:tcPr>
            <w:tcW w:w="130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当工程占地规模大于20km</w:t>
            </w:r>
            <w:r>
              <w:rPr>
                <w:rFonts w:hint="default"/>
                <w:bCs/>
                <w:color w:val="auto"/>
                <w:sz w:val="21"/>
                <w:szCs w:val="21"/>
                <w:highlight w:val="none"/>
                <w:u w:val="none" w:color="auto"/>
                <w:vertAlign w:val="superscript"/>
                <w:lang w:val="en-US" w:eastAsia="zh-CN"/>
              </w:rPr>
              <w:t>2</w:t>
            </w:r>
            <w:r>
              <w:rPr>
                <w:rFonts w:hint="default"/>
                <w:bCs/>
                <w:color w:val="auto"/>
                <w:sz w:val="21"/>
                <w:szCs w:val="21"/>
                <w:highlight w:val="none"/>
                <w:u w:val="none" w:color="auto"/>
                <w:lang w:val="en-US" w:eastAsia="zh-CN"/>
              </w:rPr>
              <w:t>时（包括永久和临时占用陆域和水域）</w:t>
            </w:r>
          </w:p>
        </w:tc>
        <w:tc>
          <w:tcPr>
            <w:tcW w:w="65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不低于二级</w:t>
            </w:r>
          </w:p>
        </w:tc>
        <w:tc>
          <w:tcPr>
            <w:tcW w:w="12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总征地面积约</w:t>
            </w:r>
            <w:r>
              <w:rPr>
                <w:rFonts w:hint="default" w:ascii="Times New Roman" w:hAnsi="Times New Roman" w:eastAsia="宋体" w:cs="Times New Roman"/>
                <w:color w:val="auto"/>
                <w:sz w:val="21"/>
                <w:szCs w:val="21"/>
                <w:highlight w:val="none"/>
                <w:u w:val="none"/>
                <w:lang w:val="en-US" w:eastAsia="zh-CN"/>
              </w:rPr>
              <w:t>0.3</w:t>
            </w:r>
            <w:r>
              <w:rPr>
                <w:rFonts w:hint="default" w:cs="Times New Roman"/>
                <w:color w:val="auto"/>
                <w:sz w:val="21"/>
                <w:szCs w:val="21"/>
                <w:highlight w:val="none"/>
                <w:u w:val="none"/>
                <w:lang w:val="en-US" w:eastAsia="zh-CN"/>
              </w:rPr>
              <w:t>2</w:t>
            </w:r>
            <w:r>
              <w:rPr>
                <w:rFonts w:hint="default" w:ascii="Times New Roman" w:hAnsi="Times New Roman" w:eastAsia="宋体" w:cs="Times New Roman"/>
                <w:color w:val="auto"/>
                <w:sz w:val="21"/>
                <w:szCs w:val="21"/>
                <w:highlight w:val="none"/>
                <w:u w:val="none"/>
                <w:lang w:val="en-US" w:eastAsia="zh-CN"/>
              </w:rPr>
              <w:t>km</w:t>
            </w:r>
            <w:r>
              <w:rPr>
                <w:rFonts w:hint="default" w:ascii="Times New Roman" w:hAnsi="Times New Roman" w:eastAsia="宋体" w:cs="Times New Roman"/>
                <w:color w:val="auto"/>
                <w:sz w:val="21"/>
                <w:szCs w:val="21"/>
                <w:highlight w:val="none"/>
                <w:u w:val="none"/>
                <w:vertAlign w:val="superscript"/>
                <w:lang w:val="en-US" w:eastAsia="zh-CN"/>
              </w:rPr>
              <w:t>2</w:t>
            </w:r>
            <w:r>
              <w:rPr>
                <w:rFonts w:hint="default" w:cs="Times New Roman"/>
                <w:color w:val="auto"/>
                <w:sz w:val="21"/>
                <w:szCs w:val="21"/>
                <w:highlight w:val="none"/>
                <w:u w:val="none"/>
                <w:vertAlign w:val="baseline"/>
                <w:lang w:val="en-US" w:eastAsia="zh-CN"/>
              </w:rPr>
              <w:t>＜</w:t>
            </w:r>
            <w:r>
              <w:rPr>
                <w:rFonts w:hint="default"/>
                <w:bCs/>
                <w:color w:val="auto"/>
                <w:sz w:val="21"/>
                <w:szCs w:val="21"/>
                <w:highlight w:val="none"/>
                <w:u w:val="none" w:color="auto"/>
                <w:vertAlign w:val="baseline"/>
                <w:lang w:val="en-US" w:eastAsia="zh-CN"/>
              </w:rPr>
              <w:t>20km</w:t>
            </w:r>
            <w:r>
              <w:rPr>
                <w:rFonts w:hint="default"/>
                <w:bCs/>
                <w:color w:val="auto"/>
                <w:sz w:val="21"/>
                <w:szCs w:val="21"/>
                <w:highlight w:val="none"/>
                <w:u w:val="none" w:color="auto"/>
                <w:vertAlign w:val="superscript"/>
                <w:lang w:val="en-US" w:eastAsia="zh-CN"/>
              </w:rPr>
              <w:t>2</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三级</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g</w:t>
            </w:r>
          </w:p>
        </w:tc>
        <w:tc>
          <w:tcPr>
            <w:tcW w:w="130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除上述a、b、c、d、e、f以外的情况</w:t>
            </w:r>
          </w:p>
        </w:tc>
        <w:tc>
          <w:tcPr>
            <w:tcW w:w="65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三级</w:t>
            </w:r>
          </w:p>
        </w:tc>
        <w:tc>
          <w:tcPr>
            <w:tcW w:w="12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不涉及</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h</w:t>
            </w:r>
          </w:p>
        </w:tc>
        <w:tc>
          <w:tcPr>
            <w:tcW w:w="1308"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拦河闸坝建设</w:t>
            </w:r>
          </w:p>
        </w:tc>
        <w:tc>
          <w:tcPr>
            <w:tcW w:w="657"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上调一级</w:t>
            </w:r>
          </w:p>
        </w:tc>
        <w:tc>
          <w:tcPr>
            <w:tcW w:w="12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无</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c>
          <w:tcPr>
            <w:tcW w:w="694"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r>
    </w:tbl>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陆生生态评价等级：工程建设永久占地</w:t>
      </w:r>
      <w:r>
        <w:rPr>
          <w:rFonts w:hint="default" w:cs="Times New Roman"/>
          <w:color w:val="auto"/>
          <w:sz w:val="24"/>
          <w:highlight w:val="none"/>
          <w:u w:val="none"/>
          <w:lang w:val="en-US" w:eastAsia="zh-CN"/>
        </w:rPr>
        <w:t>3.93</w:t>
      </w:r>
      <w:r>
        <w:rPr>
          <w:rFonts w:hint="default" w:ascii="Times New Roman" w:hAnsi="Times New Roman" w:eastAsia="宋体" w:cs="Times New Roman"/>
          <w:color w:val="auto"/>
          <w:sz w:val="24"/>
          <w:highlight w:val="none"/>
          <w:u w:val="none"/>
          <w:lang w:val="en-US" w:eastAsia="zh-CN"/>
        </w:rPr>
        <w:t>hm</w:t>
      </w:r>
      <w:r>
        <w:rPr>
          <w:rFonts w:hint="default" w:ascii="Times New Roman" w:hAnsi="Times New Roman" w:eastAsia="宋体" w:cs="Times New Roman"/>
          <w:color w:val="auto"/>
          <w:sz w:val="24"/>
          <w:highlight w:val="none"/>
          <w:u w:val="none"/>
          <w:vertAlign w:val="superscript"/>
          <w:lang w:val="en-US" w:eastAsia="zh-CN"/>
        </w:rPr>
        <w:t>2</w:t>
      </w:r>
      <w:r>
        <w:rPr>
          <w:rFonts w:hint="default" w:ascii="Times New Roman" w:hAnsi="Times New Roman" w:eastAsia="宋体" w:cs="Times New Roman"/>
          <w:color w:val="auto"/>
          <w:sz w:val="24"/>
          <w:highlight w:val="none"/>
          <w:u w:val="none"/>
          <w:lang w:val="en-US" w:eastAsia="zh-CN"/>
        </w:rPr>
        <w:t>，临时占地</w:t>
      </w:r>
      <w:r>
        <w:rPr>
          <w:rFonts w:hint="default" w:cs="Times New Roman"/>
          <w:color w:val="auto"/>
          <w:sz w:val="24"/>
          <w:highlight w:val="none"/>
          <w:u w:val="none"/>
          <w:lang w:val="en-US" w:eastAsia="zh-CN"/>
        </w:rPr>
        <w:t>0.95</w:t>
      </w:r>
      <w:r>
        <w:rPr>
          <w:rFonts w:hint="default" w:ascii="Times New Roman" w:hAnsi="Times New Roman" w:eastAsia="宋体" w:cs="Times New Roman"/>
          <w:color w:val="auto"/>
          <w:sz w:val="24"/>
          <w:highlight w:val="none"/>
          <w:u w:val="none"/>
          <w:lang w:val="en-US" w:eastAsia="zh-CN"/>
        </w:rPr>
        <w:t>hm</w:t>
      </w:r>
      <w:r>
        <w:rPr>
          <w:rFonts w:hint="default" w:ascii="Times New Roman" w:hAnsi="Times New Roman" w:eastAsia="宋体" w:cs="Times New Roman"/>
          <w:color w:val="auto"/>
          <w:sz w:val="24"/>
          <w:highlight w:val="none"/>
          <w:u w:val="none"/>
          <w:vertAlign w:val="superscript"/>
          <w:lang w:val="en-US" w:eastAsia="zh-CN"/>
        </w:rPr>
        <w:t>2</w:t>
      </w:r>
      <w:r>
        <w:rPr>
          <w:rFonts w:hint="default" w:ascii="Times New Roman" w:hAnsi="Times New Roman" w:eastAsia="宋体" w:cs="Times New Roman"/>
          <w:color w:val="auto"/>
          <w:sz w:val="24"/>
          <w:highlight w:val="none"/>
          <w:u w:val="none"/>
          <w:lang w:val="en-US" w:eastAsia="zh-CN"/>
        </w:rPr>
        <w:t>，项目征地面积0.3</w:t>
      </w:r>
      <w:r>
        <w:rPr>
          <w:rFonts w:hint="default" w:cs="Times New Roman"/>
          <w:color w:val="auto"/>
          <w:sz w:val="24"/>
          <w:highlight w:val="none"/>
          <w:u w:val="none"/>
          <w:lang w:val="en-US" w:eastAsia="zh-CN"/>
        </w:rPr>
        <w:t>2</w:t>
      </w:r>
      <w:r>
        <w:rPr>
          <w:rFonts w:hint="default" w:ascii="Times New Roman" w:hAnsi="Times New Roman" w:eastAsia="宋体" w:cs="Times New Roman"/>
          <w:color w:val="auto"/>
          <w:sz w:val="24"/>
          <w:highlight w:val="none"/>
          <w:u w:val="none"/>
          <w:lang w:val="en-US" w:eastAsia="zh-CN"/>
        </w:rPr>
        <w:t>km</w:t>
      </w:r>
      <w:r>
        <w:rPr>
          <w:rFonts w:hint="default" w:ascii="Times New Roman" w:hAnsi="Times New Roman" w:eastAsia="宋体" w:cs="Times New Roman"/>
          <w:color w:val="auto"/>
          <w:sz w:val="24"/>
          <w:highlight w:val="none"/>
          <w:u w:val="none"/>
          <w:vertAlign w:val="superscript"/>
          <w:lang w:val="en-US" w:eastAsia="zh-CN"/>
        </w:rPr>
        <w:t>2</w:t>
      </w:r>
      <w:r>
        <w:rPr>
          <w:rFonts w:hint="default" w:ascii="Times New Roman" w:hAnsi="Times New Roman" w:eastAsia="宋体" w:cs="Times New Roman"/>
          <w:color w:val="auto"/>
          <w:sz w:val="24"/>
          <w:highlight w:val="none"/>
          <w:u w:val="none"/>
          <w:lang w:val="en-US" w:eastAsia="zh-CN"/>
        </w:rPr>
        <w:t>（476.40亩），小于20km</w:t>
      </w:r>
      <w:r>
        <w:rPr>
          <w:rFonts w:hint="default" w:ascii="Times New Roman" w:hAnsi="Times New Roman" w:eastAsia="宋体" w:cs="Times New Roman"/>
          <w:color w:val="auto"/>
          <w:sz w:val="24"/>
          <w:highlight w:val="none"/>
          <w:u w:val="none"/>
          <w:vertAlign w:val="superscript"/>
          <w:lang w:val="en-US" w:eastAsia="zh-CN"/>
        </w:rPr>
        <w:t>2</w:t>
      </w:r>
      <w:r>
        <w:rPr>
          <w:rFonts w:hint="default" w:ascii="Times New Roman" w:hAnsi="Times New Roman" w:eastAsia="宋体" w:cs="Times New Roman"/>
          <w:color w:val="auto"/>
          <w:sz w:val="24"/>
          <w:highlight w:val="none"/>
          <w:u w:val="none"/>
          <w:lang w:val="en-US" w:eastAsia="zh-CN"/>
        </w:rPr>
        <w:t>；项目用地区域不涉及国家公园、自然保护区、自然公园、世界自然遗产、生态保护红线、生态公益林、天然林等区域；不涉及重要物种的天然集中分布区、栖息地等重要生境。根据《中华人民共和国湿地保护法》，湿地是指具有显著生态功能的自然或者人工的、常年或者季节性积水地带、水域，包括低潮时水深不超过6m的海域，但是水田以及用于养殖的人工的水域和滩涂除外。本项目中的亲水栈道、护岸等工程涉及湘江水域湿地，根据HJ610、HJ964判断地下水水位或土壤影响范围内分布有湿地等生态保护目标的建设项目，生态影响评价等级不低于二级</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。因此，本工程陆生生态环境影响评价工作等级为二级。</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水生生态评价等级：本项目涉及湘江衡阳段四大家鱼国家级水产种质资源保护区</w:t>
      </w:r>
      <w:r>
        <w:rPr>
          <w:rFonts w:hint="default" w:cs="Times New Roman"/>
          <w:color w:val="auto"/>
          <w:sz w:val="24"/>
          <w:highlight w:val="none"/>
          <w:u w:val="none"/>
          <w:lang w:val="en-US" w:eastAsia="zh-CN"/>
        </w:rPr>
        <w:t>核心区</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属于重要生境。项目实施按照现有河道及堤坝走向，无拦河闸坝建设，不会明显改变水文情势。因此，</w:t>
      </w:r>
      <w:r>
        <w:rPr>
          <w:rFonts w:hint="default" w:ascii="Times New Roman" w:hAnsi="Times New Roman" w:eastAsia="宋体" w:cs="Times New Roman"/>
          <w:color w:val="auto"/>
          <w:sz w:val="24"/>
          <w:highlight w:val="none"/>
          <w:u w:val="none"/>
          <w:lang w:val="en-US" w:eastAsia="zh-CN"/>
        </w:rPr>
        <w:t>确定水生生态评价等级为一级。</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2.4.</w:t>
      </w:r>
      <w:r>
        <w:rPr>
          <w:rFonts w:hint="default" w:cs="Times New Roman"/>
          <w:b/>
          <w:bCs/>
          <w:color w:val="auto"/>
          <w:kern w:val="0"/>
          <w:sz w:val="28"/>
          <w:szCs w:val="28"/>
          <w:highlight w:val="none"/>
          <w:lang w:val="en-US" w:eastAsia="zh-CN"/>
        </w:rPr>
        <w:t>7环境风险</w:t>
      </w:r>
      <w:r>
        <w:rPr>
          <w:rFonts w:hint="default" w:ascii="Times New Roman" w:hAnsi="Times New Roman" w:eastAsia="宋体" w:cs="Times New Roman"/>
          <w:b/>
          <w:bCs/>
          <w:color w:val="auto"/>
          <w:kern w:val="0"/>
          <w:sz w:val="28"/>
          <w:szCs w:val="28"/>
          <w:highlight w:val="none"/>
          <w:lang w:val="en-US" w:eastAsia="zh-CN"/>
        </w:rPr>
        <w:t>评价工作等级</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本项目为</w:t>
      </w:r>
      <w:r>
        <w:rPr>
          <w:rFonts w:hint="default" w:cs="Times New Roman"/>
          <w:color w:val="auto"/>
          <w:sz w:val="24"/>
          <w:highlight w:val="none"/>
          <w:u w:val="none"/>
          <w:lang w:val="en-US" w:eastAsia="zh-CN"/>
        </w:rPr>
        <w:t>河湖整治</w:t>
      </w:r>
      <w:r>
        <w:rPr>
          <w:rFonts w:hint="default" w:ascii="Times New Roman" w:hAnsi="Times New Roman" w:eastAsia="宋体" w:cs="Times New Roman"/>
          <w:color w:val="auto"/>
          <w:sz w:val="24"/>
          <w:highlight w:val="none"/>
          <w:u w:val="none"/>
          <w:lang w:val="en-US" w:eastAsia="zh-CN"/>
        </w:rPr>
        <w:t>项目，不涉及有毒有害、危险品的生产、使用和储存，项目</w:t>
      </w:r>
      <w:r>
        <w:rPr>
          <w:rFonts w:hint="eastAsia" w:ascii="Times New Roman" w:hAnsi="Times New Roman" w:cs="Times New Roman"/>
          <w:color w:val="auto"/>
          <w:sz w:val="24"/>
          <w:highlight w:val="none"/>
          <w:u w:val="none"/>
          <w:lang w:val="en-US" w:eastAsia="zh-CN"/>
        </w:rPr>
        <w:t>环境</w:t>
      </w:r>
      <w:r>
        <w:rPr>
          <w:rFonts w:hint="default" w:ascii="Times New Roman" w:hAnsi="Times New Roman" w:eastAsia="宋体" w:cs="Times New Roman"/>
          <w:color w:val="auto"/>
          <w:sz w:val="24"/>
          <w:highlight w:val="none"/>
          <w:u w:val="none"/>
          <w:lang w:val="en-US" w:eastAsia="zh-CN"/>
        </w:rPr>
        <w:t>风险主要为生</w:t>
      </w:r>
      <w:r>
        <w:rPr>
          <w:rFonts w:hint="eastAsia" w:cs="Times New Roman"/>
          <w:color w:val="auto"/>
          <w:sz w:val="24"/>
          <w:highlight w:val="none"/>
          <w:u w:val="none"/>
          <w:lang w:val="en-US" w:eastAsia="zh-CN"/>
        </w:rPr>
        <w:t>活污</w:t>
      </w:r>
      <w:r>
        <w:rPr>
          <w:rFonts w:hint="default" w:ascii="Times New Roman" w:hAnsi="Times New Roman" w:eastAsia="宋体" w:cs="Times New Roman"/>
          <w:color w:val="auto"/>
          <w:sz w:val="24"/>
          <w:highlight w:val="none"/>
          <w:u w:val="none"/>
          <w:lang w:val="en-US" w:eastAsia="zh-CN"/>
        </w:rPr>
        <w:t>水直排入水体</w:t>
      </w:r>
      <w:r>
        <w:rPr>
          <w:rFonts w:hint="default" w:cs="Times New Roman"/>
          <w:color w:val="auto"/>
          <w:sz w:val="24"/>
          <w:highlight w:val="none"/>
          <w:u w:val="none"/>
          <w:lang w:val="en-US" w:eastAsia="zh-CN"/>
        </w:rPr>
        <w:t>造成的水环境污染</w:t>
      </w:r>
      <w:r>
        <w:rPr>
          <w:rFonts w:hint="default" w:ascii="Times New Roman" w:hAnsi="Times New Roman" w:eastAsia="宋体" w:cs="Times New Roman"/>
          <w:color w:val="auto"/>
          <w:sz w:val="24"/>
          <w:highlight w:val="none"/>
          <w:u w:val="none"/>
          <w:lang w:val="en-US" w:eastAsia="zh-CN"/>
        </w:rPr>
        <w:t>，根据《建设项目环境风险评价技术导则》(HJ169一2018）适用范围说明，该技术导则不适用于生态风险评价，由于本项目环境风险相对较轻，故本次环境风险评价参照该导则定级要求定为简要分析。</w:t>
      </w:r>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cs="Times New Roman"/>
          <w:b/>
          <w:bCs/>
          <w:color w:val="auto"/>
          <w:kern w:val="0"/>
          <w:sz w:val="30"/>
          <w:szCs w:val="30"/>
          <w:highlight w:val="none"/>
        </w:rPr>
      </w:pPr>
      <w:bookmarkStart w:id="45" w:name="_Toc23223"/>
      <w:bookmarkStart w:id="46" w:name="_Toc21988"/>
      <w:r>
        <w:rPr>
          <w:rFonts w:hint="default" w:ascii="Times New Roman" w:hAnsi="Times New Roman" w:eastAsia="宋体" w:cs="Times New Roman"/>
          <w:b/>
          <w:bCs/>
          <w:color w:val="auto"/>
          <w:kern w:val="0"/>
          <w:sz w:val="30"/>
          <w:szCs w:val="30"/>
          <w:highlight w:val="none"/>
          <w:lang w:val="en-US" w:eastAsia="zh-CN"/>
        </w:rPr>
        <w:t>评价</w:t>
      </w:r>
      <w:r>
        <w:rPr>
          <w:rFonts w:hint="default" w:cs="Times New Roman"/>
          <w:b/>
          <w:bCs/>
          <w:color w:val="auto"/>
          <w:kern w:val="0"/>
          <w:sz w:val="30"/>
          <w:szCs w:val="30"/>
          <w:highlight w:val="none"/>
          <w:lang w:val="en-US" w:eastAsia="zh-CN"/>
        </w:rPr>
        <w:t>范围</w:t>
      </w:r>
      <w:bookmarkEnd w:id="45"/>
      <w:bookmarkEnd w:id="46"/>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本项目评价范围见表2.5-1。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表2.</w:t>
      </w:r>
      <w:r>
        <w:rPr>
          <w:rFonts w:hint="default"/>
          <w:b/>
          <w:color w:val="auto"/>
          <w:szCs w:val="24"/>
          <w:highlight w:val="none"/>
          <w:u w:val="none" w:color="auto"/>
          <w:lang w:val="en-US" w:eastAsia="zh-CN"/>
        </w:rPr>
        <w:t>5</w:t>
      </w:r>
      <w:r>
        <w:rPr>
          <w:rFonts w:ascii="Times New Roman" w:hAnsi="Times New Roman"/>
          <w:b/>
          <w:color w:val="auto"/>
          <w:szCs w:val="24"/>
          <w:highlight w:val="none"/>
          <w:u w:val="none" w:color="auto"/>
        </w:rPr>
        <w:t>-</w:t>
      </w:r>
      <w:r>
        <w:rPr>
          <w:rFonts w:hint="default"/>
          <w:b/>
          <w:color w:val="auto"/>
          <w:szCs w:val="24"/>
          <w:highlight w:val="none"/>
          <w:u w:val="none" w:color="auto"/>
          <w:lang w:val="en-US" w:eastAsia="zh-CN"/>
        </w:rPr>
        <w:t>1环境影响评价范围一览表</w:t>
      </w:r>
    </w:p>
    <w:tbl>
      <w:tblPr>
        <w:tblStyle w:val="22"/>
        <w:tblW w:w="496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276"/>
        <w:gridCol w:w="2840"/>
        <w:gridCol w:w="43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序号</w:t>
            </w:r>
          </w:p>
        </w:tc>
        <w:tc>
          <w:tcPr>
            <w:tcW w:w="692"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环境要素</w:t>
            </w:r>
          </w:p>
        </w:tc>
        <w:tc>
          <w:tcPr>
            <w:tcW w:w="154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评价范围</w:t>
            </w:r>
          </w:p>
        </w:tc>
        <w:tc>
          <w:tcPr>
            <w:tcW w:w="238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1</w:t>
            </w:r>
          </w:p>
        </w:tc>
        <w:tc>
          <w:tcPr>
            <w:tcW w:w="692"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环境空气</w:t>
            </w:r>
          </w:p>
        </w:tc>
        <w:tc>
          <w:tcPr>
            <w:tcW w:w="154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c>
          <w:tcPr>
            <w:tcW w:w="238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根据《环境影响评价技术导则 气环境》（HJ2.2-2018），三级评价项目不需设置大气环境影响评价范围。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2</w:t>
            </w:r>
          </w:p>
        </w:tc>
        <w:tc>
          <w:tcPr>
            <w:tcW w:w="692" w:type="pct"/>
            <w:tcBorders>
              <w:tl2br w:val="nil"/>
              <w:tr2bl w:val="nil"/>
            </w:tcBorders>
            <w:vAlign w:val="center"/>
          </w:tcPr>
          <w:p>
            <w:pPr>
              <w:keepLines w:val="0"/>
              <w:pageBreakBefore w:val="0"/>
              <w:widowControl w:val="0"/>
              <w:tabs>
                <w:tab w:val="left" w:pos="1170"/>
              </w:tabs>
              <w:kinsoku/>
              <w:wordWrap/>
              <w:overflowPunct/>
              <w:topLinePunct w:val="0"/>
              <w:bidi w:val="0"/>
              <w:spacing w:line="320" w:lineRule="exact"/>
              <w:ind w:firstLine="0" w:firstLineChars="0"/>
              <w:jc w:val="center"/>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地表水环境</w:t>
            </w:r>
          </w:p>
        </w:tc>
        <w:tc>
          <w:tcPr>
            <w:tcW w:w="154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项目上游1km至湘江下游蒸水河口段水域，长约7km的湘江河段</w:t>
            </w:r>
          </w:p>
        </w:tc>
        <w:tc>
          <w:tcPr>
            <w:tcW w:w="238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根据《环境影响评价技术导则 地表水环境》（HJ2.3-2018），三级B评价应满足其依托污水处理设施环境可行性分析的要求，涉及地表水环境风险的，应覆盖环境风险影响范围所及的水环境保护目标水域。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3</w:t>
            </w:r>
          </w:p>
        </w:tc>
        <w:tc>
          <w:tcPr>
            <w:tcW w:w="692"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声环境</w:t>
            </w:r>
          </w:p>
        </w:tc>
        <w:tc>
          <w:tcPr>
            <w:tcW w:w="154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项目红线外200m范围</w:t>
            </w:r>
          </w:p>
        </w:tc>
        <w:tc>
          <w:tcPr>
            <w:tcW w:w="238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w:t>
            </w:r>
            <w:r>
              <w:rPr>
                <w:rFonts w:hint="default"/>
                <w:bCs/>
                <w:color w:val="auto"/>
                <w:sz w:val="21"/>
                <w:szCs w:val="21"/>
                <w:highlight w:val="none"/>
                <w:u w:val="none" w:color="auto"/>
                <w:lang w:val="en-US" w:eastAsia="zh-CN"/>
              </w:rPr>
              <w:t>《环境影响评价技术导则 声环境》（HJ2.4-2021）</w:t>
            </w:r>
            <w:r>
              <w:rPr>
                <w:rFonts w:hint="eastAsia"/>
                <w:bCs/>
                <w:color w:val="auto"/>
                <w:sz w:val="21"/>
                <w:szCs w:val="21"/>
                <w:highlight w:val="none"/>
                <w:u w:val="none" w:color="auto"/>
                <w:lang w:val="en-US" w:eastAsia="zh-CN"/>
              </w:rPr>
              <w:t>，一级评价一般以建设项目边界向外200m为评价范围，二级、三级评价范围可根据建设项目所在区域和相邻区域的声环境功能区类别及声环境保护目标等实际情况适当缩小。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4</w:t>
            </w:r>
          </w:p>
        </w:tc>
        <w:tc>
          <w:tcPr>
            <w:tcW w:w="692"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地下水环境</w:t>
            </w:r>
          </w:p>
        </w:tc>
        <w:tc>
          <w:tcPr>
            <w:tcW w:w="154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项目红线外200m范围</w:t>
            </w:r>
          </w:p>
        </w:tc>
        <w:tc>
          <w:tcPr>
            <w:tcW w:w="238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根据《环境影响评价技术导则 地下水环境》（HJ610-2016）</w:t>
            </w:r>
            <w:r>
              <w:rPr>
                <w:rFonts w:hint="eastAsia"/>
                <w:bCs/>
                <w:color w:val="auto"/>
                <w:sz w:val="21"/>
                <w:szCs w:val="21"/>
                <w:highlight w:val="none"/>
                <w:u w:val="none" w:color="auto"/>
                <w:lang w:val="en-US" w:eastAsia="zh-CN"/>
              </w:rPr>
              <w:t>，线性工程应以工程边界两侧向外延伸200m作为评价范围。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3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5</w:t>
            </w:r>
          </w:p>
        </w:tc>
        <w:tc>
          <w:tcPr>
            <w:tcW w:w="692"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土壤环境</w:t>
            </w:r>
          </w:p>
        </w:tc>
        <w:tc>
          <w:tcPr>
            <w:tcW w:w="154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不开展评价</w:t>
            </w:r>
          </w:p>
        </w:tc>
        <w:tc>
          <w:tcPr>
            <w:tcW w:w="238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6</w:t>
            </w:r>
          </w:p>
        </w:tc>
        <w:tc>
          <w:tcPr>
            <w:tcW w:w="692"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生态环境</w:t>
            </w:r>
          </w:p>
        </w:tc>
        <w:tc>
          <w:tcPr>
            <w:tcW w:w="154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陆生生态：结合项目区地形地貌，陆生评价范围为东洲岛外扩1000m，和东洲岛东岸建设工程占地区外扩300m形成的连续区域，面积为733.41hm</w:t>
            </w:r>
            <w:r>
              <w:rPr>
                <w:rFonts w:hint="default"/>
                <w:bCs/>
                <w:color w:val="auto"/>
                <w:sz w:val="21"/>
                <w:szCs w:val="21"/>
                <w:highlight w:val="none"/>
                <w:u w:val="none" w:color="auto"/>
                <w:vertAlign w:val="superscript"/>
                <w:lang w:val="en-US" w:eastAsia="zh-CN"/>
              </w:rPr>
              <w:t>2</w:t>
            </w:r>
            <w:r>
              <w:rPr>
                <w:rFonts w:hint="default"/>
                <w:bCs/>
                <w:color w:val="auto"/>
                <w:sz w:val="21"/>
                <w:szCs w:val="21"/>
                <w:highlight w:val="none"/>
                <w:u w:val="none" w:color="auto"/>
                <w:lang w:val="en-US" w:eastAsia="zh-CN"/>
              </w:rPr>
              <w:t>。</w:t>
            </w:r>
          </w:p>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水生生态：结合工程特征及影响范围，水生生态评价范围为项目所在区域及湘江上游1km至湘江下游蒸水河口段水域，长约7km的湘江河段。</w:t>
            </w:r>
          </w:p>
        </w:tc>
        <w:tc>
          <w:tcPr>
            <w:tcW w:w="238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根据《环境影响评价技术导则生态影响》（HJ19-2022）</w:t>
            </w:r>
            <w:r>
              <w:rPr>
                <w:rFonts w:hint="eastAsia"/>
                <w:bCs/>
                <w:color w:val="auto"/>
                <w:sz w:val="21"/>
                <w:szCs w:val="21"/>
                <w:highlight w:val="none"/>
                <w:u w:val="none" w:color="auto"/>
                <w:lang w:val="en-US" w:eastAsia="zh-CN"/>
              </w:rPr>
              <w:t>，线性工程穿越生态敏感区时，以线路穿越段向两端外延1km、线路中心线向两侧外延1km为参考评价范围，实际确定时应结合生态敏感区主要保护对象的分布、生态学特征、项目的穿越方式、周边地形地貌等适当调整，主要保护对象为野生动物及其栖息地，应进一步扩大评价范围，涉及迁徙、洄游物种的，其评价范围应涵盖工程影响的迁徙洄游通道范围穿越非生态敏感区时，以线路中心线向两侧外延300m为参考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6"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7</w:t>
            </w:r>
          </w:p>
        </w:tc>
        <w:tc>
          <w:tcPr>
            <w:tcW w:w="692"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环境风险</w:t>
            </w:r>
          </w:p>
        </w:tc>
        <w:tc>
          <w:tcPr>
            <w:tcW w:w="154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与地表水环境评价范围一致。</w:t>
            </w:r>
          </w:p>
        </w:tc>
        <w:tc>
          <w:tcPr>
            <w:tcW w:w="2380" w:type="pct"/>
            <w:tcBorders>
              <w:tl2br w:val="nil"/>
              <w:tr2bl w:val="nil"/>
            </w:tcBorders>
            <w:vAlign w:val="center"/>
          </w:tcPr>
          <w:p>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本项目为生态影响类项目，不适用《建设项目环境风险评价技术导则》(HJ169一2018），环境风险评价范围参考地表水环境评价范围。</w:t>
            </w:r>
          </w:p>
        </w:tc>
      </w:tr>
    </w:tbl>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cs="Times New Roman"/>
          <w:b/>
          <w:bCs/>
          <w:color w:val="auto"/>
          <w:kern w:val="0"/>
          <w:sz w:val="30"/>
          <w:szCs w:val="30"/>
          <w:highlight w:val="none"/>
        </w:rPr>
      </w:pPr>
      <w:bookmarkStart w:id="47" w:name="_Toc32127"/>
      <w:bookmarkStart w:id="48" w:name="_Toc11717"/>
      <w:r>
        <w:rPr>
          <w:rFonts w:hint="default" w:cs="Times New Roman"/>
          <w:b/>
          <w:bCs/>
          <w:color w:val="auto"/>
          <w:kern w:val="0"/>
          <w:sz w:val="30"/>
          <w:szCs w:val="30"/>
          <w:highlight w:val="none"/>
          <w:lang w:val="en-US" w:eastAsia="zh-CN"/>
        </w:rPr>
        <w:t>评价时段和</w:t>
      </w:r>
      <w:r>
        <w:rPr>
          <w:rFonts w:hint="default" w:ascii="Times New Roman" w:hAnsi="Times New Roman" w:eastAsia="宋体" w:cs="Times New Roman"/>
          <w:b/>
          <w:bCs/>
          <w:color w:val="auto"/>
          <w:kern w:val="0"/>
          <w:sz w:val="30"/>
          <w:szCs w:val="30"/>
          <w:highlight w:val="none"/>
          <w:lang w:val="en-US" w:eastAsia="zh-CN"/>
        </w:rPr>
        <w:t>评价</w:t>
      </w:r>
      <w:r>
        <w:rPr>
          <w:rFonts w:hint="default" w:cs="Times New Roman"/>
          <w:b/>
          <w:bCs/>
          <w:color w:val="auto"/>
          <w:kern w:val="0"/>
          <w:sz w:val="30"/>
          <w:szCs w:val="30"/>
          <w:highlight w:val="none"/>
          <w:lang w:val="en-US" w:eastAsia="zh-CN"/>
        </w:rPr>
        <w:t>重点</w:t>
      </w:r>
      <w:bookmarkEnd w:id="47"/>
      <w:bookmarkEnd w:id="48"/>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评价时段：评价根据工程性质特点，确定评价时段为工程建设施工期、运营期两个阶段。</w:t>
      </w:r>
    </w:p>
    <w:p>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评价重点：根据工程性质和周围环境特点，本次环境影响评价重点为水环境影响评价、生态影响评价及污染防治措施。</w:t>
      </w:r>
      <w:bookmarkStart w:id="49" w:name="_Toc21426"/>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hint="default" w:ascii="Times New Roman" w:hAnsi="Times New Roman" w:eastAsia="宋体" w:cs="Times New Roman"/>
          <w:b/>
          <w:bCs/>
          <w:color w:val="auto"/>
          <w:kern w:val="0"/>
          <w:sz w:val="30"/>
          <w:szCs w:val="30"/>
          <w:highlight w:val="none"/>
          <w:lang w:val="en-US" w:eastAsia="zh-CN"/>
        </w:rPr>
      </w:pPr>
      <w:bookmarkStart w:id="50" w:name="_Toc4796"/>
      <w:r>
        <w:rPr>
          <w:rFonts w:hint="default" w:ascii="Times New Roman" w:hAnsi="Times New Roman" w:eastAsia="宋体" w:cs="Times New Roman"/>
          <w:b/>
          <w:bCs/>
          <w:color w:val="auto"/>
          <w:kern w:val="0"/>
          <w:sz w:val="30"/>
          <w:szCs w:val="30"/>
          <w:highlight w:val="none"/>
          <w:lang w:val="en-US" w:eastAsia="zh-CN"/>
        </w:rPr>
        <w:t>环境保护目标</w:t>
      </w:r>
      <w:bookmarkEnd w:id="49"/>
      <w:bookmarkEnd w:id="50"/>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51" w:name="_Toc26470"/>
      <w:r>
        <w:rPr>
          <w:rFonts w:hint="default" w:ascii="Times New Roman" w:hAnsi="Times New Roman" w:eastAsia="宋体" w:cs="Times New Roman"/>
          <w:b/>
          <w:bCs/>
          <w:color w:val="auto"/>
          <w:kern w:val="0"/>
          <w:sz w:val="28"/>
          <w:szCs w:val="28"/>
          <w:highlight w:val="none"/>
          <w:lang w:val="en-US" w:eastAsia="zh-CN"/>
        </w:rPr>
        <w:t>2.</w:t>
      </w:r>
      <w:r>
        <w:rPr>
          <w:rFonts w:hint="default" w:cs="Times New Roman"/>
          <w:b/>
          <w:bCs/>
          <w:color w:val="auto"/>
          <w:kern w:val="0"/>
          <w:sz w:val="28"/>
          <w:szCs w:val="28"/>
          <w:highlight w:val="none"/>
          <w:lang w:val="en-US" w:eastAsia="zh-CN"/>
        </w:rPr>
        <w:t>7</w:t>
      </w:r>
      <w:r>
        <w:rPr>
          <w:rFonts w:hint="default" w:ascii="Times New Roman" w:hAnsi="Times New Roman" w:eastAsia="宋体" w:cs="Times New Roman"/>
          <w:b/>
          <w:bCs/>
          <w:color w:val="auto"/>
          <w:kern w:val="0"/>
          <w:sz w:val="28"/>
          <w:szCs w:val="28"/>
          <w:highlight w:val="none"/>
          <w:lang w:val="en-US" w:eastAsia="zh-CN"/>
        </w:rPr>
        <w:t>.1</w:t>
      </w:r>
      <w:r>
        <w:rPr>
          <w:rFonts w:hint="default" w:cs="Times New Roman"/>
          <w:b/>
          <w:bCs/>
          <w:color w:val="auto"/>
          <w:kern w:val="0"/>
          <w:sz w:val="28"/>
          <w:szCs w:val="28"/>
          <w:highlight w:val="none"/>
          <w:lang w:val="en-US" w:eastAsia="zh-CN"/>
        </w:rPr>
        <w:t>水环境保护目标</w:t>
      </w:r>
    </w:p>
    <w:p>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本项目施工期和运营期水环境保护目标详见下表。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color w:val="auto"/>
          <w:szCs w:val="24"/>
          <w:highlight w:val="none"/>
          <w:u w:val="none" w:color="auto"/>
        </w:rPr>
        <w:sectPr>
          <w:footerReference r:id="rId9" w:type="default"/>
          <w:pgSz w:w="11906" w:h="16838"/>
          <w:pgMar w:top="1440" w:right="1417" w:bottom="1440" w:left="1417"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2.7-1施工期、运营期地表水环境保护目标</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33"/>
        <w:gridCol w:w="1695"/>
        <w:gridCol w:w="1628"/>
        <w:gridCol w:w="3977"/>
        <w:gridCol w:w="2104"/>
        <w:gridCol w:w="18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名称</w:t>
            </w:r>
          </w:p>
        </w:tc>
        <w:tc>
          <w:tcPr>
            <w:tcW w:w="1172"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坐标/°</w:t>
            </w:r>
          </w:p>
        </w:tc>
        <w:tc>
          <w:tcPr>
            <w:tcW w:w="140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相对位置</w:t>
            </w:r>
          </w:p>
        </w:tc>
        <w:tc>
          <w:tcPr>
            <w:tcW w:w="74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功能/规模</w:t>
            </w:r>
          </w:p>
        </w:tc>
        <w:tc>
          <w:tcPr>
            <w:tcW w:w="648"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59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经度</w:t>
            </w:r>
          </w:p>
        </w:tc>
        <w:tc>
          <w:tcPr>
            <w:tcW w:w="5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纬度</w:t>
            </w:r>
          </w:p>
        </w:tc>
        <w:tc>
          <w:tcPr>
            <w:tcW w:w="14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74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p>
        </w:tc>
        <w:tc>
          <w:tcPr>
            <w:tcW w:w="64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bidi="ar"/>
              </w:rPr>
              <w:t>湘江衡阳段四大家鱼国家级水产种质资源保护区</w:t>
            </w:r>
          </w:p>
        </w:tc>
        <w:tc>
          <w:tcPr>
            <w:tcW w:w="59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cs="Times New Roman"/>
                <w:color w:val="auto"/>
                <w:sz w:val="21"/>
                <w:szCs w:val="21"/>
                <w:highlight w:val="none"/>
                <w:lang w:val="en-US" w:eastAsia="zh-CN"/>
              </w:rPr>
              <w:t>/</w:t>
            </w:r>
          </w:p>
        </w:tc>
        <w:tc>
          <w:tcPr>
            <w:tcW w:w="5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cs="Times New Roman"/>
                <w:color w:val="auto"/>
                <w:sz w:val="21"/>
                <w:szCs w:val="21"/>
                <w:highlight w:val="none"/>
                <w:lang w:val="en-US" w:eastAsia="zh-CN"/>
              </w:rPr>
              <w:t>/</w:t>
            </w:r>
          </w:p>
        </w:tc>
        <w:tc>
          <w:tcPr>
            <w:tcW w:w="140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项目南侧紧邻，东洲岛范围位于湘江衡阳段四大家鱼国家级水产种质资源保护区范围内</w:t>
            </w:r>
          </w:p>
        </w:tc>
        <w:tc>
          <w:tcPr>
            <w:tcW w:w="7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水产种质资源保护区</w:t>
            </w:r>
            <w:r>
              <w:rPr>
                <w:rFonts w:hint="default" w:cs="Times New Roman"/>
                <w:color w:val="auto"/>
                <w:kern w:val="0"/>
                <w:sz w:val="21"/>
                <w:szCs w:val="21"/>
                <w:highlight w:val="none"/>
                <w:vertAlign w:val="baseline"/>
                <w:lang w:val="en-US" w:eastAsia="zh-CN" w:bidi="ar"/>
              </w:rPr>
              <w:t>核心区</w:t>
            </w:r>
          </w:p>
        </w:tc>
        <w:tc>
          <w:tcPr>
            <w:tcW w:w="648" w:type="pct"/>
            <w:vMerge w:val="restart"/>
            <w:tcBorders>
              <w:tl2br w:val="nil"/>
              <w:tr2bl w:val="nil"/>
            </w:tcBorders>
            <w:noWrap w:val="0"/>
            <w:vAlign w:val="center"/>
          </w:tcPr>
          <w:p>
            <w:pPr>
              <w:pStyle w:val="49"/>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u w:val="none"/>
              </w:rPr>
            </w:pPr>
            <w:r>
              <w:rPr>
                <w:rFonts w:hint="default" w:cs="Times New Roman"/>
                <w:color w:val="auto"/>
                <w:sz w:val="21"/>
                <w:szCs w:val="21"/>
                <w:highlight w:val="none"/>
                <w:u w:val="none"/>
                <w:lang w:eastAsia="zh-CN"/>
              </w:rPr>
              <w:t>《</w:t>
            </w:r>
            <w:r>
              <w:rPr>
                <w:rFonts w:hint="default" w:cs="Times New Roman"/>
                <w:color w:val="auto"/>
                <w:sz w:val="21"/>
                <w:szCs w:val="21"/>
                <w:highlight w:val="none"/>
                <w:u w:val="none"/>
                <w:lang w:val="en-US" w:eastAsia="zh-CN"/>
              </w:rPr>
              <w:t>地表水环境质量标准</w:t>
            </w:r>
            <w:r>
              <w:rPr>
                <w:rFonts w:hint="default" w:cs="Times New Roman"/>
                <w:color w:val="auto"/>
                <w:sz w:val="21"/>
                <w:szCs w:val="21"/>
                <w:highlight w:val="none"/>
                <w:u w:val="none"/>
                <w:lang w:eastAsia="zh-CN"/>
              </w:rPr>
              <w:t>》（</w:t>
            </w:r>
            <w:r>
              <w:rPr>
                <w:rFonts w:hint="default" w:ascii="Times New Roman" w:hAnsi="Times New Roman" w:cs="Times New Roman"/>
                <w:color w:val="auto"/>
                <w:sz w:val="21"/>
                <w:szCs w:val="21"/>
                <w:highlight w:val="none"/>
                <w:u w:val="none"/>
              </w:rPr>
              <w:t>GB3838-2002</w:t>
            </w:r>
            <w:r>
              <w:rPr>
                <w:rFonts w:hint="default" w:cs="Times New Roman"/>
                <w:color w:val="auto"/>
                <w:sz w:val="21"/>
                <w:szCs w:val="21"/>
                <w:highlight w:val="none"/>
                <w:u w:val="none"/>
                <w:lang w:eastAsia="zh-CN"/>
              </w:rPr>
              <w:t>）</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sz w:val="21"/>
                <w:szCs w:val="21"/>
                <w:highlight w:val="none"/>
                <w:u w:val="none"/>
              </w:rPr>
              <w:t>水质II类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江东水厂饮用水水源保护区</w:t>
            </w:r>
          </w:p>
        </w:tc>
        <w:tc>
          <w:tcPr>
            <w:tcW w:w="59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5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140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sz w:val="21"/>
                <w:szCs w:val="21"/>
                <w:highlight w:val="none"/>
                <w:lang w:val="en-US" w:eastAsia="zh-CN"/>
              </w:rPr>
              <w:t>上游，项目距离该保护区二级水域下边界约900m，距离一级水域上边界约1100m</w:t>
            </w:r>
          </w:p>
        </w:tc>
        <w:tc>
          <w:tcPr>
            <w:tcW w:w="7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饮用水水源保护区</w:t>
            </w:r>
          </w:p>
        </w:tc>
        <w:tc>
          <w:tcPr>
            <w:tcW w:w="64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sz w:val="21"/>
                <w:szCs w:val="21"/>
                <w:highlight w:val="none"/>
                <w:lang w:val="en-US" w:eastAsia="zh-CN"/>
              </w:rPr>
              <w:t>城南</w:t>
            </w:r>
            <w:r>
              <w:rPr>
                <w:rFonts w:hint="default" w:ascii="Times New Roman" w:hAnsi="Times New Roman" w:eastAsia="宋体" w:cs="Times New Roman"/>
                <w:color w:val="auto"/>
                <w:sz w:val="21"/>
                <w:szCs w:val="21"/>
                <w:highlight w:val="none"/>
              </w:rPr>
              <w:t>水厂饮用水水源保护区</w:t>
            </w:r>
          </w:p>
        </w:tc>
        <w:tc>
          <w:tcPr>
            <w:tcW w:w="59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5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140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东洲岛与城南水厂饮用水水源保护区一级水域相邻。湘江东岸区域风光带整治工程位于该保护区二级陆域</w:t>
            </w:r>
          </w:p>
        </w:tc>
        <w:tc>
          <w:tcPr>
            <w:tcW w:w="7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饮用水水源保护区</w:t>
            </w:r>
          </w:p>
        </w:tc>
        <w:tc>
          <w:tcPr>
            <w:tcW w:w="648" w:type="pct"/>
            <w:vMerge w:val="continue"/>
            <w:tcBorders>
              <w:tl2br w:val="nil"/>
              <w:tr2bl w:val="nil"/>
            </w:tcBorders>
            <w:noWrap w:val="0"/>
            <w:vAlign w:val="center"/>
          </w:tcPr>
          <w:p>
            <w:pPr>
              <w:pStyle w:val="49"/>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城北水厂</w:t>
            </w:r>
            <w:r>
              <w:rPr>
                <w:rFonts w:hint="default" w:ascii="Times New Roman" w:hAnsi="Times New Roman" w:eastAsia="宋体" w:cs="Times New Roman"/>
                <w:color w:val="auto"/>
                <w:sz w:val="21"/>
                <w:szCs w:val="21"/>
                <w:highlight w:val="none"/>
              </w:rPr>
              <w:t>饮用水水源保护区</w:t>
            </w:r>
          </w:p>
        </w:tc>
        <w:tc>
          <w:tcPr>
            <w:tcW w:w="59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cs="Times New Roman"/>
                <w:color w:val="auto"/>
                <w:sz w:val="21"/>
                <w:szCs w:val="21"/>
                <w:highlight w:val="none"/>
                <w:lang w:val="en-US" w:eastAsia="zh-CN"/>
              </w:rPr>
              <w:t>/</w:t>
            </w:r>
          </w:p>
        </w:tc>
        <w:tc>
          <w:tcPr>
            <w:tcW w:w="5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cs="Times New Roman"/>
                <w:color w:val="auto"/>
                <w:sz w:val="21"/>
                <w:szCs w:val="21"/>
                <w:highlight w:val="none"/>
                <w:lang w:val="en-US" w:eastAsia="zh-CN"/>
              </w:rPr>
              <w:t>/</w:t>
            </w:r>
          </w:p>
        </w:tc>
        <w:tc>
          <w:tcPr>
            <w:tcW w:w="140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下游，项目距离该保护区二级水域上边界约150m，距离一级水域上边界约2800m</w:t>
            </w:r>
          </w:p>
        </w:tc>
        <w:tc>
          <w:tcPr>
            <w:tcW w:w="7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饮用水水源保护区</w:t>
            </w:r>
          </w:p>
        </w:tc>
        <w:tc>
          <w:tcPr>
            <w:tcW w:w="648" w:type="pct"/>
            <w:vMerge w:val="continue"/>
            <w:tcBorders>
              <w:tl2br w:val="nil"/>
              <w:tr2bl w:val="nil"/>
            </w:tcBorders>
            <w:noWrap w:val="0"/>
            <w:vAlign w:val="center"/>
          </w:tcPr>
          <w:p>
            <w:pPr>
              <w:pStyle w:val="49"/>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江东水</w:t>
            </w:r>
            <w:r>
              <w:rPr>
                <w:rFonts w:hint="default" w:cs="Times New Roman"/>
                <w:color w:val="auto"/>
                <w:kern w:val="0"/>
                <w:sz w:val="21"/>
                <w:szCs w:val="21"/>
                <w:highlight w:val="none"/>
                <w:vertAlign w:val="baseline"/>
                <w:lang w:val="en-US" w:eastAsia="zh-CN" w:bidi="ar"/>
              </w:rPr>
              <w:t>厂</w:t>
            </w:r>
            <w:r>
              <w:rPr>
                <w:rFonts w:hint="default" w:cs="Times New Roman"/>
                <w:color w:val="auto"/>
                <w:sz w:val="21"/>
                <w:szCs w:val="21"/>
                <w:highlight w:val="none"/>
                <w:lang w:val="en-US" w:eastAsia="zh-CN"/>
              </w:rPr>
              <w:t>取水口</w:t>
            </w:r>
          </w:p>
        </w:tc>
        <w:tc>
          <w:tcPr>
            <w:tcW w:w="59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color w:val="auto"/>
              </w:rPr>
              <w:t>112.385494068</w:t>
            </w:r>
          </w:p>
        </w:tc>
        <w:tc>
          <w:tcPr>
            <w:tcW w:w="5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color w:val="auto"/>
              </w:rPr>
              <w:t>26.520082862</w:t>
            </w:r>
          </w:p>
        </w:tc>
        <w:tc>
          <w:tcPr>
            <w:tcW w:w="140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上游，项目距离取水口最近约1200m</w:t>
            </w:r>
          </w:p>
        </w:tc>
        <w:tc>
          <w:tcPr>
            <w:tcW w:w="7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饮用水水源</w:t>
            </w:r>
            <w:r>
              <w:rPr>
                <w:rFonts w:hint="default" w:cs="Times New Roman"/>
                <w:color w:val="auto"/>
                <w:sz w:val="21"/>
                <w:szCs w:val="21"/>
                <w:highlight w:val="none"/>
                <w:lang w:val="en-US" w:eastAsia="zh-CN"/>
              </w:rPr>
              <w:t>取水口</w:t>
            </w:r>
          </w:p>
        </w:tc>
        <w:tc>
          <w:tcPr>
            <w:tcW w:w="64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eastAsia="宋体" w:cs="Times New Roman"/>
                <w:color w:val="auto"/>
                <w:kern w:val="0"/>
                <w:sz w:val="21"/>
                <w:szCs w:val="21"/>
                <w:highlight w:val="none"/>
                <w:vertAlign w:val="baseline"/>
                <w:lang w:val="en-US" w:eastAsia="zh-CN" w:bidi="ar"/>
              </w:rPr>
            </w:pPr>
            <w:r>
              <w:rPr>
                <w:rFonts w:hint="default" w:cs="Times New Roman"/>
                <w:color w:val="auto"/>
                <w:sz w:val="21"/>
                <w:szCs w:val="21"/>
                <w:highlight w:val="none"/>
                <w:lang w:val="en-US" w:eastAsia="zh-CN"/>
              </w:rPr>
              <w:t>城南</w:t>
            </w:r>
            <w:r>
              <w:rPr>
                <w:rFonts w:hint="default" w:ascii="Times New Roman" w:hAnsi="Times New Roman" w:eastAsia="宋体" w:cs="Times New Roman"/>
                <w:color w:val="auto"/>
                <w:sz w:val="21"/>
                <w:szCs w:val="21"/>
                <w:highlight w:val="none"/>
              </w:rPr>
              <w:t>水厂</w:t>
            </w:r>
            <w:r>
              <w:rPr>
                <w:rFonts w:hint="default" w:cs="Times New Roman"/>
                <w:color w:val="auto"/>
                <w:sz w:val="21"/>
                <w:szCs w:val="21"/>
                <w:highlight w:val="none"/>
                <w:lang w:val="en-US" w:eastAsia="zh-CN"/>
              </w:rPr>
              <w:t>取水口</w:t>
            </w:r>
          </w:p>
        </w:tc>
        <w:tc>
          <w:tcPr>
            <w:tcW w:w="59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112.370739999</w:t>
            </w:r>
          </w:p>
        </w:tc>
        <w:tc>
          <w:tcPr>
            <w:tcW w:w="5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26.522741931</w:t>
            </w:r>
          </w:p>
        </w:tc>
        <w:tc>
          <w:tcPr>
            <w:tcW w:w="140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项目南侧，项目距离取水口最近约270m</w:t>
            </w:r>
          </w:p>
        </w:tc>
        <w:tc>
          <w:tcPr>
            <w:tcW w:w="7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饮用水水源</w:t>
            </w:r>
            <w:r>
              <w:rPr>
                <w:rFonts w:hint="default" w:cs="Times New Roman"/>
                <w:color w:val="auto"/>
                <w:sz w:val="21"/>
                <w:szCs w:val="21"/>
                <w:highlight w:val="none"/>
                <w:lang w:val="en-US" w:eastAsia="zh-CN"/>
              </w:rPr>
              <w:t>取水口</w:t>
            </w:r>
          </w:p>
        </w:tc>
        <w:tc>
          <w:tcPr>
            <w:tcW w:w="648" w:type="pct"/>
            <w:vMerge w:val="continue"/>
            <w:tcBorders>
              <w:tl2br w:val="nil"/>
              <w:tr2bl w:val="nil"/>
            </w:tcBorders>
            <w:noWrap w:val="0"/>
            <w:vAlign w:val="center"/>
          </w:tcPr>
          <w:p>
            <w:pPr>
              <w:pStyle w:val="4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u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城北水厂（演武坪）</w:t>
            </w:r>
            <w:r>
              <w:rPr>
                <w:rFonts w:hint="default" w:cs="Times New Roman"/>
                <w:color w:val="auto"/>
                <w:sz w:val="21"/>
                <w:szCs w:val="21"/>
                <w:highlight w:val="none"/>
                <w:lang w:val="en-US" w:eastAsia="zh-CN"/>
              </w:rPr>
              <w:t>取水口</w:t>
            </w:r>
          </w:p>
        </w:tc>
        <w:tc>
          <w:tcPr>
            <w:tcW w:w="59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color w:val="auto"/>
              </w:rPr>
              <w:t>112.363744000</w:t>
            </w:r>
          </w:p>
        </w:tc>
        <w:tc>
          <w:tcPr>
            <w:tcW w:w="5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color w:val="auto"/>
              </w:rPr>
              <w:t>26.543558793</w:t>
            </w:r>
          </w:p>
        </w:tc>
        <w:tc>
          <w:tcPr>
            <w:tcW w:w="140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cs="Times New Roman"/>
                <w:color w:val="auto"/>
                <w:sz w:val="21"/>
                <w:szCs w:val="21"/>
                <w:highlight w:val="none"/>
                <w:lang w:val="en-US" w:eastAsia="zh-CN"/>
              </w:rPr>
              <w:t>下游，项目距离取水口最近约3800m</w:t>
            </w:r>
          </w:p>
        </w:tc>
        <w:tc>
          <w:tcPr>
            <w:tcW w:w="7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饮用水水源</w:t>
            </w:r>
            <w:r>
              <w:rPr>
                <w:rFonts w:hint="default" w:cs="Times New Roman"/>
                <w:color w:val="auto"/>
                <w:sz w:val="21"/>
                <w:szCs w:val="21"/>
                <w:highlight w:val="none"/>
                <w:lang w:val="en-US" w:eastAsia="zh-CN"/>
              </w:rPr>
              <w:t>取水口</w:t>
            </w:r>
          </w:p>
        </w:tc>
        <w:tc>
          <w:tcPr>
            <w:tcW w:w="648" w:type="pct"/>
            <w:vMerge w:val="continue"/>
            <w:tcBorders>
              <w:tl2br w:val="nil"/>
              <w:tr2bl w:val="nil"/>
            </w:tcBorders>
            <w:noWrap w:val="0"/>
            <w:vAlign w:val="center"/>
          </w:tcPr>
          <w:p>
            <w:pPr>
              <w:pStyle w:val="4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u w:val="none"/>
                <w:lang w:eastAsia="zh-CN"/>
              </w:rPr>
            </w:pP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w:t>
      </w:r>
      <w:r>
        <w:rPr>
          <w:rFonts w:hint="default" w:cs="Times New Roman"/>
          <w:b/>
          <w:bCs/>
          <w:color w:val="auto"/>
          <w:kern w:val="0"/>
          <w:sz w:val="28"/>
          <w:szCs w:val="28"/>
          <w:highlight w:val="none"/>
          <w:lang w:val="en-US" w:eastAsia="zh-CN"/>
        </w:rPr>
        <w:t>7</w:t>
      </w:r>
      <w:r>
        <w:rPr>
          <w:rFonts w:hint="default" w:ascii="Times New Roman" w:hAnsi="Times New Roman" w:eastAsia="宋体" w:cs="Times New Roman"/>
          <w:b/>
          <w:bCs/>
          <w:color w:val="auto"/>
          <w:kern w:val="0"/>
          <w:sz w:val="28"/>
          <w:szCs w:val="28"/>
          <w:highlight w:val="none"/>
          <w:lang w:val="en-US" w:eastAsia="zh-CN"/>
        </w:rPr>
        <w:t>.</w:t>
      </w:r>
      <w:r>
        <w:rPr>
          <w:rFonts w:hint="default" w:cs="Times New Roman"/>
          <w:b/>
          <w:bCs/>
          <w:color w:val="auto"/>
          <w:kern w:val="0"/>
          <w:sz w:val="28"/>
          <w:szCs w:val="28"/>
          <w:highlight w:val="none"/>
          <w:lang w:val="en-US" w:eastAsia="zh-CN"/>
        </w:rPr>
        <w:t>2大气、声环境保护目标</w:t>
      </w:r>
    </w:p>
    <w:p>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本项目施工期和运营期大气、声</w:t>
      </w:r>
      <w:r>
        <w:rPr>
          <w:rFonts w:hint="eastAsia" w:cs="Times New Roman"/>
          <w:color w:val="auto"/>
          <w:sz w:val="24"/>
          <w:highlight w:val="none"/>
          <w:u w:val="none"/>
          <w:lang w:val="en-US" w:eastAsia="zh-CN"/>
        </w:rPr>
        <w:t>环境保护</w:t>
      </w:r>
      <w:r>
        <w:rPr>
          <w:rFonts w:hint="default" w:cs="Times New Roman"/>
          <w:color w:val="auto"/>
          <w:sz w:val="24"/>
          <w:highlight w:val="none"/>
          <w:u w:val="none"/>
          <w:lang w:val="en-US" w:eastAsia="zh-CN"/>
        </w:rPr>
        <w:t>目标详见下表。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2.7-2施工期、运营期大气、声环境保护目标</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08"/>
        <w:gridCol w:w="1732"/>
        <w:gridCol w:w="1628"/>
        <w:gridCol w:w="2177"/>
        <w:gridCol w:w="1783"/>
        <w:gridCol w:w="2126"/>
        <w:gridCol w:w="18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08" w:type="dxa"/>
            <w:vMerge w:val="restart"/>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目标</w:t>
            </w:r>
            <w:r>
              <w:rPr>
                <w:rFonts w:hint="default" w:ascii="Times New Roman" w:hAnsi="Times New Roman" w:cs="Times New Roman"/>
                <w:color w:val="auto"/>
                <w:highlight w:val="none"/>
                <w:lang w:val="en-US" w:eastAsia="zh-CN"/>
              </w:rPr>
              <w:t>名称</w:t>
            </w:r>
          </w:p>
        </w:tc>
        <w:tc>
          <w:tcPr>
            <w:tcW w:w="3360" w:type="dxa"/>
            <w:gridSpan w:val="2"/>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坐标</w:t>
            </w:r>
            <w:r>
              <w:rPr>
                <w:rFonts w:hint="default" w:cs="Times New Roman"/>
                <w:color w:val="auto"/>
                <w:kern w:val="0"/>
                <w:sz w:val="21"/>
                <w:szCs w:val="21"/>
                <w:highlight w:val="none"/>
                <w:vertAlign w:val="baseline"/>
                <w:lang w:val="en-US" w:eastAsia="zh-CN" w:bidi="ar"/>
              </w:rPr>
              <w:t>/°</w:t>
            </w:r>
          </w:p>
        </w:tc>
        <w:tc>
          <w:tcPr>
            <w:tcW w:w="2177" w:type="dxa"/>
            <w:vMerge w:val="restart"/>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相对项目方位/距离</w:t>
            </w:r>
          </w:p>
        </w:tc>
        <w:tc>
          <w:tcPr>
            <w:tcW w:w="1783" w:type="dxa"/>
            <w:vMerge w:val="restart"/>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default" w:cs="Times New Roman"/>
                <w:color w:val="auto"/>
                <w:highlight w:val="none"/>
                <w:lang w:val="en-US" w:eastAsia="zh-CN"/>
              </w:rPr>
              <w:t>保护对象/规模</w:t>
            </w:r>
          </w:p>
        </w:tc>
        <w:tc>
          <w:tcPr>
            <w:tcW w:w="2126" w:type="dxa"/>
            <w:vMerge w:val="restart"/>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保护内容</w:t>
            </w:r>
          </w:p>
        </w:tc>
        <w:tc>
          <w:tcPr>
            <w:tcW w:w="1810" w:type="dxa"/>
            <w:vMerge w:val="restart"/>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1"/>
                <w:szCs w:val="21"/>
                <w:highlight w:val="none"/>
              </w:rPr>
              <w:t>环境功能区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08" w:type="dxa"/>
            <w:vMerge w:val="continue"/>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c>
          <w:tcPr>
            <w:tcW w:w="1732" w:type="dxa"/>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经度</w:t>
            </w:r>
          </w:p>
        </w:tc>
        <w:tc>
          <w:tcPr>
            <w:tcW w:w="1628" w:type="dxa"/>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纬度</w:t>
            </w:r>
          </w:p>
        </w:tc>
        <w:tc>
          <w:tcPr>
            <w:tcW w:w="2177" w:type="dxa"/>
            <w:vMerge w:val="continue"/>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cs="Times New Roman"/>
                <w:color w:val="auto"/>
                <w:kern w:val="0"/>
                <w:sz w:val="21"/>
                <w:szCs w:val="21"/>
                <w:highlight w:val="none"/>
                <w:vertAlign w:val="baseline"/>
                <w:lang w:val="en-US" w:eastAsia="zh-CN" w:bidi="ar"/>
              </w:rPr>
            </w:pPr>
          </w:p>
        </w:tc>
        <w:tc>
          <w:tcPr>
            <w:tcW w:w="1783" w:type="dxa"/>
            <w:vMerge w:val="continue"/>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cs="Times New Roman"/>
                <w:color w:val="auto"/>
                <w:highlight w:val="none"/>
                <w:lang w:val="en-US" w:eastAsia="zh-CN"/>
              </w:rPr>
            </w:pPr>
          </w:p>
        </w:tc>
        <w:tc>
          <w:tcPr>
            <w:tcW w:w="2126" w:type="dxa"/>
            <w:vMerge w:val="continue"/>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tc>
        <w:tc>
          <w:tcPr>
            <w:tcW w:w="1810" w:type="dxa"/>
            <w:vMerge w:val="continue"/>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eastAsia="宋体" w:cs="Times New Roman"/>
                <w:color w:val="auto"/>
                <w:kern w:val="2"/>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08" w:type="dxa"/>
            <w:tcBorders>
              <w:tl2br w:val="nil"/>
              <w:tr2bl w:val="nil"/>
            </w:tcBorders>
            <w:noWrap w:val="0"/>
            <w:vAlign w:val="center"/>
          </w:tcPr>
          <w:p>
            <w:pPr>
              <w:pStyle w:val="51"/>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保利阅江台</w:t>
            </w:r>
          </w:p>
        </w:tc>
        <w:tc>
          <w:tcPr>
            <w:tcW w:w="1732" w:type="dxa"/>
            <w:tcBorders>
              <w:tl2br w:val="nil"/>
              <w:tr2bl w:val="nil"/>
            </w:tcBorders>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112.63049648</w:t>
            </w:r>
          </w:p>
        </w:tc>
        <w:tc>
          <w:tcPr>
            <w:tcW w:w="1628" w:type="dxa"/>
            <w:tcBorders>
              <w:tl2br w:val="nil"/>
              <w:tr2bl w:val="nil"/>
            </w:tcBorders>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26.87413459</w:t>
            </w:r>
          </w:p>
        </w:tc>
        <w:tc>
          <w:tcPr>
            <w:tcW w:w="2177" w:type="dxa"/>
            <w:tcBorders>
              <w:tl2br w:val="nil"/>
              <w:tr2bl w:val="nil"/>
            </w:tcBorders>
            <w:noWrap w:val="0"/>
            <w:vAlign w:val="center"/>
          </w:tcPr>
          <w:p>
            <w:pPr>
              <w:pStyle w:val="51"/>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项目北侧/约</w:t>
            </w:r>
            <w:r>
              <w:rPr>
                <w:rFonts w:hint="default" w:ascii="Times New Roman" w:hAnsi="Times New Roman" w:cs="Times New Roman"/>
                <w:color w:val="auto"/>
                <w:highlight w:val="none"/>
                <w:lang w:val="en-US" w:eastAsia="zh-CN"/>
              </w:rPr>
              <w:t>10m</w:t>
            </w:r>
          </w:p>
        </w:tc>
        <w:tc>
          <w:tcPr>
            <w:tcW w:w="1783" w:type="dxa"/>
            <w:tcBorders>
              <w:tl2br w:val="nil"/>
              <w:tr2bl w:val="nil"/>
            </w:tcBorders>
            <w:noWrap w:val="0"/>
            <w:vAlign w:val="center"/>
          </w:tcPr>
          <w:p>
            <w:pPr>
              <w:pStyle w:val="51"/>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居民</w:t>
            </w:r>
            <w:r>
              <w:rPr>
                <w:rFonts w:hint="default" w:cs="Times New Roman"/>
                <w:color w:val="auto"/>
                <w:highlight w:val="none"/>
                <w:lang w:val="en-US" w:eastAsia="zh-CN"/>
              </w:rPr>
              <w:t>/</w:t>
            </w:r>
            <w:r>
              <w:rPr>
                <w:rFonts w:hint="default" w:ascii="Times New Roman" w:hAnsi="Times New Roman" w:cs="Times New Roman"/>
                <w:color w:val="auto"/>
                <w:highlight w:val="none"/>
                <w:lang w:val="en-US" w:eastAsia="zh-CN"/>
              </w:rPr>
              <w:t>约</w:t>
            </w:r>
            <w:r>
              <w:rPr>
                <w:rFonts w:hint="default" w:cs="Times New Roman"/>
                <w:color w:val="auto"/>
                <w:highlight w:val="none"/>
                <w:lang w:val="en-US" w:eastAsia="zh-CN"/>
              </w:rPr>
              <w:t>255</w:t>
            </w:r>
            <w:r>
              <w:rPr>
                <w:rFonts w:hint="default" w:ascii="Times New Roman" w:hAnsi="Times New Roman" w:cs="Times New Roman"/>
                <w:color w:val="auto"/>
                <w:highlight w:val="none"/>
                <w:lang w:val="en-US" w:eastAsia="zh-CN"/>
              </w:rPr>
              <w:t>户</w:t>
            </w:r>
          </w:p>
        </w:tc>
        <w:tc>
          <w:tcPr>
            <w:tcW w:w="2126" w:type="dxa"/>
            <w:tcBorders>
              <w:tl2br w:val="nil"/>
              <w:tr2bl w:val="nil"/>
            </w:tcBorders>
            <w:noWrap w:val="0"/>
            <w:vAlign w:val="center"/>
          </w:tcPr>
          <w:p>
            <w:pPr>
              <w:pStyle w:val="51"/>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大气、声环境</w:t>
            </w:r>
          </w:p>
        </w:tc>
        <w:tc>
          <w:tcPr>
            <w:tcW w:w="1810" w:type="dxa"/>
            <w:vMerge w:val="restart"/>
            <w:tcBorders>
              <w:tl2br w:val="nil"/>
              <w:tr2bl w:val="nil"/>
            </w:tcBorders>
            <w:noWrap w:val="0"/>
            <w:vAlign w:val="center"/>
          </w:tcPr>
          <w:p>
            <w:pPr>
              <w:pStyle w:val="48"/>
              <w:spacing w:before="0" w:line="240" w:lineRule="auto"/>
              <w:ind w:left="-105" w:leftChars="-50" w:right="-105" w:rightChars="-50"/>
              <w:rPr>
                <w:rFonts w:hint="default" w:ascii="Times New Roman" w:hAnsi="Times New Roman" w:eastAsia="宋体" w:cs="Times New Roman"/>
                <w:b w:val="0"/>
                <w:bCs/>
                <w:color w:val="auto"/>
                <w:kern w:val="2"/>
                <w:sz w:val="21"/>
                <w:szCs w:val="21"/>
                <w:highlight w:val="none"/>
              </w:rPr>
            </w:pPr>
            <w:r>
              <w:rPr>
                <w:rFonts w:hint="default" w:ascii="Times New Roman" w:hAnsi="Times New Roman" w:eastAsia="宋体" w:cs="Times New Roman"/>
                <w:b w:val="0"/>
                <w:bCs/>
                <w:color w:val="auto"/>
                <w:kern w:val="2"/>
                <w:sz w:val="21"/>
                <w:szCs w:val="21"/>
                <w:highlight w:val="none"/>
              </w:rPr>
              <w:t>GB3095-2012</w:t>
            </w:r>
          </w:p>
          <w:p>
            <w:pPr>
              <w:pStyle w:val="51"/>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color w:val="auto"/>
                <w:kern w:val="2"/>
                <w:sz w:val="21"/>
                <w:szCs w:val="21"/>
                <w:highlight w:val="none"/>
                <w:lang w:val="en-US" w:eastAsia="zh-CN"/>
              </w:rPr>
              <w:t>中二类区，</w:t>
            </w:r>
            <w:r>
              <w:rPr>
                <w:rFonts w:hint="default" w:ascii="Times New Roman" w:hAnsi="Times New Roman" w:eastAsia="宋体" w:cs="Times New Roman"/>
                <w:b w:val="0"/>
                <w:bCs/>
                <w:color w:val="auto"/>
                <w:kern w:val="0"/>
                <w:sz w:val="21"/>
                <w:szCs w:val="21"/>
                <w:highlight w:val="none"/>
                <w:lang w:val="en-US" w:eastAsia="zh-CN" w:bidi="ar"/>
              </w:rPr>
              <w:t>GB3096</w:t>
            </w:r>
            <w:r>
              <w:rPr>
                <w:rFonts w:hint="default" w:ascii="Times New Roman" w:hAnsi="Times New Roman" w:eastAsia="宋体" w:cs="Times New Roman"/>
                <w:color w:val="auto"/>
                <w:kern w:val="0"/>
                <w:sz w:val="21"/>
                <w:szCs w:val="21"/>
                <w:highlight w:val="none"/>
                <w:lang w:val="en-US" w:eastAsia="zh-CN" w:bidi="ar"/>
              </w:rPr>
              <w:t>-2008</w:t>
            </w:r>
          </w:p>
          <w:p>
            <w:pPr>
              <w:pStyle w:val="51"/>
              <w:keepNext w:val="0"/>
              <w:keepLines w:val="0"/>
              <w:suppressLineNumbers w:val="0"/>
              <w:spacing w:before="0" w:beforeAutospacing="0" w:after="0" w:afterAutospacing="0"/>
              <w:ind w:left="0" w:right="0"/>
              <w:rPr>
                <w:rFonts w:hint="default" w:ascii="Times New Roman" w:hAnsi="Times New Roman" w:eastAsia="宋体" w:cs="Times New Roman"/>
                <w:snapToGrid w:val="0"/>
                <w:color w:val="auto"/>
                <w:kern w:val="28"/>
                <w:sz w:val="28"/>
                <w:szCs w:val="20"/>
                <w:highlight w:val="none"/>
                <w:lang w:val="en-US" w:eastAsia="zh-CN"/>
              </w:rPr>
            </w:pPr>
            <w:r>
              <w:rPr>
                <w:rFonts w:hint="default" w:ascii="Times New Roman" w:hAnsi="Times New Roman" w:cs="Times New Roman"/>
                <w:color w:val="auto"/>
                <w:kern w:val="0"/>
                <w:sz w:val="21"/>
                <w:szCs w:val="21"/>
                <w:highlight w:val="none"/>
                <w:lang w:val="en-US" w:eastAsia="zh-CN" w:bidi="ar"/>
              </w:rPr>
              <w:t>中</w:t>
            </w:r>
            <w:r>
              <w:rPr>
                <w:rFonts w:hint="default" w:ascii="Times New Roman" w:hAnsi="Times New Roman" w:eastAsia="宋体" w:cs="Times New Roman"/>
                <w:color w:val="auto"/>
                <w:kern w:val="0"/>
                <w:sz w:val="21"/>
                <w:szCs w:val="21"/>
                <w:highlight w:val="none"/>
                <w:lang w:val="en-US" w:eastAsia="zh-CN" w:bidi="ar"/>
              </w:rPr>
              <w:t>4类、2类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08" w:type="dxa"/>
            <w:tcBorders>
              <w:tl2br w:val="nil"/>
              <w:tr2bl w:val="nil"/>
            </w:tcBorders>
            <w:noWrap w:val="0"/>
            <w:vAlign w:val="center"/>
          </w:tcPr>
          <w:p>
            <w:pPr>
              <w:pStyle w:val="51"/>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湘水明珠</w:t>
            </w:r>
          </w:p>
        </w:tc>
        <w:tc>
          <w:tcPr>
            <w:tcW w:w="1732" w:type="dxa"/>
            <w:tcBorders>
              <w:tl2br w:val="nil"/>
              <w:tr2bl w:val="nil"/>
            </w:tcBorders>
            <w:noWrap w:val="0"/>
            <w:vAlign w:val="center"/>
          </w:tcPr>
          <w:p>
            <w:pPr>
              <w:jc w:val="center"/>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112.62766242</w:t>
            </w:r>
          </w:p>
        </w:tc>
        <w:tc>
          <w:tcPr>
            <w:tcW w:w="1628" w:type="dxa"/>
            <w:tcBorders>
              <w:tl2br w:val="nil"/>
              <w:tr2bl w:val="nil"/>
            </w:tcBorders>
            <w:noWrap w:val="0"/>
            <w:vAlign w:val="center"/>
          </w:tcPr>
          <w:p>
            <w:pPr>
              <w:jc w:val="center"/>
              <w:rPr>
                <w:rFonts w:hint="default" w:cs="Times New Roman"/>
                <w:color w:val="auto"/>
                <w:highlight w:val="none"/>
                <w:lang w:val="en-US" w:eastAsia="zh-CN"/>
              </w:rPr>
            </w:pPr>
            <w:r>
              <w:rPr>
                <w:rFonts w:hint="default" w:ascii="Times New Roman" w:hAnsi="Times New Roman" w:cs="Times New Roman"/>
                <w:color w:val="auto"/>
                <w:highlight w:val="none"/>
                <w:lang w:val="en-US" w:eastAsia="zh-CN"/>
              </w:rPr>
              <w:t>26.87543522</w:t>
            </w:r>
          </w:p>
        </w:tc>
        <w:tc>
          <w:tcPr>
            <w:tcW w:w="2177" w:type="dxa"/>
            <w:tcBorders>
              <w:tl2br w:val="nil"/>
              <w:tr2bl w:val="nil"/>
            </w:tcBorders>
            <w:noWrap w:val="0"/>
            <w:vAlign w:val="center"/>
          </w:tcPr>
          <w:p>
            <w:pPr>
              <w:pStyle w:val="51"/>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项目东北侧/约52</w:t>
            </w:r>
            <w:r>
              <w:rPr>
                <w:rFonts w:hint="default" w:ascii="Times New Roman" w:hAnsi="Times New Roman" w:cs="Times New Roman"/>
                <w:color w:val="auto"/>
                <w:highlight w:val="none"/>
                <w:lang w:val="en-US" w:eastAsia="zh-CN"/>
              </w:rPr>
              <w:t>m</w:t>
            </w:r>
          </w:p>
        </w:tc>
        <w:tc>
          <w:tcPr>
            <w:tcW w:w="1783" w:type="dxa"/>
            <w:tcBorders>
              <w:tl2br w:val="nil"/>
              <w:tr2bl w:val="nil"/>
            </w:tcBorders>
            <w:noWrap w:val="0"/>
            <w:vAlign w:val="center"/>
          </w:tcPr>
          <w:p>
            <w:pPr>
              <w:pStyle w:val="51"/>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w:t>
            </w:r>
            <w:r>
              <w:rPr>
                <w:rFonts w:hint="default" w:cs="Times New Roman"/>
                <w:color w:val="auto"/>
                <w:highlight w:val="none"/>
                <w:lang w:val="en-US" w:eastAsia="zh-CN"/>
              </w:rPr>
              <w:t>/</w:t>
            </w:r>
            <w:r>
              <w:rPr>
                <w:rFonts w:hint="default" w:ascii="Times New Roman" w:hAnsi="Times New Roman" w:cs="Times New Roman"/>
                <w:color w:val="auto"/>
                <w:highlight w:val="none"/>
                <w:lang w:val="en-US" w:eastAsia="zh-CN"/>
              </w:rPr>
              <w:t>约4566户</w:t>
            </w:r>
          </w:p>
        </w:tc>
        <w:tc>
          <w:tcPr>
            <w:tcW w:w="2126" w:type="dxa"/>
            <w:tcBorders>
              <w:tl2br w:val="nil"/>
              <w:tr2bl w:val="nil"/>
            </w:tcBorders>
            <w:noWrap w:val="0"/>
            <w:vAlign w:val="center"/>
          </w:tcPr>
          <w:p>
            <w:pPr>
              <w:pStyle w:val="51"/>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大气、声环境</w:t>
            </w:r>
          </w:p>
        </w:tc>
        <w:tc>
          <w:tcPr>
            <w:tcW w:w="1810" w:type="dxa"/>
            <w:vMerge w:val="continue"/>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kern w:val="0"/>
                <w:sz w:val="21"/>
                <w:szCs w:val="21"/>
                <w:highlight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08" w:type="dxa"/>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湖南有色冶金机械厂家属楼</w:t>
            </w:r>
          </w:p>
        </w:tc>
        <w:tc>
          <w:tcPr>
            <w:tcW w:w="1732" w:type="dxa"/>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112.63389693</w:t>
            </w:r>
          </w:p>
        </w:tc>
        <w:tc>
          <w:tcPr>
            <w:tcW w:w="1628" w:type="dxa"/>
            <w:tcBorders>
              <w:tl2br w:val="nil"/>
              <w:tr2bl w:val="nil"/>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26.87374588</w:t>
            </w:r>
          </w:p>
        </w:tc>
        <w:tc>
          <w:tcPr>
            <w:tcW w:w="2177" w:type="dxa"/>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default" w:cs="Times New Roman"/>
                <w:color w:val="auto"/>
                <w:highlight w:val="none"/>
                <w:lang w:val="en-US" w:eastAsia="zh-CN"/>
              </w:rPr>
              <w:t>项目北侧/约</w:t>
            </w:r>
            <w:r>
              <w:rPr>
                <w:rFonts w:hint="default" w:ascii="Times New Roman" w:hAnsi="Times New Roman" w:cs="Times New Roman"/>
                <w:color w:val="auto"/>
                <w:highlight w:val="none"/>
                <w:lang w:val="en-US" w:eastAsia="zh-CN"/>
              </w:rPr>
              <w:t>127</w:t>
            </w:r>
            <w:r>
              <w:rPr>
                <w:rFonts w:hint="default" w:ascii="Times New Roman" w:hAnsi="Times New Roman" w:cs="Times New Roman"/>
                <w:color w:val="auto"/>
                <w:highlight w:val="none"/>
              </w:rPr>
              <w:t>m</w:t>
            </w:r>
          </w:p>
        </w:tc>
        <w:tc>
          <w:tcPr>
            <w:tcW w:w="1783" w:type="dxa"/>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居民</w:t>
            </w:r>
            <w:r>
              <w:rPr>
                <w:rFonts w:hint="default" w:cs="Times New Roman"/>
                <w:color w:val="auto"/>
                <w:highlight w:val="none"/>
                <w:lang w:val="en-US" w:eastAsia="zh-CN"/>
              </w:rPr>
              <w:t>/</w:t>
            </w:r>
            <w:r>
              <w:rPr>
                <w:rFonts w:hint="default" w:ascii="Times New Roman" w:hAnsi="Times New Roman" w:cs="Times New Roman"/>
                <w:color w:val="auto"/>
                <w:highlight w:val="none"/>
                <w:lang w:val="en-US" w:eastAsia="zh-CN"/>
              </w:rPr>
              <w:t>约40户</w:t>
            </w:r>
          </w:p>
        </w:tc>
        <w:tc>
          <w:tcPr>
            <w:tcW w:w="2126"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大气、声环境</w:t>
            </w:r>
          </w:p>
        </w:tc>
        <w:tc>
          <w:tcPr>
            <w:tcW w:w="1810" w:type="dxa"/>
            <w:vMerge w:val="continue"/>
            <w:tcBorders>
              <w:tl2br w:val="nil"/>
              <w:tr2bl w:val="nil"/>
            </w:tcBorders>
            <w:noWrap w:val="0"/>
            <w:vAlign w:val="center"/>
          </w:tcPr>
          <w:p>
            <w:pPr>
              <w:pStyle w:val="51"/>
              <w:keepNext w:val="0"/>
              <w:keepLines w:val="0"/>
              <w:suppressLineNumbers w:val="0"/>
              <w:spacing w:before="0" w:beforeAutospacing="0" w:after="0" w:afterAutospacing="0"/>
              <w:ind w:left="0" w:right="0" w:firstLine="422"/>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08" w:type="dxa"/>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和平村湘江小组村民</w:t>
            </w:r>
          </w:p>
        </w:tc>
        <w:tc>
          <w:tcPr>
            <w:tcW w:w="1732" w:type="dxa"/>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112.63716517</w:t>
            </w:r>
          </w:p>
        </w:tc>
        <w:tc>
          <w:tcPr>
            <w:tcW w:w="1628" w:type="dxa"/>
            <w:tcBorders>
              <w:tl2br w:val="nil"/>
              <w:tr2bl w:val="nil"/>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26.87149915</w:t>
            </w:r>
          </w:p>
        </w:tc>
        <w:tc>
          <w:tcPr>
            <w:tcW w:w="2177" w:type="dxa"/>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default" w:cs="Times New Roman"/>
                <w:color w:val="auto"/>
                <w:highlight w:val="none"/>
                <w:lang w:val="en-US" w:eastAsia="zh-CN"/>
              </w:rPr>
              <w:t>项目北侧/约</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m</w:t>
            </w:r>
          </w:p>
        </w:tc>
        <w:tc>
          <w:tcPr>
            <w:tcW w:w="1783" w:type="dxa"/>
            <w:tcBorders>
              <w:tl2br w:val="nil"/>
              <w:tr2bl w:val="nil"/>
            </w:tcBorders>
            <w:noWrap w:val="0"/>
            <w:vAlign w:val="center"/>
          </w:tcPr>
          <w:p>
            <w:pPr>
              <w:pStyle w:val="51"/>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居民</w:t>
            </w:r>
            <w:r>
              <w:rPr>
                <w:rFonts w:hint="default" w:cs="Times New Roman"/>
                <w:color w:val="auto"/>
                <w:highlight w:val="none"/>
                <w:lang w:val="en-US" w:eastAsia="zh-CN"/>
              </w:rPr>
              <w:t>/</w:t>
            </w:r>
            <w:r>
              <w:rPr>
                <w:rFonts w:hint="default" w:ascii="Times New Roman" w:hAnsi="Times New Roman" w:cs="Times New Roman"/>
                <w:color w:val="auto"/>
                <w:highlight w:val="none"/>
                <w:lang w:val="en-US" w:eastAsia="zh-CN"/>
              </w:rPr>
              <w:t>约150户</w:t>
            </w:r>
          </w:p>
        </w:tc>
        <w:tc>
          <w:tcPr>
            <w:tcW w:w="2126"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大气、声环境</w:t>
            </w:r>
          </w:p>
        </w:tc>
        <w:tc>
          <w:tcPr>
            <w:tcW w:w="1810" w:type="dxa"/>
            <w:vMerge w:val="continue"/>
            <w:tcBorders>
              <w:tl2br w:val="nil"/>
              <w:tr2bl w:val="nil"/>
            </w:tcBorders>
            <w:noWrap w:val="0"/>
            <w:vAlign w:val="center"/>
          </w:tcPr>
          <w:p>
            <w:pPr>
              <w:pStyle w:val="51"/>
              <w:keepNext w:val="0"/>
              <w:keepLines w:val="0"/>
              <w:suppressLineNumbers w:val="0"/>
              <w:spacing w:before="0" w:beforeAutospacing="0" w:after="0" w:afterAutospacing="0"/>
              <w:ind w:left="0" w:right="0" w:firstLine="422"/>
              <w:rPr>
                <w:rFonts w:hint="default" w:ascii="Times New Roman" w:hAnsi="Times New Roman" w:cs="Times New Roman"/>
                <w:color w:val="auto"/>
                <w:highlight w:val="none"/>
              </w:rPr>
            </w:pP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2.</w:t>
      </w:r>
      <w:r>
        <w:rPr>
          <w:rFonts w:hint="default" w:cs="Times New Roman"/>
          <w:b/>
          <w:bCs/>
          <w:color w:val="auto"/>
          <w:kern w:val="0"/>
          <w:sz w:val="28"/>
          <w:szCs w:val="28"/>
          <w:highlight w:val="none"/>
          <w:lang w:val="en-US" w:eastAsia="zh-CN"/>
        </w:rPr>
        <w:t>7</w:t>
      </w:r>
      <w:r>
        <w:rPr>
          <w:rFonts w:hint="default" w:ascii="Times New Roman" w:hAnsi="Times New Roman" w:eastAsia="宋体" w:cs="Times New Roman"/>
          <w:b/>
          <w:bCs/>
          <w:color w:val="auto"/>
          <w:kern w:val="0"/>
          <w:sz w:val="28"/>
          <w:szCs w:val="28"/>
          <w:highlight w:val="none"/>
          <w:lang w:val="en-US" w:eastAsia="zh-CN"/>
        </w:rPr>
        <w:t>.</w:t>
      </w:r>
      <w:r>
        <w:rPr>
          <w:rFonts w:hint="default" w:cs="Times New Roman"/>
          <w:b/>
          <w:bCs/>
          <w:color w:val="auto"/>
          <w:kern w:val="0"/>
          <w:sz w:val="28"/>
          <w:szCs w:val="28"/>
          <w:highlight w:val="none"/>
          <w:lang w:val="en-US" w:eastAsia="zh-CN"/>
        </w:rPr>
        <w:t>3生态环境保护目标</w:t>
      </w:r>
    </w:p>
    <w:p>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本项目施工期和运营期</w:t>
      </w:r>
      <w:r>
        <w:rPr>
          <w:rFonts w:hint="eastAsia" w:cs="Times New Roman"/>
          <w:color w:val="auto"/>
          <w:sz w:val="24"/>
          <w:highlight w:val="none"/>
          <w:u w:val="none"/>
          <w:lang w:val="en-US" w:eastAsia="zh-CN"/>
        </w:rPr>
        <w:t>生态环境保护</w:t>
      </w:r>
      <w:r>
        <w:rPr>
          <w:rFonts w:hint="default" w:cs="Times New Roman"/>
          <w:color w:val="auto"/>
          <w:sz w:val="24"/>
          <w:highlight w:val="none"/>
          <w:u w:val="none"/>
          <w:lang w:val="en-US" w:eastAsia="zh-CN"/>
        </w:rPr>
        <w:t>目标详见下表。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2.7-3施工期、运营期生态环境保护目标</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2082"/>
        <w:gridCol w:w="1764"/>
        <w:gridCol w:w="2865"/>
        <w:gridCol w:w="4133"/>
        <w:gridCol w:w="1268"/>
        <w:gridCol w:w="12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tcBorders>
              <w:tl2br w:val="nil"/>
              <w:tr2bl w:val="nil"/>
            </w:tcBorders>
            <w:vAlign w:val="center"/>
          </w:tcPr>
          <w:p>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类别</w:t>
            </w:r>
          </w:p>
        </w:tc>
        <w:tc>
          <w:tcPr>
            <w:tcW w:w="734" w:type="pct"/>
            <w:tcBorders>
              <w:tl2br w:val="nil"/>
              <w:tr2bl w:val="nil"/>
            </w:tcBorders>
            <w:vAlign w:val="center"/>
          </w:tcPr>
          <w:p>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敏感目标</w:t>
            </w:r>
          </w:p>
        </w:tc>
        <w:tc>
          <w:tcPr>
            <w:tcW w:w="622" w:type="pct"/>
            <w:tcBorders>
              <w:tl2br w:val="nil"/>
              <w:tr2bl w:val="nil"/>
            </w:tcBorders>
            <w:vAlign w:val="center"/>
          </w:tcPr>
          <w:p>
            <w:pPr>
              <w:widowControl/>
              <w:jc w:val="center"/>
              <w:rPr>
                <w:rFonts w:hint="default" w:ascii="Times New Roman" w:hAnsi="Times New Roman" w:eastAsia="宋体" w:cs="Times New Roman"/>
                <w:b/>
                <w:bCs/>
                <w:color w:val="auto"/>
                <w:szCs w:val="21"/>
                <w:highlight w:val="none"/>
                <w:lang w:val="en-US" w:eastAsia="zh-CN"/>
              </w:rPr>
            </w:pPr>
            <w:r>
              <w:rPr>
                <w:rFonts w:hint="default" w:cs="Times New Roman"/>
                <w:b/>
                <w:bCs/>
                <w:color w:val="auto"/>
                <w:szCs w:val="21"/>
                <w:highlight w:val="none"/>
                <w:lang w:val="en-US" w:eastAsia="zh-CN"/>
              </w:rPr>
              <w:t>性质</w:t>
            </w:r>
          </w:p>
        </w:tc>
        <w:tc>
          <w:tcPr>
            <w:tcW w:w="1010" w:type="pct"/>
            <w:tcBorders>
              <w:tl2br w:val="nil"/>
              <w:tr2bl w:val="nil"/>
            </w:tcBorders>
            <w:vAlign w:val="center"/>
          </w:tcPr>
          <w:p>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面积/数量</w:t>
            </w:r>
          </w:p>
        </w:tc>
        <w:tc>
          <w:tcPr>
            <w:tcW w:w="1457" w:type="pct"/>
            <w:tcBorders>
              <w:tl2br w:val="nil"/>
              <w:tr2bl w:val="nil"/>
            </w:tcBorders>
            <w:vAlign w:val="center"/>
          </w:tcPr>
          <w:p>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保护类别/对象</w:t>
            </w:r>
          </w:p>
        </w:tc>
        <w:tc>
          <w:tcPr>
            <w:tcW w:w="447" w:type="pct"/>
            <w:tcBorders>
              <w:tl2br w:val="nil"/>
              <w:tr2bl w:val="nil"/>
            </w:tcBorders>
            <w:vAlign w:val="center"/>
          </w:tcPr>
          <w:p>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影响方式</w:t>
            </w:r>
          </w:p>
        </w:tc>
        <w:tc>
          <w:tcPr>
            <w:tcW w:w="436" w:type="pct"/>
            <w:tcBorders>
              <w:tl2br w:val="nil"/>
              <w:tr2bl w:val="nil"/>
            </w:tcBorders>
            <w:vAlign w:val="center"/>
          </w:tcPr>
          <w:p>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影响因素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restar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生态敏感区</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default" w:cs="Times New Roman"/>
                <w:color w:val="auto"/>
                <w:sz w:val="21"/>
                <w:szCs w:val="21"/>
                <w:highlight w:val="none"/>
                <w:lang w:val="en-US" w:eastAsia="zh-CN"/>
              </w:rPr>
              <w:t>城南</w:t>
            </w:r>
            <w:r>
              <w:rPr>
                <w:rFonts w:hint="default" w:ascii="Times New Roman" w:hAnsi="Times New Roman" w:eastAsia="宋体" w:cs="Times New Roman"/>
                <w:color w:val="auto"/>
                <w:sz w:val="21"/>
                <w:szCs w:val="21"/>
                <w:highlight w:val="none"/>
              </w:rPr>
              <w:t>水厂饮用水水源保护区</w:t>
            </w:r>
          </w:p>
        </w:tc>
        <w:tc>
          <w:tcPr>
            <w:tcW w:w="622"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default" w:cs="Times New Roman"/>
                <w:color w:val="auto"/>
                <w:szCs w:val="21"/>
                <w:highlight w:val="none"/>
                <w:lang w:val="en-US" w:eastAsia="zh-CN"/>
              </w:rPr>
              <w:t>饮用水源保护区</w:t>
            </w:r>
          </w:p>
        </w:tc>
        <w:tc>
          <w:tcPr>
            <w:tcW w:w="101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default" w:cs="Times New Roman"/>
                <w:color w:val="auto"/>
                <w:szCs w:val="21"/>
                <w:highlight w:val="none"/>
                <w:lang w:val="en-US" w:eastAsia="zh-CN"/>
              </w:rPr>
              <w:t>面积约331444</w:t>
            </w:r>
            <w:r>
              <w:rPr>
                <w:rFonts w:hint="default" w:ascii="Times New Roman" w:hAnsi="Times New Roman" w:cs="Times New Roman"/>
                <w:color w:val="auto"/>
                <w:kern w:val="0"/>
                <w:szCs w:val="24"/>
                <w:highlight w:val="none"/>
                <w:lang w:val="en-US" w:eastAsia="zh-CN"/>
              </w:rPr>
              <w:t>m</w:t>
            </w:r>
            <w:r>
              <w:rPr>
                <w:rFonts w:hint="default" w:ascii="Times New Roman" w:hAnsi="Times New Roman" w:cs="Times New Roman"/>
                <w:color w:val="auto"/>
                <w:kern w:val="0"/>
                <w:szCs w:val="24"/>
                <w:highlight w:val="none"/>
                <w:vertAlign w:val="superscript"/>
                <w:lang w:val="en-US" w:eastAsia="zh-CN"/>
              </w:rPr>
              <w:t>2</w:t>
            </w:r>
          </w:p>
        </w:tc>
        <w:tc>
          <w:tcPr>
            <w:tcW w:w="1457"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生态保护红线</w:t>
            </w:r>
          </w:p>
        </w:tc>
        <w:tc>
          <w:tcPr>
            <w:tcW w:w="447"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间接影响</w:t>
            </w:r>
          </w:p>
        </w:tc>
        <w:tc>
          <w:tcPr>
            <w:tcW w:w="436"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施工活动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734"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湘江衡阳段四大家鱼国家级水产种质资源保护区</w:t>
            </w:r>
          </w:p>
        </w:tc>
        <w:tc>
          <w:tcPr>
            <w:tcW w:w="622"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水产种质资源保护区</w:t>
            </w:r>
          </w:p>
        </w:tc>
        <w:tc>
          <w:tcPr>
            <w:tcW w:w="1010"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4"/>
                <w:highlight w:val="none"/>
                <w:lang w:val="en-US" w:eastAsia="zh-CN"/>
              </w:rPr>
              <w:t>施工扰动核心区面积为</w:t>
            </w:r>
            <w:r>
              <w:rPr>
                <w:rFonts w:hint="eastAsia" w:cs="Times New Roman"/>
                <w:color w:val="auto"/>
                <w:kern w:val="0"/>
                <w:szCs w:val="24"/>
                <w:highlight w:val="none"/>
                <w:lang w:val="en-US" w:eastAsia="zh-CN"/>
              </w:rPr>
              <w:t>约</w:t>
            </w:r>
            <w:r>
              <w:rPr>
                <w:rFonts w:hint="default" w:cs="Times New Roman"/>
                <w:color w:val="auto"/>
                <w:kern w:val="0"/>
                <w:szCs w:val="24"/>
                <w:highlight w:val="none"/>
                <w:lang w:val="en-US" w:eastAsia="zh-CN"/>
              </w:rPr>
              <w:t>0.325</w:t>
            </w:r>
            <w:r>
              <w:rPr>
                <w:rFonts w:hint="default" w:ascii="Times New Roman" w:hAnsi="Times New Roman" w:cs="Times New Roman"/>
                <w:color w:val="auto"/>
                <w:kern w:val="0"/>
                <w:szCs w:val="24"/>
                <w:highlight w:val="none"/>
                <w:lang w:val="en-US" w:eastAsia="zh-CN"/>
              </w:rPr>
              <w:t>hm</w:t>
            </w:r>
            <w:r>
              <w:rPr>
                <w:rFonts w:hint="default" w:ascii="Times New Roman" w:hAnsi="Times New Roman" w:cs="Times New Roman"/>
                <w:color w:val="auto"/>
                <w:kern w:val="0"/>
                <w:szCs w:val="24"/>
                <w:highlight w:val="none"/>
                <w:vertAlign w:val="superscript"/>
                <w:lang w:val="en-US" w:eastAsia="zh-CN"/>
              </w:rPr>
              <w:t>2</w:t>
            </w:r>
          </w:p>
        </w:tc>
        <w:tc>
          <w:tcPr>
            <w:tcW w:w="1457"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青鱼、草鱼、鲢、鳙、鳡、鳤、鯮等</w:t>
            </w:r>
          </w:p>
        </w:tc>
        <w:tc>
          <w:tcPr>
            <w:tcW w:w="447"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直接/间接影响</w:t>
            </w:r>
          </w:p>
        </w:tc>
        <w:tc>
          <w:tcPr>
            <w:tcW w:w="436"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w:t>
            </w:r>
            <w:r>
              <w:rPr>
                <w:rFonts w:hint="default" w:ascii="Times New Roman" w:hAnsi="Times New Roman" w:cs="Times New Roman"/>
                <w:color w:val="auto"/>
                <w:szCs w:val="21"/>
                <w:highlight w:val="none"/>
                <w:lang w:val="en-US" w:eastAsia="zh-CN"/>
              </w:rPr>
              <w:t>占地、施工</w:t>
            </w:r>
            <w:r>
              <w:rPr>
                <w:rFonts w:hint="default" w:ascii="Times New Roman" w:hAnsi="Times New Roman" w:cs="Times New Roman"/>
                <w:color w:val="auto"/>
                <w:szCs w:val="21"/>
                <w:highlight w:val="none"/>
              </w:rPr>
              <w:t>活动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restar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陆生</w:t>
            </w:r>
            <w:r>
              <w:rPr>
                <w:rFonts w:hint="default" w:ascii="Times New Roman" w:hAnsi="Times New Roman" w:cs="Times New Roman"/>
                <w:color w:val="auto"/>
                <w:szCs w:val="21"/>
                <w:highlight w:val="none"/>
              </w:rPr>
              <w:t>植物</w:t>
            </w:r>
          </w:p>
        </w:tc>
        <w:tc>
          <w:tcPr>
            <w:tcW w:w="734" w:type="pct"/>
            <w:vMerge w:val="restar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重要物种</w:t>
            </w:r>
          </w:p>
        </w:tc>
        <w:tc>
          <w:tcPr>
            <w:tcW w:w="622"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古树</w:t>
            </w:r>
          </w:p>
        </w:tc>
        <w:tc>
          <w:tcPr>
            <w:tcW w:w="101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征地范围内7</w:t>
            </w:r>
            <w:r>
              <w:rPr>
                <w:rFonts w:hint="default" w:ascii="Times New Roman" w:hAnsi="Times New Roman" w:cs="Times New Roman"/>
                <w:color w:val="auto"/>
                <w:szCs w:val="21"/>
                <w:highlight w:val="none"/>
              </w:rPr>
              <w:t>株</w:t>
            </w:r>
          </w:p>
        </w:tc>
        <w:tc>
          <w:tcPr>
            <w:tcW w:w="1457"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全部为樟树，其中一级古树1株，二级古树1株；三级古树5株</w:t>
            </w:r>
          </w:p>
        </w:tc>
        <w:tc>
          <w:tcPr>
            <w:tcW w:w="447"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间接影响</w:t>
            </w:r>
          </w:p>
        </w:tc>
        <w:tc>
          <w:tcPr>
            <w:tcW w:w="436"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734"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622"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大树</w:t>
            </w:r>
          </w:p>
        </w:tc>
        <w:tc>
          <w:tcPr>
            <w:tcW w:w="1010"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征地范围内2</w:t>
            </w:r>
            <w:r>
              <w:rPr>
                <w:rFonts w:hint="default" w:ascii="Times New Roman" w:hAnsi="Times New Roman" w:cs="Times New Roman"/>
                <w:color w:val="auto"/>
                <w:szCs w:val="21"/>
                <w:highlight w:val="none"/>
              </w:rPr>
              <w:t>株</w:t>
            </w:r>
          </w:p>
        </w:tc>
        <w:tc>
          <w:tcPr>
            <w:tcW w:w="1457"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樟树</w:t>
            </w:r>
          </w:p>
        </w:tc>
        <w:tc>
          <w:tcPr>
            <w:tcW w:w="447"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间接影响</w:t>
            </w:r>
          </w:p>
        </w:tc>
        <w:tc>
          <w:tcPr>
            <w:tcW w:w="436"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734"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622"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中国特有</w:t>
            </w:r>
          </w:p>
        </w:tc>
        <w:tc>
          <w:tcPr>
            <w:tcW w:w="101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7种</w:t>
            </w:r>
          </w:p>
        </w:tc>
        <w:tc>
          <w:tcPr>
            <w:tcW w:w="1457"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石龙芮、紫云英、白车轴草、酢浆草、白花泡桐、细风轮菜、接骨草</w:t>
            </w:r>
            <w:r>
              <w:rPr>
                <w:rFonts w:hint="default" w:ascii="Times New Roman" w:hAnsi="Times New Roman" w:cs="Times New Roman"/>
                <w:color w:val="auto"/>
                <w:szCs w:val="21"/>
                <w:highlight w:val="none"/>
                <w:lang w:val="en-US" w:eastAsia="zh-CN"/>
              </w:rPr>
              <w:t>和</w:t>
            </w:r>
            <w:r>
              <w:rPr>
                <w:rFonts w:hint="default" w:ascii="Times New Roman" w:hAnsi="Times New Roman" w:cs="Times New Roman"/>
                <w:color w:val="auto"/>
                <w:szCs w:val="21"/>
                <w:highlight w:val="none"/>
              </w:rPr>
              <w:t>蛇莓</w:t>
            </w:r>
          </w:p>
        </w:tc>
        <w:tc>
          <w:tcPr>
            <w:tcW w:w="447"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间接影响</w:t>
            </w:r>
          </w:p>
        </w:tc>
        <w:tc>
          <w:tcPr>
            <w:tcW w:w="436" w:type="pct"/>
            <w:tcBorders>
              <w:tl2br w:val="nil"/>
              <w:tr2bl w:val="nil"/>
            </w:tcBorders>
            <w:vAlign w:val="center"/>
          </w:tcPr>
          <w:p>
            <w:pPr>
              <w:widowControl/>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施工活动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restar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陆生</w:t>
            </w:r>
            <w:r>
              <w:rPr>
                <w:rFonts w:hint="default" w:ascii="Times New Roman" w:hAnsi="Times New Roman" w:cs="Times New Roman"/>
                <w:color w:val="auto"/>
                <w:szCs w:val="21"/>
                <w:highlight w:val="none"/>
              </w:rPr>
              <w:t>动物</w:t>
            </w:r>
          </w:p>
        </w:tc>
        <w:tc>
          <w:tcPr>
            <w:tcW w:w="734" w:type="pct"/>
            <w:vMerge w:val="restar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重要物种</w:t>
            </w:r>
          </w:p>
        </w:tc>
        <w:tc>
          <w:tcPr>
            <w:tcW w:w="622"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国家</w:t>
            </w:r>
          </w:p>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二级</w:t>
            </w:r>
          </w:p>
        </w:tc>
        <w:tc>
          <w:tcPr>
            <w:tcW w:w="1010"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6</w:t>
            </w:r>
            <w:r>
              <w:rPr>
                <w:rFonts w:hint="default" w:ascii="Times New Roman" w:hAnsi="Times New Roman" w:cs="Times New Roman"/>
                <w:color w:val="auto"/>
                <w:szCs w:val="21"/>
                <w:highlight w:val="none"/>
              </w:rPr>
              <w:t>种</w:t>
            </w:r>
          </w:p>
        </w:tc>
        <w:tc>
          <w:tcPr>
            <w:tcW w:w="1457"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乌龟、黑翅鸢、黑鸢、白胸翡翠、画眉</w:t>
            </w:r>
            <w:r>
              <w:rPr>
                <w:rFonts w:hint="default" w:ascii="Times New Roman" w:hAnsi="Times New Roman" w:cs="Times New Roman"/>
                <w:color w:val="auto"/>
                <w:szCs w:val="21"/>
                <w:highlight w:val="none"/>
                <w:lang w:val="en-US" w:eastAsia="zh-CN"/>
              </w:rPr>
              <w:t>和</w:t>
            </w:r>
            <w:r>
              <w:rPr>
                <w:rFonts w:hint="default" w:ascii="Times New Roman" w:hAnsi="Times New Roman" w:cs="Times New Roman"/>
                <w:color w:val="auto"/>
                <w:szCs w:val="21"/>
                <w:highlight w:val="none"/>
              </w:rPr>
              <w:t>红嘴相思鸟</w:t>
            </w:r>
          </w:p>
        </w:tc>
        <w:tc>
          <w:tcPr>
            <w:tcW w:w="447" w:type="pct"/>
            <w:vMerge w:val="restar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直接/间接影响</w:t>
            </w:r>
          </w:p>
        </w:tc>
        <w:tc>
          <w:tcPr>
            <w:tcW w:w="436" w:type="pct"/>
            <w:vMerge w:val="restar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w:t>
            </w:r>
            <w:r>
              <w:rPr>
                <w:rFonts w:hint="default" w:ascii="Times New Roman" w:hAnsi="Times New Roman" w:cs="Times New Roman"/>
                <w:color w:val="auto"/>
                <w:szCs w:val="21"/>
                <w:highlight w:val="none"/>
                <w:lang w:val="en-US" w:eastAsia="zh-CN"/>
              </w:rPr>
              <w:t>占地、施工</w:t>
            </w:r>
            <w:r>
              <w:rPr>
                <w:rFonts w:hint="default" w:ascii="Times New Roman" w:hAnsi="Times New Roman" w:cs="Times New Roman"/>
                <w:color w:val="auto"/>
                <w:szCs w:val="21"/>
                <w:highlight w:val="none"/>
              </w:rPr>
              <w:t>活动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734"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622"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湖南</w:t>
            </w:r>
          </w:p>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省级</w:t>
            </w:r>
          </w:p>
        </w:tc>
        <w:tc>
          <w:tcPr>
            <w:tcW w:w="1010"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65</w:t>
            </w:r>
            <w:r>
              <w:rPr>
                <w:rFonts w:hint="default" w:ascii="Times New Roman" w:hAnsi="Times New Roman" w:cs="Times New Roman"/>
                <w:color w:val="auto"/>
                <w:szCs w:val="21"/>
                <w:highlight w:val="none"/>
              </w:rPr>
              <w:t>种</w:t>
            </w:r>
          </w:p>
        </w:tc>
        <w:tc>
          <w:tcPr>
            <w:tcW w:w="1457" w:type="pct"/>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rPr>
              <w:t>中华鳖</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乌梢蛇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小䴙䴘</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黑水鸡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黑卷尾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喜鹊</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家燕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白喉红臀鹎</w:t>
            </w:r>
            <w:r>
              <w:rPr>
                <w:rFonts w:hint="default" w:ascii="Times New Roman" w:hAnsi="Times New Roman" w:cs="Times New Roman"/>
                <w:color w:val="auto"/>
                <w:highlight w:val="none"/>
                <w:lang w:val="en-US" w:eastAsia="zh-CN"/>
              </w:rPr>
              <w:t>等</w:t>
            </w:r>
          </w:p>
        </w:tc>
        <w:tc>
          <w:tcPr>
            <w:tcW w:w="447"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291"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734"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622"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珍稀</w:t>
            </w:r>
          </w:p>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w:t>
            </w:r>
          </w:p>
        </w:tc>
        <w:tc>
          <w:tcPr>
            <w:tcW w:w="1010"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濒危（EN）</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种</w:t>
            </w:r>
          </w:p>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种</w:t>
            </w:r>
          </w:p>
        </w:tc>
        <w:tc>
          <w:tcPr>
            <w:tcW w:w="145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濒危（EN）：中华鳖和乌龟</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易危（VU）：乌梢蛇、尖吻蝮和黑眉锦蛇</w:t>
            </w:r>
          </w:p>
        </w:tc>
        <w:tc>
          <w:tcPr>
            <w:tcW w:w="447"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734"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622"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中国特有</w:t>
            </w:r>
          </w:p>
        </w:tc>
        <w:tc>
          <w:tcPr>
            <w:tcW w:w="1010"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7种</w:t>
            </w:r>
          </w:p>
        </w:tc>
        <w:tc>
          <w:tcPr>
            <w:tcW w:w="145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北草蜥</w:t>
            </w:r>
            <w:r>
              <w:rPr>
                <w:rFonts w:hint="default" w:ascii="Times New Roman" w:hAnsi="Times New Roman" w:cs="Times New Roman"/>
                <w:color w:val="auto"/>
                <w:szCs w:val="21"/>
                <w:highlight w:val="none"/>
                <w:lang w:val="en-US" w:eastAsia="zh-CN"/>
              </w:rPr>
              <w:t>和</w:t>
            </w:r>
            <w:r>
              <w:rPr>
                <w:rFonts w:hint="default" w:ascii="Times New Roman" w:hAnsi="Times New Roman" w:cs="Times New Roman"/>
                <w:color w:val="auto"/>
                <w:szCs w:val="21"/>
                <w:highlight w:val="none"/>
              </w:rPr>
              <w:t>黄腹山雀</w:t>
            </w:r>
          </w:p>
        </w:tc>
        <w:tc>
          <w:tcPr>
            <w:tcW w:w="447" w:type="pct"/>
            <w:vMerge w:val="continue"/>
            <w:tcBorders>
              <w:tl2br w:val="nil"/>
              <w:tr2bl w:val="nil"/>
            </w:tcBorders>
            <w:vAlign w:val="center"/>
          </w:tcPr>
          <w:p>
            <w:pPr>
              <w:widowControl/>
              <w:jc w:val="center"/>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restar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水生生物</w:t>
            </w:r>
          </w:p>
        </w:tc>
        <w:tc>
          <w:tcPr>
            <w:tcW w:w="734" w:type="pct"/>
            <w:vMerge w:val="restar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重要物种</w:t>
            </w:r>
          </w:p>
        </w:tc>
        <w:tc>
          <w:tcPr>
            <w:tcW w:w="622"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珍稀</w:t>
            </w:r>
          </w:p>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w:t>
            </w:r>
          </w:p>
        </w:tc>
        <w:tc>
          <w:tcPr>
            <w:tcW w:w="1010"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极危（CR）1种</w:t>
            </w:r>
          </w:p>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易危（VU）3种</w:t>
            </w:r>
          </w:p>
        </w:tc>
        <w:tc>
          <w:tcPr>
            <w:tcW w:w="145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极危（CR）</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鳤</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衡阳薄鳅、紫薄鳅、白缘䱀</w:t>
            </w:r>
          </w:p>
        </w:tc>
        <w:tc>
          <w:tcPr>
            <w:tcW w:w="447" w:type="pct"/>
            <w:vMerge w:val="restart"/>
            <w:tcBorders>
              <w:tl2br w:val="nil"/>
              <w:tr2bl w:val="nil"/>
            </w:tcBorders>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直接/间接影响</w:t>
            </w:r>
          </w:p>
        </w:tc>
        <w:tc>
          <w:tcPr>
            <w:tcW w:w="436" w:type="pct"/>
            <w:vMerge w:val="restart"/>
            <w:tcBorders>
              <w:tl2br w:val="nil"/>
              <w:tr2bl w:val="nil"/>
            </w:tcBorders>
            <w:vAlign w:val="center"/>
          </w:tcPr>
          <w:p>
            <w:pPr>
              <w:widowControl/>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施工活动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lang w:val="en-US" w:eastAsia="zh-CN"/>
              </w:rPr>
            </w:pPr>
          </w:p>
        </w:tc>
        <w:tc>
          <w:tcPr>
            <w:tcW w:w="734"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rPr>
            </w:pPr>
          </w:p>
        </w:tc>
        <w:tc>
          <w:tcPr>
            <w:tcW w:w="622"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湖南省级</w:t>
            </w:r>
          </w:p>
        </w:tc>
        <w:tc>
          <w:tcPr>
            <w:tcW w:w="1010"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6种</w:t>
            </w:r>
          </w:p>
        </w:tc>
        <w:tc>
          <w:tcPr>
            <w:tcW w:w="145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衡阳薄鳅、鳤、瓣结鱼、犁头鳅、南方鳅鮀、宜昌鳅鮀</w:t>
            </w:r>
          </w:p>
        </w:tc>
        <w:tc>
          <w:tcPr>
            <w:tcW w:w="447"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 w:type="pct"/>
            <w:vMerge w:val="continue"/>
            <w:tcBorders>
              <w:tl2br w:val="nil"/>
              <w:tr2bl w:val="nil"/>
            </w:tcBorders>
            <w:vAlign w:val="center"/>
          </w:tcPr>
          <w:p>
            <w:pPr>
              <w:widowControl/>
              <w:jc w:val="left"/>
              <w:rPr>
                <w:rFonts w:hint="default" w:ascii="Times New Roman" w:hAnsi="Times New Roman" w:eastAsia="宋体" w:cs="Times New Roman"/>
                <w:color w:val="auto"/>
                <w:szCs w:val="21"/>
                <w:highlight w:val="none"/>
                <w:lang w:val="en-US" w:eastAsia="zh-CN"/>
              </w:rPr>
            </w:pPr>
          </w:p>
        </w:tc>
        <w:tc>
          <w:tcPr>
            <w:tcW w:w="734"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rPr>
            </w:pPr>
          </w:p>
        </w:tc>
        <w:tc>
          <w:tcPr>
            <w:tcW w:w="622"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中国特有</w:t>
            </w:r>
          </w:p>
        </w:tc>
        <w:tc>
          <w:tcPr>
            <w:tcW w:w="1010" w:type="pc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33种</w:t>
            </w:r>
          </w:p>
        </w:tc>
        <w:tc>
          <w:tcPr>
            <w:tcW w:w="145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团头鲂、黄尾鲴、江西鳈等</w:t>
            </w:r>
          </w:p>
        </w:tc>
        <w:tc>
          <w:tcPr>
            <w:tcW w:w="447"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pPr>
              <w:widowControl/>
              <w:jc w:val="left"/>
              <w:rPr>
                <w:rFonts w:hint="default" w:ascii="Times New Roman" w:hAnsi="Times New Roman" w:cs="Times New Roman"/>
                <w:color w:val="auto"/>
                <w:szCs w:val="21"/>
                <w:highlight w:val="none"/>
              </w:rPr>
            </w:pPr>
          </w:p>
        </w:tc>
      </w:tr>
    </w:tbl>
    <w:p>
      <w:pPr>
        <w:rPr>
          <w:rFonts w:cs="Times New Roman"/>
          <w:b/>
          <w:bCs/>
          <w:color w:val="auto"/>
          <w:kern w:val="44"/>
          <w:sz w:val="32"/>
          <w:szCs w:val="32"/>
          <w:highlight w:val="none"/>
        </w:rPr>
      </w:pPr>
      <w:r>
        <w:rPr>
          <w:rFonts w:cs="Times New Roman"/>
          <w:b/>
          <w:bCs/>
          <w:color w:val="auto"/>
          <w:kern w:val="44"/>
          <w:sz w:val="32"/>
          <w:szCs w:val="32"/>
          <w:highlight w:val="none"/>
        </w:rPr>
        <w:br w:type="page"/>
      </w:r>
    </w:p>
    <w:p>
      <w:pPr>
        <w:keepNext/>
        <w:keepLines w:val="0"/>
        <w:pageBreakBefore w:val="0"/>
        <w:widowControl w:val="0"/>
        <w:numPr>
          <w:ilvl w:val="0"/>
          <w:numId w:val="4"/>
        </w:numPr>
        <w:kinsoku/>
        <w:wordWrap/>
        <w:overflowPunct/>
        <w:topLinePunct w:val="0"/>
        <w:autoSpaceDE/>
        <w:autoSpaceDN/>
        <w:bidi w:val="0"/>
        <w:adjustRightInd/>
        <w:snapToGrid w:val="0"/>
        <w:spacing w:before="120" w:beforeLines="50" w:after="120" w:afterLines="50" w:line="360" w:lineRule="auto"/>
        <w:ind w:left="0"/>
        <w:jc w:val="center"/>
        <w:textAlignment w:val="auto"/>
        <w:outlineLvl w:val="0"/>
        <w:rPr>
          <w:rFonts w:ascii="Times New Roman" w:hAnsi="Times New Roman" w:cs="Times New Roman"/>
          <w:b/>
          <w:bCs/>
          <w:color w:val="auto"/>
          <w:kern w:val="44"/>
          <w:sz w:val="32"/>
          <w:szCs w:val="32"/>
          <w:highlight w:val="none"/>
        </w:rPr>
        <w:sectPr>
          <w:footerReference r:id="rId10" w:type="default"/>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val="0"/>
        <w:pageBreakBefore w:val="0"/>
        <w:widowControl w:val="0"/>
        <w:numPr>
          <w:ilvl w:val="0"/>
          <w:numId w:val="4"/>
        </w:numPr>
        <w:kinsoku/>
        <w:wordWrap/>
        <w:overflowPunct/>
        <w:topLinePunct w:val="0"/>
        <w:autoSpaceDE/>
        <w:autoSpaceDN/>
        <w:bidi w:val="0"/>
        <w:adjustRightInd/>
        <w:snapToGrid w:val="0"/>
        <w:spacing w:before="120" w:beforeLines="50" w:after="120" w:afterLines="50" w:line="360" w:lineRule="auto"/>
        <w:ind w:left="0"/>
        <w:jc w:val="center"/>
        <w:textAlignment w:val="auto"/>
        <w:outlineLvl w:val="0"/>
        <w:rPr>
          <w:rFonts w:cs="Times New Roman"/>
          <w:b/>
          <w:bCs/>
          <w:color w:val="auto"/>
          <w:kern w:val="44"/>
          <w:sz w:val="32"/>
          <w:szCs w:val="32"/>
          <w:highlight w:val="none"/>
        </w:rPr>
      </w:pPr>
      <w:bookmarkStart w:id="52" w:name="_Toc9749"/>
      <w:r>
        <w:rPr>
          <w:rFonts w:hint="default" w:cs="Times New Roman"/>
          <w:b/>
          <w:bCs/>
          <w:color w:val="auto"/>
          <w:kern w:val="44"/>
          <w:sz w:val="32"/>
          <w:szCs w:val="32"/>
          <w:highlight w:val="none"/>
          <w:lang w:val="en-US" w:eastAsia="zh-CN"/>
        </w:rPr>
        <w:t>建设项目工程分析</w:t>
      </w:r>
      <w:bookmarkEnd w:id="51"/>
      <w:bookmarkEnd w:id="52"/>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cs="Times New Roman"/>
          <w:b/>
          <w:bCs/>
          <w:color w:val="auto"/>
          <w:kern w:val="0"/>
          <w:sz w:val="30"/>
          <w:szCs w:val="30"/>
          <w:highlight w:val="none"/>
        </w:rPr>
      </w:pPr>
      <w:bookmarkStart w:id="53" w:name="_Toc32190"/>
      <w:bookmarkStart w:id="54" w:name="_Toc13202"/>
      <w:r>
        <w:rPr>
          <w:rFonts w:hint="default" w:cs="Times New Roman"/>
          <w:b/>
          <w:bCs/>
          <w:color w:val="auto"/>
          <w:kern w:val="0"/>
          <w:sz w:val="30"/>
          <w:szCs w:val="30"/>
          <w:highlight w:val="none"/>
          <w:lang w:val="en-US" w:eastAsia="zh-CN"/>
        </w:rPr>
        <w:t>工程概况</w:t>
      </w:r>
      <w:bookmarkEnd w:id="53"/>
    </w:p>
    <w:bookmarkEnd w:id="54"/>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bookmarkStart w:id="55" w:name="_Toc6818"/>
      <w:r>
        <w:rPr>
          <w:rFonts w:hint="default" w:ascii="Times New Roman" w:hAnsi="Times New Roman" w:eastAsia="宋体" w:cs="Times New Roman"/>
          <w:b/>
          <w:bCs/>
          <w:color w:val="auto"/>
          <w:kern w:val="0"/>
          <w:sz w:val="28"/>
          <w:szCs w:val="28"/>
          <w:highlight w:val="none"/>
          <w:lang w:val="en-US" w:eastAsia="zh-CN"/>
        </w:rPr>
        <w:t>3.1.1项目基本情况</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（1）项目名称：衡阳市</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美丽湘江</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项目</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（2）建设单位：衡阳市城市建设投资发展集团有限公司</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（3）建设地点：衡阳市湘江东岸（北段）风光带和东洲岛景区范围，具体位置见附图1。</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（4）总投资：48942万元，其中环保投资1465万元，占总投资的3%</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（5）用地面积：</w:t>
      </w:r>
      <w:r>
        <w:rPr>
          <w:rFonts w:hint="default" w:ascii="Times New Roman" w:hAnsi="Times New Roman" w:eastAsia="宋体" w:cs="Times New Roman"/>
          <w:color w:val="auto"/>
          <w:sz w:val="24"/>
          <w:highlight w:val="none"/>
          <w:u w:val="none"/>
          <w:lang w:val="en-US" w:eastAsia="zh-CN"/>
        </w:rPr>
        <w:t>476.40亩</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（6）建设性质：新建</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（7）项目建设工期：12个月</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3.1.2工程</w:t>
      </w:r>
      <w:bookmarkEnd w:id="55"/>
      <w:r>
        <w:rPr>
          <w:rFonts w:hint="default" w:ascii="Times New Roman" w:hAnsi="Times New Roman" w:eastAsia="宋体" w:cs="Times New Roman"/>
          <w:b/>
          <w:bCs/>
          <w:color w:val="auto"/>
          <w:kern w:val="0"/>
          <w:sz w:val="28"/>
          <w:szCs w:val="28"/>
          <w:highlight w:val="none"/>
          <w:lang w:val="en-US" w:eastAsia="zh-CN"/>
        </w:rPr>
        <w:t>建设内容与规模</w:t>
      </w:r>
    </w:p>
    <w:p>
      <w:pPr>
        <w:pStyle w:val="40"/>
        <w:keepLines w:val="0"/>
        <w:pageBreakBefore w:val="0"/>
        <w:widowControl w:val="0"/>
        <w:shd w:val="clear" w:color="auto" w:fill="auto"/>
        <w:kinsoku/>
        <w:wordWrap/>
        <w:overflowPunct/>
        <w:topLinePunct w:val="0"/>
        <w:bidi w:val="0"/>
        <w:ind w:firstLine="560"/>
        <w:rPr>
          <w:rFonts w:hint="default" w:ascii="Times New Roman" w:hAnsi="Times New Roman" w:eastAsia="宋体" w:cs="Times New Roman"/>
          <w:b w:val="0"/>
          <w:bCs w:val="0"/>
          <w:color w:val="auto"/>
          <w:sz w:val="24"/>
          <w:szCs w:val="24"/>
          <w:highlight w:val="none"/>
        </w:rPr>
        <w:sectPr>
          <w:footerReference r:id="rId11"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color w:val="auto"/>
          <w:sz w:val="24"/>
          <w:highlight w:val="none"/>
          <w:u w:val="none"/>
          <w:lang w:val="en-US" w:eastAsia="zh-CN"/>
        </w:rPr>
        <w:t>本项目</w:t>
      </w:r>
      <w:r>
        <w:rPr>
          <w:rFonts w:hint="default" w:cs="Times New Roman"/>
          <w:color w:val="auto"/>
          <w:sz w:val="24"/>
          <w:highlight w:val="none"/>
          <w:u w:val="none"/>
          <w:lang w:val="en-US" w:eastAsia="zh-CN"/>
        </w:rPr>
        <w:t>建设</w:t>
      </w:r>
      <w:r>
        <w:rPr>
          <w:rFonts w:hint="eastAsia" w:cs="Times New Roman"/>
          <w:color w:val="auto"/>
          <w:sz w:val="24"/>
          <w:highlight w:val="none"/>
          <w:u w:val="none"/>
          <w:lang w:val="en-US" w:eastAsia="zh-CN"/>
        </w:rPr>
        <w:t>主要包括：</w:t>
      </w:r>
      <w:r>
        <w:rPr>
          <w:rFonts w:hint="default" w:ascii="Times New Roman" w:hAnsi="Times New Roman" w:eastAsia="宋体" w:cs="Times New Roman"/>
          <w:b w:val="0"/>
          <w:bCs w:val="0"/>
          <w:color w:val="auto"/>
          <w:sz w:val="24"/>
          <w:szCs w:val="24"/>
          <w:highlight w:val="none"/>
          <w:lang w:val="en-US" w:eastAsia="zh-CN"/>
        </w:rPr>
        <w:t>建筑修缮及新建工程；湘江东岸沿江风光带（龙家坪路-冶金中路）整治工程；东洲岛景观提质工程；东洲岛-石鼓书院夜游灯光秀工程；配套设施建设工程。主要工程内容详见</w:t>
      </w:r>
      <w:r>
        <w:rPr>
          <w:rFonts w:hint="eastAsia" w:cs="Times New Roman"/>
          <w:b w:val="0"/>
          <w:bCs w:val="0"/>
          <w:color w:val="auto"/>
          <w:sz w:val="24"/>
          <w:szCs w:val="24"/>
          <w:highlight w:val="none"/>
          <w:lang w:val="en-US" w:eastAsia="zh-CN"/>
        </w:rPr>
        <w:t>下表</w:t>
      </w:r>
      <w:r>
        <w:rPr>
          <w:rFonts w:hint="default" w:ascii="Times New Roman" w:hAnsi="Times New Roman" w:eastAsia="宋体" w:cs="Times New Roman"/>
          <w:b w:val="0"/>
          <w:bCs w:val="0"/>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Cs w:val="24"/>
          <w:highlight w:val="none"/>
          <w:u w:val="none" w:color="auto"/>
          <w:lang w:val="en-US" w:eastAsia="zh-CN"/>
        </w:rPr>
      </w:pPr>
      <w:r>
        <w:rPr>
          <w:rFonts w:hint="default" w:ascii="Times New Roman" w:hAnsi="Times New Roman" w:eastAsia="宋体" w:cs="Times New Roman"/>
          <w:b/>
          <w:color w:val="auto"/>
          <w:szCs w:val="24"/>
          <w:highlight w:val="none"/>
          <w:u w:val="none" w:color="auto"/>
          <w:lang w:val="en-US" w:eastAsia="zh-CN"/>
        </w:rPr>
        <w:t>表3.</w:t>
      </w:r>
      <w:r>
        <w:rPr>
          <w:rFonts w:hint="default" w:cs="Times New Roman"/>
          <w:b/>
          <w:color w:val="auto"/>
          <w:szCs w:val="24"/>
          <w:highlight w:val="none"/>
          <w:u w:val="none" w:color="auto"/>
          <w:lang w:val="en-US" w:eastAsia="zh-CN"/>
        </w:rPr>
        <w:t>1</w:t>
      </w:r>
      <w:r>
        <w:rPr>
          <w:rFonts w:hint="default" w:ascii="Times New Roman" w:hAnsi="Times New Roman" w:eastAsia="宋体" w:cs="Times New Roman"/>
          <w:b/>
          <w:color w:val="auto"/>
          <w:szCs w:val="24"/>
          <w:highlight w:val="none"/>
          <w:u w:val="none" w:color="auto"/>
          <w:lang w:val="en-US" w:eastAsia="zh-CN"/>
        </w:rPr>
        <w:t>-</w:t>
      </w:r>
      <w:r>
        <w:rPr>
          <w:rFonts w:hint="default" w:cs="Times New Roman"/>
          <w:b/>
          <w:color w:val="auto"/>
          <w:szCs w:val="24"/>
          <w:highlight w:val="none"/>
          <w:u w:val="none" w:color="auto"/>
          <w:lang w:val="en-US" w:eastAsia="zh-CN"/>
        </w:rPr>
        <w:t>1</w:t>
      </w:r>
      <w:r>
        <w:rPr>
          <w:rFonts w:hint="default" w:ascii="Times New Roman" w:hAnsi="Times New Roman" w:eastAsia="宋体" w:cs="Times New Roman"/>
          <w:b/>
          <w:color w:val="auto"/>
          <w:szCs w:val="24"/>
          <w:highlight w:val="none"/>
          <w:u w:val="none" w:color="auto"/>
          <w:lang w:val="en-US" w:eastAsia="zh-CN"/>
        </w:rPr>
        <w:t>建设项目工程组成一览表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3"/>
        <w:gridCol w:w="1168"/>
        <w:gridCol w:w="1747"/>
        <w:gridCol w:w="6255"/>
        <w:gridCol w:w="2753"/>
        <w:gridCol w:w="1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工程类别</w:t>
            </w:r>
          </w:p>
        </w:tc>
        <w:tc>
          <w:tcPr>
            <w:tcW w:w="1028" w:type="pct"/>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工程建设内容、规模</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与敏感区位置关系</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主体工程</w:t>
            </w: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lang w:val="en-US" w:eastAsia="zh-CN"/>
              </w:rPr>
              <w:t>建筑工程</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建筑</w:t>
            </w:r>
            <w:r>
              <w:rPr>
                <w:rFonts w:hint="default" w:ascii="Times New Roman" w:hAnsi="Times New Roman" w:eastAsia="宋体" w:cs="Times New Roman"/>
                <w:color w:val="auto"/>
                <w:sz w:val="21"/>
                <w:szCs w:val="21"/>
                <w:highlight w:val="none"/>
                <w:lang w:val="en-US" w:eastAsia="zh-CN"/>
              </w:rPr>
              <w:t>修缮工程</w:t>
            </w:r>
          </w:p>
        </w:tc>
        <w:tc>
          <w:tcPr>
            <w:tcW w:w="2206" w:type="pct"/>
            <w:noWrap w:val="0"/>
            <w:vAlign w:val="center"/>
          </w:tcPr>
          <w:p>
            <w:pPr>
              <w:jc w:val="left"/>
              <w:rPr>
                <w:rFonts w:hint="default" w:ascii="Times New Roman" w:hAnsi="Times New Roman" w:eastAsia="宋体" w:cs="Times New Roman"/>
                <w:color w:val="auto"/>
                <w:sz w:val="21"/>
                <w:szCs w:val="21"/>
                <w:highlight w:val="none"/>
                <w:vertAlign w:val="baseline"/>
                <w:lang w:val="en-US" w:eastAsia="zh-CN"/>
              </w:rPr>
            </w:pPr>
            <w:r>
              <w:rPr>
                <w:color w:val="auto"/>
                <w:szCs w:val="21"/>
              </w:rPr>
              <w:t>对现有建筑进行修缮，包括</w:t>
            </w:r>
            <w:r>
              <w:rPr>
                <w:color w:val="auto"/>
                <w:szCs w:val="21"/>
                <w:lang w:val="zh-CN"/>
              </w:rPr>
              <w:t>风情古街外部修缮工程（36栋建筑物，位于湘江东岸风光带），面积约</w:t>
            </w:r>
            <w:r>
              <w:rPr>
                <w:color w:val="auto"/>
                <w:szCs w:val="21"/>
              </w:rPr>
              <w:t>7369.07m</w:t>
            </w:r>
            <w:r>
              <w:rPr>
                <w:color w:val="auto"/>
                <w:szCs w:val="21"/>
                <w:vertAlign w:val="superscript"/>
              </w:rPr>
              <w:t>2</w:t>
            </w:r>
            <w:r>
              <w:rPr>
                <w:color w:val="auto"/>
                <w:szCs w:val="21"/>
                <w:lang w:val="zh-CN"/>
              </w:rPr>
              <w:t>，船山书院旧址修缮工程（</w:t>
            </w:r>
            <w:r>
              <w:rPr>
                <w:color w:val="auto"/>
                <w:szCs w:val="21"/>
              </w:rPr>
              <w:t>位于东洲岛</w:t>
            </w:r>
            <w:r>
              <w:rPr>
                <w:color w:val="auto"/>
                <w:szCs w:val="21"/>
                <w:lang w:val="zh-CN"/>
              </w:rPr>
              <w:t>），面积约3210.94</w:t>
            </w:r>
            <w:r>
              <w:rPr>
                <w:color w:val="auto"/>
                <w:szCs w:val="21"/>
              </w:rPr>
              <w:t>m</w:t>
            </w:r>
            <w:r>
              <w:rPr>
                <w:color w:val="auto"/>
                <w:szCs w:val="21"/>
                <w:vertAlign w:val="superscript"/>
              </w:rPr>
              <w:t>2</w:t>
            </w:r>
            <w:r>
              <w:rPr>
                <w:color w:val="auto"/>
                <w:szCs w:val="21"/>
              </w:rPr>
              <w:t>、</w:t>
            </w:r>
            <w:r>
              <w:rPr>
                <w:color w:val="auto"/>
                <w:szCs w:val="21"/>
                <w:lang w:val="zh-CN"/>
              </w:rPr>
              <w:t>复原文化建筑（</w:t>
            </w:r>
            <w:r>
              <w:rPr>
                <w:color w:val="auto"/>
                <w:szCs w:val="21"/>
              </w:rPr>
              <w:t>位于东洲岛</w:t>
            </w:r>
            <w:r>
              <w:rPr>
                <w:color w:val="auto"/>
                <w:szCs w:val="21"/>
                <w:lang w:val="zh-CN"/>
              </w:rPr>
              <w:t>），面积约</w:t>
            </w:r>
            <w:r>
              <w:rPr>
                <w:color w:val="auto"/>
                <w:szCs w:val="21"/>
              </w:rPr>
              <w:t>886.34m</w:t>
            </w:r>
            <w:r>
              <w:rPr>
                <w:color w:val="auto"/>
                <w:szCs w:val="21"/>
                <w:vertAlign w:val="superscript"/>
              </w:rPr>
              <w:t>2</w:t>
            </w:r>
            <w:r>
              <w:rPr>
                <w:color w:val="auto"/>
                <w:szCs w:val="21"/>
              </w:rPr>
              <w:t>。</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位于饮用水源二级保护区陆域外</w:t>
            </w: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新建</w:t>
            </w:r>
            <w:r>
              <w:rPr>
                <w:rFonts w:hint="default" w:cs="Times New Roman"/>
                <w:color w:val="auto"/>
                <w:sz w:val="21"/>
                <w:szCs w:val="21"/>
                <w:highlight w:val="none"/>
                <w:vertAlign w:val="baseline"/>
                <w:lang w:val="en-US" w:eastAsia="zh-CN"/>
              </w:rPr>
              <w:t>配套建筑</w:t>
            </w:r>
            <w:r>
              <w:rPr>
                <w:rFonts w:hint="default" w:ascii="Times New Roman" w:hAnsi="Times New Roman" w:eastAsia="宋体" w:cs="Times New Roman"/>
                <w:color w:val="auto"/>
                <w:sz w:val="21"/>
                <w:szCs w:val="21"/>
                <w:highlight w:val="none"/>
                <w:vertAlign w:val="baseline"/>
                <w:lang w:val="en-US" w:eastAsia="zh-CN"/>
              </w:rPr>
              <w:t>工程</w:t>
            </w:r>
          </w:p>
        </w:tc>
        <w:tc>
          <w:tcPr>
            <w:tcW w:w="2206" w:type="pct"/>
            <w:noWrap w:val="0"/>
            <w:vAlign w:val="center"/>
          </w:tcPr>
          <w:p>
            <w:pPr>
              <w:jc w:val="left"/>
              <w:rPr>
                <w:rFonts w:hint="default" w:ascii="Times New Roman" w:hAnsi="Times New Roman" w:eastAsia="宋体" w:cs="Times New Roman"/>
                <w:color w:val="auto"/>
                <w:sz w:val="21"/>
                <w:szCs w:val="21"/>
                <w:highlight w:val="none"/>
                <w:lang w:val="en-US" w:eastAsia="zh-CN"/>
              </w:rPr>
            </w:pPr>
            <w:r>
              <w:rPr>
                <w:color w:val="auto"/>
                <w:szCs w:val="21"/>
              </w:rPr>
              <w:t>新建总</w:t>
            </w:r>
            <w:r>
              <w:rPr>
                <w:color w:val="auto"/>
                <w:kern w:val="0"/>
                <w:szCs w:val="21"/>
                <w:lang w:bidi="ar"/>
              </w:rPr>
              <w:t>建筑面积为3846.72</w:t>
            </w:r>
            <w:r>
              <w:rPr>
                <w:color w:val="auto"/>
                <w:szCs w:val="21"/>
              </w:rPr>
              <w:t>m</w:t>
            </w:r>
            <w:r>
              <w:rPr>
                <w:color w:val="auto"/>
                <w:szCs w:val="21"/>
                <w:vertAlign w:val="superscript"/>
              </w:rPr>
              <w:t>2</w:t>
            </w:r>
            <w:r>
              <w:rPr>
                <w:color w:val="auto"/>
                <w:szCs w:val="21"/>
              </w:rPr>
              <w:t>，包括服务中心、商业等主要功能。新建</w:t>
            </w:r>
            <w:r>
              <w:rPr>
                <w:color w:val="auto"/>
                <w:szCs w:val="21"/>
                <w:lang w:val="zh-CN"/>
              </w:rPr>
              <w:t>地下车库建筑面积5499.93m</w:t>
            </w:r>
            <w:r>
              <w:rPr>
                <w:color w:val="auto"/>
                <w:szCs w:val="21"/>
                <w:vertAlign w:val="superscript"/>
                <w:lang w:val="zh-CN"/>
              </w:rPr>
              <w:t>2</w:t>
            </w:r>
            <w:r>
              <w:rPr>
                <w:color w:val="auto"/>
                <w:szCs w:val="21"/>
                <w:lang w:val="zh-CN"/>
              </w:rPr>
              <w:t>（停车位250个）</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lang w:val="en-US" w:eastAsia="zh-CN"/>
              </w:rPr>
              <w:t>位于饮用水源二级保护区陆域外</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风光带整治工程</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抛石护岸</w:t>
            </w:r>
          </w:p>
        </w:tc>
        <w:tc>
          <w:tcPr>
            <w:tcW w:w="2206" w:type="pct"/>
            <w:noWrap w:val="0"/>
            <w:vAlign w:val="center"/>
          </w:tcPr>
          <w:p>
            <w:pPr>
              <w:jc w:val="left"/>
              <w:rPr>
                <w:rFonts w:hint="default" w:ascii="Times New Roman" w:hAnsi="Times New Roman" w:eastAsia="宋体" w:cs="Times New Roman"/>
                <w:color w:val="auto"/>
                <w:sz w:val="21"/>
                <w:szCs w:val="21"/>
                <w:highlight w:val="none"/>
                <w:vertAlign w:val="baseline"/>
                <w:lang w:val="en-US" w:eastAsia="zh-CN"/>
              </w:rPr>
            </w:pPr>
            <w:r>
              <w:rPr>
                <w:color w:val="auto"/>
                <w:szCs w:val="21"/>
                <w:lang w:val="zh-CN"/>
              </w:rPr>
              <w:t>抛石护岸</w:t>
            </w:r>
            <w:r>
              <w:rPr>
                <w:color w:val="auto"/>
                <w:szCs w:val="21"/>
              </w:rPr>
              <w:t>工程约3320m</w:t>
            </w:r>
            <w:r>
              <w:rPr>
                <w:color w:val="auto"/>
                <w:szCs w:val="21"/>
                <w:vertAlign w:val="superscript"/>
              </w:rPr>
              <w:t>3</w:t>
            </w:r>
            <w:r>
              <w:rPr>
                <w:color w:val="auto"/>
                <w:szCs w:val="21"/>
              </w:rPr>
              <w:t>，顶面标高50.5m（常水位为50.49-50.52m）</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lang w:val="zh-CN"/>
              </w:rPr>
            </w:pPr>
            <w:r>
              <w:rPr>
                <w:rFonts w:hint="default" w:cs="Times New Roman"/>
                <w:color w:val="auto"/>
                <w:sz w:val="21"/>
                <w:szCs w:val="21"/>
                <w:highlight w:val="none"/>
                <w:lang w:val="en-US" w:eastAsia="zh-CN"/>
              </w:rPr>
              <w:t>位于饮用水源二级保护区水域范围内</w:t>
            </w: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岸坡整治</w:t>
            </w:r>
          </w:p>
        </w:tc>
        <w:tc>
          <w:tcPr>
            <w:tcW w:w="2206" w:type="pct"/>
            <w:noWrap w:val="0"/>
            <w:vAlign w:val="center"/>
          </w:tcPr>
          <w:p>
            <w:pPr>
              <w:jc w:val="left"/>
              <w:rPr>
                <w:rFonts w:hint="default" w:ascii="Times New Roman" w:hAnsi="Times New Roman" w:eastAsia="宋体" w:cs="Times New Roman"/>
                <w:color w:val="auto"/>
                <w:sz w:val="21"/>
                <w:szCs w:val="21"/>
                <w:highlight w:val="none"/>
                <w:lang w:val="en-US" w:eastAsia="zh-CN"/>
              </w:rPr>
            </w:pPr>
            <w:r>
              <w:rPr>
                <w:color w:val="auto"/>
                <w:szCs w:val="21"/>
              </w:rPr>
              <w:t>岸坡整治工程全长约650m，桩号K0+000~K0+650，顶面标高52～55.5m</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lang w:val="zh-CN"/>
              </w:rPr>
            </w:pPr>
            <w:r>
              <w:rPr>
                <w:rFonts w:hint="default" w:cs="Times New Roman"/>
                <w:color w:val="auto"/>
                <w:sz w:val="21"/>
                <w:szCs w:val="21"/>
                <w:highlight w:val="none"/>
                <w:lang w:val="en-US" w:eastAsia="zh-CN"/>
              </w:rPr>
              <w:t>位于饮用水源二级保护区陆域范围内</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防洪堤</w:t>
            </w:r>
          </w:p>
        </w:tc>
        <w:tc>
          <w:tcPr>
            <w:tcW w:w="2206" w:type="pct"/>
            <w:noWrap w:val="0"/>
            <w:vAlign w:val="center"/>
          </w:tcPr>
          <w:p>
            <w:pPr>
              <w:jc w:val="left"/>
              <w:rPr>
                <w:rFonts w:hint="default" w:ascii="Times New Roman" w:hAnsi="Times New Roman" w:eastAsia="宋体" w:cs="Times New Roman"/>
                <w:color w:val="auto"/>
                <w:sz w:val="21"/>
                <w:szCs w:val="21"/>
                <w:highlight w:val="none"/>
                <w:lang w:val="en-US" w:eastAsia="zh-CN"/>
              </w:rPr>
            </w:pPr>
            <w:r>
              <w:rPr>
                <w:color w:val="auto"/>
                <w:szCs w:val="21"/>
              </w:rPr>
              <w:t>防洪堤加固工程全长约650m，桩号K0+000~K0+650，顶面标高61.70m。</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lang w:val="zh-CN"/>
              </w:rPr>
            </w:pPr>
            <w:r>
              <w:rPr>
                <w:rFonts w:hint="default" w:cs="Times New Roman"/>
                <w:color w:val="auto"/>
                <w:sz w:val="21"/>
                <w:szCs w:val="21"/>
                <w:highlight w:val="none"/>
                <w:lang w:val="en-US" w:eastAsia="zh-CN"/>
              </w:rPr>
              <w:t>位于饮用水源二级保护区陆域范围内</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zh-CN"/>
              </w:rPr>
              <w:t>亲水栈道</w:t>
            </w:r>
          </w:p>
        </w:tc>
        <w:tc>
          <w:tcPr>
            <w:tcW w:w="2206" w:type="pct"/>
            <w:noWrap w:val="0"/>
            <w:vAlign w:val="center"/>
          </w:tcPr>
          <w:p>
            <w:pPr>
              <w:jc w:val="left"/>
              <w:rPr>
                <w:rFonts w:hint="default" w:cs="Times New Roman"/>
                <w:color w:val="auto"/>
                <w:sz w:val="21"/>
                <w:szCs w:val="21"/>
                <w:highlight w:val="none"/>
                <w:lang w:val="en-US" w:eastAsia="zh-CN"/>
              </w:rPr>
            </w:pPr>
            <w:r>
              <w:rPr>
                <w:color w:val="auto"/>
                <w:szCs w:val="21"/>
              </w:rPr>
              <w:t>新建</w:t>
            </w:r>
            <w:r>
              <w:rPr>
                <w:color w:val="auto"/>
                <w:szCs w:val="21"/>
                <w:lang w:val="zh-CN"/>
              </w:rPr>
              <w:t>亲水栈道</w:t>
            </w:r>
            <w:r>
              <w:rPr>
                <w:color w:val="auto"/>
                <w:szCs w:val="21"/>
              </w:rPr>
              <w:t>约1890</w:t>
            </w:r>
            <w:r>
              <w:rPr>
                <w:color w:val="auto"/>
                <w:szCs w:val="21"/>
                <w:lang w:val="zh-CN"/>
              </w:rPr>
              <w:t>m</w:t>
            </w:r>
            <w:r>
              <w:rPr>
                <w:color w:val="auto"/>
                <w:szCs w:val="21"/>
                <w:vertAlign w:val="superscript"/>
                <w:lang w:val="zh-CN"/>
              </w:rPr>
              <w:t>2</w:t>
            </w:r>
            <w:r>
              <w:rPr>
                <w:color w:val="auto"/>
                <w:szCs w:val="21"/>
              </w:rPr>
              <w:t>，顶面</w:t>
            </w:r>
            <w:r>
              <w:rPr>
                <w:color w:val="auto"/>
                <w:kern w:val="0"/>
                <w:szCs w:val="21"/>
                <w:lang w:bidi="ar"/>
              </w:rPr>
              <w:t>标高52.7m。</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位于饮用水源二级保护区陆域范围内</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景观提质工程</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东洲岛景观提质</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修缮木栈道、木平台、汀步道、补种乔灌木绿化、沙滩填沙、东洲岛夜景亮化、风雨廊桥景观亮化等。</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位于湘江四大家鱼水产种质资源保护区核心区</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68" w:type="dxa"/>
            <w:noWrap w:val="0"/>
            <w:vAlign w:val="center"/>
          </w:tcPr>
          <w:p>
            <w:pPr>
              <w:jc w:val="center"/>
              <w:rPr>
                <w:rFonts w:hint="default" w:cs="Times New Roman"/>
                <w:color w:val="auto"/>
                <w:sz w:val="21"/>
                <w:szCs w:val="21"/>
                <w:highlight w:val="none"/>
                <w:vertAlign w:val="baseline"/>
                <w:lang w:val="en-US" w:eastAsia="zh-CN"/>
              </w:rPr>
            </w:pPr>
            <w:r>
              <w:rPr>
                <w:color w:val="auto"/>
                <w:szCs w:val="21"/>
              </w:rPr>
              <w:t>配套设施建设工程</w:t>
            </w:r>
          </w:p>
        </w:tc>
        <w:tc>
          <w:tcPr>
            <w:tcW w:w="1747" w:type="dxa"/>
            <w:noWrap w:val="0"/>
            <w:vAlign w:val="center"/>
          </w:tcPr>
          <w:p>
            <w:pPr>
              <w:jc w:val="center"/>
              <w:rPr>
                <w:rFonts w:hint="default" w:cs="Times New Roman"/>
                <w:color w:val="auto"/>
                <w:sz w:val="21"/>
                <w:szCs w:val="21"/>
                <w:highlight w:val="none"/>
                <w:lang w:val="en-US" w:eastAsia="zh-CN"/>
              </w:rPr>
            </w:pPr>
            <w:r>
              <w:rPr>
                <w:color w:val="auto"/>
                <w:szCs w:val="21"/>
              </w:rPr>
              <w:t>/</w:t>
            </w:r>
          </w:p>
        </w:tc>
        <w:tc>
          <w:tcPr>
            <w:tcW w:w="6255" w:type="dxa"/>
            <w:noWrap w:val="0"/>
            <w:vAlign w:val="center"/>
          </w:tcPr>
          <w:p>
            <w:pPr>
              <w:jc w:val="left"/>
              <w:rPr>
                <w:rFonts w:hint="default" w:ascii="Times New Roman" w:hAnsi="Times New Roman" w:cs="Times New Roman"/>
                <w:color w:val="auto"/>
                <w:sz w:val="21"/>
                <w:szCs w:val="21"/>
                <w:highlight w:val="none"/>
                <w:lang w:val="en-US" w:eastAsia="zh-CN"/>
              </w:rPr>
            </w:pPr>
            <w:r>
              <w:rPr>
                <w:rFonts w:hint="eastAsia"/>
                <w:color w:val="auto"/>
                <w:szCs w:val="21"/>
                <w:lang w:val="en-US" w:eastAsia="zh-CN"/>
              </w:rPr>
              <w:t>修建</w:t>
            </w:r>
            <w:r>
              <w:rPr>
                <w:color w:val="auto"/>
                <w:szCs w:val="21"/>
              </w:rPr>
              <w:t>东洲桃浪园、草坪等，位于东洲岛。</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lang w:val="zh-CN"/>
              </w:rPr>
            </w:pPr>
            <w:r>
              <w:rPr>
                <w:rFonts w:hint="default" w:cs="Times New Roman"/>
                <w:color w:val="auto"/>
                <w:sz w:val="21"/>
                <w:szCs w:val="21"/>
                <w:highlight w:val="none"/>
                <w:lang w:val="en-US" w:eastAsia="zh-CN"/>
              </w:rPr>
              <w:t>位于湘江四大家鱼水产种质资源保护区核心区</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bl>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sectPr>
          <w:footerReference r:id="rId12"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3"/>
        <w:gridCol w:w="1168"/>
        <w:gridCol w:w="1747"/>
        <w:gridCol w:w="6255"/>
        <w:gridCol w:w="2753"/>
        <w:gridCol w:w="1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公用工程</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给水工程</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水源由城市自来水管网供给</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lang w:val="zh-CN"/>
              </w:rPr>
            </w:pPr>
            <w:r>
              <w:rPr>
                <w:rFonts w:hint="default" w:cs="Times New Roman"/>
                <w:color w:val="auto"/>
                <w:sz w:val="21"/>
                <w:szCs w:val="21"/>
                <w:highlight w:val="no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供电工程</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电源由就近市政供电系统接入</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排水工程</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雨水工程</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沿道路设置雨水管道，雨水经雨水管网收集后就近排入附近河道。</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排水工程</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项目湘江东岸区域内生活污水经化粪池、隔油池处理后排入市政污水管网后进入江东污水处理厂处理。项目东洲岛区域生活污水依托东洲岛现有污水处理设施处理后回用绿化，不外排</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lang w:val="zh-CN"/>
              </w:rPr>
            </w:pPr>
            <w:r>
              <w:rPr>
                <w:rFonts w:hint="default" w:cs="Times New Roman"/>
                <w:color w:val="auto"/>
                <w:sz w:val="21"/>
                <w:szCs w:val="21"/>
                <w:highlight w:val="no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环保工程</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废气</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施工扬尘</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施工期扬尘防治措施：施工过程落实</w:t>
            </w:r>
            <w:r>
              <w:rPr>
                <w:rFonts w:hint="eastAsia"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八个百分百</w:t>
            </w:r>
            <w:r>
              <w:rPr>
                <w:rFonts w:hint="eastAsia"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和</w:t>
            </w:r>
            <w:r>
              <w:rPr>
                <w:rFonts w:hint="eastAsia"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三个全覆盖</w:t>
            </w:r>
            <w:r>
              <w:rPr>
                <w:rFonts w:hint="eastAsia"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措施。</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废水</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施工废水</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施工期生活废水经三级化粪池处理后进入市政污水管网排入江东污水处理厂，</w:t>
            </w:r>
            <w:r>
              <w:rPr>
                <w:rFonts w:hint="default" w:cs="Times New Roman"/>
                <w:color w:val="auto"/>
                <w:sz w:val="21"/>
                <w:szCs w:val="21"/>
                <w:highlight w:val="none"/>
                <w:vertAlign w:val="baseline"/>
                <w:lang w:val="en-US" w:eastAsia="zh-CN"/>
              </w:rPr>
              <w:t>施工</w:t>
            </w:r>
            <w:r>
              <w:rPr>
                <w:rFonts w:hint="default" w:ascii="Times New Roman" w:hAnsi="Times New Roman" w:eastAsia="宋体" w:cs="Times New Roman"/>
                <w:color w:val="auto"/>
                <w:sz w:val="21"/>
                <w:szCs w:val="21"/>
                <w:highlight w:val="none"/>
                <w:vertAlign w:val="baseline"/>
                <w:lang w:val="en-US" w:eastAsia="zh-CN"/>
              </w:rPr>
              <w:t>废水设置废水隔油沉淀池</w:t>
            </w:r>
            <w:r>
              <w:rPr>
                <w:rFonts w:hint="default" w:cs="Times New Roman"/>
                <w:color w:val="auto"/>
                <w:sz w:val="21"/>
                <w:szCs w:val="21"/>
                <w:highlight w:val="none"/>
                <w:vertAlign w:val="baseline"/>
                <w:lang w:val="en-US" w:eastAsia="zh-CN"/>
              </w:rPr>
              <w:t>处理后回用。</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运营废水</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湘江东岸项目范围：</w:t>
            </w:r>
            <w:r>
              <w:rPr>
                <w:rFonts w:hint="default" w:ascii="Times New Roman" w:hAnsi="Times New Roman" w:eastAsia="宋体" w:cs="Times New Roman"/>
                <w:color w:val="auto"/>
                <w:sz w:val="21"/>
                <w:szCs w:val="21"/>
                <w:highlight w:val="none"/>
                <w:vertAlign w:val="baseline"/>
                <w:lang w:val="en-US" w:eastAsia="zh-CN"/>
              </w:rPr>
              <w:t>生活污水经隔油池、化粪池处理后进入市政污水管网排入江东污水处理厂。</w:t>
            </w:r>
          </w:p>
          <w:p>
            <w:pPr>
              <w:keepNext w:val="0"/>
              <w:keepLines w:val="0"/>
              <w:pageBreakBefore w:val="0"/>
              <w:widowControl w:val="0"/>
              <w:kinsoku/>
              <w:wordWrap/>
              <w:overflowPunct/>
              <w:topLinePunct w:val="0"/>
              <w:autoSpaceDE/>
              <w:autoSpaceDN/>
              <w:bidi w:val="0"/>
              <w:adjustRightInd/>
              <w:snapToGrid/>
              <w:jc w:val="left"/>
              <w:textAlignment w:val="auto"/>
              <w:rPr>
                <w:rFonts w:hint="default"/>
                <w:color w:val="auto"/>
                <w:lang w:val="en-US" w:eastAsia="zh-CN"/>
              </w:rPr>
            </w:pPr>
            <w:r>
              <w:rPr>
                <w:rFonts w:hint="default" w:cs="Times New Roman"/>
                <w:color w:val="auto"/>
                <w:sz w:val="21"/>
                <w:szCs w:val="21"/>
                <w:highlight w:val="none"/>
                <w:vertAlign w:val="baseline"/>
                <w:lang w:val="en-US" w:eastAsia="zh-CN"/>
              </w:rPr>
              <w:t>东洲岛：依托东洲岛现有已建污水处理设施（地下式污水处理站+无动力地埋分散式厌氧净化处理系统）处理后达到《污水综合排放标准》（GB8978-1996）一级标准要求，回用于岛上绿化不外排</w:t>
            </w:r>
            <w:r>
              <w:rPr>
                <w:rFonts w:hint="default" w:ascii="Times New Roman" w:hAnsi="Times New Roman" w:eastAsia="宋体" w:cs="Times New Roman"/>
                <w:color w:val="auto"/>
                <w:sz w:val="21"/>
                <w:szCs w:val="21"/>
                <w:highlight w:val="none"/>
                <w:vertAlign w:val="baseline"/>
                <w:lang w:val="en-US" w:eastAsia="zh-CN"/>
              </w:rPr>
              <w:t>。</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噪声</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施工机械、车辆噪声</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临时隔声围挡、低噪声设备及定期对施工机械进行维护保养等；加强现场施工管理。</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人员活动等噪声</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加强管理、绿化</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固废</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垃圾箱</w:t>
            </w:r>
            <w:r>
              <w:rPr>
                <w:rFonts w:hint="default" w:cs="Times New Roman"/>
                <w:color w:val="auto"/>
                <w:sz w:val="21"/>
                <w:szCs w:val="21"/>
                <w:highlight w:val="none"/>
                <w:vertAlign w:val="baseline"/>
                <w:lang w:val="en-US" w:eastAsia="zh-CN"/>
              </w:rPr>
              <w:t>，定期清理交由环卫部门处置</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生态</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施工期生态防护</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水土保持防护工程、生态恢复、绿化工程等。</w:t>
            </w:r>
          </w:p>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运营期生态防护</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加强绿化措施。</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拆迁工程</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2206"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本项目不涉及拆迁</w:t>
            </w:r>
          </w:p>
        </w:tc>
        <w:tc>
          <w:tcPr>
            <w:tcW w:w="97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sectPr>
          <w:footerReference r:id="rId13"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3.1.3</w:t>
      </w:r>
      <w:r>
        <w:rPr>
          <w:rFonts w:hint="default" w:cs="Times New Roman"/>
          <w:b/>
          <w:bCs/>
          <w:color w:val="auto"/>
          <w:kern w:val="0"/>
          <w:sz w:val="28"/>
          <w:szCs w:val="28"/>
          <w:highlight w:val="none"/>
          <w:lang w:val="en-US" w:eastAsia="zh-CN"/>
        </w:rPr>
        <w:t>涉保护区</w:t>
      </w:r>
      <w:r>
        <w:rPr>
          <w:rFonts w:hint="default" w:ascii="Times New Roman" w:hAnsi="Times New Roman" w:eastAsia="宋体" w:cs="Times New Roman"/>
          <w:b/>
          <w:bCs/>
          <w:color w:val="auto"/>
          <w:kern w:val="0"/>
          <w:sz w:val="28"/>
          <w:szCs w:val="28"/>
          <w:highlight w:val="none"/>
          <w:lang w:val="en-US" w:eastAsia="zh-CN"/>
        </w:rPr>
        <w:t>工程</w:t>
      </w:r>
    </w:p>
    <w:p>
      <w:pPr>
        <w:keepLines w:val="0"/>
        <w:pageBreakBefore w:val="0"/>
        <w:widowControl w:val="0"/>
        <w:numPr>
          <w:ilvl w:val="0"/>
          <w:numId w:val="0"/>
        </w:numPr>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本项目涉保护区（饮用水源二级保护区陆域）工程为风光带整治工程，主要包括抛石护岸、岸坡整治、防洪堤加固、亲水栈道、台阶、游步道、活动广场及游乐场地及景观绿化等</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本项目临水风光带整治护坡护脚涉及水产种质资源保护区（核心区）岸线，其中抛石护脚涉及水产种质资源保护区（核心区）水域。</w:t>
      </w:r>
    </w:p>
    <w:p>
      <w:pPr>
        <w:keepLines w:val="0"/>
        <w:pageBreakBefore w:val="0"/>
        <w:widowControl w:val="0"/>
        <w:numPr>
          <w:ilvl w:val="0"/>
          <w:numId w:val="0"/>
        </w:numPr>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项目实施范围始于龙家坪路，止于冶金中路，岸线全长约650m，具体分段工程内容见下表。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Cs w:val="24"/>
          <w:highlight w:val="none"/>
          <w:u w:val="none" w:color="auto"/>
          <w:lang w:val="en-US" w:eastAsia="zh-CN"/>
        </w:rPr>
      </w:pPr>
      <w:r>
        <w:rPr>
          <w:rFonts w:hint="default" w:ascii="Times New Roman" w:hAnsi="Times New Roman" w:eastAsia="宋体" w:cs="Times New Roman"/>
          <w:b/>
          <w:color w:val="auto"/>
          <w:szCs w:val="24"/>
          <w:highlight w:val="none"/>
          <w:u w:val="none" w:color="auto"/>
          <w:lang w:val="en-US" w:eastAsia="zh-CN"/>
        </w:rPr>
        <w:t>表</w:t>
      </w:r>
      <w:r>
        <w:rPr>
          <w:rFonts w:hint="default" w:eastAsia="宋体" w:cs="Times New Roman"/>
          <w:b/>
          <w:color w:val="auto"/>
          <w:szCs w:val="24"/>
          <w:highlight w:val="none"/>
          <w:u w:val="none" w:color="auto"/>
          <w:lang w:val="en-US" w:eastAsia="zh-CN"/>
        </w:rPr>
        <w:t>3.1</w:t>
      </w:r>
      <w:r>
        <w:rPr>
          <w:rFonts w:hint="default" w:ascii="Times New Roman" w:hAnsi="Times New Roman" w:eastAsia="宋体" w:cs="Times New Roman"/>
          <w:b/>
          <w:color w:val="auto"/>
          <w:szCs w:val="24"/>
          <w:highlight w:val="none"/>
          <w:u w:val="none" w:color="auto"/>
          <w:lang w:val="en-US" w:eastAsia="zh-CN"/>
        </w:rPr>
        <w:t>-</w:t>
      </w:r>
      <w:r>
        <w:rPr>
          <w:rFonts w:hint="eastAsia" w:cs="Times New Roman"/>
          <w:b/>
          <w:color w:val="auto"/>
          <w:szCs w:val="24"/>
          <w:highlight w:val="none"/>
          <w:u w:val="none" w:color="auto"/>
          <w:lang w:val="en-US" w:eastAsia="zh-CN"/>
        </w:rPr>
        <w:t>2</w:t>
      </w:r>
      <w:r>
        <w:rPr>
          <w:rFonts w:hint="default" w:ascii="Times New Roman" w:hAnsi="Times New Roman" w:eastAsia="宋体" w:cs="Times New Roman"/>
          <w:b/>
          <w:color w:val="auto"/>
          <w:szCs w:val="24"/>
          <w:highlight w:val="none"/>
          <w:u w:val="none" w:color="auto"/>
          <w:lang w:val="en-US" w:eastAsia="zh-CN"/>
        </w:rPr>
        <w:t xml:space="preserve">  风光带整治分段工程内容表</w:t>
      </w:r>
    </w:p>
    <w:tbl>
      <w:tblPr>
        <w:tblStyle w:val="22"/>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7"/>
        <w:gridCol w:w="3250"/>
        <w:gridCol w:w="2433"/>
        <w:gridCol w:w="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7"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rPr>
            </w:pPr>
            <w:r>
              <w:rPr>
                <w:rFonts w:hint="default" w:ascii="Times New Roman" w:eastAsia="宋体" w:cs="Times New Roman"/>
                <w:snapToGrid w:val="0"/>
                <w:color w:val="auto"/>
                <w:kern w:val="2"/>
                <w:sz w:val="21"/>
                <w:szCs w:val="21"/>
              </w:rPr>
              <w:t>桩号</w:t>
            </w:r>
          </w:p>
        </w:tc>
        <w:tc>
          <w:tcPr>
            <w:tcW w:w="3250"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防洪堤加固设计</w:t>
            </w:r>
          </w:p>
        </w:tc>
        <w:tc>
          <w:tcPr>
            <w:tcW w:w="243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景观及配套设施</w:t>
            </w:r>
          </w:p>
        </w:tc>
        <w:tc>
          <w:tcPr>
            <w:tcW w:w="89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eastAsia="zh-CN"/>
              </w:rPr>
            </w:pPr>
            <w:r>
              <w:rPr>
                <w:rFonts w:hint="default" w:ascii="Times New Roman" w:eastAsia="宋体" w:cs="Times New Roman"/>
                <w:snapToGrid w:val="0"/>
                <w:color w:val="auto"/>
                <w:kern w:val="2"/>
                <w:sz w:val="21"/>
                <w:szCs w:val="21"/>
                <w:lang w:val="en-US" w:eastAsia="zh-CN"/>
              </w:rPr>
              <w:t>合计（m）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7"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hAnsi="Times New Roman" w:eastAsia="宋体" w:cs="Times New Roman"/>
                <w:snapToGrid w:val="0"/>
                <w:color w:val="auto"/>
                <w:kern w:val="2"/>
                <w:sz w:val="21"/>
                <w:szCs w:val="21"/>
              </w:rPr>
              <w:t>K0+000-K0+</w:t>
            </w:r>
            <w:r>
              <w:rPr>
                <w:rFonts w:hint="default" w:ascii="Times New Roman" w:hAnsi="Times New Roman" w:eastAsia="宋体" w:cs="Times New Roman"/>
                <w:snapToGrid w:val="0"/>
                <w:color w:val="auto"/>
                <w:kern w:val="2"/>
                <w:sz w:val="21"/>
                <w:szCs w:val="21"/>
                <w:lang w:val="en-US" w:eastAsia="zh-CN"/>
              </w:rPr>
              <w:t>130</w:t>
            </w:r>
          </w:p>
        </w:tc>
        <w:tc>
          <w:tcPr>
            <w:tcW w:w="3250"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抛石护岸+生态护坡+防洪堤加高培厚</w:t>
            </w:r>
          </w:p>
        </w:tc>
        <w:tc>
          <w:tcPr>
            <w:tcW w:w="243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rPr>
              <w:t>活动广场</w:t>
            </w:r>
            <w:r>
              <w:rPr>
                <w:rFonts w:hint="default" w:ascii="Times New Roman" w:eastAsia="宋体" w:cs="Times New Roman"/>
                <w:snapToGrid w:val="0"/>
                <w:color w:val="auto"/>
                <w:kern w:val="2"/>
                <w:sz w:val="21"/>
                <w:szCs w:val="21"/>
                <w:lang w:eastAsia="zh-CN"/>
              </w:rPr>
              <w:t>、</w:t>
            </w:r>
            <w:r>
              <w:rPr>
                <w:rFonts w:hint="default" w:ascii="Times New Roman" w:eastAsia="宋体" w:cs="Times New Roman"/>
                <w:snapToGrid w:val="0"/>
                <w:color w:val="auto"/>
                <w:kern w:val="2"/>
                <w:sz w:val="21"/>
                <w:szCs w:val="21"/>
                <w:lang w:val="en-US" w:eastAsia="zh-CN"/>
              </w:rPr>
              <w:t>亲水栈道、园路（绿道）、景观绿化</w:t>
            </w:r>
          </w:p>
        </w:tc>
        <w:tc>
          <w:tcPr>
            <w:tcW w:w="89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7"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hAnsi="Times New Roman" w:eastAsia="宋体" w:cs="Times New Roman"/>
                <w:snapToGrid w:val="0"/>
                <w:color w:val="auto"/>
                <w:kern w:val="2"/>
                <w:sz w:val="21"/>
                <w:szCs w:val="21"/>
              </w:rPr>
              <w:t>K0+</w:t>
            </w:r>
            <w:r>
              <w:rPr>
                <w:rFonts w:hint="default" w:ascii="Times New Roman" w:hAnsi="Times New Roman" w:eastAsia="宋体" w:cs="Times New Roman"/>
                <w:snapToGrid w:val="0"/>
                <w:color w:val="auto"/>
                <w:kern w:val="2"/>
                <w:sz w:val="21"/>
                <w:szCs w:val="21"/>
                <w:lang w:val="en-US" w:eastAsia="zh-CN"/>
              </w:rPr>
              <w:t>130</w:t>
            </w:r>
            <w:r>
              <w:rPr>
                <w:rFonts w:hint="default" w:ascii="Times New Roman" w:hAnsi="Times New Roman" w:eastAsia="宋体" w:cs="Times New Roman"/>
                <w:snapToGrid w:val="0"/>
                <w:color w:val="auto"/>
                <w:kern w:val="2"/>
                <w:sz w:val="21"/>
                <w:szCs w:val="21"/>
              </w:rPr>
              <w:t>-K0+</w:t>
            </w:r>
            <w:r>
              <w:rPr>
                <w:rFonts w:hint="default" w:ascii="Times New Roman" w:hAnsi="Times New Roman" w:eastAsia="宋体" w:cs="Times New Roman"/>
                <w:snapToGrid w:val="0"/>
                <w:color w:val="auto"/>
                <w:kern w:val="2"/>
                <w:sz w:val="21"/>
                <w:szCs w:val="21"/>
                <w:lang w:val="en-US" w:eastAsia="zh-CN"/>
              </w:rPr>
              <w:t>290</w:t>
            </w:r>
          </w:p>
        </w:tc>
        <w:tc>
          <w:tcPr>
            <w:tcW w:w="3250"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rPr>
            </w:pPr>
            <w:r>
              <w:rPr>
                <w:rFonts w:hint="default" w:ascii="Times New Roman" w:eastAsia="宋体" w:cs="Times New Roman"/>
                <w:snapToGrid w:val="0"/>
                <w:color w:val="auto"/>
                <w:kern w:val="2"/>
                <w:sz w:val="21"/>
                <w:szCs w:val="21"/>
                <w:lang w:val="en-US" w:eastAsia="zh-CN"/>
              </w:rPr>
              <w:t>抛石护岸+生态护坡+防洪堤加高培厚+毛石混凝土挡墙</w:t>
            </w:r>
          </w:p>
        </w:tc>
        <w:tc>
          <w:tcPr>
            <w:tcW w:w="243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rPr>
            </w:pPr>
            <w:r>
              <w:rPr>
                <w:rFonts w:hint="default" w:ascii="Times New Roman" w:eastAsia="宋体" w:cs="Times New Roman"/>
                <w:snapToGrid w:val="0"/>
                <w:color w:val="auto"/>
                <w:kern w:val="2"/>
                <w:sz w:val="21"/>
                <w:szCs w:val="21"/>
                <w:lang w:val="en-US" w:eastAsia="zh-CN"/>
              </w:rPr>
              <w:t>亲水栈道</w:t>
            </w:r>
            <w:r>
              <w:rPr>
                <w:rFonts w:hint="eastAsia" w:ascii="Times New Roman" w:eastAsia="宋体" w:cs="Times New Roman"/>
                <w:snapToGrid w:val="0"/>
                <w:color w:val="auto"/>
                <w:kern w:val="2"/>
                <w:sz w:val="21"/>
                <w:szCs w:val="21"/>
                <w:lang w:val="en-US" w:eastAsia="zh-CN"/>
              </w:rPr>
              <w:t>、</w:t>
            </w:r>
            <w:r>
              <w:rPr>
                <w:rFonts w:hint="default" w:ascii="Times New Roman" w:eastAsia="宋体" w:cs="Times New Roman"/>
                <w:snapToGrid w:val="0"/>
                <w:color w:val="auto"/>
                <w:kern w:val="2"/>
                <w:sz w:val="21"/>
                <w:szCs w:val="21"/>
                <w:lang w:val="en-US" w:eastAsia="zh-CN"/>
              </w:rPr>
              <w:t>园路（绿道）、景观绿化</w:t>
            </w:r>
          </w:p>
        </w:tc>
        <w:tc>
          <w:tcPr>
            <w:tcW w:w="89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7"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
                <w:sz w:val="21"/>
                <w:szCs w:val="21"/>
                <w:lang w:val="en-US"/>
              </w:rPr>
            </w:pPr>
            <w:r>
              <w:rPr>
                <w:rFonts w:hint="default" w:ascii="Times New Roman" w:hAnsi="Times New Roman" w:eastAsia="宋体" w:cs="Times New Roman"/>
                <w:snapToGrid w:val="0"/>
                <w:color w:val="auto"/>
                <w:kern w:val="2"/>
                <w:sz w:val="21"/>
                <w:szCs w:val="21"/>
              </w:rPr>
              <w:t>K0+</w:t>
            </w:r>
            <w:r>
              <w:rPr>
                <w:rFonts w:hint="default" w:ascii="Times New Roman" w:hAnsi="Times New Roman" w:eastAsia="宋体" w:cs="Times New Roman"/>
                <w:snapToGrid w:val="0"/>
                <w:color w:val="auto"/>
                <w:kern w:val="2"/>
                <w:sz w:val="21"/>
                <w:szCs w:val="21"/>
                <w:lang w:val="en-US" w:eastAsia="zh-CN"/>
              </w:rPr>
              <w:t>290</w:t>
            </w:r>
            <w:r>
              <w:rPr>
                <w:rFonts w:hint="default" w:ascii="Times New Roman" w:hAnsi="Times New Roman" w:eastAsia="宋体" w:cs="Times New Roman"/>
                <w:snapToGrid w:val="0"/>
                <w:color w:val="auto"/>
                <w:kern w:val="2"/>
                <w:sz w:val="21"/>
                <w:szCs w:val="21"/>
              </w:rPr>
              <w:t>-K0+</w:t>
            </w:r>
            <w:r>
              <w:rPr>
                <w:rFonts w:hint="default" w:ascii="Times New Roman" w:hAnsi="Times New Roman" w:eastAsia="宋体" w:cs="Times New Roman"/>
                <w:snapToGrid w:val="0"/>
                <w:color w:val="auto"/>
                <w:kern w:val="2"/>
                <w:sz w:val="21"/>
                <w:szCs w:val="21"/>
                <w:lang w:val="en-US" w:eastAsia="zh-CN"/>
              </w:rPr>
              <w:t>440</w:t>
            </w:r>
          </w:p>
        </w:tc>
        <w:tc>
          <w:tcPr>
            <w:tcW w:w="3250"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rPr>
            </w:pPr>
            <w:r>
              <w:rPr>
                <w:rFonts w:hint="default" w:ascii="Times New Roman" w:eastAsia="宋体" w:cs="Times New Roman"/>
                <w:snapToGrid w:val="0"/>
                <w:color w:val="auto"/>
                <w:kern w:val="2"/>
                <w:sz w:val="21"/>
                <w:szCs w:val="21"/>
                <w:lang w:val="en-US" w:eastAsia="zh-CN"/>
              </w:rPr>
              <w:t>抛石护岸+生态护坡+防洪堤加高培厚</w:t>
            </w:r>
          </w:p>
        </w:tc>
        <w:tc>
          <w:tcPr>
            <w:tcW w:w="243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
                <w:sz w:val="21"/>
                <w:szCs w:val="21"/>
                <w:lang w:val="en-US"/>
              </w:rPr>
            </w:pPr>
            <w:r>
              <w:rPr>
                <w:rFonts w:hint="default" w:ascii="Times New Roman" w:eastAsia="宋体" w:cs="Times New Roman"/>
                <w:snapToGrid w:val="0"/>
                <w:color w:val="auto"/>
                <w:kern w:val="2"/>
                <w:sz w:val="21"/>
                <w:szCs w:val="21"/>
              </w:rPr>
              <w:t>活动广场</w:t>
            </w:r>
            <w:r>
              <w:rPr>
                <w:rFonts w:hint="default" w:ascii="Times New Roman" w:eastAsia="宋体" w:cs="Times New Roman"/>
                <w:snapToGrid w:val="0"/>
                <w:color w:val="auto"/>
                <w:kern w:val="2"/>
                <w:sz w:val="21"/>
                <w:szCs w:val="21"/>
                <w:lang w:eastAsia="zh-CN"/>
              </w:rPr>
              <w:t>、</w:t>
            </w:r>
            <w:r>
              <w:rPr>
                <w:rFonts w:hint="default" w:ascii="Times New Roman" w:eastAsia="宋体" w:cs="Times New Roman"/>
                <w:snapToGrid w:val="0"/>
                <w:color w:val="auto"/>
                <w:kern w:val="2"/>
                <w:sz w:val="21"/>
                <w:szCs w:val="21"/>
                <w:lang w:val="en-US" w:eastAsia="zh-CN"/>
              </w:rPr>
              <w:t>亲水栈道、台阶（下栈通道）、园路（绿道）、景观绿化、</w:t>
            </w:r>
          </w:p>
        </w:tc>
        <w:tc>
          <w:tcPr>
            <w:tcW w:w="89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7"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K0+</w:t>
            </w:r>
            <w:r>
              <w:rPr>
                <w:rFonts w:hint="default" w:ascii="Times New Roman" w:hAnsi="Times New Roman" w:eastAsia="宋体" w:cs="Times New Roman"/>
                <w:snapToGrid w:val="0"/>
                <w:color w:val="auto"/>
                <w:kern w:val="2"/>
                <w:sz w:val="21"/>
                <w:szCs w:val="21"/>
                <w:lang w:val="en-US" w:eastAsia="zh-CN"/>
              </w:rPr>
              <w:t>440</w:t>
            </w:r>
            <w:r>
              <w:rPr>
                <w:rFonts w:hint="default" w:ascii="Times New Roman" w:hAnsi="Times New Roman" w:eastAsia="宋体" w:cs="Times New Roman"/>
                <w:snapToGrid w:val="0"/>
                <w:color w:val="auto"/>
                <w:kern w:val="2"/>
                <w:sz w:val="21"/>
                <w:szCs w:val="21"/>
              </w:rPr>
              <w:t>-K0+</w:t>
            </w:r>
            <w:r>
              <w:rPr>
                <w:rFonts w:hint="default" w:ascii="Times New Roman" w:hAnsi="Times New Roman" w:eastAsia="宋体" w:cs="Times New Roman"/>
                <w:snapToGrid w:val="0"/>
                <w:color w:val="auto"/>
                <w:kern w:val="2"/>
                <w:sz w:val="21"/>
                <w:szCs w:val="21"/>
                <w:lang w:val="en-US" w:eastAsia="zh-CN"/>
              </w:rPr>
              <w:t>650</w:t>
            </w:r>
          </w:p>
        </w:tc>
        <w:tc>
          <w:tcPr>
            <w:tcW w:w="3250"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抛石护岸+生态护坡+防洪堤加高培厚</w:t>
            </w:r>
          </w:p>
        </w:tc>
        <w:tc>
          <w:tcPr>
            <w:tcW w:w="243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rPr>
            </w:pPr>
            <w:r>
              <w:rPr>
                <w:rFonts w:hint="default" w:ascii="Times New Roman" w:eastAsia="宋体" w:cs="Times New Roman"/>
                <w:snapToGrid w:val="0"/>
                <w:color w:val="auto"/>
                <w:kern w:val="2"/>
                <w:sz w:val="21"/>
                <w:szCs w:val="21"/>
                <w:lang w:val="en-US" w:eastAsia="zh-CN"/>
              </w:rPr>
              <w:t>园路（绿道）</w:t>
            </w:r>
            <w:r>
              <w:rPr>
                <w:rFonts w:hint="default" w:ascii="Times New Roman" w:eastAsia="宋体" w:cs="Times New Roman"/>
                <w:snapToGrid w:val="0"/>
                <w:color w:val="auto"/>
                <w:kern w:val="2"/>
                <w:sz w:val="21"/>
                <w:szCs w:val="21"/>
                <w:lang w:eastAsia="zh-CN"/>
              </w:rPr>
              <w:t>、</w:t>
            </w:r>
            <w:r>
              <w:rPr>
                <w:rFonts w:hint="default" w:ascii="Times New Roman" w:eastAsia="宋体" w:cs="Times New Roman"/>
                <w:snapToGrid w:val="0"/>
                <w:color w:val="auto"/>
                <w:kern w:val="2"/>
                <w:sz w:val="21"/>
                <w:szCs w:val="21"/>
                <w:lang w:val="en-US" w:eastAsia="zh-CN"/>
              </w:rPr>
              <w:t>亲水栈道、景观绿化、台阶（下栈通道）</w:t>
            </w:r>
          </w:p>
        </w:tc>
        <w:tc>
          <w:tcPr>
            <w:tcW w:w="89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0" w:type="dxa"/>
            <w:gridSpan w:val="3"/>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合计</w:t>
            </w:r>
          </w:p>
        </w:tc>
        <w:tc>
          <w:tcPr>
            <w:tcW w:w="893"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sz w:val="21"/>
                <w:szCs w:val="21"/>
                <w:lang w:val="en-US" w:eastAsia="zh-CN"/>
              </w:rPr>
            </w:pPr>
            <w:r>
              <w:rPr>
                <w:rFonts w:hint="default" w:ascii="Times New Roman" w:eastAsia="宋体" w:cs="Times New Roman"/>
                <w:snapToGrid w:val="0"/>
                <w:color w:val="auto"/>
                <w:kern w:val="2"/>
                <w:sz w:val="21"/>
                <w:szCs w:val="21"/>
                <w:lang w:val="en-US" w:eastAsia="zh-CN"/>
              </w:rPr>
              <w:t>650</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3.1.</w:t>
      </w:r>
      <w:r>
        <w:rPr>
          <w:rFonts w:hint="default" w:cs="Times New Roman"/>
          <w:b/>
          <w:bCs/>
          <w:color w:val="auto"/>
          <w:kern w:val="0"/>
          <w:sz w:val="28"/>
          <w:szCs w:val="28"/>
          <w:highlight w:val="none"/>
          <w:lang w:val="en-US" w:eastAsia="zh-CN"/>
        </w:rPr>
        <w:t>4涉水</w:t>
      </w:r>
      <w:r>
        <w:rPr>
          <w:rFonts w:hint="default" w:ascii="Times New Roman" w:hAnsi="Times New Roman" w:eastAsia="宋体" w:cs="Times New Roman"/>
          <w:b/>
          <w:bCs/>
          <w:color w:val="auto"/>
          <w:kern w:val="0"/>
          <w:sz w:val="28"/>
          <w:szCs w:val="28"/>
          <w:highlight w:val="none"/>
          <w:lang w:val="en-US" w:eastAsia="zh-CN"/>
        </w:rPr>
        <w:t>工程</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firstLine="480" w:firstLineChars="200"/>
        <w:textAlignment w:val="auto"/>
        <w:outlineLvl w:val="9"/>
        <w:rPr>
          <w:rFonts w:hint="default" w:ascii="Times New Roman" w:hAnsi="Times New Roman" w:eastAsia="宋体" w:cs="Times New Roman"/>
          <w:b/>
          <w:bCs/>
          <w:color w:val="auto"/>
          <w:kern w:val="0"/>
          <w:sz w:val="28"/>
          <w:szCs w:val="28"/>
          <w:highlight w:val="none"/>
          <w:u w:val="none"/>
          <w:lang w:val="en-US" w:eastAsia="zh-CN"/>
        </w:rPr>
      </w:pPr>
      <w:r>
        <w:rPr>
          <w:rFonts w:hint="default" w:ascii="Times New Roman" w:hAnsi="Times New Roman" w:eastAsia="宋体" w:cs="Times New Roman"/>
          <w:color w:val="auto"/>
          <w:sz w:val="24"/>
          <w:szCs w:val="24"/>
          <w:u w:val="none"/>
          <w:lang w:val="en-US" w:eastAsia="zh-CN"/>
        </w:rPr>
        <w:t>根据初步设计，本项目100年一遇设计洪水位标高为61.67-61.80m，常水位为50.49-50.52m，2年一遇水位为55.50m；本项目抛石护脚顶面标高50.5m、格宾笼顶面标高52m、岸坡整治52～55.5m、防洪堤61.70、亲水栈道52.7m、游步道52.7～55.6～61.7m、园路52.7～55.6～61.7m、配套附属设施52.7-61.7m。本项目抛石护脚顶面标高低于常水位，且根据抛石护脚施工方案，</w:t>
      </w:r>
      <w:r>
        <w:rPr>
          <w:rFonts w:hint="default" w:ascii="Times New Roman" w:hAnsi="Times New Roman" w:cs="Times New Roman"/>
          <w:color w:val="auto"/>
          <w:sz w:val="24"/>
          <w:szCs w:val="24"/>
          <w:u w:val="none"/>
          <w:lang w:val="en-US" w:eastAsia="zh-CN"/>
        </w:rPr>
        <w:t>采用船上挖机向防洪堤坡脚水域抛投石子，涉及涉水施工，其余工程</w:t>
      </w:r>
      <w:r>
        <w:rPr>
          <w:rFonts w:hint="default" w:ascii="Times New Roman" w:hAnsi="Times New Roman" w:eastAsia="宋体" w:cs="Times New Roman"/>
          <w:color w:val="auto"/>
          <w:sz w:val="24"/>
          <w:szCs w:val="24"/>
          <w:u w:val="none"/>
          <w:lang w:val="en-US" w:eastAsia="zh-CN"/>
        </w:rPr>
        <w:t>设计标高全高于常水位，不涉及涉水施工。</w:t>
      </w:r>
      <w:r>
        <w:rPr>
          <w:rFonts w:hint="eastAsia" w:ascii="Times New Roman" w:hAnsi="Times New Roman" w:cs="Times New Roman"/>
          <w:color w:val="auto"/>
          <w:sz w:val="24"/>
          <w:szCs w:val="24"/>
          <w:u w:val="none"/>
          <w:lang w:val="en-US" w:eastAsia="zh-CN"/>
        </w:rPr>
        <w:t>本工程不涉及河道清淤疏浚。</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3.1.</w:t>
      </w:r>
      <w:r>
        <w:rPr>
          <w:rFonts w:hint="default" w:cs="Times New Roman"/>
          <w:b/>
          <w:bCs/>
          <w:color w:val="auto"/>
          <w:kern w:val="0"/>
          <w:sz w:val="28"/>
          <w:szCs w:val="28"/>
          <w:highlight w:val="none"/>
          <w:lang w:val="en-US" w:eastAsia="zh-CN"/>
        </w:rPr>
        <w:t>5</w:t>
      </w:r>
      <w:r>
        <w:rPr>
          <w:rFonts w:hint="default" w:ascii="Times New Roman" w:hAnsi="Times New Roman" w:eastAsia="宋体" w:cs="Times New Roman"/>
          <w:b/>
          <w:bCs/>
          <w:color w:val="auto"/>
          <w:kern w:val="0"/>
          <w:sz w:val="28"/>
          <w:szCs w:val="28"/>
          <w:highlight w:val="none"/>
          <w:lang w:val="en-US" w:eastAsia="zh-CN"/>
        </w:rPr>
        <w:t>主要工程</w:t>
      </w:r>
      <w:r>
        <w:rPr>
          <w:rFonts w:hint="default" w:cs="Times New Roman"/>
          <w:b/>
          <w:bCs/>
          <w:color w:val="auto"/>
          <w:kern w:val="0"/>
          <w:sz w:val="28"/>
          <w:szCs w:val="28"/>
          <w:highlight w:val="none"/>
          <w:lang w:val="en-US" w:eastAsia="zh-CN"/>
        </w:rPr>
        <w:t>设计</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3.1.5.1 防洪堤设计</w:t>
      </w:r>
    </w:p>
    <w:p>
      <w:pPr>
        <w:keepNext w:val="0"/>
        <w:keepLines w:val="0"/>
        <w:pageBreakBefore w:val="0"/>
        <w:widowControl w:val="0"/>
        <w:kinsoku/>
        <w:wordWrap/>
        <w:overflowPunct/>
        <w:topLinePunct w:val="0"/>
        <w:autoSpaceDE/>
        <w:autoSpaceDN/>
        <w:bidi w:val="0"/>
        <w:adjustRightInd/>
        <w:snapToGrid/>
        <w:spacing w:line="360" w:lineRule="auto"/>
        <w:ind w:firstLine="561"/>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防洪堤</w:t>
      </w:r>
      <w:r>
        <w:rPr>
          <w:rFonts w:hint="default" w:cs="Times New Roman"/>
          <w:color w:val="auto"/>
          <w:sz w:val="24"/>
          <w:szCs w:val="24"/>
          <w:highlight w:val="none"/>
          <w:lang w:val="en-US" w:eastAsia="zh-CN"/>
        </w:rPr>
        <w:t>加固</w:t>
      </w:r>
      <w:r>
        <w:rPr>
          <w:rFonts w:hint="default" w:ascii="Times New Roman" w:hAnsi="Times New Roman" w:cs="Times New Roman"/>
          <w:color w:val="auto"/>
          <w:sz w:val="24"/>
          <w:szCs w:val="24"/>
          <w:highlight w:val="none"/>
          <w:lang w:val="en-US" w:eastAsia="zh-CN"/>
        </w:rPr>
        <w:t>工程属于衡阳市珠晖保护圈</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珠晖保护圈由和平堤、东岸堤、江东堤、东山堤组成</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，本工程属于东岸堤，该工程始于现有湘江东路终点，止于衡阳市轧钢厂附近，堤线全长2.05km，桩号为K9+400-K11+450, 独立桩号为K0+000～K2+050</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防洪堤</w:t>
      </w:r>
      <w:r>
        <w:rPr>
          <w:rFonts w:hint="default" w:cs="Times New Roman"/>
          <w:color w:val="auto"/>
          <w:sz w:val="24"/>
          <w:szCs w:val="24"/>
          <w:highlight w:val="none"/>
          <w:lang w:val="en-US" w:eastAsia="zh-CN"/>
        </w:rPr>
        <w:t>加固</w:t>
      </w:r>
      <w:r>
        <w:rPr>
          <w:rFonts w:hint="default" w:ascii="Times New Roman" w:hAnsi="Times New Roman" w:cs="Times New Roman"/>
          <w:color w:val="auto"/>
          <w:sz w:val="24"/>
          <w:szCs w:val="24"/>
          <w:highlight w:val="none"/>
          <w:lang w:val="en-US" w:eastAsia="zh-CN"/>
        </w:rPr>
        <w:t>工程</w:t>
      </w:r>
      <w:r>
        <w:rPr>
          <w:rFonts w:hint="default" w:cs="Times New Roman"/>
          <w:color w:val="auto"/>
          <w:sz w:val="24"/>
          <w:szCs w:val="24"/>
          <w:highlight w:val="none"/>
          <w:lang w:val="en-US" w:eastAsia="zh-CN"/>
        </w:rPr>
        <w:t>分两段实施，</w:t>
      </w:r>
      <w:r>
        <w:rPr>
          <w:rFonts w:hint="default" w:ascii="Times New Roman" w:hAnsi="Times New Roman" w:cs="Times New Roman"/>
          <w:color w:val="auto"/>
          <w:sz w:val="24"/>
          <w:szCs w:val="24"/>
          <w:highlight w:val="none"/>
          <w:lang w:val="en-US" w:eastAsia="zh-CN"/>
        </w:rPr>
        <w:t>其中K0+000~K0+650段防洪堤加固工程属于</w:t>
      </w:r>
      <w:r>
        <w:rPr>
          <w:rFonts w:hint="default" w:cs="Times New Roman"/>
          <w:color w:val="auto"/>
          <w:sz w:val="24"/>
          <w:szCs w:val="24"/>
          <w:highlight w:val="none"/>
          <w:lang w:val="en-US" w:eastAsia="zh-CN"/>
        </w:rPr>
        <w:t>本</w:t>
      </w:r>
      <w:r>
        <w:rPr>
          <w:rFonts w:hint="default" w:ascii="Times New Roman" w:hAnsi="Times New Roman" w:cs="Times New Roman"/>
          <w:color w:val="auto"/>
          <w:sz w:val="24"/>
          <w:szCs w:val="24"/>
          <w:highlight w:val="none"/>
          <w:lang w:val="en-US" w:eastAsia="zh-CN"/>
        </w:rPr>
        <w:t>项目</w:t>
      </w:r>
      <w:r>
        <w:rPr>
          <w:rFonts w:hint="default" w:cs="Times New Roman"/>
          <w:color w:val="auto"/>
          <w:sz w:val="24"/>
          <w:szCs w:val="24"/>
          <w:highlight w:val="none"/>
          <w:lang w:val="en-US" w:eastAsia="zh-CN"/>
        </w:rPr>
        <w:t>实施范围</w:t>
      </w:r>
      <w:r>
        <w:rPr>
          <w:rFonts w:hint="default" w:ascii="Times New Roman" w:hAnsi="Times New Roman" w:cs="Times New Roman"/>
          <w:color w:val="auto"/>
          <w:sz w:val="24"/>
          <w:szCs w:val="24"/>
          <w:highlight w:val="none"/>
          <w:lang w:val="en-US" w:eastAsia="zh-CN"/>
        </w:rPr>
        <w:t>。</w:t>
      </w:r>
    </w:p>
    <w:p>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cs="Times New Roman"/>
          <w:color w:val="auto"/>
          <w:sz w:val="24"/>
          <w:highlight w:val="none"/>
          <w:u w:val="none"/>
          <w:lang w:val="en-US" w:eastAsia="zh-CN"/>
        </w:rPr>
        <w:t>设计基本方案为：</w:t>
      </w:r>
      <w:r>
        <w:rPr>
          <w:rFonts w:hint="default" w:ascii="Times New Roman" w:hAnsi="Times New Roman" w:cs="Times New Roman"/>
          <w:color w:val="auto"/>
          <w:sz w:val="24"/>
          <w:highlight w:val="none"/>
          <w:u w:val="none"/>
          <w:lang w:val="en-US" w:eastAsia="zh-CN"/>
        </w:rPr>
        <w:t>①</w:t>
      </w:r>
      <w:r>
        <w:rPr>
          <w:rFonts w:hint="default" w:cs="Times New Roman"/>
          <w:color w:val="auto"/>
          <w:sz w:val="24"/>
          <w:highlight w:val="none"/>
          <w:u w:val="none"/>
          <w:lang w:val="en-US" w:eastAsia="zh-CN"/>
        </w:rPr>
        <w:t>为满足本项目景观设计，防洪堤采用土堤形式，堤身加固培厚，护岸、护脚加固的基本原则不变。根据实际情况及风光带景观设计要求，本次设计防洪堤堤身平均退后3-5m，最大处退后15m，设计高程为61.7m。</w:t>
      </w:r>
      <w:r>
        <w:rPr>
          <w:rFonts w:hint="default" w:ascii="Times New Roman" w:hAnsi="Times New Roman" w:cs="Times New Roman"/>
          <w:color w:val="auto"/>
          <w:sz w:val="24"/>
          <w:highlight w:val="none"/>
          <w:u w:val="none"/>
          <w:lang w:val="en-US" w:eastAsia="zh-CN"/>
        </w:rPr>
        <w:t>②</w:t>
      </w:r>
      <w:r>
        <w:rPr>
          <w:rFonts w:hint="default" w:cs="Times New Roman"/>
          <w:color w:val="auto"/>
          <w:sz w:val="24"/>
          <w:highlight w:val="none"/>
          <w:u w:val="none"/>
          <w:lang w:val="en-US" w:eastAsia="zh-CN"/>
        </w:rPr>
        <w:t>护脚挡墙采用格宾挡墙+C25毛石混凝土挡墙（商品砼为C30）的形式，设计高程为52.00m。</w:t>
      </w:r>
      <w:r>
        <w:rPr>
          <w:rFonts w:hint="default" w:ascii="Times New Roman" w:hAnsi="Times New Roman" w:cs="Times New Roman"/>
          <w:color w:val="auto"/>
          <w:sz w:val="24"/>
          <w:highlight w:val="none"/>
          <w:u w:val="none"/>
          <w:lang w:val="en-US" w:eastAsia="zh-CN"/>
        </w:rPr>
        <w:t>③</w:t>
      </w:r>
      <w:r>
        <w:rPr>
          <w:rFonts w:hint="default" w:cs="Times New Roman"/>
          <w:color w:val="auto"/>
          <w:sz w:val="24"/>
          <w:highlight w:val="none"/>
          <w:u w:val="none"/>
          <w:lang w:val="en-US" w:eastAsia="zh-CN"/>
        </w:rPr>
        <w:t>河岸防冲刷采用抛石护脚，设计高程为50.50m。</w:t>
      </w:r>
      <w:r>
        <w:rPr>
          <w:rFonts w:hint="default" w:ascii="Times New Roman" w:hAnsi="Times New Roman" w:cs="Times New Roman"/>
          <w:color w:val="auto"/>
          <w:sz w:val="24"/>
          <w:highlight w:val="none"/>
          <w:u w:val="none"/>
          <w:lang w:val="en-US" w:eastAsia="zh-CN"/>
        </w:rPr>
        <w:t>③</w:t>
      </w:r>
      <w:r>
        <w:rPr>
          <w:rFonts w:hint="default" w:cs="Times New Roman"/>
          <w:color w:val="auto"/>
          <w:sz w:val="24"/>
          <w:highlight w:val="none"/>
          <w:u w:val="none"/>
          <w:lang w:val="en-US" w:eastAsia="zh-CN"/>
        </w:rPr>
        <w:t>护岸工程采用生态袋护坡和C25砼坡改平护坡（商品砼为C30）相结合的形式，设计高程为52~55.5m，坡比为1:2</w:t>
      </w:r>
      <w:r>
        <w:rPr>
          <w:rFonts w:hint="default" w:ascii="Times New Roman" w:hAnsi="Times New Roman" w:eastAsia="宋体" w:cs="Times New Roman"/>
          <w:color w:val="auto"/>
          <w:sz w:val="24"/>
          <w:highlight w:val="none"/>
          <w:u w:val="none"/>
          <w:lang w:val="en-US" w:eastAsia="zh-CN"/>
        </w:rPr>
        <w:t>。</w:t>
      </w:r>
    </w:p>
    <w:p>
      <w:pPr>
        <w:keepLines w:val="0"/>
        <w:pageBreakBefore w:val="0"/>
        <w:widowControl w:val="0"/>
        <w:numPr>
          <w:ilvl w:val="0"/>
          <w:numId w:val="0"/>
        </w:numPr>
        <w:kinsoku/>
        <w:wordWrap/>
        <w:overflowPunct/>
        <w:topLinePunct w:val="0"/>
        <w:bidi w:val="0"/>
        <w:spacing w:line="360" w:lineRule="auto"/>
        <w:ind w:firstLine="480" w:firstLineChars="200"/>
        <w:rPr>
          <w:rFonts w:hint="default" w:eastAsia="宋体" w:cs="Times New Roman"/>
          <w:color w:val="auto"/>
          <w:sz w:val="24"/>
          <w:highlight w:val="none"/>
          <w:u w:val="none"/>
          <w:lang w:val="en-US" w:eastAsia="zh-CN"/>
        </w:rPr>
      </w:pPr>
      <w:r>
        <w:rPr>
          <w:rFonts w:hint="default" w:eastAsia="宋体" w:cs="Times New Roman"/>
          <w:color w:val="auto"/>
          <w:sz w:val="24"/>
          <w:highlight w:val="none"/>
          <w:u w:val="none"/>
          <w:lang w:val="en-US" w:eastAsia="zh-CN"/>
        </w:rPr>
        <w:t>（1）堤身设计</w:t>
      </w:r>
    </w:p>
    <w:p>
      <w:pPr>
        <w:keepLines w:val="0"/>
        <w:pageBreakBefore w:val="0"/>
        <w:widowControl w:val="0"/>
        <w:numPr>
          <w:ilvl w:val="0"/>
          <w:numId w:val="0"/>
        </w:numPr>
        <w:kinsoku/>
        <w:wordWrap/>
        <w:overflowPunct/>
        <w:topLinePunct w:val="0"/>
        <w:bidi w:val="0"/>
        <w:spacing w:line="360" w:lineRule="auto"/>
        <w:ind w:firstLine="480" w:firstLineChars="200"/>
        <w:rPr>
          <w:rFonts w:hint="default" w:eastAsia="宋体" w:cs="Times New Roman"/>
          <w:color w:val="auto"/>
          <w:sz w:val="24"/>
          <w:highlight w:val="none"/>
          <w:u w:val="none"/>
          <w:lang w:val="en-US" w:eastAsia="zh-CN"/>
        </w:rPr>
      </w:pPr>
      <w:r>
        <w:rPr>
          <w:rFonts w:hint="default" w:eastAsia="宋体" w:cs="Times New Roman"/>
          <w:color w:val="auto"/>
          <w:sz w:val="24"/>
          <w:highlight w:val="none"/>
          <w:u w:val="none"/>
          <w:lang w:val="en-US" w:eastAsia="zh-CN"/>
        </w:rPr>
        <w:t>防洪堤采用土堤形式，堤防工程等别为2等，防洪标准为100年一遇，护岸标准为2年一遇，100年一遇设计洪水位标高为61.67-61.80m，2年一遇水位为55.50m，常水位为50.49-50.52m。</w:t>
      </w:r>
    </w:p>
    <w:tbl>
      <w:tblPr>
        <w:tblStyle w:val="22"/>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4"/>
        <w:gridCol w:w="1657"/>
        <w:gridCol w:w="2510"/>
        <w:gridCol w:w="2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4"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eastAsia="宋体" w:cs="Times New Roman"/>
                <w:snapToGrid w:val="0"/>
                <w:color w:val="auto"/>
                <w:kern w:val="2"/>
              </w:rPr>
              <w:t>桩号</w:t>
            </w:r>
          </w:p>
        </w:tc>
        <w:tc>
          <w:tcPr>
            <w:tcW w:w="1657"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eastAsia="宋体" w:cs="Times New Roman"/>
                <w:snapToGrid w:val="0"/>
                <w:color w:val="auto"/>
                <w:kern w:val="2"/>
              </w:rPr>
              <w:t>堤型</w:t>
            </w:r>
          </w:p>
        </w:tc>
        <w:tc>
          <w:tcPr>
            <w:tcW w:w="2510"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eastAsia="宋体" w:cs="Times New Roman"/>
                <w:snapToGrid w:val="0"/>
                <w:color w:val="auto"/>
                <w:kern w:val="2"/>
              </w:rPr>
              <w:t>护岸类型</w:t>
            </w:r>
          </w:p>
        </w:tc>
        <w:tc>
          <w:tcPr>
            <w:tcW w:w="2222"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eastAsia="宋体" w:cs="Times New Roman"/>
                <w:snapToGrid w:val="0"/>
                <w:color w:val="auto"/>
                <w:kern w:val="2"/>
              </w:rPr>
              <w:t>护脚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4"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hAnsi="Times New Roman" w:eastAsia="宋体" w:cs="Times New Roman"/>
                <w:snapToGrid w:val="0"/>
                <w:color w:val="auto"/>
                <w:kern w:val="2"/>
              </w:rPr>
              <w:t>K0+000-K0+400</w:t>
            </w:r>
          </w:p>
        </w:tc>
        <w:tc>
          <w:tcPr>
            <w:tcW w:w="1657"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eastAsia="宋体" w:cs="Times New Roman"/>
                <w:snapToGrid w:val="0"/>
                <w:color w:val="auto"/>
                <w:kern w:val="2"/>
              </w:rPr>
              <w:t>土堤</w:t>
            </w:r>
          </w:p>
        </w:tc>
        <w:tc>
          <w:tcPr>
            <w:tcW w:w="2510"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hAnsi="Times New Roman" w:eastAsia="宋体" w:cs="Times New Roman"/>
                <w:snapToGrid w:val="0"/>
                <w:color w:val="auto"/>
                <w:kern w:val="2"/>
              </w:rPr>
              <w:t>生态袋护岸</w:t>
            </w:r>
          </w:p>
        </w:tc>
        <w:tc>
          <w:tcPr>
            <w:tcW w:w="2222"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eastAsia="宋体" w:cs="Times New Roman"/>
                <w:snapToGrid w:val="0"/>
                <w:color w:val="auto"/>
                <w:kern w:val="2"/>
              </w:rPr>
              <w:t>抛石护脚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4"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lang w:val="en-US" w:eastAsia="zh-CN"/>
              </w:rPr>
            </w:pPr>
            <w:r>
              <w:rPr>
                <w:rFonts w:hint="default" w:ascii="Times New Roman" w:hAnsi="Times New Roman" w:eastAsia="宋体" w:cs="Times New Roman"/>
                <w:snapToGrid w:val="0"/>
                <w:color w:val="auto"/>
                <w:kern w:val="2"/>
              </w:rPr>
              <w:t>K0+400-K0+</w:t>
            </w:r>
            <w:r>
              <w:rPr>
                <w:rFonts w:hint="default" w:ascii="Times New Roman" w:hAnsi="Times New Roman" w:eastAsia="宋体" w:cs="Times New Roman"/>
                <w:snapToGrid w:val="0"/>
                <w:color w:val="auto"/>
                <w:kern w:val="2"/>
                <w:lang w:val="en-US" w:eastAsia="zh-CN"/>
              </w:rPr>
              <w:t>650</w:t>
            </w:r>
          </w:p>
        </w:tc>
        <w:tc>
          <w:tcPr>
            <w:tcW w:w="1657"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eastAsia="宋体" w:cs="Times New Roman"/>
                <w:snapToGrid w:val="0"/>
                <w:color w:val="auto"/>
                <w:kern w:val="2"/>
              </w:rPr>
              <w:t>土堤</w:t>
            </w:r>
          </w:p>
        </w:tc>
        <w:tc>
          <w:tcPr>
            <w:tcW w:w="2510"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hAnsi="Times New Roman" w:eastAsia="宋体" w:cs="Times New Roman"/>
                <w:snapToGrid w:val="0"/>
                <w:color w:val="auto"/>
                <w:kern w:val="2"/>
              </w:rPr>
              <w:t>砼坡改平护岸</w:t>
            </w:r>
          </w:p>
        </w:tc>
        <w:tc>
          <w:tcPr>
            <w:tcW w:w="2222"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eastAsia="宋体" w:cs="Times New Roman"/>
                <w:snapToGrid w:val="0"/>
                <w:color w:val="auto"/>
                <w:kern w:val="2"/>
              </w:rPr>
            </w:pPr>
            <w:r>
              <w:rPr>
                <w:rFonts w:hint="default" w:ascii="Times New Roman" w:eastAsia="宋体" w:cs="Times New Roman"/>
                <w:snapToGrid w:val="0"/>
                <w:color w:val="auto"/>
                <w:kern w:val="2"/>
              </w:rPr>
              <w:t>抛石护脚</w:t>
            </w:r>
          </w:p>
        </w:tc>
      </w:tr>
    </w:tbl>
    <w:p>
      <w:pPr>
        <w:keepLines w:val="0"/>
        <w:pageBreakBefore w:val="0"/>
        <w:widowControl w:val="0"/>
        <w:numPr>
          <w:ilvl w:val="0"/>
          <w:numId w:val="7"/>
        </w:numPr>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断面形式</w:t>
      </w:r>
    </w:p>
    <w:p>
      <w:pPr>
        <w:pStyle w:val="28"/>
        <w:ind w:firstLine="480" w:firstLineChars="200"/>
        <w:rPr>
          <w:rFonts w:hint="default" w:ascii="Times New Roman" w:cs="Times New Roman"/>
          <w:color w:val="auto"/>
          <w:lang w:val="en-US" w:eastAsia="zh-CN"/>
        </w:rPr>
      </w:pPr>
      <w:r>
        <w:rPr>
          <w:rFonts w:hint="default" w:ascii="Times New Roman" w:hAnsi="Times New Roman" w:eastAsia="宋体" w:cs="Times New Roman"/>
          <w:color w:val="auto"/>
          <w:kern w:val="0"/>
          <w:sz w:val="24"/>
          <w:szCs w:val="24"/>
          <w:highlight w:val="none"/>
          <w:lang w:val="en-US" w:eastAsia="zh-CN" w:bidi="ar"/>
        </w:rPr>
        <w:t>本项目防洪堤设计断面图如下：</w:t>
      </w:r>
    </w:p>
    <w:p>
      <w:pPr>
        <w:pStyle w:val="28"/>
        <w:numPr>
          <w:ilvl w:val="0"/>
          <w:numId w:val="0"/>
        </w:numPr>
        <w:rPr>
          <w:rFonts w:ascii="Times New Roman" w:cs="Times New Roman"/>
          <w:color w:val="auto"/>
        </w:rPr>
      </w:pPr>
      <w:r>
        <w:rPr>
          <w:rFonts w:ascii="Times New Roman" w:cs="Times New Roman"/>
          <w:color w:val="auto"/>
        </w:rPr>
        <w:drawing>
          <wp:inline distT="0" distB="0" distL="114300" distR="114300">
            <wp:extent cx="5541645" cy="3239770"/>
            <wp:effectExtent l="0" t="0" r="1905" b="17780"/>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22"/>
                    <a:stretch>
                      <a:fillRect/>
                    </a:stretch>
                  </pic:blipFill>
                  <pic:spPr>
                    <a:xfrm>
                      <a:off x="0" y="0"/>
                      <a:ext cx="5541645" cy="3239770"/>
                    </a:xfrm>
                    <a:prstGeom prst="rect">
                      <a:avLst/>
                    </a:prstGeom>
                    <a:noFill/>
                    <a:ln>
                      <a:noFill/>
                    </a:ln>
                  </pic:spPr>
                </pic:pic>
              </a:graphicData>
            </a:graphic>
          </wp:inline>
        </w:drawing>
      </w:r>
    </w:p>
    <w:p>
      <w:pPr>
        <w:pStyle w:val="28"/>
        <w:numPr>
          <w:ilvl w:val="0"/>
          <w:numId w:val="0"/>
        </w:numPr>
        <w:rPr>
          <w:rFonts w:ascii="Times New Roman" w:cs="Times New Roman"/>
          <w:color w:val="auto"/>
        </w:rPr>
      </w:pPr>
      <w:r>
        <w:rPr>
          <w:rFonts w:ascii="Times New Roman" w:cs="Times New Roman"/>
          <w:color w:val="auto"/>
        </w:rPr>
        <w:drawing>
          <wp:inline distT="0" distB="0" distL="114300" distR="114300">
            <wp:extent cx="5318760" cy="3463290"/>
            <wp:effectExtent l="0" t="0" r="15240" b="3810"/>
            <wp:docPr id="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pic:cNvPicPr>
                      <a:picLocks noChangeAspect="1"/>
                    </pic:cNvPicPr>
                  </pic:nvPicPr>
                  <pic:blipFill>
                    <a:blip r:embed="rId23"/>
                    <a:stretch>
                      <a:fillRect/>
                    </a:stretch>
                  </pic:blipFill>
                  <pic:spPr>
                    <a:xfrm>
                      <a:off x="0" y="0"/>
                      <a:ext cx="5318760" cy="3463290"/>
                    </a:xfrm>
                    <a:prstGeom prst="rect">
                      <a:avLst/>
                    </a:prstGeom>
                    <a:noFill/>
                    <a:ln>
                      <a:noFill/>
                    </a:ln>
                  </pic:spPr>
                </pic:pic>
              </a:graphicData>
            </a:graphic>
          </wp:inline>
        </w:drawing>
      </w:r>
      <w:r>
        <w:rPr>
          <w:rFonts w:ascii="Times New Roman" w:cs="Times New Roman"/>
          <w:color w:val="auto"/>
        </w:rPr>
        <w:drawing>
          <wp:inline distT="0" distB="0" distL="114300" distR="114300">
            <wp:extent cx="5374640" cy="3454400"/>
            <wp:effectExtent l="0" t="0" r="16510" b="12700"/>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24"/>
                    <a:stretch>
                      <a:fillRect/>
                    </a:stretch>
                  </pic:blipFill>
                  <pic:spPr>
                    <a:xfrm>
                      <a:off x="0" y="0"/>
                      <a:ext cx="5374640" cy="3454400"/>
                    </a:xfrm>
                    <a:prstGeom prst="rect">
                      <a:avLst/>
                    </a:prstGeom>
                    <a:noFill/>
                    <a:ln>
                      <a:noFill/>
                    </a:ln>
                  </pic:spPr>
                </pic:pic>
              </a:graphicData>
            </a:graphic>
          </wp:inline>
        </w:drawing>
      </w:r>
      <w:r>
        <w:rPr>
          <w:rFonts w:ascii="Times New Roman" w:cs="Times New Roman"/>
          <w:color w:val="auto"/>
        </w:rPr>
        <w:drawing>
          <wp:inline distT="0" distB="0" distL="114300" distR="114300">
            <wp:extent cx="5368925" cy="3333115"/>
            <wp:effectExtent l="0" t="0" r="3175" b="635"/>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25"/>
                    <a:stretch>
                      <a:fillRect/>
                    </a:stretch>
                  </pic:blipFill>
                  <pic:spPr>
                    <a:xfrm>
                      <a:off x="0" y="0"/>
                      <a:ext cx="5368925" cy="3333115"/>
                    </a:xfrm>
                    <a:prstGeom prst="rect">
                      <a:avLst/>
                    </a:prstGeom>
                    <a:noFill/>
                    <a:ln>
                      <a:noFill/>
                    </a:ln>
                  </pic:spPr>
                </pic:pic>
              </a:graphicData>
            </a:graphic>
          </wp:inline>
        </w:drawing>
      </w:r>
      <w:r>
        <w:rPr>
          <w:rFonts w:ascii="Times New Roman" w:cs="Times New Roman"/>
          <w:color w:val="auto"/>
        </w:rPr>
        <w:drawing>
          <wp:inline distT="0" distB="0" distL="114300" distR="114300">
            <wp:extent cx="5340985" cy="3447415"/>
            <wp:effectExtent l="0" t="0" r="12065" b="635"/>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26"/>
                    <a:stretch>
                      <a:fillRect/>
                    </a:stretch>
                  </pic:blipFill>
                  <pic:spPr>
                    <a:xfrm>
                      <a:off x="0" y="0"/>
                      <a:ext cx="5340985" cy="3447415"/>
                    </a:xfrm>
                    <a:prstGeom prst="rect">
                      <a:avLst/>
                    </a:prstGeom>
                    <a:noFill/>
                    <a:ln>
                      <a:noFill/>
                    </a:ln>
                  </pic:spPr>
                </pic:pic>
              </a:graphicData>
            </a:graphic>
          </wp:inline>
        </w:drawing>
      </w:r>
      <w:r>
        <w:rPr>
          <w:rFonts w:ascii="Times New Roman" w:cs="Times New Roman"/>
          <w:color w:val="auto"/>
        </w:rPr>
        <w:drawing>
          <wp:inline distT="0" distB="0" distL="114300" distR="114300">
            <wp:extent cx="5295900" cy="3470910"/>
            <wp:effectExtent l="0" t="0" r="0" b="15240"/>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27"/>
                    <a:stretch>
                      <a:fillRect/>
                    </a:stretch>
                  </pic:blipFill>
                  <pic:spPr>
                    <a:xfrm>
                      <a:off x="0" y="0"/>
                      <a:ext cx="5295900" cy="3470910"/>
                    </a:xfrm>
                    <a:prstGeom prst="rect">
                      <a:avLst/>
                    </a:prstGeom>
                    <a:noFill/>
                    <a:ln>
                      <a:noFill/>
                    </a:ln>
                  </pic:spPr>
                </pic:pic>
              </a:graphicData>
            </a:graphic>
          </wp:inline>
        </w:drawing>
      </w:r>
      <w:r>
        <w:rPr>
          <w:rFonts w:ascii="Times New Roman" w:cs="Times New Roman"/>
          <w:color w:val="auto"/>
        </w:rPr>
        <w:drawing>
          <wp:inline distT="0" distB="0" distL="114300" distR="114300">
            <wp:extent cx="5300980" cy="3414395"/>
            <wp:effectExtent l="0" t="0" r="13970" b="14605"/>
            <wp:docPr id="7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
                    <pic:cNvPicPr>
                      <a:picLocks noChangeAspect="1"/>
                    </pic:cNvPicPr>
                  </pic:nvPicPr>
                  <pic:blipFill>
                    <a:blip r:embed="rId28"/>
                    <a:stretch>
                      <a:fillRect/>
                    </a:stretch>
                  </pic:blipFill>
                  <pic:spPr>
                    <a:xfrm>
                      <a:off x="0" y="0"/>
                      <a:ext cx="5300980" cy="34143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Cs w:val="24"/>
          <w:highlight w:val="none"/>
          <w:u w:val="none" w:color="auto"/>
          <w:lang w:eastAsia="zh-CN"/>
        </w:rPr>
      </w:pPr>
      <w:r>
        <w:rPr>
          <w:rFonts w:hint="default" w:ascii="Times New Roman" w:hAnsi="Times New Roman" w:eastAsia="宋体" w:cs="Times New Roman"/>
          <w:b/>
          <w:color w:val="auto"/>
          <w:szCs w:val="24"/>
          <w:highlight w:val="none"/>
          <w:u w:val="none" w:color="auto"/>
        </w:rPr>
        <w:t>图</w:t>
      </w:r>
      <w:r>
        <w:rPr>
          <w:rFonts w:hint="default" w:ascii="Times New Roman" w:hAnsi="Times New Roman" w:eastAsia="宋体" w:cs="Times New Roman"/>
          <w:b/>
          <w:color w:val="auto"/>
          <w:szCs w:val="24"/>
          <w:highlight w:val="none"/>
          <w:u w:val="none" w:color="auto"/>
          <w:lang w:val="en-US" w:eastAsia="zh-CN"/>
        </w:rPr>
        <w:t>3.1-</w:t>
      </w:r>
      <w:r>
        <w:rPr>
          <w:rFonts w:hint="default" w:cs="Times New Roman"/>
          <w:b/>
          <w:color w:val="auto"/>
          <w:szCs w:val="24"/>
          <w:highlight w:val="none"/>
          <w:u w:val="none" w:color="auto"/>
          <w:lang w:val="en-US" w:eastAsia="zh-CN"/>
        </w:rPr>
        <w:t>1 防洪堤断面</w:t>
      </w:r>
      <w:r>
        <w:rPr>
          <w:rFonts w:hint="default" w:ascii="Times New Roman" w:hAnsi="Times New Roman" w:eastAsia="宋体" w:cs="Times New Roman"/>
          <w:b/>
          <w:color w:val="auto"/>
          <w:szCs w:val="24"/>
          <w:highlight w:val="none"/>
          <w:u w:val="none" w:color="auto"/>
          <w:lang w:eastAsia="zh-CN"/>
        </w:rPr>
        <w:t>设计示意图</w:t>
      </w:r>
    </w:p>
    <w:p>
      <w:pPr>
        <w:pStyle w:val="28"/>
        <w:numPr>
          <w:ilvl w:val="0"/>
          <w:numId w:val="0"/>
        </w:numPr>
        <w:rPr>
          <w:rFonts w:hint="default" w:ascii="Times New Roman" w:cs="Times New Roman"/>
          <w:color w:val="auto"/>
          <w:lang w:val="en-US" w:eastAsia="zh-CN"/>
        </w:rPr>
      </w:pP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3.1.5.2 亲水栈道设计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highlight w:val="none"/>
          <w:u w:val="none"/>
          <w:lang w:val="en-US" w:eastAsia="zh-CN"/>
        </w:rPr>
      </w:pPr>
      <w:r>
        <w:rPr>
          <w:rFonts w:hint="default" w:eastAsia="宋体" w:cs="Times New Roman"/>
          <w:color w:val="auto"/>
          <w:sz w:val="24"/>
          <w:highlight w:val="none"/>
          <w:u w:val="none"/>
          <w:lang w:val="en-US" w:eastAsia="zh-CN"/>
        </w:rPr>
        <w:t>湘江东岸沿江风光带建设亲水栈道</w:t>
      </w:r>
      <w:r>
        <w:rPr>
          <w:rFonts w:hint="default" w:cs="Times New Roman"/>
          <w:color w:val="auto"/>
          <w:sz w:val="24"/>
          <w:highlight w:val="none"/>
          <w:u w:val="none"/>
          <w:lang w:val="en-US" w:eastAsia="zh-CN"/>
        </w:rPr>
        <w:t>，</w:t>
      </w:r>
      <w:r>
        <w:rPr>
          <w:rFonts w:hint="default" w:eastAsia="宋体" w:cs="Times New Roman"/>
          <w:color w:val="auto"/>
          <w:sz w:val="24"/>
          <w:highlight w:val="none"/>
          <w:u w:val="none"/>
          <w:lang w:val="en-US" w:eastAsia="zh-CN"/>
        </w:rPr>
        <w:t>亲水栈道为陆地景观栈道，</w:t>
      </w:r>
      <w:r>
        <w:rPr>
          <w:rFonts w:hint="default" w:cs="Times New Roman"/>
          <w:color w:val="auto"/>
          <w:sz w:val="24"/>
          <w:highlight w:val="none"/>
          <w:u w:val="none"/>
          <w:lang w:val="en-US" w:eastAsia="zh-CN"/>
        </w:rPr>
        <w:t>建设</w:t>
      </w:r>
      <w:r>
        <w:rPr>
          <w:rFonts w:hint="default" w:eastAsia="宋体" w:cs="Times New Roman"/>
          <w:color w:val="auto"/>
          <w:sz w:val="24"/>
          <w:highlight w:val="none"/>
          <w:u w:val="none"/>
          <w:lang w:val="en-US" w:eastAsia="zh-CN"/>
        </w:rPr>
        <w:t>在驳岸上，</w:t>
      </w:r>
      <w:r>
        <w:rPr>
          <w:rFonts w:hint="default" w:cs="Times New Roman"/>
          <w:color w:val="auto"/>
          <w:sz w:val="24"/>
          <w:highlight w:val="none"/>
          <w:u w:val="none"/>
          <w:lang w:val="en-US" w:eastAsia="zh-CN"/>
        </w:rPr>
        <w:t>标高为52.7m</w:t>
      </w:r>
      <w:r>
        <w:rPr>
          <w:rFonts w:hint="default"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栈道形式</w:t>
      </w:r>
      <w:r>
        <w:rPr>
          <w:rFonts w:hint="default" w:eastAsia="宋体" w:cs="Times New Roman"/>
          <w:color w:val="auto"/>
          <w:sz w:val="24"/>
          <w:highlight w:val="none"/>
          <w:u w:val="none"/>
          <w:lang w:val="en-US" w:eastAsia="zh-CN"/>
        </w:rPr>
        <w:t>采用柱护栏式</w:t>
      </w:r>
      <w:r>
        <w:rPr>
          <w:rFonts w:hint="default" w:cs="Times New Roman"/>
          <w:color w:val="auto"/>
          <w:sz w:val="24"/>
          <w:highlight w:val="none"/>
          <w:u w:val="none"/>
          <w:lang w:val="en-US" w:eastAsia="zh-CN"/>
        </w:rPr>
        <w:t>，结构采用钢筋混凝土结构，栈道无基桩，为浅基础，做承台独立柱基础，独立基础的开挖深度约为0.7m</w:t>
      </w:r>
      <w:r>
        <w:rPr>
          <w:rFonts w:hint="default" w:ascii="Times New Roman" w:hAnsi="Times New Roman" w:eastAsia="宋体" w:cs="Times New Roman"/>
          <w:color w:val="auto"/>
          <w:sz w:val="24"/>
          <w:highlight w:val="none"/>
          <w:u w:val="none"/>
          <w:lang w:val="en-US" w:eastAsia="zh-CN"/>
        </w:rPr>
        <w:t>。</w:t>
      </w:r>
    </w:p>
    <w:p>
      <w:pPr>
        <w:pStyle w:val="28"/>
        <w:rPr>
          <w:rFonts w:ascii="Times New Roman" w:cs="Times New Roman"/>
          <w:color w:val="auto"/>
        </w:rPr>
      </w:pPr>
      <w:r>
        <w:rPr>
          <w:rFonts w:ascii="Times New Roman" w:cs="Times New Roman"/>
          <w:color w:val="auto"/>
        </w:rPr>
        <w:drawing>
          <wp:inline distT="0" distB="0" distL="114300" distR="114300">
            <wp:extent cx="5561330" cy="1442085"/>
            <wp:effectExtent l="0" t="0" r="1270" b="5715"/>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29"/>
                    <a:stretch>
                      <a:fillRect/>
                    </a:stretch>
                  </pic:blipFill>
                  <pic:spPr>
                    <a:xfrm>
                      <a:off x="0" y="0"/>
                      <a:ext cx="5561330" cy="1442085"/>
                    </a:xfrm>
                    <a:prstGeom prst="rect">
                      <a:avLst/>
                    </a:prstGeom>
                    <a:noFill/>
                    <a:ln>
                      <a:noFill/>
                    </a:ln>
                  </pic:spPr>
                </pic:pic>
              </a:graphicData>
            </a:graphic>
          </wp:inline>
        </w:drawing>
      </w:r>
      <w:r>
        <w:rPr>
          <w:rFonts w:ascii="Times New Roman" w:cs="Times New Roman"/>
          <w:color w:val="auto"/>
        </w:rPr>
        <w:drawing>
          <wp:inline distT="0" distB="0" distL="114300" distR="114300">
            <wp:extent cx="5664835" cy="1428750"/>
            <wp:effectExtent l="0" t="0" r="4445" b="3810"/>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30"/>
                    <a:stretch>
                      <a:fillRect/>
                    </a:stretch>
                  </pic:blipFill>
                  <pic:spPr>
                    <a:xfrm>
                      <a:off x="0" y="0"/>
                      <a:ext cx="5664835" cy="1428750"/>
                    </a:xfrm>
                    <a:prstGeom prst="rect">
                      <a:avLst/>
                    </a:prstGeom>
                    <a:noFill/>
                    <a:ln>
                      <a:noFill/>
                    </a:ln>
                  </pic:spPr>
                </pic:pic>
              </a:graphicData>
            </a:graphic>
          </wp:inline>
        </w:drawing>
      </w:r>
    </w:p>
    <w:p>
      <w:pPr>
        <w:pStyle w:val="28"/>
        <w:jc w:val="center"/>
        <w:rPr>
          <w:rFonts w:ascii="Times New Roman" w:cs="Times New Roman"/>
          <w:color w:val="auto"/>
        </w:rPr>
      </w:pPr>
      <w:r>
        <w:rPr>
          <w:rFonts w:ascii="Times New Roman" w:cs="Times New Roman"/>
          <w:color w:val="auto"/>
        </w:rPr>
        <w:drawing>
          <wp:inline distT="0" distB="0" distL="114300" distR="114300">
            <wp:extent cx="5659755" cy="4320540"/>
            <wp:effectExtent l="0" t="0" r="9525" b="7620"/>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31"/>
                    <a:stretch>
                      <a:fillRect/>
                    </a:stretch>
                  </pic:blipFill>
                  <pic:spPr>
                    <a:xfrm>
                      <a:off x="0" y="0"/>
                      <a:ext cx="5659755" cy="43205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Cs w:val="24"/>
          <w:highlight w:val="none"/>
          <w:u w:val="none" w:color="auto"/>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Cs w:val="24"/>
          <w:highlight w:val="none"/>
          <w:u w:val="none" w:color="auto"/>
          <w:lang w:eastAsia="zh-CN"/>
        </w:rPr>
      </w:pPr>
      <w:r>
        <w:rPr>
          <w:rFonts w:hint="default" w:ascii="Times New Roman" w:hAnsi="Times New Roman" w:eastAsia="宋体" w:cs="Times New Roman"/>
          <w:b/>
          <w:color w:val="auto"/>
          <w:szCs w:val="24"/>
          <w:highlight w:val="none"/>
          <w:u w:val="none" w:color="auto"/>
        </w:rPr>
        <w:t>图</w:t>
      </w:r>
      <w:r>
        <w:rPr>
          <w:rFonts w:hint="default" w:ascii="Times New Roman" w:hAnsi="Times New Roman" w:eastAsia="宋体" w:cs="Times New Roman"/>
          <w:b/>
          <w:color w:val="auto"/>
          <w:szCs w:val="24"/>
          <w:highlight w:val="none"/>
          <w:u w:val="none" w:color="auto"/>
          <w:lang w:val="en-US" w:eastAsia="zh-CN"/>
        </w:rPr>
        <w:t>3.1-</w:t>
      </w:r>
      <w:r>
        <w:rPr>
          <w:rFonts w:hint="default" w:cs="Times New Roman"/>
          <w:b/>
          <w:color w:val="auto"/>
          <w:szCs w:val="24"/>
          <w:highlight w:val="none"/>
          <w:u w:val="none" w:color="auto"/>
          <w:lang w:val="en-US" w:eastAsia="zh-CN"/>
        </w:rPr>
        <w:t>2  亲水栈道</w:t>
      </w:r>
      <w:r>
        <w:rPr>
          <w:rFonts w:hint="default" w:ascii="Times New Roman" w:hAnsi="Times New Roman" w:eastAsia="宋体" w:cs="Times New Roman"/>
          <w:b/>
          <w:color w:val="auto"/>
          <w:szCs w:val="24"/>
          <w:highlight w:val="none"/>
          <w:u w:val="none" w:color="auto"/>
          <w:lang w:eastAsia="zh-CN"/>
        </w:rPr>
        <w:t>设计示意图</w:t>
      </w:r>
    </w:p>
    <w:p>
      <w:pPr>
        <w:pStyle w:val="28"/>
        <w:jc w:val="center"/>
        <w:rPr>
          <w:rFonts w:ascii="Times New Roman" w:cs="Times New Roman"/>
          <w:color w:val="auto"/>
        </w:rPr>
      </w:pPr>
    </w:p>
    <w:p>
      <w:pPr>
        <w:pStyle w:val="28"/>
        <w:rPr>
          <w:rFonts w:hint="default" w:ascii="Times New Roman" w:cs="Times New Roman"/>
          <w:color w:val="auto"/>
          <w:lang w:val="en-US" w:eastAsia="zh-CN"/>
        </w:rPr>
      </w:pPr>
    </w:p>
    <w:p>
      <w:pPr>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line="360" w:lineRule="auto"/>
        <w:jc w:val="center"/>
        <w:textAlignment w:val="auto"/>
        <w:rPr>
          <w:rFonts w:hint="default" w:ascii="Times New Roman" w:hAnsi="Times New Roman" w:eastAsia="仿宋" w:cs="Times New Roman"/>
          <w:color w:val="auto"/>
          <w:position w:val="-70"/>
          <w:highlight w:val="none"/>
        </w:rPr>
      </w:pPr>
      <w:r>
        <w:rPr>
          <w:rFonts w:hint="default" w:ascii="Times New Roman" w:hAnsi="Times New Roman" w:eastAsia="仿宋" w:cs="Times New Roman"/>
          <w:color w:val="auto"/>
          <w:position w:val="-70"/>
          <w:highlight w:val="none"/>
        </w:rPr>
        <w:drawing>
          <wp:inline distT="0" distB="0" distL="114300" distR="114300">
            <wp:extent cx="5050155" cy="2027555"/>
            <wp:effectExtent l="0" t="0" r="17145" b="10795"/>
            <wp:docPr id="6" name="图片 3"/>
            <wp:cNvGraphicFramePr/>
            <a:graphic xmlns:a="http://schemas.openxmlformats.org/drawingml/2006/main">
              <a:graphicData uri="http://schemas.openxmlformats.org/drawingml/2006/picture">
                <pic:pic xmlns:pic="http://schemas.openxmlformats.org/drawingml/2006/picture">
                  <pic:nvPicPr>
                    <pic:cNvPr id="6" name="图片 3"/>
                    <pic:cNvPicPr/>
                  </pic:nvPicPr>
                  <pic:blipFill>
                    <a:blip r:embed="rId32"/>
                    <a:srcRect t="17465" b="11406"/>
                    <a:stretch>
                      <a:fillRect/>
                    </a:stretch>
                  </pic:blipFill>
                  <pic:spPr>
                    <a:xfrm>
                      <a:off x="0" y="0"/>
                      <a:ext cx="5050155" cy="20275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Cs w:val="24"/>
          <w:highlight w:val="none"/>
          <w:u w:val="none" w:color="auto"/>
          <w:lang w:eastAsia="zh-CN"/>
        </w:rPr>
      </w:pPr>
      <w:r>
        <w:rPr>
          <w:rFonts w:hint="default" w:ascii="Times New Roman" w:hAnsi="Times New Roman" w:eastAsia="宋体" w:cs="Times New Roman"/>
          <w:b/>
          <w:color w:val="auto"/>
          <w:szCs w:val="24"/>
          <w:highlight w:val="none"/>
          <w:u w:val="none" w:color="auto"/>
        </w:rPr>
        <w:t>图</w:t>
      </w:r>
      <w:r>
        <w:rPr>
          <w:rFonts w:hint="default" w:ascii="Times New Roman" w:hAnsi="Times New Roman" w:eastAsia="宋体" w:cs="Times New Roman"/>
          <w:b/>
          <w:color w:val="auto"/>
          <w:szCs w:val="24"/>
          <w:highlight w:val="none"/>
          <w:u w:val="none" w:color="auto"/>
          <w:lang w:val="en-US" w:eastAsia="zh-CN"/>
        </w:rPr>
        <w:t>3.1-</w:t>
      </w:r>
      <w:r>
        <w:rPr>
          <w:rFonts w:hint="default" w:cs="Times New Roman"/>
          <w:b/>
          <w:color w:val="auto"/>
          <w:szCs w:val="24"/>
          <w:highlight w:val="none"/>
          <w:u w:val="none" w:color="auto"/>
          <w:lang w:val="en-US" w:eastAsia="zh-CN"/>
        </w:rPr>
        <w:t xml:space="preserve">3 </w:t>
      </w:r>
      <w:r>
        <w:rPr>
          <w:rFonts w:hint="default" w:ascii="Times New Roman" w:hAnsi="Times New Roman" w:eastAsia="宋体" w:cs="Times New Roman"/>
          <w:b/>
          <w:color w:val="auto"/>
          <w:szCs w:val="24"/>
          <w:highlight w:val="none"/>
          <w:u w:val="none" w:color="auto"/>
          <w:lang w:val="en-US" w:eastAsia="zh-CN"/>
        </w:rPr>
        <w:t>亲水栈道</w:t>
      </w:r>
      <w:r>
        <w:rPr>
          <w:rFonts w:hint="default" w:cs="Times New Roman"/>
          <w:b/>
          <w:color w:val="auto"/>
          <w:szCs w:val="24"/>
          <w:highlight w:val="none"/>
          <w:u w:val="none" w:color="auto"/>
          <w:lang w:val="en-US" w:eastAsia="zh-CN"/>
        </w:rPr>
        <w:t>效果</w:t>
      </w:r>
      <w:r>
        <w:rPr>
          <w:rFonts w:hint="default" w:ascii="Times New Roman" w:hAnsi="Times New Roman" w:eastAsia="宋体" w:cs="Times New Roman"/>
          <w:b/>
          <w:color w:val="auto"/>
          <w:szCs w:val="24"/>
          <w:highlight w:val="none"/>
          <w:u w:val="none" w:color="auto"/>
          <w:lang w:eastAsia="zh-CN"/>
        </w:rPr>
        <w:t>示意图</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3.1.</w:t>
      </w:r>
      <w:r>
        <w:rPr>
          <w:rFonts w:hint="default" w:cs="Times New Roman"/>
          <w:b/>
          <w:bCs/>
          <w:color w:val="auto"/>
          <w:kern w:val="0"/>
          <w:sz w:val="28"/>
          <w:szCs w:val="28"/>
          <w:highlight w:val="none"/>
          <w:lang w:val="en-US" w:eastAsia="zh-CN"/>
        </w:rPr>
        <w:t>6</w:t>
      </w:r>
      <w:r>
        <w:rPr>
          <w:rFonts w:hint="default" w:ascii="Times New Roman" w:hAnsi="Times New Roman" w:eastAsia="宋体" w:cs="Times New Roman"/>
          <w:b/>
          <w:bCs/>
          <w:color w:val="auto"/>
          <w:kern w:val="0"/>
          <w:sz w:val="28"/>
          <w:szCs w:val="28"/>
          <w:highlight w:val="none"/>
          <w:lang w:val="en-US" w:eastAsia="zh-CN"/>
        </w:rPr>
        <w:t>主要工程</w:t>
      </w:r>
      <w:r>
        <w:rPr>
          <w:rFonts w:hint="default" w:cs="Times New Roman"/>
          <w:b/>
          <w:bCs/>
          <w:color w:val="auto"/>
          <w:kern w:val="0"/>
          <w:sz w:val="28"/>
          <w:szCs w:val="28"/>
          <w:highlight w:val="none"/>
          <w:lang w:val="en-US" w:eastAsia="zh-CN"/>
        </w:rPr>
        <w:t>施工方案</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eastAsia="宋体" w:cs="Times New Roman"/>
          <w:color w:val="auto"/>
          <w:sz w:val="24"/>
          <w:szCs w:val="24"/>
          <w:lang w:val="en-US" w:eastAsia="zh-CN"/>
        </w:rPr>
      </w:pPr>
      <w:r>
        <w:rPr>
          <w:rFonts w:hint="default" w:eastAsia="宋体" w:cs="Times New Roman"/>
          <w:color w:val="auto"/>
          <w:sz w:val="24"/>
          <w:szCs w:val="24"/>
          <w:lang w:val="en-US" w:eastAsia="zh-CN"/>
        </w:rPr>
        <w:t>本工程采用机械化或半机械化施工。选择有相应施工经验的专业施工队伍承担，严格按施工技术要求进行。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eastAsia="宋体" w:cs="Times New Roman"/>
          <w:color w:val="auto"/>
          <w:sz w:val="24"/>
          <w:szCs w:val="24"/>
          <w:lang w:val="en-US" w:eastAsia="zh-CN"/>
        </w:rPr>
      </w:pPr>
      <w:r>
        <w:rPr>
          <w:rFonts w:hint="default" w:cs="Times New Roman"/>
          <w:color w:val="auto"/>
          <w:sz w:val="24"/>
          <w:szCs w:val="24"/>
          <w:lang w:val="en-US" w:eastAsia="zh-CN"/>
        </w:rPr>
        <w:t>1、</w:t>
      </w:r>
      <w:r>
        <w:rPr>
          <w:rFonts w:hint="default" w:eastAsia="宋体" w:cs="Times New Roman"/>
          <w:color w:val="auto"/>
          <w:sz w:val="24"/>
          <w:szCs w:val="24"/>
          <w:lang w:val="en-US" w:eastAsia="zh-CN"/>
        </w:rPr>
        <w:t>土方开挖</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0" w:firstLineChars="100"/>
        <w:textAlignment w:val="auto"/>
        <w:outlineLvl w:val="9"/>
        <w:rPr>
          <w:rFonts w:hint="default" w:eastAsia="宋体" w:cs="Times New Roman"/>
          <w:color w:val="auto"/>
          <w:sz w:val="24"/>
          <w:szCs w:val="24"/>
          <w:lang w:val="en-US" w:eastAsia="zh-CN"/>
        </w:rPr>
      </w:pPr>
      <w:r>
        <w:rPr>
          <w:rFonts w:hint="default" w:eastAsia="宋体" w:cs="Times New Roman"/>
          <w:color w:val="auto"/>
          <w:sz w:val="24"/>
          <w:szCs w:val="24"/>
          <w:lang w:val="en-US" w:eastAsia="zh-CN"/>
        </w:rPr>
        <w:t>（1）土方开挖以机械为主，局部人工辅助开挖。开挖料运至用料点或弃料场，并按设计要求进行堆放。开挖时根据施工详图和项目监理的决定按设计边坡和尺寸进行测量放线和施工。</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0" w:firstLineChars="100"/>
        <w:textAlignment w:val="auto"/>
        <w:outlineLvl w:val="9"/>
        <w:rPr>
          <w:rFonts w:hint="default" w:eastAsia="宋体" w:cs="Times New Roman"/>
          <w:color w:val="auto"/>
          <w:sz w:val="24"/>
          <w:szCs w:val="24"/>
          <w:lang w:val="en-US" w:eastAsia="zh-CN"/>
        </w:rPr>
      </w:pPr>
      <w:r>
        <w:rPr>
          <w:rFonts w:hint="default" w:eastAsia="宋体" w:cs="Times New Roman"/>
          <w:color w:val="auto"/>
          <w:sz w:val="24"/>
          <w:szCs w:val="24"/>
          <w:lang w:val="en-US" w:eastAsia="zh-CN"/>
        </w:rPr>
        <w:t>（2）淤泥采用机械开挖，须将基础处理范围内的淤泥彻底清除干净。挖出的淤泥应堆放到指定的弃料场，不得随意堆放，以致影响施工和环境。</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0" w:firstLineChars="100"/>
        <w:textAlignment w:val="auto"/>
        <w:outlineLvl w:val="9"/>
        <w:rPr>
          <w:rFonts w:hint="default" w:eastAsia="宋体" w:cs="Times New Roman"/>
          <w:color w:val="auto"/>
          <w:sz w:val="24"/>
          <w:szCs w:val="24"/>
          <w:lang w:val="en-US" w:eastAsia="zh-CN"/>
        </w:rPr>
      </w:pPr>
      <w:r>
        <w:rPr>
          <w:rFonts w:hint="default" w:eastAsia="宋体" w:cs="Times New Roman"/>
          <w:color w:val="auto"/>
          <w:sz w:val="24"/>
          <w:szCs w:val="24"/>
          <w:lang w:val="en-US" w:eastAsia="zh-CN"/>
        </w:rPr>
        <w:t>（3）土方开挖时不得欠挖，尽量减少超挖，对超挖部分，按项目合同批示或监理指示，进行处理。</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0" w:firstLineChars="100"/>
        <w:textAlignment w:val="auto"/>
        <w:outlineLvl w:val="9"/>
        <w:rPr>
          <w:rFonts w:hint="default" w:eastAsia="宋体" w:cs="Times New Roman"/>
          <w:color w:val="auto"/>
          <w:sz w:val="24"/>
          <w:szCs w:val="24"/>
          <w:lang w:val="en-US" w:eastAsia="zh-CN"/>
        </w:rPr>
      </w:pPr>
      <w:r>
        <w:rPr>
          <w:rFonts w:hint="default" w:eastAsia="宋体" w:cs="Times New Roman"/>
          <w:color w:val="auto"/>
          <w:sz w:val="24"/>
          <w:szCs w:val="24"/>
          <w:lang w:val="en-US" w:eastAsia="zh-CN"/>
        </w:rPr>
        <w:t>（4）在开挖或处理过程中的各种情况及时详细记录，经分部工程验收合格后，方能进行下道工序施工。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lang w:val="en-US" w:eastAsia="zh-CN"/>
        </w:rPr>
      </w:pPr>
      <w:r>
        <w:rPr>
          <w:rFonts w:hint="default" w:cs="Times New Roman"/>
          <w:color w:val="auto"/>
          <w:sz w:val="24"/>
          <w:szCs w:val="24"/>
          <w:lang w:val="en-US" w:eastAsia="zh-CN"/>
        </w:rPr>
        <w:t>2、基坑排水</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（1）基坑开挖施工中，应及时排出工作场地的积水。基坑中来水量很大时，应采取有效办法减少来水量。</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a）工作场地有水，会妨碍施工，一般可设置排水沟、集水井（坑），用水泵排水。</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b）基坑里由于河流渗水、雨水、两岸地表径流水和地下渗流水等来水量很大，影响施工，除采用前款所述排水方法外，还可采用堵（堵流）、截（截流）、引（引流）等办法，减少基坑中的来水量，以保证工作场地无积水。</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pacing w:val="-4"/>
          <w:sz w:val="24"/>
          <w:szCs w:val="24"/>
        </w:rPr>
      </w:pPr>
      <w:r>
        <w:rPr>
          <w:rFonts w:hint="default" w:ascii="Times New Roman" w:hAnsi="Times New Roman" w:eastAsia="宋体" w:cs="Times New Roman"/>
          <w:color w:val="auto"/>
          <w:spacing w:val="-4"/>
          <w:sz w:val="24"/>
          <w:szCs w:val="24"/>
        </w:rPr>
        <w:t>（2）施工前应</w:t>
      </w:r>
      <w:r>
        <w:rPr>
          <w:rFonts w:hint="eastAsia" w:cs="Times New Roman"/>
          <w:color w:val="auto"/>
          <w:spacing w:val="-4"/>
          <w:sz w:val="24"/>
          <w:szCs w:val="24"/>
          <w:lang w:eastAsia="zh-CN"/>
        </w:rPr>
        <w:t>做好</w:t>
      </w:r>
      <w:r>
        <w:rPr>
          <w:rFonts w:hint="default" w:ascii="Times New Roman" w:hAnsi="Times New Roman" w:eastAsia="宋体" w:cs="Times New Roman"/>
          <w:color w:val="auto"/>
          <w:spacing w:val="-4"/>
          <w:sz w:val="24"/>
          <w:szCs w:val="24"/>
        </w:rPr>
        <w:t>施工区域内临时排水系统的总体规划，并注意与原排水系统相适应。临时排水设施应尽量与永久性排水设施相结合。</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（3）临时排水不得破坏附近建筑物或构筑物的地基开挖、填方的边坡，并注意不要损害道路。</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（4）在</w:t>
      </w:r>
      <w:r>
        <w:rPr>
          <w:rFonts w:hint="default" w:eastAsia="宋体" w:cs="Times New Roman"/>
          <w:color w:val="auto"/>
          <w:sz w:val="24"/>
          <w:szCs w:val="24"/>
          <w:lang w:val="en-US" w:eastAsia="zh-CN"/>
        </w:rPr>
        <w:t>边</w:t>
      </w:r>
      <w:r>
        <w:rPr>
          <w:rFonts w:hint="default" w:ascii="Times New Roman" w:hAnsi="Times New Roman" w:eastAsia="宋体" w:cs="Times New Roman"/>
          <w:color w:val="auto"/>
          <w:sz w:val="24"/>
          <w:szCs w:val="24"/>
        </w:rPr>
        <w:t>坡地区施工，应尽量设置临时截水沟，以阻止水流入施工场地。沟壁、沟底应防止渗漏。在平坦地区施工，可采用挖临时排水沟或筑土堤等措施，阻止场外水流入施工场地。</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（5）临时排水沟和截水沟的纵向坡度、横断面、边坡坡度、出水口及临时排水沟内水的流速均应符合规范《</w:t>
      </w:r>
      <w:r>
        <w:rPr>
          <w:rFonts w:hint="eastAsia" w:cs="Times New Roman"/>
          <w:color w:val="auto"/>
          <w:sz w:val="24"/>
          <w:szCs w:val="24"/>
          <w:lang w:eastAsia="zh-CN"/>
        </w:rPr>
        <w:t>建筑地基基础工程施工质量验收标准</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GB 50202-2018</w:t>
      </w:r>
      <w:r>
        <w:rPr>
          <w:rFonts w:hint="default" w:ascii="Times New Roman" w:hAnsi="Times New Roman" w:eastAsia="宋体" w:cs="Times New Roman"/>
          <w:color w:val="auto"/>
          <w:sz w:val="24"/>
          <w:szCs w:val="24"/>
        </w:rPr>
        <w:t>有关规定。</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（6）基坑排水应减少污水对河流的污染。</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（7）排水必须保证工作场地能正常施工。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lang w:val="en-US" w:eastAsia="zh-CN"/>
        </w:rPr>
      </w:pPr>
      <w:r>
        <w:rPr>
          <w:rFonts w:hint="default" w:cs="Times New Roman"/>
          <w:color w:val="auto"/>
          <w:sz w:val="24"/>
          <w:szCs w:val="24"/>
          <w:lang w:val="en-US" w:eastAsia="zh-CN"/>
        </w:rPr>
        <w:t>3、堤身压实土方</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对本工程土方填筑工程，具体施工方法如下：</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（1）在基础清理隐蔽工程验收合格后才能进行土方填筑。各部位的填筑均按施工图进行施工。施工时，根据碾压试验及施工经验确定控制填料质量的施工参数。</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（2）填土采用10t自卸汽车运料至工作面，人工进行摊铺，随卸随平，不能积压。压实机具选用10～15t拖式凸块振动碾，局部及边角部位采用蛙式夯夯实，碾压机具沿坝轴线方向进退式碾压，碾迹搭接宽度大于10cm 。填方每层铺土厚度和压实遍数根据碾压试验确定，不准超厚填土。夯实时须交错、搭接、前进倒退压，防止漏压、欠压，夯迹搭接宽度不小于1/3夯径。碾压前先洒一次水，然后边碾压边洒水，填土面应均衡上升。</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（3）填筑作业时按水平分层逐层施工，作业面分层统一铺土、统一碾压，均匀上升。边坡在施工后进行整平，整平采用人工修整。</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（4）雨季施工</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雨前应及时压实作业面，并做成向迎水面微倾。降小雨时，可不影响填筑施工。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z w:val="24"/>
          <w:szCs w:val="24"/>
        </w:rPr>
        <w:t>遇大雨应停止施工，雨后恢复施工，填筑面应经晾晒、复压处理，必要时应对表层再次进行清理，并待质检合格后及时复工。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lang w:val="en-US" w:eastAsia="zh-CN"/>
        </w:rPr>
      </w:pPr>
      <w:r>
        <w:rPr>
          <w:rFonts w:hint="default" w:cs="Times New Roman"/>
          <w:color w:val="auto"/>
          <w:sz w:val="24"/>
          <w:szCs w:val="24"/>
          <w:lang w:val="en-US" w:eastAsia="zh-CN"/>
        </w:rPr>
        <w:t>4、抛石护脚施工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bookmarkStart w:id="56" w:name="_Toc19684"/>
      <w:bookmarkStart w:id="57" w:name="_Toc22273"/>
      <w:r>
        <w:rPr>
          <w:rFonts w:hint="default" w:eastAsia="宋体" w:cs="Times New Roman"/>
          <w:b w:val="0"/>
          <w:bCs/>
          <w:color w:val="auto"/>
          <w:sz w:val="24"/>
          <w:szCs w:val="24"/>
          <w:lang w:val="en-US" w:eastAsia="zh-CN"/>
        </w:rPr>
        <w:t>根据设计文件：</w:t>
      </w:r>
      <w:r>
        <w:rPr>
          <w:rFonts w:hint="default" w:ascii="Times New Roman" w:hAnsi="Times New Roman" w:eastAsia="宋体" w:cs="Times New Roman"/>
          <w:b w:val="0"/>
          <w:bCs/>
          <w:color w:val="auto"/>
          <w:sz w:val="24"/>
          <w:szCs w:val="24"/>
        </w:rPr>
        <w:t>石材应选用新鲜岩石，不成片状，无严重风化和裂纹要求石质坚硬，遇水不易破碎或水解，湿抗压强度大于50Mpa，软化系数大于0.7，比重不小于2.65tm3，不允许使用风化石、泥岩和薄片、条状、尖角等形状的块石。石料在水中渗透后的强度不小于35MPa，岩石重度不小于25.5KNhm</w:t>
      </w:r>
      <w:r>
        <w:rPr>
          <w:rFonts w:hint="default" w:ascii="Times New Roman" w:hAnsi="Times New Roman" w:eastAsia="宋体" w:cs="Times New Roman"/>
          <w:b w:val="0"/>
          <w:bCs/>
          <w:color w:val="auto"/>
          <w:sz w:val="24"/>
          <w:szCs w:val="24"/>
          <w:vertAlign w:val="superscript"/>
        </w:rPr>
        <w:t>3</w:t>
      </w:r>
      <w:r>
        <w:rPr>
          <w:rFonts w:hint="default" w:ascii="Times New Roman" w:hAnsi="Times New Roman" w:eastAsia="宋体" w:cs="Times New Roman"/>
          <w:b w:val="0"/>
          <w:bCs/>
          <w:color w:val="auto"/>
          <w:sz w:val="24"/>
          <w:szCs w:val="24"/>
        </w:rPr>
        <w:t>,抛石粒径要大于30cm，顶部要大于50cm,每块重量不小于45kg。本工程抛石护脚采用船上挖机抛投，石顶宽为</w:t>
      </w:r>
      <w:r>
        <w:rPr>
          <w:rFonts w:hint="default" w:eastAsia="宋体" w:cs="Times New Roman"/>
          <w:b w:val="0"/>
          <w:bCs/>
          <w:color w:val="auto"/>
          <w:sz w:val="24"/>
          <w:szCs w:val="24"/>
          <w:lang w:val="en-US" w:eastAsia="zh-CN"/>
        </w:rPr>
        <w:t>1.5</w:t>
      </w:r>
      <w:r>
        <w:rPr>
          <w:rFonts w:hint="default" w:ascii="Times New Roman" w:hAnsi="Times New Roman" w:eastAsia="宋体" w:cs="Times New Roman"/>
          <w:b w:val="0"/>
          <w:bCs/>
          <w:color w:val="auto"/>
          <w:sz w:val="24"/>
          <w:szCs w:val="24"/>
        </w:rPr>
        <w:t>m，坡比为1:2。石料船进档挂牢后，开始组织抛投，采用船上挖机抛投，船只抛投结束，方可解缆离档。记档人员及时准确地将抛投量上档位图，做到各网格实际抛投量控制在设计量的95%~105%范围之内。遵循</w:t>
      </w:r>
      <w:r>
        <w:rPr>
          <w:rFonts w:hint="eastAsia" w:cs="Times New Roman"/>
          <w:b w:val="0"/>
          <w:bCs/>
          <w:color w:val="auto"/>
          <w:sz w:val="24"/>
          <w:szCs w:val="24"/>
          <w:lang w:eastAsia="zh-CN"/>
        </w:rPr>
        <w:t>“</w:t>
      </w:r>
      <w:r>
        <w:rPr>
          <w:rFonts w:hint="default" w:ascii="Times New Roman" w:hAnsi="Times New Roman" w:eastAsia="宋体" w:cs="Times New Roman"/>
          <w:b w:val="0"/>
          <w:bCs/>
          <w:color w:val="auto"/>
          <w:sz w:val="24"/>
          <w:szCs w:val="24"/>
        </w:rPr>
        <w:t>先远后近，先下游后上游、先点后线、先深水区后浅水区</w:t>
      </w:r>
      <w:r>
        <w:rPr>
          <w:rFonts w:hint="eastAsia" w:cs="Times New Roman"/>
          <w:b w:val="0"/>
          <w:bCs/>
          <w:color w:val="auto"/>
          <w:sz w:val="24"/>
          <w:szCs w:val="24"/>
          <w:lang w:eastAsia="zh-CN"/>
        </w:rPr>
        <w:t>”</w:t>
      </w:r>
      <w:r>
        <w:rPr>
          <w:rFonts w:hint="default" w:ascii="Times New Roman" w:hAnsi="Times New Roman" w:eastAsia="宋体" w:cs="Times New Roman"/>
          <w:b w:val="0"/>
          <w:bCs/>
          <w:color w:val="auto"/>
          <w:sz w:val="24"/>
          <w:szCs w:val="24"/>
        </w:rPr>
        <w:t>的顺序，循序渐进，分层抛投，不得零抛散堆。</w:t>
      </w:r>
      <w:bookmarkEnd w:id="56"/>
      <w:bookmarkEnd w:id="57"/>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center"/>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drawing>
          <wp:inline distT="0" distB="0" distL="114300" distR="114300">
            <wp:extent cx="3860800" cy="3294380"/>
            <wp:effectExtent l="0" t="0" r="10160" b="12700"/>
            <wp:docPr id="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pic:cNvPicPr>
                      <a:picLocks noChangeAspect="1"/>
                    </pic:cNvPicPr>
                  </pic:nvPicPr>
                  <pic:blipFill>
                    <a:blip r:embed="rId33"/>
                    <a:srcRect b="5437"/>
                    <a:stretch>
                      <a:fillRect/>
                    </a:stretch>
                  </pic:blipFill>
                  <pic:spPr>
                    <a:xfrm>
                      <a:off x="0" y="0"/>
                      <a:ext cx="3860800" cy="32943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Cs w:val="24"/>
          <w:highlight w:val="none"/>
          <w:u w:val="none" w:color="auto"/>
          <w:lang w:val="en-US" w:eastAsia="zh-CN"/>
        </w:rPr>
      </w:pPr>
      <w:r>
        <w:rPr>
          <w:rFonts w:hint="default" w:ascii="Times New Roman" w:hAnsi="Times New Roman" w:eastAsia="宋体" w:cs="Times New Roman"/>
          <w:b/>
          <w:color w:val="auto"/>
          <w:szCs w:val="24"/>
          <w:highlight w:val="none"/>
          <w:u w:val="none" w:color="auto"/>
          <w:lang w:val="en-US" w:eastAsia="zh-CN"/>
        </w:rPr>
        <w:t>图3.1-4抛石护脚施工工艺流程图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抛石施工的关键是合理划分施工小区（网格），根据施工经验，可将施工小区（网格）划分为10m（垂直水流方向）×20m（顺水流方向）的标准网格，每个标准网格再分为上、下两个半区进行抛布，不足10m宽度的抛区可划分为定宽的小区进行施工，根据设计图纸中每个抛区的厚度以及抛前地形测量成果，计算出每个网格应抛石数量，编制施工档位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在浅水区插设标杆，间距20m；在深水区，无法在水中确立施工位置，因而需在与施工位置对应的岸上设立标志，以确定施工位置，设定位船，通过岸边架设的定位仪指挥船舶抛石。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①测量放样方法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a.在抛区附近的岸边，根据建设单位提供的控制点，采用前方交会或后方交会的方法在岸上测设一点，由此点放出施工基线</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b.根据测设的已知点设立一条正基线（平行于抛区长度方向）或斜基线（不平行于抛区长度方向）。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c.在基线上根据各施工小区的长度划分放出各基线桩。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d.由基线桩上测设出各断面桩（方向桩），方向桩应垂直于抛区长度方向。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②测量放样技术要求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a.测量放样放出的基线桩与方向桩应与定位船通视良好。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b.测量采用红外线测距仪。</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c.利用测设点作控制点，采用极坐标法放出基线桩和方向桩，桩位距离误差小于5mm。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lang w:val="zh-CN"/>
        </w:rPr>
      </w:pPr>
      <w:bookmarkStart w:id="58" w:name="_Toc112135380"/>
      <w:r>
        <w:rPr>
          <w:rFonts w:hint="default" w:ascii="Times New Roman" w:hAnsi="Times New Roman" w:eastAsia="宋体" w:cs="Times New Roman"/>
          <w:b w:val="0"/>
          <w:bCs/>
          <w:color w:val="auto"/>
          <w:sz w:val="24"/>
          <w:szCs w:val="24"/>
          <w:lang w:val="en-US" w:eastAsia="zh-CN"/>
        </w:rPr>
        <w:t>②</w:t>
      </w:r>
      <w:r>
        <w:rPr>
          <w:rFonts w:hint="default" w:ascii="Times New Roman" w:hAnsi="Times New Roman" w:eastAsia="宋体" w:cs="Times New Roman"/>
          <w:b w:val="0"/>
          <w:bCs/>
          <w:color w:val="auto"/>
          <w:sz w:val="24"/>
          <w:szCs w:val="24"/>
          <w:lang w:val="zh-CN"/>
        </w:rPr>
        <w:t>抛投试验</w:t>
      </w:r>
      <w:bookmarkEnd w:id="58"/>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拟定试验段长度100m，进行生产性抛投试验。通过试验以得到冲距与水深、流速、块径之间的关系。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用流速仪和回声仪测量施工部位的水流流速V和水深H，并对试抛块称重W，量测出石块的落距S，点绘S与VH/W1/6的曲线，推算出冲距公式S=kVH/W1/6中的系数K值。</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lang w:val="en-US" w:eastAsia="zh-CN"/>
        </w:rPr>
      </w:pPr>
      <w:bookmarkStart w:id="59" w:name="_Toc112135381"/>
      <w:r>
        <w:rPr>
          <w:rFonts w:hint="default" w:ascii="Times New Roman" w:hAnsi="Times New Roman" w:eastAsia="宋体" w:cs="Times New Roman"/>
          <w:b w:val="0"/>
          <w:bCs/>
          <w:color w:val="auto"/>
          <w:sz w:val="24"/>
          <w:szCs w:val="24"/>
          <w:lang w:val="en-US" w:eastAsia="zh-CN"/>
        </w:rPr>
        <w:t>③</w:t>
      </w:r>
      <w:r>
        <w:rPr>
          <w:rFonts w:hint="default" w:ascii="Times New Roman" w:hAnsi="Times New Roman" w:eastAsia="宋体" w:cs="Times New Roman"/>
          <w:b w:val="0"/>
          <w:bCs/>
          <w:color w:val="auto"/>
          <w:sz w:val="24"/>
          <w:szCs w:val="24"/>
          <w:lang w:val="zh-CN" w:eastAsia="zh-CN"/>
        </w:rPr>
        <w:t>定位船定位</w:t>
      </w:r>
      <w:bookmarkEnd w:id="59"/>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定位船定位的具体要求如下：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（1）选用钢质定位船，并配有专业操作人员，定位船定位准确、牢固，必须选用合适的锚具及锚缆。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（2）测量人员采用全站仪确定抛投断面后，在岸上插两根花杆（用于定位船初步定位），在两根花杆中心线上埋设地锚。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（3）定位船在准备抛投的断面上垂直水流方向停泊，抛外上游锚、里上游锚、外下游锚和里下游锚。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（4）通过</w:t>
      </w:r>
      <w:r>
        <w:rPr>
          <w:rFonts w:hint="default" w:ascii="Times New Roman" w:hAnsi="Times New Roman" w:eastAsia="宋体" w:cs="Times New Roman"/>
          <w:b w:val="0"/>
          <w:bCs/>
          <w:color w:val="auto"/>
          <w:sz w:val="24"/>
          <w:szCs w:val="24"/>
          <w:lang w:val="en-US" w:eastAsia="zh-CN"/>
        </w:rPr>
        <w:t>GPS</w:t>
      </w:r>
      <w:r>
        <w:rPr>
          <w:rFonts w:hint="default" w:ascii="Times New Roman" w:hAnsi="Times New Roman" w:eastAsia="宋体" w:cs="Times New Roman"/>
          <w:b w:val="0"/>
          <w:bCs/>
          <w:color w:val="auto"/>
          <w:sz w:val="24"/>
          <w:szCs w:val="24"/>
        </w:rPr>
        <w:t>测定，同时调整锚揽，使定位船的船舷位于准备抛投的断面线上。</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lang w:val="zh-CN"/>
        </w:rPr>
        <w:drawing>
          <wp:inline distT="0" distB="0" distL="114300" distR="114300">
            <wp:extent cx="5311140" cy="3075305"/>
            <wp:effectExtent l="0" t="0" r="7620" b="3175"/>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34"/>
                    <a:srcRect b="9091"/>
                    <a:stretch>
                      <a:fillRect/>
                    </a:stretch>
                  </pic:blipFill>
                  <pic:spPr>
                    <a:xfrm>
                      <a:off x="0" y="0"/>
                      <a:ext cx="5311140" cy="3075305"/>
                    </a:xfrm>
                    <a:prstGeom prst="rect">
                      <a:avLst/>
                    </a:prstGeom>
                    <a:noFill/>
                    <a:ln>
                      <a:noFill/>
                    </a:ln>
                  </pic:spPr>
                </pic:pic>
              </a:graphicData>
            </a:graphic>
          </wp:inline>
        </w:drawing>
      </w:r>
      <w:r>
        <w:rPr>
          <w:rFonts w:hint="default" w:ascii="Times New Roman" w:hAnsi="Times New Roman" w:eastAsia="宋体" w:cs="Times New Roman"/>
          <w:b/>
          <w:color w:val="auto"/>
          <w:szCs w:val="24"/>
          <w:highlight w:val="none"/>
          <w:u w:val="none" w:color="auto"/>
          <w:lang w:val="en-US" w:eastAsia="zh-CN"/>
        </w:rPr>
        <w:t>图3.1-5 定位船抛锚示意图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lang w:val="zh-CN"/>
        </w:rPr>
      </w:pPr>
      <w:bookmarkStart w:id="60" w:name="_Toc112135382"/>
      <w:r>
        <w:rPr>
          <w:rFonts w:hint="default" w:ascii="Times New Roman" w:hAnsi="Times New Roman" w:eastAsia="宋体" w:cs="Times New Roman"/>
          <w:b w:val="0"/>
          <w:bCs/>
          <w:color w:val="auto"/>
          <w:sz w:val="24"/>
          <w:szCs w:val="24"/>
          <w:lang w:val="en-US" w:eastAsia="zh-CN"/>
        </w:rPr>
        <w:t>④</w:t>
      </w:r>
      <w:r>
        <w:rPr>
          <w:rFonts w:hint="default" w:ascii="Times New Roman" w:hAnsi="Times New Roman" w:eastAsia="宋体" w:cs="Times New Roman"/>
          <w:b w:val="0"/>
          <w:bCs/>
          <w:color w:val="auto"/>
          <w:sz w:val="24"/>
          <w:szCs w:val="24"/>
          <w:lang w:val="zh-CN"/>
        </w:rPr>
        <w:t>石质检查、计量和挂档</w:t>
      </w:r>
      <w:bookmarkEnd w:id="60"/>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（1）石料石质的控制和数量的确定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a.石质的控制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抛石要把好石料质量关，块石供应先经试验，确定其符合设计及规范要求，经监理确认合格后，方可选用。杜绝风化石、水解、碎石等不合格的石料。</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b.数量的确定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石料到达工地指定地点后，在监理单位监理工程师在场的情况下，对检查合格的石料进行</w:t>
      </w:r>
      <w:r>
        <w:rPr>
          <w:rFonts w:hint="default" w:ascii="Times New Roman" w:hAnsi="Times New Roman" w:eastAsia="宋体" w:cs="Times New Roman"/>
          <w:b w:val="0"/>
          <w:bCs/>
          <w:color w:val="auto"/>
          <w:sz w:val="24"/>
          <w:szCs w:val="24"/>
          <w:lang w:val="en-US" w:eastAsia="zh-CN"/>
        </w:rPr>
        <w:t>船舶</w:t>
      </w:r>
      <w:r>
        <w:rPr>
          <w:rFonts w:hint="default" w:ascii="Times New Roman" w:hAnsi="Times New Roman" w:eastAsia="宋体" w:cs="Times New Roman"/>
          <w:b w:val="0"/>
          <w:bCs/>
          <w:color w:val="auto"/>
          <w:sz w:val="24"/>
          <w:szCs w:val="24"/>
        </w:rPr>
        <w:t>量方，量方时长度量2次，宽度量</w:t>
      </w:r>
      <w:r>
        <w:rPr>
          <w:rFonts w:hint="default" w:ascii="Times New Roman" w:hAnsi="Times New Roman" w:eastAsia="宋体" w:cs="Times New Roman"/>
          <w:b w:val="0"/>
          <w:bCs/>
          <w:color w:val="auto"/>
          <w:sz w:val="24"/>
          <w:szCs w:val="24"/>
          <w:lang w:val="en-US" w:eastAsia="zh-CN"/>
        </w:rPr>
        <w:t>3</w:t>
      </w:r>
      <w:r>
        <w:rPr>
          <w:rFonts w:hint="default" w:ascii="Times New Roman" w:hAnsi="Times New Roman" w:eastAsia="宋体" w:cs="Times New Roman"/>
          <w:b w:val="0"/>
          <w:bCs/>
          <w:color w:val="auto"/>
          <w:sz w:val="24"/>
          <w:szCs w:val="24"/>
        </w:rPr>
        <w:t>次，高度量</w:t>
      </w:r>
      <w:r>
        <w:rPr>
          <w:rFonts w:hint="default" w:ascii="Times New Roman" w:hAnsi="Times New Roman" w:eastAsia="宋体" w:cs="Times New Roman"/>
          <w:b w:val="0"/>
          <w:bCs/>
          <w:color w:val="auto"/>
          <w:sz w:val="24"/>
          <w:szCs w:val="24"/>
          <w:lang w:val="en-US" w:eastAsia="zh-CN"/>
        </w:rPr>
        <w:t>6</w:t>
      </w:r>
      <w:r>
        <w:rPr>
          <w:rFonts w:hint="default" w:ascii="Times New Roman" w:hAnsi="Times New Roman" w:eastAsia="宋体" w:cs="Times New Roman"/>
          <w:b w:val="0"/>
          <w:bCs/>
          <w:color w:val="auto"/>
          <w:sz w:val="24"/>
          <w:szCs w:val="24"/>
        </w:rPr>
        <w:t>次，取平均值计算方量。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lang w:val="zh-CN"/>
        </w:rPr>
      </w:pPr>
      <w:bookmarkStart w:id="61" w:name="_Toc112135383"/>
      <w:r>
        <w:rPr>
          <w:rFonts w:hint="default" w:ascii="Times New Roman" w:hAnsi="Times New Roman" w:eastAsia="宋体" w:cs="Times New Roman"/>
          <w:b w:val="0"/>
          <w:bCs/>
          <w:color w:val="auto"/>
          <w:sz w:val="24"/>
          <w:szCs w:val="24"/>
          <w:lang w:val="en-US" w:eastAsia="zh-CN"/>
        </w:rPr>
        <w:t>⑤</w:t>
      </w:r>
      <w:r>
        <w:rPr>
          <w:rFonts w:hint="default" w:ascii="Times New Roman" w:hAnsi="Times New Roman" w:eastAsia="宋体" w:cs="Times New Roman"/>
          <w:b w:val="0"/>
          <w:bCs/>
          <w:color w:val="auto"/>
          <w:sz w:val="24"/>
          <w:szCs w:val="24"/>
          <w:lang w:val="zh-CN"/>
        </w:rPr>
        <w:t>挖掘机抛投</w:t>
      </w:r>
      <w:bookmarkEnd w:id="61"/>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石料船进档挂牢后，开始组织抛投，采用船上挖机抛投，船只抛投结束，方可解缆离档。记档人员及时准确地将抛投量上档位图，做到各网格实际抛投量控制在设计量的95%～105%范围之内。遵循</w:t>
      </w:r>
      <w:r>
        <w:rPr>
          <w:rFonts w:hint="eastAsia" w:cs="Times New Roman"/>
          <w:b w:val="0"/>
          <w:bCs/>
          <w:color w:val="auto"/>
          <w:sz w:val="24"/>
          <w:szCs w:val="24"/>
          <w:lang w:eastAsia="zh-CN"/>
        </w:rPr>
        <w:t>“</w:t>
      </w:r>
      <w:r>
        <w:rPr>
          <w:rFonts w:hint="default" w:ascii="Times New Roman" w:hAnsi="Times New Roman" w:eastAsia="宋体" w:cs="Times New Roman"/>
          <w:b w:val="0"/>
          <w:bCs/>
          <w:color w:val="auto"/>
          <w:sz w:val="24"/>
          <w:szCs w:val="24"/>
        </w:rPr>
        <w:t>先远后近，先下游后上游、先点后线、先深水区后浅水区</w:t>
      </w:r>
      <w:r>
        <w:rPr>
          <w:rFonts w:hint="eastAsia" w:cs="Times New Roman"/>
          <w:b w:val="0"/>
          <w:bCs/>
          <w:color w:val="auto"/>
          <w:sz w:val="24"/>
          <w:szCs w:val="24"/>
          <w:lang w:eastAsia="zh-CN"/>
        </w:rPr>
        <w:t>”</w:t>
      </w:r>
      <w:r>
        <w:rPr>
          <w:rFonts w:hint="default" w:ascii="Times New Roman" w:hAnsi="Times New Roman" w:eastAsia="宋体" w:cs="Times New Roman"/>
          <w:b w:val="0"/>
          <w:bCs/>
          <w:color w:val="auto"/>
          <w:sz w:val="24"/>
          <w:szCs w:val="24"/>
        </w:rPr>
        <w:t>的顺序，循序渐进，分层抛投，不得零抛散堆。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lang w:val="zh-CN"/>
        </w:rPr>
      </w:pPr>
      <w:bookmarkStart w:id="62" w:name="_Toc112135384"/>
      <w:r>
        <w:rPr>
          <w:rFonts w:hint="default" w:ascii="Times New Roman" w:hAnsi="Times New Roman" w:eastAsia="宋体" w:cs="Times New Roman"/>
          <w:b w:val="0"/>
          <w:bCs/>
          <w:color w:val="auto"/>
          <w:sz w:val="24"/>
          <w:szCs w:val="24"/>
          <w:lang w:val="en-US" w:eastAsia="zh-CN"/>
        </w:rPr>
        <w:t>⑥</w:t>
      </w:r>
      <w:r>
        <w:rPr>
          <w:rFonts w:hint="default" w:ascii="Times New Roman" w:hAnsi="Times New Roman" w:eastAsia="宋体" w:cs="Times New Roman"/>
          <w:b w:val="0"/>
          <w:bCs/>
          <w:color w:val="auto"/>
          <w:sz w:val="24"/>
          <w:szCs w:val="24"/>
          <w:lang w:val="zh-CN"/>
        </w:rPr>
        <w:t>竣工地形测量</w:t>
      </w:r>
      <w:bookmarkEnd w:id="62"/>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抛石工程结束后，我单位要派专人配合业主委托的测量人员采用GPS系统对抛投区域及相邻的部分地形测量，并绘制比例为1：200的</w:t>
      </w:r>
      <w:r>
        <w:rPr>
          <w:rFonts w:hint="default" w:ascii="Times New Roman" w:hAnsi="Times New Roman" w:eastAsia="宋体" w:cs="Times New Roman"/>
          <w:b w:val="0"/>
          <w:bCs/>
          <w:color w:val="auto"/>
          <w:sz w:val="24"/>
          <w:szCs w:val="24"/>
          <w:lang w:val="en-US" w:eastAsia="zh-CN"/>
        </w:rPr>
        <w:t>断面</w:t>
      </w:r>
      <w:r>
        <w:rPr>
          <w:rFonts w:hint="default" w:ascii="Times New Roman" w:hAnsi="Times New Roman" w:eastAsia="宋体" w:cs="Times New Roman"/>
          <w:b w:val="0"/>
          <w:bCs/>
          <w:color w:val="auto"/>
          <w:sz w:val="24"/>
          <w:szCs w:val="24"/>
        </w:rPr>
        <w:t>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lang w:val="en-US" w:eastAsia="zh-CN"/>
        </w:rPr>
      </w:pPr>
      <w:r>
        <w:rPr>
          <w:rFonts w:hint="default" w:cs="Times New Roman"/>
          <w:color w:val="auto"/>
          <w:sz w:val="24"/>
          <w:szCs w:val="24"/>
          <w:lang w:val="en-US" w:eastAsia="zh-CN"/>
        </w:rPr>
        <w:t>5、毛石挡土墙施工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b w:val="0"/>
          <w:bCs/>
          <w:color w:val="auto"/>
          <w:sz w:val="24"/>
          <w:szCs w:val="24"/>
          <w:lang w:val="en-US" w:eastAsia="zh-CN"/>
        </w:rPr>
      </w:pPr>
      <w:bookmarkStart w:id="63" w:name="_Toc29716"/>
      <w:bookmarkStart w:id="64" w:name="_Toc24062"/>
      <w:r>
        <w:rPr>
          <w:rFonts w:hint="default" w:ascii="Times New Roman" w:hAnsi="Times New Roman" w:eastAsia="宋体" w:cs="Times New Roman"/>
          <w:b w:val="0"/>
          <w:bCs/>
          <w:color w:val="auto"/>
          <w:sz w:val="24"/>
          <w:szCs w:val="24"/>
          <w:lang w:val="en-US" w:eastAsia="zh-CN"/>
        </w:rPr>
        <w:t>①毛石基础施工</w:t>
      </w:r>
      <w:bookmarkEnd w:id="63"/>
      <w:bookmarkEnd w:id="64"/>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b w:val="0"/>
          <w:bCs/>
          <w:color w:val="auto"/>
          <w:sz w:val="24"/>
          <w:szCs w:val="24"/>
          <w:lang w:val="en-US" w:eastAsia="zh-CN"/>
        </w:rPr>
        <w:t>（1）</w:t>
      </w:r>
      <w:r>
        <w:rPr>
          <w:rFonts w:hint="default" w:ascii="Times New Roman" w:hAnsi="Times New Roman" w:eastAsia="宋体" w:cs="Times New Roman"/>
          <w:b w:val="0"/>
          <w:bCs/>
          <w:color w:val="auto"/>
          <w:sz w:val="24"/>
          <w:szCs w:val="24"/>
        </w:rPr>
        <w:t>基础开挖：按设计标高、尺寸采用机械开挖基础，人工配合,开挖时应从</w:t>
      </w:r>
      <w:r>
        <w:rPr>
          <w:rFonts w:hint="default" w:ascii="Times New Roman" w:hAnsi="Times New Roman" w:eastAsia="宋体" w:cs="Times New Roman"/>
          <w:color w:val="auto"/>
          <w:sz w:val="24"/>
          <w:szCs w:val="24"/>
        </w:rPr>
        <w:t>上至下分层分段依次进行,并应遵守施工图纸的开挖要求，严禁自下而上或采取倒悬的开挖方法，施工中随时</w:t>
      </w:r>
      <w:r>
        <w:rPr>
          <w:rFonts w:hint="eastAsia" w:cs="Times New Roman"/>
          <w:color w:val="auto"/>
          <w:sz w:val="24"/>
          <w:szCs w:val="24"/>
          <w:lang w:eastAsia="zh-CN"/>
        </w:rPr>
        <w:t>做成</w:t>
      </w:r>
      <w:r>
        <w:rPr>
          <w:rFonts w:hint="default" w:ascii="Times New Roman" w:hAnsi="Times New Roman" w:eastAsia="宋体" w:cs="Times New Roman"/>
          <w:color w:val="auto"/>
          <w:sz w:val="24"/>
          <w:szCs w:val="24"/>
        </w:rPr>
        <w:t>一定的坡势，以利排水，开挖过程中应避免边坡稳定范围形成积水。挡墙施工完毕后，按要求分层回填。 及时校核测量：开挖过程中，要经常校核测量开挖平面位置、水平标高、控制桩号、水准点和边坡坡度是否符合施工图纸的要求。项目监理有权随时抽验承包人的上述校核测量成果，或与承包人联合进行核测。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val="en-US" w:eastAsia="zh-CN"/>
        </w:rPr>
        <w:t>（2）</w:t>
      </w:r>
      <w:r>
        <w:rPr>
          <w:rFonts w:hint="default" w:ascii="Times New Roman" w:hAnsi="Times New Roman" w:eastAsia="宋体" w:cs="Times New Roman"/>
          <w:color w:val="auto"/>
          <w:sz w:val="24"/>
          <w:szCs w:val="24"/>
        </w:rPr>
        <w:t>砌毛石基础应双面拉线,采用</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铺浆法</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 xml:space="preserve">砌筑（即先铺砂浆,再摆砌石块，最后砂浆填缝、填塞小石块于大缝中）.砌第一皮最底层毛石基础时，按所放的基础边线砌筑，先在基槽底铺设砂浆，再将有较大平面的石块面向下铺砌在砂浆上；第二皮以上各皮则按准线砌筑；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val="en-US" w:eastAsia="zh-CN"/>
        </w:rPr>
        <w:t>（3）</w:t>
      </w:r>
      <w:r>
        <w:rPr>
          <w:rFonts w:hint="default" w:ascii="Times New Roman" w:hAnsi="Times New Roman" w:eastAsia="宋体" w:cs="Times New Roman"/>
          <w:color w:val="auto"/>
          <w:sz w:val="24"/>
          <w:szCs w:val="24"/>
        </w:rPr>
        <w:t xml:space="preserve">砌筑每一皮毛石时,应分皮卧砌，并应上下错缝、内外搭砌,不得采用先砌外面的石块后再进行中间填心的砌筑方法,石块之间的较大缝隙不得采用先填塞碎石块后塞砂浆或干填碎石块的方法；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val="en-US" w:eastAsia="zh-CN"/>
        </w:rPr>
        <w:t>（4）</w:t>
      </w:r>
      <w:r>
        <w:rPr>
          <w:rFonts w:hint="default" w:ascii="Times New Roman" w:hAnsi="Times New Roman" w:eastAsia="宋体" w:cs="Times New Roman"/>
          <w:color w:val="auto"/>
          <w:sz w:val="24"/>
          <w:szCs w:val="24"/>
        </w:rPr>
        <w:t xml:space="preserve">毛石基础的灰缝厚度宜为20-30mm，砂浆应饱满，大小石块间均不得有直接接触或无砂浆的现象。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val="en-US" w:eastAsia="zh-CN"/>
        </w:rPr>
        <w:t>（5）</w:t>
      </w:r>
      <w:r>
        <w:rPr>
          <w:rFonts w:hint="default" w:ascii="Times New Roman" w:hAnsi="Times New Roman" w:eastAsia="宋体" w:cs="Times New Roman"/>
          <w:color w:val="auto"/>
          <w:sz w:val="24"/>
          <w:szCs w:val="24"/>
        </w:rPr>
        <w:t>毛石基础的每一皮内均应每隔2m长设置一块拉结石。基础宽度小于、等于400mm时，拉结石</w:t>
      </w:r>
      <w:r>
        <w:rPr>
          <w:rFonts w:hint="eastAsia" w:cs="Times New Roman"/>
          <w:color w:val="auto"/>
          <w:sz w:val="24"/>
          <w:szCs w:val="24"/>
          <w:lang w:eastAsia="zh-CN"/>
        </w:rPr>
        <w:t>长度</w:t>
      </w:r>
      <w:r>
        <w:rPr>
          <w:rFonts w:hint="default" w:ascii="Times New Roman" w:hAnsi="Times New Roman" w:eastAsia="宋体" w:cs="Times New Roman"/>
          <w:color w:val="auto"/>
          <w:sz w:val="24"/>
          <w:szCs w:val="24"/>
        </w:rPr>
        <w:t xml:space="preserve">应与基础宽度相同；基础宽度大于400mm时，可采用两块拉结石内外搭接砌筑，其搭接长度不应小于150mm，且其中一块长度不应小于该皮基础宽度的2/3.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val="en-US" w:eastAsia="zh-CN"/>
        </w:rPr>
        <w:t>（6）</w:t>
      </w:r>
      <w:r>
        <w:rPr>
          <w:rFonts w:hint="default" w:ascii="Times New Roman" w:hAnsi="Times New Roman" w:eastAsia="宋体" w:cs="Times New Roman"/>
          <w:color w:val="auto"/>
          <w:sz w:val="24"/>
          <w:szCs w:val="24"/>
        </w:rPr>
        <w:t xml:space="preserve">毛石基础的转角处和交接处应同时砌筑,不能同时砌筑时应留斜槎，斜槎长度不应小于其高度,斜槎面上的毛石不得用砂浆找平；在斜槎处继续接砌毛石基础时，应先将斜槎石面清理干净、浇水润湿后，方可砌筑。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val="en-US" w:eastAsia="zh-CN"/>
        </w:rPr>
        <w:t>（7）</w:t>
      </w:r>
      <w:r>
        <w:rPr>
          <w:rFonts w:hint="default" w:ascii="Times New Roman" w:hAnsi="Times New Roman" w:eastAsia="宋体" w:cs="Times New Roman"/>
          <w:color w:val="auto"/>
          <w:sz w:val="24"/>
          <w:szCs w:val="24"/>
        </w:rPr>
        <w:t>每2—3皮为一工作层，工作层中水平缝应大致找平,且竖缝错开不小于80cm,斜向通缝不</w:t>
      </w:r>
      <w:r>
        <w:rPr>
          <w:rFonts w:hint="eastAsia" w:cs="Times New Roman"/>
          <w:color w:val="auto"/>
          <w:sz w:val="24"/>
          <w:szCs w:val="24"/>
          <w:lang w:eastAsia="zh-CN"/>
        </w:rPr>
        <w:t>得</w:t>
      </w:r>
      <w:r>
        <w:rPr>
          <w:rFonts w:hint="default" w:ascii="Times New Roman" w:hAnsi="Times New Roman" w:eastAsia="宋体" w:cs="Times New Roman"/>
          <w:color w:val="auto"/>
          <w:sz w:val="24"/>
          <w:szCs w:val="24"/>
        </w:rPr>
        <w:t>超过两皮。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lang w:val="en-US" w:eastAsia="zh-CN"/>
        </w:rPr>
      </w:pPr>
      <w:bookmarkStart w:id="65" w:name="_Toc16025"/>
      <w:bookmarkStart w:id="66" w:name="_Toc18027"/>
      <w:r>
        <w:rPr>
          <w:rFonts w:hint="default" w:ascii="Times New Roman" w:hAnsi="Times New Roman" w:eastAsia="宋体" w:cs="Times New Roman"/>
          <w:color w:val="auto"/>
          <w:sz w:val="24"/>
          <w:szCs w:val="24"/>
          <w:lang w:val="en-US" w:eastAsia="zh-CN"/>
        </w:rPr>
        <w:t>②毛石墙体施工</w:t>
      </w:r>
      <w:bookmarkEnd w:id="65"/>
      <w:bookmarkEnd w:id="66"/>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eastAsia="zh-CN"/>
        </w:rPr>
        <w:t>（</w:t>
      </w:r>
      <w:r>
        <w:rPr>
          <w:rFonts w:hint="default" w:eastAsia="宋体" w:cs="Times New Roman"/>
          <w:color w:val="auto"/>
          <w:sz w:val="24"/>
          <w:szCs w:val="24"/>
          <w:lang w:val="en-US" w:eastAsia="zh-CN"/>
        </w:rPr>
        <w:t>1</w:t>
      </w:r>
      <w:r>
        <w:rPr>
          <w:rFonts w:hint="default" w:eastAsia="宋体" w:cs="Times New Roman"/>
          <w:color w:val="auto"/>
          <w:sz w:val="24"/>
          <w:szCs w:val="24"/>
          <w:lang w:eastAsia="zh-CN"/>
        </w:rPr>
        <w:t>）</w:t>
      </w:r>
      <w:r>
        <w:rPr>
          <w:rFonts w:hint="default" w:ascii="Times New Roman" w:hAnsi="Times New Roman" w:eastAsia="宋体" w:cs="Times New Roman"/>
          <w:color w:val="auto"/>
          <w:sz w:val="24"/>
          <w:szCs w:val="24"/>
        </w:rPr>
        <w:t>砌筑毛石墙，采用</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 xml:space="preserve">铺浆法"，顺墙面线支立好坡度架,沿坡度架双面拉准线，第一皮按墙边线砌筑，以上各皮均按准线砌筑。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eastAsia="zh-CN"/>
        </w:rPr>
        <w:t>（</w:t>
      </w:r>
      <w:r>
        <w:rPr>
          <w:rFonts w:hint="default" w:eastAsia="宋体" w:cs="Times New Roman"/>
          <w:color w:val="auto"/>
          <w:sz w:val="24"/>
          <w:szCs w:val="24"/>
          <w:lang w:val="en-US" w:eastAsia="zh-CN"/>
        </w:rPr>
        <w:t>2</w:t>
      </w:r>
      <w:r>
        <w:rPr>
          <w:rFonts w:hint="default"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毛石墙的第一皮、转角处、交接处、沉降缝处，应用较大的平毛石砌筑。灰缝厚度宜为20—30mm，砂浆饱满,不得有干接、空缝现象；石缝间较大空隙应先填砂浆后塞碎石块.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eastAsia="zh-CN"/>
        </w:rPr>
        <w:t>（</w:t>
      </w:r>
      <w:r>
        <w:rPr>
          <w:rFonts w:hint="default" w:eastAsia="宋体" w:cs="Times New Roman"/>
          <w:color w:val="auto"/>
          <w:sz w:val="24"/>
          <w:szCs w:val="24"/>
          <w:lang w:val="en-US" w:eastAsia="zh-CN"/>
        </w:rPr>
        <w:t>3</w:t>
      </w:r>
      <w:r>
        <w:rPr>
          <w:rFonts w:hint="default" w:eastAsia="宋体" w:cs="Times New Roman"/>
          <w:color w:val="auto"/>
          <w:sz w:val="24"/>
          <w:szCs w:val="24"/>
          <w:lang w:eastAsia="zh-CN"/>
        </w:rPr>
        <w:t>）</w:t>
      </w:r>
      <w:r>
        <w:rPr>
          <w:rFonts w:hint="default" w:ascii="Times New Roman" w:hAnsi="Times New Roman" w:eastAsia="宋体" w:cs="Times New Roman"/>
          <w:color w:val="auto"/>
          <w:sz w:val="24"/>
          <w:szCs w:val="24"/>
        </w:rPr>
        <w:t>毛石墙应分皮卧砌，各皮石块利用其自然形状，经适当凿打修整，使之能与先砌石块基本吻合，搭砌紧密，上下错缝，内外搭砌，不得采用侧立石块与外侧，中间填心的砌法.毛石墙上,不得有尖石向下或斜尖向外的铲口石、上宽下尖三角形的斧刃石和仅在两端搭在下面石块上的过桥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eastAsia="zh-CN"/>
        </w:rPr>
        <w:t>（</w:t>
      </w:r>
      <w:r>
        <w:rPr>
          <w:rFonts w:hint="default" w:eastAsia="宋体" w:cs="Times New Roman"/>
          <w:color w:val="auto"/>
          <w:sz w:val="24"/>
          <w:szCs w:val="24"/>
          <w:lang w:val="en-US" w:eastAsia="zh-CN"/>
        </w:rPr>
        <w:t>4</w:t>
      </w:r>
      <w:r>
        <w:rPr>
          <w:rFonts w:hint="default"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毛石墙必须设置拉结石，拉结石应均匀分布，相互错开，一般每0.7m2墙面至少设置一块,且同一皮内的拉结石中间距离不大于2m。墙厚等于或小于400mm时，拉结石长度应与墙厚相等；墙厚大于400mm时，可用两块拉结石两面搭砌,搭接长度不小于150mm，且其中一块的长度不应小于墙厚的2/3.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eastAsia="zh-CN"/>
        </w:rPr>
        <w:t>（</w:t>
      </w:r>
      <w:r>
        <w:rPr>
          <w:rFonts w:hint="default" w:eastAsia="宋体" w:cs="Times New Roman"/>
          <w:color w:val="auto"/>
          <w:sz w:val="24"/>
          <w:szCs w:val="24"/>
          <w:lang w:val="en-US" w:eastAsia="zh-CN"/>
        </w:rPr>
        <w:t>5</w:t>
      </w:r>
      <w:r>
        <w:rPr>
          <w:rFonts w:hint="default"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浆砌毛石挡土墙每天的砌筑高度不应超过1。2m.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eastAsia="zh-CN"/>
        </w:rPr>
        <w:t>（</w:t>
      </w:r>
      <w:r>
        <w:rPr>
          <w:rFonts w:hint="default" w:eastAsia="宋体" w:cs="Times New Roman"/>
          <w:color w:val="auto"/>
          <w:sz w:val="24"/>
          <w:szCs w:val="24"/>
          <w:lang w:val="en-US" w:eastAsia="zh-CN"/>
        </w:rPr>
        <w:t>6</w:t>
      </w:r>
      <w:r>
        <w:rPr>
          <w:rFonts w:hint="default"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砌筑挡土墙时，除应满足上述要求外，还应注意以下几点：每砌2—3皮毛石为一个分层高度，应找平一次；每皮应大体找平,外露墙面的灰缝宽度以20—30mm为宜,上下皮毛石的竖向灰缝应相互错开80mm以上斜向通缝不许超过两层；挡土墙泄水孔为φ100mm的PVC管，间距2.5×2。5米,上下交错布置;孔后设双层60×60cm的滤水土工布。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eastAsia="zh-CN"/>
        </w:rPr>
        <w:t>（</w:t>
      </w:r>
      <w:r>
        <w:rPr>
          <w:rFonts w:hint="default" w:eastAsia="宋体" w:cs="Times New Roman"/>
          <w:color w:val="auto"/>
          <w:sz w:val="24"/>
          <w:szCs w:val="24"/>
          <w:lang w:val="en-US" w:eastAsia="zh-CN"/>
        </w:rPr>
        <w:t>7</w:t>
      </w:r>
      <w:r>
        <w:rPr>
          <w:rFonts w:hint="default" w:eastAsia="宋体" w:cs="Times New Roman"/>
          <w:color w:val="auto"/>
          <w:sz w:val="24"/>
          <w:szCs w:val="24"/>
          <w:lang w:eastAsia="zh-CN"/>
        </w:rPr>
        <w:t>）</w:t>
      </w:r>
      <w:r>
        <w:rPr>
          <w:rFonts w:hint="default" w:ascii="Times New Roman" w:hAnsi="Times New Roman" w:eastAsia="宋体" w:cs="Times New Roman"/>
          <w:color w:val="auto"/>
          <w:sz w:val="24"/>
          <w:szCs w:val="24"/>
        </w:rPr>
        <w:t>砌体抹面砂浆不低于M5,且抹面砂浆嵌入砌缝不小于2cm,当不足2cm时，应掏槽够2cm</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（8）伸缩缝应竖直</w:t>
      </w:r>
      <w:r>
        <w:rPr>
          <w:rFonts w:hint="eastAsia" w:cs="Times New Roman"/>
          <w:color w:val="auto"/>
          <w:sz w:val="24"/>
          <w:szCs w:val="24"/>
          <w:lang w:eastAsia="zh-CN"/>
        </w:rPr>
        <w:t>且</w:t>
      </w:r>
      <w:r>
        <w:rPr>
          <w:rFonts w:hint="default" w:ascii="Times New Roman" w:hAnsi="Times New Roman" w:eastAsia="宋体" w:cs="Times New Roman"/>
          <w:color w:val="auto"/>
          <w:sz w:val="24"/>
          <w:szCs w:val="24"/>
        </w:rPr>
        <w:t>与基础沉降缝对齐，沉降缝中严禁有砂浆、石块等杂物</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（9)砌体施工完毕后墙背应大致找平，然后再回填土。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lang w:eastAsia="zh-CN"/>
        </w:rPr>
      </w:pPr>
      <w:bookmarkStart w:id="67" w:name="_Toc18229"/>
      <w:bookmarkStart w:id="68" w:name="_Toc22521"/>
      <w:r>
        <w:rPr>
          <w:rFonts w:hint="default" w:ascii="Times New Roman" w:hAnsi="Times New Roman" w:eastAsia="宋体" w:cs="Times New Roman"/>
          <w:color w:val="auto"/>
          <w:sz w:val="24"/>
          <w:szCs w:val="24"/>
          <w:lang w:val="en-US" w:eastAsia="zh-CN"/>
        </w:rPr>
        <w:t>③毛石砼挡土墙体施工</w:t>
      </w:r>
      <w:bookmarkEnd w:id="67"/>
      <w:bookmarkEnd w:id="68"/>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pacing w:val="-2"/>
          <w:sz w:val="24"/>
          <w:szCs w:val="24"/>
        </w:rPr>
      </w:pPr>
      <w:r>
        <w:rPr>
          <w:rFonts w:hint="default" w:eastAsia="宋体" w:cs="Times New Roman"/>
          <w:color w:val="auto"/>
          <w:sz w:val="24"/>
          <w:szCs w:val="24"/>
          <w:lang w:eastAsia="zh-CN"/>
        </w:rPr>
        <w:t>（</w:t>
      </w:r>
      <w:r>
        <w:rPr>
          <w:rFonts w:hint="default" w:eastAsia="宋体" w:cs="Times New Roman"/>
          <w:color w:val="auto"/>
          <w:sz w:val="24"/>
          <w:szCs w:val="24"/>
          <w:lang w:val="en-US" w:eastAsia="zh-CN"/>
        </w:rPr>
        <w:t>1</w:t>
      </w:r>
      <w:r>
        <w:rPr>
          <w:rFonts w:hint="default" w:eastAsia="宋体" w:cs="Times New Roman"/>
          <w:color w:val="auto"/>
          <w:sz w:val="24"/>
          <w:szCs w:val="24"/>
          <w:lang w:eastAsia="zh-CN"/>
        </w:rPr>
        <w:t>）</w:t>
      </w:r>
      <w:r>
        <w:rPr>
          <w:rFonts w:hint="default" w:ascii="Times New Roman" w:hAnsi="Times New Roman" w:eastAsia="宋体" w:cs="Times New Roman"/>
          <w:color w:val="auto"/>
          <w:spacing w:val="-2"/>
          <w:sz w:val="24"/>
          <w:szCs w:val="24"/>
        </w:rPr>
        <w:t xml:space="preserve">浇注砼前,应对支架、模板进行检查，并做好记录，符合设计要求后方可浇注。模板内的杂物、积水应清理干净.模板如有缝隙，应填塞严密，模板内面应涂刷脱模剂。浇注砼前，应检查砼的均匀性和坍落度。 </w:t>
      </w:r>
    </w:p>
    <w:p>
      <w:pPr>
        <w:keepNext w:val="0"/>
        <w:keepLines w:val="0"/>
        <w:pageBreakBefore w:val="0"/>
        <w:widowControl w:val="0"/>
        <w:kinsoku/>
        <w:wordWrap/>
        <w:overflowPunct/>
        <w:topLinePunct w:val="0"/>
        <w:autoSpaceDE/>
        <w:autoSpaceDN/>
        <w:bidi w:val="0"/>
        <w:adjustRightInd/>
        <w:snapToGrid w:val="0"/>
        <w:spacing w:line="360" w:lineRule="auto"/>
        <w:ind w:firstLine="472" w:firstLineChars="200"/>
        <w:textAlignment w:val="auto"/>
        <w:outlineLvl w:val="9"/>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自高处向模板内倾卸砼时，为防止砼离析，应符合下列规定:</w:t>
      </w:r>
    </w:p>
    <w:p>
      <w:pPr>
        <w:keepNext w:val="0"/>
        <w:keepLines w:val="0"/>
        <w:pageBreakBefore w:val="0"/>
        <w:widowControl w:val="0"/>
        <w:kinsoku/>
        <w:wordWrap/>
        <w:overflowPunct/>
        <w:topLinePunct w:val="0"/>
        <w:autoSpaceDE/>
        <w:autoSpaceDN/>
        <w:bidi w:val="0"/>
        <w:adjustRightInd/>
        <w:snapToGrid w:val="0"/>
        <w:spacing w:line="360" w:lineRule="auto"/>
        <w:ind w:firstLine="472" w:firstLineChars="200"/>
        <w:textAlignment w:val="auto"/>
        <w:outlineLvl w:val="9"/>
        <w:rPr>
          <w:rFonts w:hint="default" w:ascii="Times New Roman" w:hAnsi="Times New Roman" w:eastAsia="宋体" w:cs="Times New Roman"/>
          <w:color w:val="auto"/>
          <w:spacing w:val="-2"/>
          <w:sz w:val="24"/>
          <w:szCs w:val="24"/>
        </w:rPr>
      </w:pPr>
      <w:r>
        <w:rPr>
          <w:rFonts w:hint="default" w:eastAsia="宋体" w:cs="Times New Roman"/>
          <w:color w:val="auto"/>
          <w:spacing w:val="-2"/>
          <w:sz w:val="24"/>
          <w:szCs w:val="24"/>
          <w:lang w:eastAsia="zh-CN"/>
        </w:rPr>
        <w:t>（</w:t>
      </w:r>
      <w:r>
        <w:rPr>
          <w:rFonts w:hint="default" w:eastAsia="宋体" w:cs="Times New Roman"/>
          <w:color w:val="auto"/>
          <w:spacing w:val="-2"/>
          <w:sz w:val="24"/>
          <w:szCs w:val="24"/>
          <w:lang w:val="en-US" w:eastAsia="zh-CN"/>
        </w:rPr>
        <w:t>2</w:t>
      </w:r>
      <w:r>
        <w:rPr>
          <w:rFonts w:hint="default"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 xml:space="preserve">从高处直接倾卸时,其自由倾落高度不宜超过2m,以不发生离析为度. </w:t>
      </w:r>
    </w:p>
    <w:p>
      <w:pPr>
        <w:keepNext w:val="0"/>
        <w:keepLines w:val="0"/>
        <w:pageBreakBefore w:val="0"/>
        <w:widowControl w:val="0"/>
        <w:kinsoku/>
        <w:wordWrap/>
        <w:overflowPunct/>
        <w:topLinePunct w:val="0"/>
        <w:autoSpaceDE/>
        <w:autoSpaceDN/>
        <w:bidi w:val="0"/>
        <w:adjustRightInd/>
        <w:snapToGrid w:val="0"/>
        <w:spacing w:line="360" w:lineRule="auto"/>
        <w:ind w:firstLine="472" w:firstLineChars="200"/>
        <w:textAlignment w:val="auto"/>
        <w:outlineLvl w:val="9"/>
        <w:rPr>
          <w:rFonts w:hint="default" w:ascii="Times New Roman" w:hAnsi="Times New Roman" w:eastAsia="宋体" w:cs="Times New Roman"/>
          <w:color w:val="auto"/>
          <w:spacing w:val="-2"/>
          <w:sz w:val="24"/>
          <w:szCs w:val="24"/>
        </w:rPr>
      </w:pPr>
      <w:r>
        <w:rPr>
          <w:rFonts w:hint="default" w:eastAsia="宋体" w:cs="Times New Roman"/>
          <w:color w:val="auto"/>
          <w:spacing w:val="-2"/>
          <w:sz w:val="24"/>
          <w:szCs w:val="24"/>
          <w:lang w:eastAsia="zh-CN"/>
        </w:rPr>
        <w:t>（</w:t>
      </w:r>
      <w:r>
        <w:rPr>
          <w:rFonts w:hint="default" w:eastAsia="宋体" w:cs="Times New Roman"/>
          <w:color w:val="auto"/>
          <w:spacing w:val="-2"/>
          <w:sz w:val="24"/>
          <w:szCs w:val="24"/>
          <w:lang w:val="en-US" w:eastAsia="zh-CN"/>
        </w:rPr>
        <w:t>3</w:t>
      </w:r>
      <w:r>
        <w:rPr>
          <w:rFonts w:hint="default"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 xml:space="preserve">当倾落高度超过2m时，应通过串筒、溜管或振动溜管等设施下落；倾落高度超过10m时，应设置减速装置（在串筒的不同高度设多向挡板）. </w:t>
      </w:r>
    </w:p>
    <w:p>
      <w:pPr>
        <w:keepNext w:val="0"/>
        <w:keepLines w:val="0"/>
        <w:pageBreakBefore w:val="0"/>
        <w:widowControl w:val="0"/>
        <w:kinsoku/>
        <w:wordWrap/>
        <w:overflowPunct/>
        <w:topLinePunct w:val="0"/>
        <w:autoSpaceDE/>
        <w:autoSpaceDN/>
        <w:bidi w:val="0"/>
        <w:adjustRightInd/>
        <w:snapToGrid w:val="0"/>
        <w:spacing w:line="360" w:lineRule="auto"/>
        <w:ind w:firstLine="472" w:firstLineChars="200"/>
        <w:textAlignment w:val="auto"/>
        <w:outlineLvl w:val="9"/>
        <w:rPr>
          <w:rFonts w:hint="default" w:ascii="Times New Roman" w:hAnsi="Times New Roman" w:eastAsia="宋体" w:cs="Times New Roman"/>
          <w:color w:val="auto"/>
          <w:spacing w:val="-2"/>
          <w:sz w:val="24"/>
          <w:szCs w:val="24"/>
        </w:rPr>
      </w:pPr>
      <w:r>
        <w:rPr>
          <w:rFonts w:hint="default" w:eastAsia="宋体" w:cs="Times New Roman"/>
          <w:color w:val="auto"/>
          <w:spacing w:val="-2"/>
          <w:sz w:val="24"/>
          <w:szCs w:val="24"/>
          <w:lang w:eastAsia="zh-CN"/>
        </w:rPr>
        <w:t>（</w:t>
      </w:r>
      <w:r>
        <w:rPr>
          <w:rFonts w:hint="default" w:eastAsia="宋体" w:cs="Times New Roman"/>
          <w:color w:val="auto"/>
          <w:spacing w:val="-2"/>
          <w:sz w:val="24"/>
          <w:szCs w:val="24"/>
          <w:lang w:val="en-US" w:eastAsia="zh-CN"/>
        </w:rPr>
        <w:t>4</w:t>
      </w:r>
      <w:r>
        <w:rPr>
          <w:rFonts w:hint="default"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在串筒出料筒下面，砼堆积高度不宜超过1m。</w:t>
      </w:r>
    </w:p>
    <w:p>
      <w:pPr>
        <w:keepNext w:val="0"/>
        <w:keepLines w:val="0"/>
        <w:pageBreakBefore w:val="0"/>
        <w:widowControl w:val="0"/>
        <w:kinsoku/>
        <w:wordWrap/>
        <w:overflowPunct/>
        <w:topLinePunct w:val="0"/>
        <w:autoSpaceDE/>
        <w:autoSpaceDN/>
        <w:bidi w:val="0"/>
        <w:adjustRightInd/>
        <w:snapToGrid w:val="0"/>
        <w:spacing w:line="360" w:lineRule="auto"/>
        <w:ind w:firstLine="472"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pacing w:val="-2"/>
          <w:sz w:val="24"/>
          <w:szCs w:val="24"/>
          <w:lang w:eastAsia="zh-CN"/>
        </w:rPr>
        <w:t>（</w:t>
      </w:r>
      <w:r>
        <w:rPr>
          <w:rFonts w:hint="default" w:eastAsia="宋体" w:cs="Times New Roman"/>
          <w:color w:val="auto"/>
          <w:spacing w:val="-2"/>
          <w:sz w:val="24"/>
          <w:szCs w:val="24"/>
          <w:lang w:val="en-US" w:eastAsia="zh-CN"/>
        </w:rPr>
        <w:t>5</w:t>
      </w:r>
      <w:r>
        <w:rPr>
          <w:rFonts w:hint="default"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砼应按一定厚度、顺序和方向分层浇注，应在下层砼初凝或能重塑前浇注完成上层砼。上下层同时浇注时，上层与下层前后浇注距离应保持1。5m以上。在倾斜面上浇注砼时,应从低处开始逐层扩展升高，保持水平分层。浇注砼使用插入式振动器时，移动间距不应超过振动器作用半径的1</w:t>
      </w:r>
      <w:r>
        <w:rPr>
          <w:rFonts w:hint="default" w:ascii="Times New Roman" w:hAnsi="Times New Roman" w:eastAsia="宋体" w:cs="Times New Roman"/>
          <w:color w:val="auto"/>
          <w:spacing w:val="-2"/>
          <w:sz w:val="24"/>
          <w:szCs w:val="24"/>
          <w:lang w:val="en-US" w:eastAsia="zh-CN"/>
        </w:rPr>
        <w:t>.</w:t>
      </w:r>
      <w:r>
        <w:rPr>
          <w:rFonts w:hint="default" w:ascii="Times New Roman" w:hAnsi="Times New Roman" w:eastAsia="宋体" w:cs="Times New Roman"/>
          <w:color w:val="auto"/>
          <w:spacing w:val="-2"/>
          <w:sz w:val="24"/>
          <w:szCs w:val="24"/>
        </w:rPr>
        <w:t>5倍；与侧模应保持50—100mm的距离；插入下层砼50—100mm；每一处振动完毕后应边振动边徐徐提出振动棒；应避免振动棒碰撞模板。</w:t>
      </w:r>
      <w:r>
        <w:rPr>
          <w:rFonts w:hint="default" w:ascii="Times New Roman" w:hAnsi="Times New Roman" w:eastAsia="宋体" w:cs="Times New Roman"/>
          <w:color w:val="auto"/>
          <w:kern w:val="0"/>
          <w:sz w:val="24"/>
          <w:szCs w:val="24"/>
        </w:rPr>
        <w:t xml:space="preserve"> 对每一振动部位，必须振动到该部位砼密实为止</w:t>
      </w:r>
      <w:r>
        <w:rPr>
          <w:rFonts w:hint="default"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密实的标志是砼停止下沉，不再冒出气泡，表面呈现平坦、泛浆</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eastAsia="zh-CN"/>
        </w:rPr>
        <w:t>（</w:t>
      </w:r>
      <w:r>
        <w:rPr>
          <w:rFonts w:hint="default" w:eastAsia="宋体" w:cs="Times New Roman"/>
          <w:color w:val="auto"/>
          <w:sz w:val="24"/>
          <w:szCs w:val="24"/>
          <w:lang w:val="en-US" w:eastAsia="zh-CN"/>
        </w:rPr>
        <w:t>6</w:t>
      </w:r>
      <w:r>
        <w:rPr>
          <w:rFonts w:hint="default" w:eastAsia="宋体" w:cs="Times New Roman"/>
          <w:color w:val="auto"/>
          <w:sz w:val="24"/>
          <w:szCs w:val="24"/>
          <w:lang w:eastAsia="zh-CN"/>
        </w:rPr>
        <w:t>）</w:t>
      </w:r>
      <w:r>
        <w:rPr>
          <w:rFonts w:hint="default" w:ascii="Times New Roman" w:hAnsi="Times New Roman" w:eastAsia="宋体" w:cs="Times New Roman"/>
          <w:color w:val="auto"/>
          <w:sz w:val="24"/>
          <w:szCs w:val="24"/>
        </w:rPr>
        <w:t>砼的浇注应连续进行，如因故必须间断时，其间断时间应小于前层砼的初凝时间或能重塑的时间。砼的运输、浇注及间歇的全部时间不得超过表的规定,当需要超过时应预留施工缝。</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lang w:val="en-US" w:eastAsia="zh-CN"/>
        </w:rPr>
      </w:pPr>
      <w:r>
        <w:rPr>
          <w:rFonts w:hint="default" w:cs="Times New Roman"/>
          <w:color w:val="auto"/>
          <w:sz w:val="24"/>
          <w:szCs w:val="24"/>
          <w:lang w:val="en-US" w:eastAsia="zh-CN"/>
        </w:rPr>
        <w:t>6、格宾施工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格宾施工程序为：施工准备和格宾组装→格宾安装→填石和封盖。</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（1）施工准备和格宾组装：</w:t>
      </w:r>
    </w:p>
    <w:p>
      <w:pPr>
        <w:keepNext w:val="0"/>
        <w:keepLines w:val="0"/>
        <w:pageBreakBefore w:val="0"/>
        <w:widowControl w:val="0"/>
        <w:kinsoku/>
        <w:wordWrap/>
        <w:overflowPunct/>
        <w:topLinePunct w:val="0"/>
        <w:autoSpaceDE/>
        <w:autoSpaceDN/>
        <w:bidi w:val="0"/>
        <w:adjustRightInd/>
        <w:snapToGrid w:val="0"/>
        <w:spacing w:line="360" w:lineRule="auto"/>
        <w:ind w:firstLine="472" w:firstLineChars="200"/>
        <w:textAlignment w:val="auto"/>
        <w:outlineLvl w:val="9"/>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测量放线、料场检查、机械设备及料场准备按照《堤防工程施工规范》执行。组装格宾，先将格宾单元从捆束包装中取出放在坚硬平整的地面上，再将格宾打开沿折叠处展开并压成初始形状。部分双隔板需采用人工往两侧翻折成型，再将边板和端板竖起来组成一个形状规则的扁平长方体。隔板与边板，边板与端板的衔接处采用与网面同材质的绞合钢丝进行点绑扎。</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（2）格宾安装：</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组装完成后，将护垫放在既定位置相邻单元紧靠在一起，为了保障结构的整体性应将所有相邻未填充的单元格接触面的边缘用绞合 钢丝连接在一起，使之成为一个整体。</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格宾在坡面的摆放方向为隔板平行于水流方向，当护垫被放在陡坡上(坡比大于1:1.5),需用硬木桩在坡顶进行固定,防止施工过程中受力向下滑动。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（3）填石和封盖:</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1)石料的装填可以采用人工装填、机械装填或者半机械半人工装填，石料的装填要求从坡底往坡顶方向进行装填，为了避免装填时引起边板弯曲变形，靠近边板两侧的石料装填要同时进行。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2)考虑到装填石料空隙而产生的沉降装填时应有2.5cm的超高,而且护垫内的装填石料需用人工摆放尽量减少孔隙率并确保表面平整。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3)在安装盖板之前需对装填时造成弯曲的隔板进行校正,确保所有横向、纵向边缘在同一直线上、坡面平整。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每个格宾单元配有同等表面尺寸的盖板，对应铺设盖板用长钢丝将盖子边缘与边板边缘盖板与隔板上边缘绞合在一起，每段钢丝的绞合长度不宜超过1m,绞合严格按照10~15cm单圈双圈单圈间隔绞合以确保连接边缘的强度。</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color w:val="auto"/>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b/>
          <w:color w:val="auto"/>
          <w:sz w:val="24"/>
          <w:szCs w:val="24"/>
        </w:rPr>
      </w:pPr>
      <w:r>
        <w:rPr>
          <w:rFonts w:hint="default" w:ascii="Times New Roman" w:hAnsi="Times New Roman" w:eastAsia="宋体" w:cs="Times New Roman"/>
          <w:color w:val="auto"/>
          <w:sz w:val="24"/>
          <w:szCs w:val="24"/>
        </w:rPr>
        <w:drawing>
          <wp:anchor distT="0" distB="0" distL="114300" distR="114300" simplePos="0" relativeHeight="251659264" behindDoc="0" locked="0" layoutInCell="1" allowOverlap="1">
            <wp:simplePos x="0" y="0"/>
            <wp:positionH relativeFrom="column">
              <wp:posOffset>1228725</wp:posOffset>
            </wp:positionH>
            <wp:positionV relativeFrom="paragraph">
              <wp:posOffset>92075</wp:posOffset>
            </wp:positionV>
            <wp:extent cx="3352800" cy="2247900"/>
            <wp:effectExtent l="0" t="0" r="0" b="7620"/>
            <wp:wrapSquare wrapText="bothSides"/>
            <wp:docPr id="83" name="图片 3613" descr="C:\Users\Administrator\AppData\Roaming\Tencent\Users\309425466\QQ\WinTemp\RichOle\A_WU[TFF@9I[NAG`ZYY78{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613" descr="C:\Users\Administrator\AppData\Roaming\Tencent\Users\309425466\QQ\WinTemp\RichOle\A_WU[TFF@9I[NAG`ZYY78{Y.jpg"/>
                    <pic:cNvPicPr>
                      <a:picLocks noChangeAspect="1"/>
                    </pic:cNvPicPr>
                  </pic:nvPicPr>
                  <pic:blipFill>
                    <a:blip r:embed="rId35" r:link="rId36"/>
                    <a:stretch>
                      <a:fillRect/>
                    </a:stretch>
                  </pic:blipFill>
                  <pic:spPr>
                    <a:xfrm>
                      <a:off x="0" y="0"/>
                      <a:ext cx="3352800" cy="22479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center"/>
        <w:textAlignment w:val="auto"/>
        <w:outlineLvl w:val="9"/>
        <w:rPr>
          <w:rFonts w:hint="default" w:ascii="Times New Roman" w:hAnsi="Times New Roman" w:eastAsia="宋体" w:cs="Times New Roman"/>
          <w:b w:val="0"/>
          <w:bCs/>
          <w:color w:val="auto"/>
          <w:sz w:val="24"/>
          <w:szCs w:val="24"/>
        </w:rPr>
      </w:pP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9"/>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3.1.4.1</w:t>
      </w:r>
      <w:r>
        <w:rPr>
          <w:rFonts w:hint="default" w:cs="Times New Roman"/>
          <w:b/>
          <w:bCs/>
          <w:color w:val="auto"/>
          <w:kern w:val="0"/>
          <w:sz w:val="24"/>
          <w:szCs w:val="24"/>
          <w:highlight w:val="none"/>
          <w:lang w:val="en-US" w:eastAsia="zh-CN"/>
        </w:rPr>
        <w:t>防洪堤施工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eastAsia="宋体" w:cs="Times New Roman"/>
          <w:color w:val="auto"/>
          <w:sz w:val="24"/>
          <w:szCs w:val="24"/>
          <w:lang w:val="en-US" w:eastAsia="zh-CN"/>
        </w:rPr>
        <w:t>北段</w:t>
      </w:r>
      <w:r>
        <w:rPr>
          <w:rFonts w:hint="default" w:ascii="Times New Roman" w:hAnsi="Times New Roman" w:eastAsia="宋体" w:cs="Times New Roman"/>
          <w:color w:val="auto"/>
          <w:sz w:val="24"/>
          <w:szCs w:val="24"/>
        </w:rPr>
        <w:t>岸堤防工程施工程序为：</w:t>
      </w:r>
      <w:r>
        <w:rPr>
          <w:rFonts w:hint="default" w:eastAsia="宋体" w:cs="Times New Roman"/>
          <w:color w:val="auto"/>
          <w:sz w:val="24"/>
          <w:szCs w:val="24"/>
          <w:lang w:val="en-US" w:eastAsia="zh-CN"/>
        </w:rPr>
        <w:t>清表（厚度50mm）</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地表建筑垃圾、树木等清除</w:t>
      </w:r>
      <w:r>
        <w:rPr>
          <w:rFonts w:hint="default" w:ascii="Times New Roman" w:hAnsi="Times New Roman" w:eastAsia="宋体" w:cs="Times New Roman"/>
          <w:color w:val="auto"/>
          <w:sz w:val="24"/>
          <w:szCs w:val="24"/>
        </w:rPr>
        <w:t>→</w:t>
      </w:r>
      <w:r>
        <w:rPr>
          <w:rFonts w:hint="default" w:eastAsia="宋体" w:cs="Times New Roman"/>
          <w:color w:val="auto"/>
          <w:sz w:val="24"/>
          <w:szCs w:val="24"/>
          <w:lang w:val="en-US" w:eastAsia="zh-CN"/>
        </w:rPr>
        <w:t>抛石护脚填筑</w:t>
      </w:r>
      <w:r>
        <w:rPr>
          <w:rFonts w:hint="default" w:ascii="Times New Roman" w:hAnsi="Times New Roman" w:eastAsia="宋体" w:cs="Times New Roman"/>
          <w:color w:val="auto"/>
          <w:sz w:val="24"/>
          <w:szCs w:val="24"/>
        </w:rPr>
        <w:t>→M7.5浆砌石基础、</w:t>
      </w:r>
      <w:r>
        <w:rPr>
          <w:rFonts w:hint="default" w:eastAsia="宋体" w:cs="Times New Roman"/>
          <w:color w:val="auto"/>
          <w:sz w:val="24"/>
          <w:szCs w:val="24"/>
          <w:lang w:val="en-US" w:eastAsia="zh-CN"/>
        </w:rPr>
        <w:t>毛石混凝土</w:t>
      </w:r>
      <w:r>
        <w:rPr>
          <w:rFonts w:hint="default" w:ascii="Times New Roman" w:hAnsi="Times New Roman" w:eastAsia="宋体" w:cs="Times New Roman"/>
          <w:color w:val="auto"/>
          <w:sz w:val="24"/>
          <w:szCs w:val="24"/>
        </w:rPr>
        <w:t>挡墙、台阶→</w:t>
      </w:r>
      <w:r>
        <w:rPr>
          <w:rFonts w:hint="default" w:eastAsia="宋体" w:cs="Times New Roman"/>
          <w:color w:val="auto"/>
          <w:sz w:val="24"/>
          <w:szCs w:val="24"/>
          <w:lang w:val="en-US" w:eastAsia="zh-CN"/>
        </w:rPr>
        <w:t>种植土回填、仿石护坡、播撒草种</w:t>
      </w:r>
      <w:r>
        <w:rPr>
          <w:rFonts w:hint="default" w:ascii="Times New Roman" w:hAnsi="Times New Roman" w:eastAsia="宋体" w:cs="Times New Roman"/>
          <w:color w:val="auto"/>
          <w:sz w:val="24"/>
          <w:szCs w:val="24"/>
        </w:rPr>
        <w:t>→</w:t>
      </w:r>
      <w:r>
        <w:rPr>
          <w:rFonts w:hint="default" w:eastAsia="宋体" w:cs="Times New Roman"/>
          <w:color w:val="auto"/>
          <w:sz w:val="24"/>
          <w:szCs w:val="24"/>
          <w:lang w:val="en-US" w:eastAsia="zh-CN"/>
        </w:rPr>
        <w:t>防浪墙砌筑、</w:t>
      </w:r>
      <w:r>
        <w:rPr>
          <w:rFonts w:hint="default" w:ascii="Times New Roman" w:hAnsi="Times New Roman" w:eastAsia="宋体" w:cs="Times New Roman"/>
          <w:color w:val="auto"/>
          <w:sz w:val="24"/>
          <w:szCs w:val="24"/>
        </w:rPr>
        <w:t>混凝土压顶、泥结石路面</w:t>
      </w:r>
      <w:r>
        <w:rPr>
          <w:rFonts w:hint="default" w:eastAsia="宋体" w:cs="Times New Roman"/>
          <w:color w:val="auto"/>
          <w:sz w:val="24"/>
          <w:szCs w:val="24"/>
          <w:lang w:val="en-US" w:eastAsia="zh-CN"/>
        </w:rPr>
        <w:t>、麻石栏杆</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河段堤防基础</w:t>
      </w:r>
      <w:r>
        <w:rPr>
          <w:rFonts w:hint="default" w:eastAsia="宋体" w:cs="Times New Roman"/>
          <w:color w:val="auto"/>
          <w:sz w:val="24"/>
          <w:szCs w:val="24"/>
          <w:lang w:val="en-US" w:eastAsia="zh-CN"/>
        </w:rPr>
        <w:t>采用抛石护脚</w:t>
      </w:r>
      <w:r>
        <w:rPr>
          <w:rFonts w:hint="default" w:ascii="Times New Roman" w:hAnsi="Times New Roman" w:eastAsia="宋体" w:cs="Times New Roman"/>
          <w:color w:val="auto"/>
          <w:sz w:val="24"/>
          <w:szCs w:val="24"/>
        </w:rPr>
        <w:t>紧邻主河槽，</w:t>
      </w:r>
      <w:r>
        <w:rPr>
          <w:rFonts w:hint="default" w:eastAsia="宋体" w:cs="Times New Roman"/>
          <w:color w:val="auto"/>
          <w:sz w:val="24"/>
          <w:szCs w:val="24"/>
          <w:lang w:val="en-US" w:eastAsia="zh-CN"/>
        </w:rPr>
        <w:t>挖机施工时需修建操作平台</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570"/>
        <w:textAlignment w:val="auto"/>
        <w:outlineLvl w:val="9"/>
        <w:rPr>
          <w:rFonts w:hint="default" w:ascii="Times New Roman" w:hAnsi="Times New Roman" w:eastAsia="宋体" w:cs="Times New Roman"/>
          <w:snapToGrid w:val="0"/>
          <w:color w:val="auto"/>
          <w:kern w:val="0"/>
          <w:sz w:val="24"/>
          <w:szCs w:val="24"/>
        </w:rPr>
      </w:pPr>
      <w:r>
        <w:rPr>
          <w:rFonts w:hint="default" w:ascii="Times New Roman" w:hAnsi="Times New Roman" w:eastAsia="宋体" w:cs="Times New Roman"/>
          <w:color w:val="auto"/>
          <w:sz w:val="24"/>
          <w:szCs w:val="24"/>
        </w:rPr>
        <w:t>清</w:t>
      </w:r>
      <w:r>
        <w:rPr>
          <w:rFonts w:hint="default" w:eastAsia="宋体" w:cs="Times New Roman"/>
          <w:color w:val="auto"/>
          <w:sz w:val="24"/>
          <w:szCs w:val="24"/>
          <w:lang w:val="en-US" w:eastAsia="zh-CN"/>
        </w:rPr>
        <w:t>表</w:t>
      </w:r>
      <w:r>
        <w:rPr>
          <w:rFonts w:hint="default" w:ascii="Times New Roman" w:hAnsi="Times New Roman" w:eastAsia="宋体" w:cs="Times New Roman"/>
          <w:color w:val="auto"/>
          <w:sz w:val="24"/>
          <w:szCs w:val="24"/>
        </w:rPr>
        <w:t>开挖：清理表土、</w:t>
      </w:r>
      <w:r>
        <w:rPr>
          <w:rFonts w:hint="default" w:eastAsia="宋体" w:cs="Times New Roman"/>
          <w:color w:val="auto"/>
          <w:sz w:val="24"/>
          <w:szCs w:val="24"/>
          <w:lang w:val="en-US" w:eastAsia="zh-CN"/>
        </w:rPr>
        <w:t>建筑垃圾、树木根等</w:t>
      </w:r>
      <w:r>
        <w:rPr>
          <w:rFonts w:hint="default" w:ascii="Times New Roman" w:hAnsi="Times New Roman" w:eastAsia="宋体" w:cs="Times New Roman"/>
          <w:snapToGrid w:val="0"/>
          <w:color w:val="auto"/>
          <w:kern w:val="0"/>
          <w:sz w:val="24"/>
          <w:szCs w:val="24"/>
        </w:rPr>
        <w:t>开挖采用1m</w:t>
      </w:r>
      <w:r>
        <w:rPr>
          <w:rFonts w:hint="default" w:ascii="Times New Roman" w:hAnsi="Times New Roman" w:eastAsia="宋体" w:cs="Times New Roman"/>
          <w:snapToGrid w:val="0"/>
          <w:color w:val="auto"/>
          <w:kern w:val="0"/>
          <w:sz w:val="24"/>
          <w:szCs w:val="24"/>
          <w:vertAlign w:val="superscript"/>
        </w:rPr>
        <w:t>3</w:t>
      </w:r>
      <w:r>
        <w:rPr>
          <w:rFonts w:hint="default" w:ascii="Times New Roman" w:hAnsi="Times New Roman" w:eastAsia="宋体" w:cs="Times New Roman"/>
          <w:snapToGrid w:val="0"/>
          <w:color w:val="auto"/>
          <w:kern w:val="0"/>
          <w:sz w:val="24"/>
          <w:szCs w:val="24"/>
        </w:rPr>
        <w:t>液压反铲挖掘机施工，一次开挖成型，人工进行清基。开挖料直接</w:t>
      </w:r>
      <w:r>
        <w:rPr>
          <w:rFonts w:hint="default" w:eastAsia="宋体" w:cs="Times New Roman"/>
          <w:snapToGrid w:val="0"/>
          <w:color w:val="auto"/>
          <w:kern w:val="0"/>
          <w:sz w:val="24"/>
          <w:szCs w:val="24"/>
          <w:lang w:val="en-US" w:eastAsia="zh-CN"/>
        </w:rPr>
        <w:t>随挖随装车，弃置</w:t>
      </w:r>
      <w:r>
        <w:rPr>
          <w:rFonts w:hint="default" w:ascii="Times New Roman" w:hAnsi="Times New Roman" w:eastAsia="宋体" w:cs="Times New Roman"/>
          <w:color w:val="auto"/>
          <w:sz w:val="24"/>
          <w:szCs w:val="24"/>
        </w:rPr>
        <w:t>到指定的弃料场</w:t>
      </w:r>
      <w:r>
        <w:rPr>
          <w:rFonts w:hint="default" w:ascii="Times New Roman" w:hAnsi="Times New Roman" w:eastAsia="宋体" w:cs="Times New Roman"/>
          <w:snapToGrid w:val="0"/>
          <w:color w:val="auto"/>
          <w:kern w:val="0"/>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浆砌石基础及浆砌石挡土墙等：砌筑施工以人工为主进行，自卸汽车和机动</w:t>
      </w:r>
      <w:r>
        <w:rPr>
          <w:rFonts w:hint="default" w:eastAsia="宋体" w:cs="Times New Roman"/>
          <w:color w:val="auto"/>
          <w:sz w:val="24"/>
          <w:szCs w:val="24"/>
          <w:lang w:val="en-US" w:eastAsia="zh-CN"/>
        </w:rPr>
        <w:t>铲车、挖机、</w:t>
      </w:r>
      <w:r>
        <w:rPr>
          <w:rFonts w:hint="default" w:ascii="Times New Roman" w:hAnsi="Times New Roman" w:eastAsia="宋体" w:cs="Times New Roman"/>
          <w:color w:val="auto"/>
          <w:sz w:val="24"/>
          <w:szCs w:val="24"/>
        </w:rPr>
        <w:t>斗车运输砂石料及砂浆，砂浆用砼搅拌机拌制。</w:t>
      </w:r>
    </w:p>
    <w:p>
      <w:pPr>
        <w:pStyle w:val="14"/>
        <w:keepNext w:val="0"/>
        <w:keepLines w:val="0"/>
        <w:pageBreakBefore w:val="0"/>
        <w:widowControl w:val="0"/>
        <w:kinsoku/>
        <w:wordWrap/>
        <w:overflowPunct/>
        <w:topLinePunct w:val="0"/>
        <w:autoSpaceDE/>
        <w:autoSpaceDN/>
        <w:bidi w:val="0"/>
        <w:adjustRightInd/>
        <w:snapToGrid w:val="0"/>
        <w:spacing w:line="360" w:lineRule="auto"/>
        <w:ind w:firstLine="576"/>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土方回填：堤身填筑</w:t>
      </w:r>
      <w:r>
        <w:rPr>
          <w:rFonts w:hint="default" w:ascii="Times New Roman" w:hAnsi="Times New Roman" w:eastAsia="宋体" w:cs="Times New Roman"/>
          <w:snapToGrid w:val="0"/>
          <w:color w:val="auto"/>
          <w:kern w:val="0"/>
          <w:sz w:val="24"/>
          <w:szCs w:val="24"/>
        </w:rPr>
        <w:t>施工以机械为主进行</w:t>
      </w:r>
      <w:r>
        <w:rPr>
          <w:rFonts w:hint="default" w:ascii="Times New Roman" w:hAnsi="Times New Roman" w:eastAsia="宋体" w:cs="Times New Roman"/>
          <w:color w:val="auto"/>
          <w:sz w:val="24"/>
          <w:szCs w:val="24"/>
        </w:rPr>
        <w:t>，外运土采用1m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挖掘机开挖装车，10t自卸汽车运输土料至堤身填筑区，T80推土机进行整平，碾压由15～18t振动碾</w:t>
      </w:r>
      <w:r>
        <w:rPr>
          <w:rFonts w:hint="eastAsia" w:ascii="Times New Roman" w:hAnsi="Times New Roman" w:cs="Times New Roman"/>
          <w:color w:val="auto"/>
          <w:sz w:val="24"/>
          <w:szCs w:val="24"/>
          <w:lang w:eastAsia="zh-CN"/>
        </w:rPr>
        <w:t>进行</w:t>
      </w:r>
      <w:r>
        <w:rPr>
          <w:rFonts w:hint="default" w:ascii="Times New Roman" w:hAnsi="Times New Roman" w:eastAsia="宋体" w:cs="Times New Roman"/>
          <w:color w:val="auto"/>
          <w:sz w:val="24"/>
          <w:szCs w:val="24"/>
        </w:rPr>
        <w:t>，局部及边角部位采用蛙式打夯机夯实。</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泥结石路面：</w:t>
      </w:r>
      <w:r>
        <w:rPr>
          <w:rFonts w:hint="default" w:ascii="Times New Roman" w:hAnsi="Times New Roman" w:eastAsia="宋体" w:cs="Times New Roman"/>
          <w:color w:val="auto"/>
          <w:spacing w:val="4"/>
          <w:sz w:val="24"/>
          <w:szCs w:val="24"/>
        </w:rPr>
        <w:t>泥</w:t>
      </w:r>
      <w:r>
        <w:rPr>
          <w:rFonts w:hint="default" w:ascii="Times New Roman" w:hAnsi="Times New Roman" w:eastAsia="宋体" w:cs="Times New Roman"/>
          <w:color w:val="auto"/>
          <w:sz w:val="24"/>
          <w:szCs w:val="24"/>
        </w:rPr>
        <w:t>灰</w:t>
      </w:r>
      <w:r>
        <w:rPr>
          <w:rFonts w:hint="default" w:ascii="Times New Roman" w:hAnsi="Times New Roman" w:eastAsia="宋体" w:cs="Times New Roman"/>
          <w:color w:val="auto"/>
          <w:spacing w:val="4"/>
          <w:sz w:val="24"/>
          <w:szCs w:val="24"/>
        </w:rPr>
        <w:t>结石路面工程采用人工摊铺,压路机碾压。</w:t>
      </w:r>
    </w:p>
    <w:p>
      <w:pPr>
        <w:pStyle w:val="14"/>
        <w:keepNext w:val="0"/>
        <w:keepLines w:val="0"/>
        <w:pageBreakBefore w:val="0"/>
        <w:widowControl w:val="0"/>
        <w:kinsoku/>
        <w:wordWrap/>
        <w:overflowPunct/>
        <w:topLinePunct w:val="0"/>
        <w:autoSpaceDE/>
        <w:autoSpaceDN/>
        <w:bidi w:val="0"/>
        <w:adjustRightInd/>
        <w:snapToGrid w:val="0"/>
        <w:spacing w:line="360" w:lineRule="auto"/>
        <w:ind w:firstLine="576"/>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堤岸</w:t>
      </w:r>
      <w:r>
        <w:rPr>
          <w:rFonts w:hint="default" w:ascii="Times New Roman" w:hAnsi="Times New Roman" w:eastAsia="宋体" w:cs="Times New Roman"/>
          <w:color w:val="auto"/>
          <w:sz w:val="24"/>
          <w:szCs w:val="24"/>
          <w:lang w:val="en-US" w:eastAsia="zh-CN"/>
        </w:rPr>
        <w:t>护栏以</w:t>
      </w:r>
      <w:r>
        <w:rPr>
          <w:rFonts w:hint="default" w:ascii="Times New Roman" w:hAnsi="Times New Roman" w:eastAsia="宋体" w:cs="Times New Roman"/>
          <w:color w:val="auto"/>
          <w:sz w:val="24"/>
          <w:szCs w:val="24"/>
        </w:rPr>
        <w:t>人工为主施工。</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3.1.</w:t>
      </w:r>
      <w:r>
        <w:rPr>
          <w:rFonts w:hint="default" w:cs="Times New Roman"/>
          <w:b/>
          <w:bCs/>
          <w:color w:val="auto"/>
          <w:kern w:val="0"/>
          <w:sz w:val="28"/>
          <w:szCs w:val="28"/>
          <w:highlight w:val="none"/>
          <w:lang w:val="en-US" w:eastAsia="zh-CN"/>
        </w:rPr>
        <w:t>7工程</w:t>
      </w:r>
      <w:r>
        <w:rPr>
          <w:rFonts w:hint="default" w:ascii="Times New Roman" w:hAnsi="Times New Roman" w:eastAsia="宋体" w:cs="Times New Roman"/>
          <w:b/>
          <w:bCs/>
          <w:color w:val="auto"/>
          <w:kern w:val="0"/>
          <w:sz w:val="28"/>
          <w:szCs w:val="28"/>
          <w:highlight w:val="none"/>
          <w:lang w:val="en-US" w:eastAsia="zh-CN"/>
        </w:rPr>
        <w:t>施工布置</w:t>
      </w:r>
    </w:p>
    <w:p>
      <w:pPr>
        <w:pStyle w:val="14"/>
        <w:keepNext w:val="0"/>
        <w:keepLines w:val="0"/>
        <w:pageBreakBefore w:val="0"/>
        <w:widowControl w:val="0"/>
        <w:kinsoku/>
        <w:wordWrap/>
        <w:overflowPunct/>
        <w:topLinePunct w:val="0"/>
        <w:autoSpaceDE/>
        <w:autoSpaceDN/>
        <w:bidi w:val="0"/>
        <w:adjustRightInd/>
        <w:snapToGrid w:val="0"/>
        <w:spacing w:line="360" w:lineRule="auto"/>
        <w:ind w:firstLine="576"/>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施工总布置应遵循因地制宜、有利于生产、方便生活、易于管理、安全经济等原则</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尽量减少对附近居民生活影响</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施工布置充分考虑施工要求影响。合理利用有利地形，采取就近布置，尽量减少临建工程量</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生活办公设施部分租用</w:t>
      </w:r>
      <w:r>
        <w:rPr>
          <w:rFonts w:hint="default" w:ascii="Times New Roman" w:hAnsi="Times New Roman" w:cs="Times New Roman"/>
          <w:color w:val="auto"/>
          <w:sz w:val="24"/>
          <w:szCs w:val="24"/>
          <w:lang w:val="en-US" w:eastAsia="zh-CN"/>
        </w:rPr>
        <w:t>风情古街已</w:t>
      </w:r>
      <w:r>
        <w:rPr>
          <w:rFonts w:hint="default" w:ascii="Times New Roman" w:hAnsi="Times New Roman" w:eastAsia="宋体" w:cs="Times New Roman"/>
          <w:color w:val="auto"/>
          <w:sz w:val="24"/>
          <w:szCs w:val="24"/>
        </w:rPr>
        <w:t>有设施。</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3.1.7.1 施工交通</w:t>
      </w:r>
    </w:p>
    <w:p>
      <w:pPr>
        <w:pStyle w:val="14"/>
        <w:keepNext w:val="0"/>
        <w:keepLines w:val="0"/>
        <w:pageBreakBefore w:val="0"/>
        <w:widowControl w:val="0"/>
        <w:kinsoku/>
        <w:wordWrap/>
        <w:overflowPunct/>
        <w:topLinePunct w:val="0"/>
        <w:autoSpaceDE/>
        <w:autoSpaceDN/>
        <w:bidi w:val="0"/>
        <w:adjustRightInd/>
        <w:snapToGrid w:val="0"/>
        <w:spacing w:line="360" w:lineRule="auto"/>
        <w:ind w:firstLine="576"/>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本工程对外交通比较方便。工程所需器材和设备均通过陆运抵</w:t>
      </w:r>
      <w:r>
        <w:rPr>
          <w:rFonts w:hint="eastAsia" w:ascii="Times New Roman" w:hAnsi="Times New Roman" w:cs="Times New Roman"/>
          <w:color w:val="auto"/>
          <w:sz w:val="24"/>
          <w:szCs w:val="24"/>
          <w:lang w:eastAsia="zh-CN"/>
        </w:rPr>
        <w:t>达</w:t>
      </w:r>
      <w:r>
        <w:rPr>
          <w:rFonts w:hint="default" w:ascii="Times New Roman" w:hAnsi="Times New Roman" w:eastAsia="宋体" w:cs="Times New Roman"/>
          <w:color w:val="auto"/>
          <w:sz w:val="24"/>
          <w:szCs w:val="24"/>
        </w:rPr>
        <w:t>施工现场。对外交通运输主要为燃柴油车辆</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场内交通运输主要用于场内各材料仓库和施工现场连接道，本工程主要利用</w:t>
      </w:r>
      <w:r>
        <w:rPr>
          <w:rFonts w:hint="default" w:ascii="Times New Roman" w:hAnsi="Times New Roman" w:cs="Times New Roman"/>
          <w:color w:val="auto"/>
          <w:sz w:val="24"/>
          <w:szCs w:val="24"/>
          <w:lang w:val="en-US" w:eastAsia="zh-CN"/>
        </w:rPr>
        <w:t>防洪堤堤顶路</w:t>
      </w:r>
      <w:r>
        <w:rPr>
          <w:rFonts w:hint="default" w:ascii="Times New Roman" w:hAnsi="Times New Roman" w:eastAsia="宋体" w:cs="Times New Roman"/>
          <w:color w:val="auto"/>
          <w:sz w:val="24"/>
          <w:szCs w:val="24"/>
        </w:rPr>
        <w:t>，无需增设施工临时便道。</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41" w:firstLineChars="100"/>
        <w:textAlignment w:val="auto"/>
        <w:outlineLvl w:val="3"/>
        <w:rPr>
          <w:rFonts w:hint="default" w:cs="Times New Roman"/>
          <w:b/>
          <w:bCs/>
          <w:color w:val="auto"/>
          <w:kern w:val="0"/>
          <w:sz w:val="24"/>
          <w:szCs w:val="24"/>
          <w:highlight w:val="none"/>
          <w:lang w:val="en-US" w:eastAsia="zh-CN"/>
        </w:rPr>
      </w:pPr>
      <w:r>
        <w:rPr>
          <w:rFonts w:hint="default" w:cs="Times New Roman"/>
          <w:b/>
          <w:bCs/>
          <w:color w:val="auto"/>
          <w:kern w:val="0"/>
          <w:sz w:val="24"/>
          <w:szCs w:val="24"/>
          <w:highlight w:val="none"/>
          <w:lang w:val="en-US" w:eastAsia="zh-CN"/>
        </w:rPr>
        <w:t>3.1.7.2 临时工程设置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（1）取土场</w:t>
      </w:r>
    </w:p>
    <w:p>
      <w:pPr>
        <w:pStyle w:val="14"/>
        <w:keepNext w:val="0"/>
        <w:keepLines w:val="0"/>
        <w:pageBreakBefore w:val="0"/>
        <w:widowControl w:val="0"/>
        <w:kinsoku/>
        <w:wordWrap/>
        <w:overflowPunct/>
        <w:topLinePunct w:val="0"/>
        <w:autoSpaceDE/>
        <w:autoSpaceDN/>
        <w:bidi w:val="0"/>
        <w:adjustRightInd/>
        <w:snapToGrid w:val="0"/>
        <w:spacing w:line="360" w:lineRule="auto"/>
        <w:ind w:firstLine="576"/>
        <w:textAlignment w:val="auto"/>
        <w:outlineLvl w:val="9"/>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本工程设置1处取土场，取土场位于雁峰区茅叶村，占地面积0.6hm</w:t>
      </w:r>
      <w:r>
        <w:rPr>
          <w:rFonts w:hint="default" w:ascii="Times New Roman" w:hAnsi="Times New Roman" w:eastAsia="宋体" w:cs="Times New Roman"/>
          <w:color w:val="auto"/>
          <w:kern w:val="2"/>
          <w:sz w:val="24"/>
          <w:szCs w:val="24"/>
          <w:highlight w:val="none"/>
          <w:u w:val="none"/>
          <w:vertAlign w:val="superscript"/>
          <w:lang w:val="en-US" w:eastAsia="zh-CN" w:bidi="ar-SA"/>
        </w:rPr>
        <w:t>2</w:t>
      </w:r>
      <w:r>
        <w:rPr>
          <w:rFonts w:hint="default" w:ascii="Times New Roman" w:hAnsi="Times New Roman" w:eastAsia="宋体" w:cs="Times New Roman"/>
          <w:color w:val="auto"/>
          <w:kern w:val="2"/>
          <w:sz w:val="24"/>
          <w:szCs w:val="24"/>
          <w:highlight w:val="none"/>
          <w:u w:val="none"/>
          <w:lang w:val="en-US" w:eastAsia="zh-CN" w:bidi="ar-SA"/>
        </w:rPr>
        <w:t>。周边200m范围内无公共基础设施及民用建筑等敏感点，在使用过程中，对取土场设置临时截排水沟，临时沉砂池，临时拦挡，临时苫盖，对表土剥离回填，播撒草籽、种植乔灌木等措施，不会对周边造成影响。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（2）弃土场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2"/>
          <w:sz w:val="24"/>
          <w:szCs w:val="24"/>
          <w:highlight w:val="none"/>
          <w:u w:val="none"/>
          <w:lang w:val="en-US" w:eastAsia="zh-CN" w:bidi="ar-SA"/>
        </w:rPr>
        <w:t>本工程设置1处取土场，弃土场</w:t>
      </w:r>
      <w:r>
        <w:rPr>
          <w:rFonts w:hint="eastAsia" w:cs="Times New Roman"/>
          <w:color w:val="auto"/>
          <w:kern w:val="2"/>
          <w:sz w:val="24"/>
          <w:szCs w:val="24"/>
          <w:highlight w:val="none"/>
          <w:u w:val="none"/>
          <w:lang w:val="en-US" w:eastAsia="zh-CN" w:bidi="ar-SA"/>
        </w:rPr>
        <w:t>位于</w:t>
      </w:r>
      <w:r>
        <w:rPr>
          <w:rFonts w:hint="default" w:ascii="Times New Roman" w:hAnsi="Times New Roman" w:eastAsia="宋体" w:cs="Times New Roman"/>
          <w:color w:val="auto"/>
          <w:kern w:val="2"/>
          <w:sz w:val="24"/>
          <w:szCs w:val="24"/>
          <w:highlight w:val="none"/>
          <w:u w:val="none"/>
          <w:lang w:val="en-US" w:eastAsia="zh-CN" w:bidi="ar-SA"/>
        </w:rPr>
        <w:t>珠晖区酃湖乡长兴村畔冲组，占地面积0.35hm</w:t>
      </w:r>
      <w:r>
        <w:rPr>
          <w:rFonts w:hint="default" w:ascii="Times New Roman" w:hAnsi="Times New Roman" w:eastAsia="宋体" w:cs="Times New Roman"/>
          <w:color w:val="auto"/>
          <w:kern w:val="2"/>
          <w:sz w:val="24"/>
          <w:szCs w:val="24"/>
          <w:highlight w:val="none"/>
          <w:u w:val="none"/>
          <w:vertAlign w:val="superscript"/>
          <w:lang w:val="en-US" w:eastAsia="zh-CN" w:bidi="ar-SA"/>
        </w:rPr>
        <w:t>2</w:t>
      </w:r>
      <w:r>
        <w:rPr>
          <w:rFonts w:hint="default" w:ascii="Times New Roman" w:hAnsi="Times New Roman" w:eastAsia="宋体" w:cs="Times New Roman"/>
          <w:color w:val="auto"/>
          <w:kern w:val="2"/>
          <w:sz w:val="24"/>
          <w:szCs w:val="24"/>
          <w:highlight w:val="none"/>
          <w:u w:val="none"/>
          <w:lang w:val="en-US" w:eastAsia="zh-CN" w:bidi="ar-SA"/>
        </w:rPr>
        <w:t>，后续用于其他项目回填利用，周边200m范围内无公共基础设施及民用建</w:t>
      </w:r>
      <w:r>
        <w:rPr>
          <w:rFonts w:hint="default" w:ascii="Times New Roman" w:hAnsi="Times New Roman" w:eastAsia="宋体" w:cs="Times New Roman"/>
          <w:color w:val="auto"/>
          <w:sz w:val="24"/>
          <w:szCs w:val="24"/>
          <w:highlight w:val="none"/>
          <w:lang w:val="en-US" w:eastAsia="zh-CN"/>
        </w:rPr>
        <w:t>筑等敏感点。在使用过程中，对渣场设置临时截排水沟，临时沉砂池，临时拦挡，临时苫盖，对表土剥离回填，播撒草籽、种植乔灌木等措施，不会对周边造成影响。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（3）混凝土拌合系统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本项目厂区内不设置混凝土拌合站，直接外购商用混凝土，采用混凝土搅拌罐车运送至浇筑现场。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（4）生活区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本项目不设施工营地，施工人员生活租用风情古街已有设施。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（5）临时堆场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本项目设置一处临时堆土场位于绿化工程区内，占地面积约 2000m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，用于堆存表土及土方中转，堆存表土量约 4280m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，堆存表土用于后期绿化填土，最大堆土高度控制在 3.0m 以内，可临时堆土 6000m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，堆土场周边采取拦挡防护，堆土表面采取覆盖防护。</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bookmarkStart w:id="69" w:name="_Toc5239"/>
      <w:r>
        <w:rPr>
          <w:rFonts w:hint="default" w:ascii="Times New Roman" w:hAnsi="Times New Roman" w:eastAsia="宋体" w:cs="Times New Roman"/>
          <w:b/>
          <w:bCs/>
          <w:color w:val="auto"/>
          <w:kern w:val="0"/>
          <w:sz w:val="28"/>
          <w:szCs w:val="28"/>
          <w:highlight w:val="none"/>
          <w:lang w:val="en-US" w:eastAsia="zh-CN"/>
        </w:rPr>
        <w:t>3.1.</w:t>
      </w:r>
      <w:r>
        <w:rPr>
          <w:rFonts w:hint="default" w:cs="Times New Roman"/>
          <w:b/>
          <w:bCs/>
          <w:color w:val="auto"/>
          <w:kern w:val="0"/>
          <w:sz w:val="28"/>
          <w:szCs w:val="28"/>
          <w:highlight w:val="none"/>
          <w:lang w:val="en-US" w:eastAsia="zh-CN"/>
        </w:rPr>
        <w:t>8工程</w:t>
      </w:r>
      <w:r>
        <w:rPr>
          <w:rFonts w:hint="default" w:ascii="Times New Roman" w:hAnsi="Times New Roman" w:eastAsia="宋体" w:cs="Times New Roman"/>
          <w:b/>
          <w:bCs/>
          <w:color w:val="auto"/>
          <w:kern w:val="0"/>
          <w:sz w:val="28"/>
          <w:szCs w:val="28"/>
          <w:highlight w:val="none"/>
          <w:lang w:val="en-US" w:eastAsia="zh-CN"/>
        </w:rPr>
        <w:t>征</w:t>
      </w:r>
      <w:bookmarkEnd w:id="69"/>
      <w:r>
        <w:rPr>
          <w:rFonts w:hint="default" w:cs="Times New Roman"/>
          <w:b/>
          <w:bCs/>
          <w:color w:val="auto"/>
          <w:kern w:val="0"/>
          <w:sz w:val="28"/>
          <w:szCs w:val="28"/>
          <w:highlight w:val="none"/>
          <w:lang w:val="en-US" w:eastAsia="zh-CN"/>
        </w:rPr>
        <w:t>占地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（1）永久占地</w:t>
      </w:r>
    </w:p>
    <w:p>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根据建设单位提供的资料，项目征地</w:t>
      </w:r>
      <w:r>
        <w:rPr>
          <w:rFonts w:hint="default" w:cs="Times New Roman"/>
          <w:color w:val="auto"/>
          <w:sz w:val="24"/>
          <w:szCs w:val="24"/>
          <w:highlight w:val="none"/>
          <w:u w:val="none"/>
          <w:lang w:val="en-US" w:eastAsia="zh-CN"/>
        </w:rPr>
        <w:t>面积</w:t>
      </w:r>
      <w:r>
        <w:rPr>
          <w:rFonts w:hint="default" w:ascii="Times New Roman" w:hAnsi="Times New Roman" w:cs="Times New Roman"/>
          <w:color w:val="auto"/>
          <w:sz w:val="24"/>
          <w:szCs w:val="24"/>
          <w:highlight w:val="none"/>
          <w:u w:val="none"/>
          <w:lang w:val="en-US" w:eastAsia="zh-CN"/>
        </w:rPr>
        <w:t>3</w:t>
      </w:r>
      <w:r>
        <w:rPr>
          <w:rFonts w:hint="default" w:cs="Times New Roman"/>
          <w:color w:val="auto"/>
          <w:sz w:val="24"/>
          <w:szCs w:val="24"/>
          <w:highlight w:val="none"/>
          <w:u w:val="none"/>
          <w:lang w:val="en-US" w:eastAsia="zh-CN"/>
        </w:rPr>
        <w:t>2</w:t>
      </w:r>
      <w:r>
        <w:rPr>
          <w:rFonts w:hint="default" w:ascii="Times New Roman" w:hAnsi="Times New Roman" w:cs="Times New Roman"/>
          <w:color w:val="auto"/>
          <w:kern w:val="0"/>
          <w:sz w:val="24"/>
          <w:szCs w:val="24"/>
          <w:highlight w:val="none"/>
          <w:lang w:val="en-US" w:eastAsia="zh-CN"/>
        </w:rPr>
        <w:t>hm</w:t>
      </w:r>
      <w:r>
        <w:rPr>
          <w:rFonts w:hint="default" w:ascii="Times New Roman" w:hAnsi="Times New Roman" w:cs="Times New Roman"/>
          <w:color w:val="auto"/>
          <w:kern w:val="0"/>
          <w:sz w:val="24"/>
          <w:szCs w:val="24"/>
          <w:highlight w:val="none"/>
          <w:vertAlign w:val="superscript"/>
          <w:lang w:val="en-US" w:eastAsia="zh-CN"/>
        </w:rPr>
        <w:t>2</w:t>
      </w:r>
      <w:r>
        <w:rPr>
          <w:rFonts w:hint="default" w:ascii="Times New Roman" w:hAnsi="Times New Roman" w:cs="Times New Roman"/>
          <w:color w:val="auto"/>
          <w:sz w:val="24"/>
          <w:szCs w:val="24"/>
          <w:highlight w:val="none"/>
          <w:u w:val="none"/>
          <w:lang w:val="en-US" w:eastAsia="zh-CN"/>
        </w:rPr>
        <w:t>（476.40亩），</w:t>
      </w:r>
      <w:r>
        <w:rPr>
          <w:rFonts w:hint="default" w:ascii="Times New Roman" w:hAnsi="Times New Roman" w:cs="Times New Roman"/>
          <w:color w:val="auto"/>
          <w:kern w:val="0"/>
          <w:sz w:val="24"/>
          <w:szCs w:val="24"/>
          <w:highlight w:val="none"/>
          <w:lang w:val="en-US" w:eastAsia="zh-CN"/>
        </w:rPr>
        <w:t>工程建设永久占地3.93hm</w:t>
      </w:r>
      <w:r>
        <w:rPr>
          <w:rFonts w:hint="default" w:ascii="Times New Roman" w:hAnsi="Times New Roman" w:cs="Times New Roman"/>
          <w:color w:val="auto"/>
          <w:kern w:val="0"/>
          <w:sz w:val="24"/>
          <w:szCs w:val="24"/>
          <w:highlight w:val="none"/>
          <w:vertAlign w:val="superscript"/>
          <w:lang w:val="en-US" w:eastAsia="zh-CN"/>
        </w:rPr>
        <w:t>2</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cs="Times New Roman"/>
          <w:color w:val="auto"/>
          <w:sz w:val="24"/>
          <w:szCs w:val="24"/>
          <w:highlight w:val="none"/>
          <w:u w:val="none"/>
          <w:lang w:val="en-US" w:eastAsia="zh-CN"/>
        </w:rPr>
        <w:t>本项目占用地类主要为交通运输用地、</w:t>
      </w:r>
      <w:r>
        <w:rPr>
          <w:rFonts w:hint="default" w:cs="Times New Roman"/>
          <w:color w:val="auto"/>
          <w:sz w:val="24"/>
          <w:szCs w:val="24"/>
          <w:highlight w:val="none"/>
          <w:u w:val="none"/>
          <w:lang w:val="en-US" w:eastAsia="zh-CN"/>
        </w:rPr>
        <w:t>城镇</w:t>
      </w:r>
      <w:r>
        <w:rPr>
          <w:rFonts w:hint="default" w:ascii="Times New Roman" w:hAnsi="Times New Roman" w:cs="Times New Roman"/>
          <w:color w:val="auto"/>
          <w:sz w:val="24"/>
          <w:szCs w:val="24"/>
          <w:highlight w:val="none"/>
          <w:u w:val="none"/>
          <w:lang w:val="en-US" w:eastAsia="zh-CN"/>
        </w:rPr>
        <w:t>住宅用地、公共管理与公共服务用地</w:t>
      </w:r>
      <w:r>
        <w:rPr>
          <w:rFonts w:hint="default" w:cs="Times New Roman"/>
          <w:color w:val="auto"/>
          <w:sz w:val="24"/>
          <w:szCs w:val="24"/>
          <w:highlight w:val="none"/>
          <w:u w:val="none"/>
          <w:lang w:val="en-US" w:eastAsia="zh-CN"/>
        </w:rPr>
        <w:t>、河流水域</w:t>
      </w:r>
      <w:r>
        <w:rPr>
          <w:rFonts w:hint="default" w:ascii="Times New Roman" w:hAnsi="Times New Roman" w:cs="Times New Roman"/>
          <w:color w:val="auto"/>
          <w:sz w:val="24"/>
          <w:szCs w:val="24"/>
          <w:highlight w:val="none"/>
          <w:u w:val="none"/>
          <w:lang w:val="en-US" w:eastAsia="zh-CN"/>
        </w:rPr>
        <w:t>等，占地区域城镇化建设程度高，占地区远离农田。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（2）临时占地</w:t>
      </w:r>
    </w:p>
    <w:p>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本项目不设</w:t>
      </w:r>
      <w:r>
        <w:rPr>
          <w:rFonts w:hint="default" w:cs="Times New Roman"/>
          <w:color w:val="auto"/>
          <w:sz w:val="24"/>
          <w:szCs w:val="24"/>
          <w:highlight w:val="none"/>
          <w:u w:val="none"/>
          <w:lang w:val="en-US" w:eastAsia="zh-CN"/>
        </w:rPr>
        <w:t>混凝土</w:t>
      </w:r>
      <w:r>
        <w:rPr>
          <w:rFonts w:hint="default" w:ascii="Times New Roman" w:hAnsi="Times New Roman" w:cs="Times New Roman"/>
          <w:color w:val="auto"/>
          <w:sz w:val="24"/>
          <w:szCs w:val="24"/>
          <w:highlight w:val="none"/>
          <w:u w:val="none"/>
          <w:lang w:val="en-US" w:eastAsia="zh-CN"/>
        </w:rPr>
        <w:t>搅拌站、砂石料场，所有建筑材料或筑路材料均外购成品，由货源地直接运输至本项目施工现场。本项目</w:t>
      </w:r>
      <w:r>
        <w:rPr>
          <w:rFonts w:hint="default" w:cs="Times New Roman"/>
          <w:color w:val="auto"/>
          <w:sz w:val="24"/>
          <w:szCs w:val="24"/>
          <w:highlight w:val="none"/>
          <w:u w:val="none"/>
          <w:lang w:val="en-US" w:eastAsia="zh-CN"/>
        </w:rPr>
        <w:t>设</w:t>
      </w:r>
      <w:r>
        <w:rPr>
          <w:rFonts w:hint="default" w:ascii="Times New Roman" w:hAnsi="Times New Roman" w:cs="Times New Roman"/>
          <w:color w:val="auto"/>
          <w:sz w:val="24"/>
          <w:szCs w:val="24"/>
          <w:highlight w:val="none"/>
          <w:u w:val="none"/>
          <w:lang w:val="en-US" w:eastAsia="zh-CN"/>
        </w:rPr>
        <w:t>取土场和弃土场</w:t>
      </w:r>
      <w:r>
        <w:rPr>
          <w:rFonts w:hint="default" w:cs="Times New Roman"/>
          <w:color w:val="auto"/>
          <w:sz w:val="24"/>
          <w:szCs w:val="24"/>
          <w:highlight w:val="none"/>
          <w:u w:val="none"/>
          <w:lang w:val="en-US" w:eastAsia="zh-CN"/>
        </w:rPr>
        <w:t>，总面积为0.95</w:t>
      </w:r>
      <w:r>
        <w:rPr>
          <w:rFonts w:hint="default" w:ascii="Times New Roman" w:hAnsi="Times New Roman" w:cs="Times New Roman"/>
          <w:color w:val="auto"/>
          <w:kern w:val="0"/>
          <w:sz w:val="24"/>
          <w:szCs w:val="24"/>
          <w:highlight w:val="none"/>
          <w:lang w:val="en-US" w:eastAsia="zh-CN"/>
        </w:rPr>
        <w:t>hm</w:t>
      </w:r>
      <w:r>
        <w:rPr>
          <w:rFonts w:hint="default" w:ascii="Times New Roman" w:hAnsi="Times New Roman" w:cs="Times New Roman"/>
          <w:color w:val="auto"/>
          <w:kern w:val="0"/>
          <w:sz w:val="24"/>
          <w:szCs w:val="24"/>
          <w:highlight w:val="none"/>
          <w:vertAlign w:val="superscript"/>
          <w:lang w:val="en-US" w:eastAsia="zh-CN"/>
        </w:rPr>
        <w:t>2</w:t>
      </w:r>
      <w:r>
        <w:rPr>
          <w:rFonts w:hint="default" w:ascii="Times New Roman" w:hAnsi="Times New Roman" w:cs="Times New Roman"/>
          <w:color w:val="auto"/>
          <w:sz w:val="24"/>
          <w:szCs w:val="24"/>
          <w:highlight w:val="none"/>
          <w:u w:val="none"/>
          <w:lang w:val="en-US" w:eastAsia="zh-CN"/>
        </w:rPr>
        <w:t>。</w:t>
      </w:r>
      <w:r>
        <w:rPr>
          <w:rFonts w:hint="default" w:cs="Times New Roman"/>
          <w:color w:val="auto"/>
          <w:sz w:val="24"/>
          <w:szCs w:val="24"/>
          <w:highlight w:val="none"/>
          <w:u w:val="none"/>
          <w:lang w:val="en-US" w:eastAsia="zh-CN"/>
        </w:rPr>
        <w:t>临时堆土区设置在项目永久征地范围内。</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3.1.</w:t>
      </w:r>
      <w:r>
        <w:rPr>
          <w:rFonts w:hint="default" w:cs="Times New Roman"/>
          <w:b/>
          <w:bCs/>
          <w:color w:val="auto"/>
          <w:kern w:val="0"/>
          <w:sz w:val="28"/>
          <w:szCs w:val="28"/>
          <w:highlight w:val="none"/>
          <w:lang w:val="en-US" w:eastAsia="zh-CN"/>
        </w:rPr>
        <w:t>9</w:t>
      </w:r>
      <w:r>
        <w:rPr>
          <w:rFonts w:hint="default" w:ascii="Times New Roman" w:hAnsi="Times New Roman" w:eastAsia="宋体" w:cs="Times New Roman"/>
          <w:b/>
          <w:bCs/>
          <w:color w:val="auto"/>
          <w:kern w:val="0"/>
          <w:sz w:val="28"/>
          <w:szCs w:val="28"/>
          <w:highlight w:val="none"/>
          <w:lang w:val="en-US" w:eastAsia="zh-CN"/>
        </w:rPr>
        <w:t>土石方平衡及流向</w:t>
      </w:r>
    </w:p>
    <w:p>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u w:val="none"/>
          <w:lang w:val="en-US" w:eastAsia="zh-CN"/>
        </w:rPr>
        <w:t>根据本项目水土保持方案报告表，</w:t>
      </w:r>
      <w:r>
        <w:rPr>
          <w:rFonts w:hint="default" w:ascii="Times New Roman" w:hAnsi="Times New Roman" w:cs="Times New Roman"/>
          <w:color w:val="auto"/>
          <w:sz w:val="24"/>
          <w:szCs w:val="24"/>
          <w:highlight w:val="none"/>
          <w:u w:val="none"/>
          <w:lang w:val="en-US" w:eastAsia="zh-CN"/>
        </w:rPr>
        <w:t>本项目挖方总量约20882.06m</w:t>
      </w:r>
      <w:r>
        <w:rPr>
          <w:rFonts w:hint="default" w:ascii="Times New Roman" w:hAnsi="Times New Roman" w:cs="Times New Roman"/>
          <w:color w:val="auto"/>
          <w:sz w:val="24"/>
          <w:szCs w:val="24"/>
          <w:highlight w:val="none"/>
          <w:u w:val="none"/>
          <w:vertAlign w:val="superscript"/>
          <w:lang w:val="en-US" w:eastAsia="zh-CN"/>
        </w:rPr>
        <w:t>3</w:t>
      </w:r>
      <w:r>
        <w:rPr>
          <w:rFonts w:hint="default" w:ascii="Times New Roman" w:hAnsi="Times New Roman" w:cs="Times New Roman"/>
          <w:color w:val="auto"/>
          <w:sz w:val="24"/>
          <w:szCs w:val="24"/>
          <w:highlight w:val="none"/>
          <w:u w:val="none"/>
          <w:lang w:val="en-US" w:eastAsia="zh-CN"/>
        </w:rPr>
        <w:t>（表土剥离4280m</w:t>
      </w:r>
      <w:r>
        <w:rPr>
          <w:rFonts w:hint="default" w:ascii="Times New Roman" w:hAnsi="Times New Roman" w:cs="Times New Roman"/>
          <w:color w:val="auto"/>
          <w:sz w:val="24"/>
          <w:szCs w:val="24"/>
          <w:highlight w:val="none"/>
          <w:u w:val="none"/>
          <w:vertAlign w:val="superscript"/>
          <w:lang w:val="en-US" w:eastAsia="zh-CN"/>
        </w:rPr>
        <w:t>3</w:t>
      </w:r>
      <w:r>
        <w:rPr>
          <w:rFonts w:hint="default" w:ascii="Times New Roman" w:hAnsi="Times New Roman" w:cs="Times New Roman"/>
          <w:color w:val="auto"/>
          <w:sz w:val="24"/>
          <w:szCs w:val="24"/>
          <w:highlight w:val="none"/>
          <w:u w:val="none"/>
          <w:lang w:val="en-US" w:eastAsia="zh-CN"/>
        </w:rPr>
        <w:t>、土石方6521.95m</w:t>
      </w:r>
      <w:r>
        <w:rPr>
          <w:rFonts w:hint="default" w:ascii="Times New Roman" w:hAnsi="Times New Roman" w:cs="Times New Roman"/>
          <w:color w:val="auto"/>
          <w:sz w:val="24"/>
          <w:szCs w:val="24"/>
          <w:highlight w:val="none"/>
          <w:u w:val="none"/>
          <w:vertAlign w:val="superscript"/>
          <w:lang w:val="en-US" w:eastAsia="zh-CN"/>
        </w:rPr>
        <w:t>3</w:t>
      </w:r>
      <w:r>
        <w:rPr>
          <w:rFonts w:hint="default" w:ascii="Times New Roman" w:hAnsi="Times New Roman" w:cs="Times New Roman"/>
          <w:color w:val="auto"/>
          <w:sz w:val="24"/>
          <w:szCs w:val="24"/>
          <w:highlight w:val="none"/>
          <w:u w:val="none"/>
          <w:lang w:val="en-US" w:eastAsia="zh-CN"/>
        </w:rPr>
        <w:t>，建筑物拆除10080.11m</w:t>
      </w:r>
      <w:r>
        <w:rPr>
          <w:rFonts w:hint="default" w:ascii="Times New Roman" w:hAnsi="Times New Roman" w:cs="Times New Roman"/>
          <w:color w:val="auto"/>
          <w:sz w:val="24"/>
          <w:szCs w:val="24"/>
          <w:highlight w:val="none"/>
          <w:u w:val="none"/>
          <w:vertAlign w:val="superscript"/>
          <w:lang w:val="en-US" w:eastAsia="zh-CN"/>
        </w:rPr>
        <w:t>3</w:t>
      </w:r>
      <w:r>
        <w:rPr>
          <w:rFonts w:hint="default" w:ascii="Times New Roman" w:hAnsi="Times New Roman" w:cs="Times New Roman"/>
          <w:color w:val="auto"/>
          <w:sz w:val="24"/>
          <w:szCs w:val="24"/>
          <w:highlight w:val="none"/>
          <w:u w:val="none"/>
          <w:lang w:val="en-US" w:eastAsia="zh-CN"/>
        </w:rPr>
        <w:t>），填方总量27856.1m</w:t>
      </w:r>
      <w:r>
        <w:rPr>
          <w:rFonts w:hint="default" w:ascii="Times New Roman" w:hAnsi="Times New Roman" w:cs="Times New Roman"/>
          <w:color w:val="auto"/>
          <w:sz w:val="24"/>
          <w:szCs w:val="24"/>
          <w:highlight w:val="none"/>
          <w:u w:val="none"/>
          <w:vertAlign w:val="superscript"/>
          <w:lang w:val="en-US" w:eastAsia="zh-CN"/>
        </w:rPr>
        <w:t>3</w:t>
      </w:r>
      <w:r>
        <w:rPr>
          <w:rFonts w:hint="default" w:ascii="Times New Roman" w:hAnsi="Times New Roman" w:cs="Times New Roman"/>
          <w:color w:val="auto"/>
          <w:sz w:val="24"/>
          <w:szCs w:val="24"/>
          <w:highlight w:val="none"/>
          <w:u w:val="none"/>
          <w:lang w:val="en-US" w:eastAsia="zh-CN"/>
        </w:rPr>
        <w:t>（表土回填4280m</w:t>
      </w:r>
      <w:r>
        <w:rPr>
          <w:rFonts w:hint="default" w:ascii="Times New Roman" w:hAnsi="Times New Roman" w:cs="Times New Roman"/>
          <w:color w:val="auto"/>
          <w:sz w:val="24"/>
          <w:szCs w:val="24"/>
          <w:highlight w:val="none"/>
          <w:u w:val="none"/>
          <w:vertAlign w:val="superscript"/>
          <w:lang w:val="en-US" w:eastAsia="zh-CN"/>
        </w:rPr>
        <w:t>3</w:t>
      </w:r>
      <w:r>
        <w:rPr>
          <w:rFonts w:hint="default" w:ascii="Times New Roman" w:hAnsi="Times New Roman" w:cs="Times New Roman"/>
          <w:color w:val="auto"/>
          <w:sz w:val="24"/>
          <w:szCs w:val="24"/>
          <w:highlight w:val="none"/>
          <w:u w:val="none"/>
          <w:lang w:val="en-US" w:eastAsia="zh-CN"/>
        </w:rPr>
        <w:t>、土石方23576.1m</w:t>
      </w:r>
      <w:r>
        <w:rPr>
          <w:rFonts w:hint="default" w:ascii="Times New Roman" w:hAnsi="Times New Roman" w:cs="Times New Roman"/>
          <w:color w:val="auto"/>
          <w:sz w:val="24"/>
          <w:szCs w:val="24"/>
          <w:highlight w:val="none"/>
          <w:u w:val="none"/>
          <w:vertAlign w:val="superscript"/>
          <w:lang w:val="en-US" w:eastAsia="zh-CN"/>
        </w:rPr>
        <w:t>3</w:t>
      </w:r>
      <w:r>
        <w:rPr>
          <w:rFonts w:hint="default" w:ascii="Times New Roman" w:hAnsi="Times New Roman" w:cs="Times New Roman"/>
          <w:color w:val="auto"/>
          <w:sz w:val="24"/>
          <w:szCs w:val="24"/>
          <w:highlight w:val="none"/>
          <w:u w:val="none"/>
          <w:lang w:val="en-US" w:eastAsia="zh-CN"/>
        </w:rPr>
        <w:t>）；借方17054.15m</w:t>
      </w:r>
      <w:r>
        <w:rPr>
          <w:rFonts w:hint="default" w:ascii="Times New Roman" w:hAnsi="Times New Roman" w:cs="Times New Roman"/>
          <w:color w:val="auto"/>
          <w:sz w:val="24"/>
          <w:szCs w:val="24"/>
          <w:highlight w:val="none"/>
          <w:u w:val="none"/>
          <w:vertAlign w:val="superscript"/>
          <w:lang w:val="en-US" w:eastAsia="zh-CN"/>
        </w:rPr>
        <w:t>3</w:t>
      </w:r>
      <w:r>
        <w:rPr>
          <w:rFonts w:hint="default" w:ascii="Times New Roman" w:hAnsi="Times New Roman" w:cs="Times New Roman"/>
          <w:color w:val="auto"/>
          <w:sz w:val="24"/>
          <w:szCs w:val="24"/>
          <w:highlight w:val="none"/>
          <w:u w:val="none"/>
          <w:lang w:val="en-US" w:eastAsia="zh-CN"/>
        </w:rPr>
        <w:t>（外借土方主要用于项目场地平整以及绿化种植土回填），弃</w:t>
      </w:r>
      <w:r>
        <w:rPr>
          <w:rFonts w:hint="default" w:ascii="Times New Roman" w:hAnsi="Times New Roman" w:eastAsia="宋体" w:cs="Times New Roman"/>
          <w:color w:val="auto"/>
          <w:sz w:val="24"/>
          <w:szCs w:val="24"/>
          <w:highlight w:val="none"/>
          <w:lang w:val="en-US" w:eastAsia="zh-CN"/>
        </w:rPr>
        <w:t>方10080.11m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（为建筑物拆除，无法用于本项目回填）。借方来源于取土场，弃方运至弃土场保存用于后期其他项目回填。</w:t>
      </w:r>
      <w:r>
        <w:rPr>
          <w:rFonts w:hint="default" w:ascii="Times New Roman" w:hAnsi="Times New Roman" w:eastAsia="宋体" w:cs="Times New Roman"/>
          <w:color w:val="auto"/>
          <w:kern w:val="2"/>
          <w:sz w:val="24"/>
          <w:szCs w:val="24"/>
          <w:highlight w:val="none"/>
          <w:u w:val="none"/>
          <w:lang w:val="en-US" w:eastAsia="zh-CN" w:bidi="ar-SA"/>
        </w:rPr>
        <w:t>取土场</w:t>
      </w:r>
      <w:r>
        <w:rPr>
          <w:rFonts w:hint="eastAsia" w:cs="Times New Roman"/>
          <w:color w:val="auto"/>
          <w:kern w:val="2"/>
          <w:sz w:val="24"/>
          <w:szCs w:val="24"/>
          <w:highlight w:val="none"/>
          <w:u w:val="none"/>
          <w:lang w:val="en-US" w:eastAsia="zh-CN" w:bidi="ar-SA"/>
        </w:rPr>
        <w:t>位于</w:t>
      </w:r>
      <w:r>
        <w:rPr>
          <w:rFonts w:hint="default" w:ascii="Times New Roman" w:hAnsi="Times New Roman" w:eastAsia="宋体" w:cs="Times New Roman"/>
          <w:color w:val="auto"/>
          <w:kern w:val="2"/>
          <w:sz w:val="24"/>
          <w:szCs w:val="24"/>
          <w:highlight w:val="none"/>
          <w:u w:val="none"/>
          <w:lang w:val="en-US" w:eastAsia="zh-CN" w:bidi="ar-SA"/>
        </w:rPr>
        <w:t>珠晖区酃湖乡长兴村畔冲组</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kern w:val="2"/>
          <w:sz w:val="24"/>
          <w:szCs w:val="24"/>
          <w:highlight w:val="none"/>
          <w:u w:val="none"/>
          <w:lang w:val="en-US" w:eastAsia="zh-CN" w:bidi="ar-SA"/>
        </w:rPr>
        <w:t>弃土场</w:t>
      </w:r>
      <w:r>
        <w:rPr>
          <w:rFonts w:hint="eastAsia" w:cs="Times New Roman"/>
          <w:color w:val="auto"/>
          <w:kern w:val="2"/>
          <w:sz w:val="24"/>
          <w:szCs w:val="24"/>
          <w:highlight w:val="none"/>
          <w:u w:val="none"/>
          <w:lang w:val="en-US" w:eastAsia="zh-CN" w:bidi="ar-SA"/>
        </w:rPr>
        <w:t>位于</w:t>
      </w:r>
      <w:r>
        <w:rPr>
          <w:rFonts w:hint="default" w:ascii="Times New Roman" w:hAnsi="Times New Roman" w:eastAsia="宋体" w:cs="Times New Roman"/>
          <w:color w:val="auto"/>
          <w:kern w:val="2"/>
          <w:sz w:val="24"/>
          <w:szCs w:val="24"/>
          <w:highlight w:val="none"/>
          <w:u w:val="none"/>
          <w:lang w:val="en-US" w:eastAsia="zh-CN" w:bidi="ar-SA"/>
        </w:rPr>
        <w:t>珠晖区酃湖乡长兴村畔冲组</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bCs/>
          <w:color w:val="auto"/>
          <w:kern w:val="0"/>
          <w:sz w:val="24"/>
          <w:szCs w:val="24"/>
          <w:highlight w:val="none"/>
          <w:lang w:val="en-US" w:eastAsia="zh-CN" w:bidi="ar"/>
        </w:rPr>
        <w:sectPr>
          <w:footerReference r:id="rId1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表</w:t>
      </w:r>
      <w:r>
        <w:rPr>
          <w:rFonts w:hint="default" w:cs="Times New Roman"/>
          <w:b/>
          <w:bCs/>
          <w:color w:val="auto"/>
          <w:kern w:val="0"/>
          <w:sz w:val="21"/>
          <w:szCs w:val="21"/>
          <w:highlight w:val="none"/>
          <w:lang w:val="en-US" w:eastAsia="zh-CN" w:bidi="ar"/>
        </w:rPr>
        <w:t>3.1</w:t>
      </w:r>
      <w:r>
        <w:rPr>
          <w:rFonts w:hint="default" w:ascii="Times New Roman" w:hAnsi="Times New Roman" w:eastAsia="宋体" w:cs="Times New Roman"/>
          <w:b/>
          <w:bCs/>
          <w:color w:val="auto"/>
          <w:kern w:val="0"/>
          <w:sz w:val="21"/>
          <w:szCs w:val="21"/>
          <w:highlight w:val="none"/>
          <w:lang w:val="en-US" w:eastAsia="zh-CN" w:bidi="ar"/>
        </w:rPr>
        <w:t>-</w:t>
      </w:r>
      <w:r>
        <w:rPr>
          <w:rFonts w:hint="default" w:cs="Times New Roman"/>
          <w:b/>
          <w:bCs/>
          <w:color w:val="auto"/>
          <w:kern w:val="0"/>
          <w:sz w:val="21"/>
          <w:szCs w:val="21"/>
          <w:highlight w:val="none"/>
          <w:lang w:val="en-US" w:eastAsia="zh-CN" w:bidi="ar"/>
        </w:rPr>
        <w:t>5</w:t>
      </w:r>
      <w:r>
        <w:rPr>
          <w:rFonts w:hint="default" w:ascii="Times New Roman" w:hAnsi="Times New Roman" w:eastAsia="宋体" w:cs="Times New Roman"/>
          <w:b/>
          <w:bCs/>
          <w:color w:val="auto"/>
          <w:kern w:val="0"/>
          <w:sz w:val="21"/>
          <w:szCs w:val="21"/>
          <w:highlight w:val="none"/>
          <w:lang w:val="en-US" w:eastAsia="zh-CN" w:bidi="ar"/>
        </w:rPr>
        <w:t xml:space="preserve">  土石方平衡表  </w:t>
      </w:r>
    </w:p>
    <w:tbl>
      <w:tblPr>
        <w:tblStyle w:val="22"/>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69"/>
        <w:gridCol w:w="2417"/>
        <w:gridCol w:w="1011"/>
        <w:gridCol w:w="1115"/>
        <w:gridCol w:w="1285"/>
        <w:gridCol w:w="1122"/>
        <w:gridCol w:w="1167"/>
        <w:gridCol w:w="1106"/>
        <w:gridCol w:w="1136"/>
        <w:gridCol w:w="1071"/>
        <w:gridCol w:w="1041"/>
        <w:gridCol w:w="102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83" w:hRule="atLeast"/>
        </w:trPr>
        <w:tc>
          <w:tcPr>
            <w:tcW w:w="236"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序号</w:t>
            </w:r>
          </w:p>
        </w:tc>
        <w:tc>
          <w:tcPr>
            <w:tcW w:w="853"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分区</w:t>
            </w:r>
          </w:p>
        </w:tc>
        <w:tc>
          <w:tcPr>
            <w:tcW w:w="1599" w:type="pct"/>
            <w:gridSpan w:val="4"/>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挖方（m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vertAlign w:val="baseline"/>
                <w:lang w:val="en-US" w:eastAsia="zh-CN" w:bidi="ar"/>
              </w:rPr>
              <w:t>）</w:t>
            </w:r>
          </w:p>
        </w:tc>
        <w:tc>
          <w:tcPr>
            <w:tcW w:w="1203" w:type="pct"/>
            <w:gridSpan w:val="3"/>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填方（m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vertAlign w:val="baseline"/>
                <w:lang w:val="en-US" w:eastAsia="zh-CN" w:bidi="ar"/>
              </w:rPr>
              <w:t>）</w:t>
            </w:r>
          </w:p>
        </w:tc>
        <w:tc>
          <w:tcPr>
            <w:tcW w:w="378"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利用方（m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vertAlign w:val="baseline"/>
                <w:lang w:val="en-US" w:eastAsia="zh-CN" w:bidi="ar"/>
              </w:rPr>
              <w:t>）</w:t>
            </w:r>
          </w:p>
        </w:tc>
        <w:tc>
          <w:tcPr>
            <w:tcW w:w="3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借方（m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vertAlign w:val="baseline"/>
                <w:lang w:val="en-US" w:eastAsia="zh-CN" w:bidi="ar"/>
              </w:rPr>
              <w:t>）</w:t>
            </w:r>
          </w:p>
        </w:tc>
        <w:tc>
          <w:tcPr>
            <w:tcW w:w="362"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弃方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36"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853"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35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总量</w:t>
            </w:r>
          </w:p>
        </w:tc>
        <w:tc>
          <w:tcPr>
            <w:tcW w:w="39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土方开挖</w:t>
            </w:r>
          </w:p>
        </w:tc>
        <w:tc>
          <w:tcPr>
            <w:tcW w:w="45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建筑物拆除</w:t>
            </w:r>
          </w:p>
        </w:tc>
        <w:tc>
          <w:tcPr>
            <w:tcW w:w="39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表土剥离</w:t>
            </w:r>
          </w:p>
        </w:tc>
        <w:tc>
          <w:tcPr>
            <w:tcW w:w="41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总量</w:t>
            </w:r>
          </w:p>
        </w:tc>
        <w:tc>
          <w:tcPr>
            <w:tcW w:w="3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土方回填</w:t>
            </w:r>
          </w:p>
        </w:tc>
        <w:tc>
          <w:tcPr>
            <w:tcW w:w="40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表土回填</w:t>
            </w:r>
          </w:p>
        </w:tc>
        <w:tc>
          <w:tcPr>
            <w:tcW w:w="378"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367"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362"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3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1</w:t>
            </w:r>
          </w:p>
        </w:tc>
        <w:tc>
          <w:tcPr>
            <w:tcW w:w="85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建筑物区</w:t>
            </w:r>
          </w:p>
        </w:tc>
        <w:tc>
          <w:tcPr>
            <w:tcW w:w="35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490.77 </w:t>
            </w:r>
          </w:p>
        </w:tc>
        <w:tc>
          <w:tcPr>
            <w:tcW w:w="39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490.77 </w:t>
            </w:r>
          </w:p>
        </w:tc>
        <w:tc>
          <w:tcPr>
            <w:tcW w:w="45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39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41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1774.08 </w:t>
            </w:r>
          </w:p>
        </w:tc>
        <w:tc>
          <w:tcPr>
            <w:tcW w:w="39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1774.08 </w:t>
            </w:r>
          </w:p>
        </w:tc>
        <w:tc>
          <w:tcPr>
            <w:tcW w:w="4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3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490.77 </w:t>
            </w:r>
          </w:p>
        </w:tc>
        <w:tc>
          <w:tcPr>
            <w:tcW w:w="36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1283.31 </w:t>
            </w:r>
          </w:p>
        </w:tc>
        <w:tc>
          <w:tcPr>
            <w:tcW w:w="3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3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2</w:t>
            </w:r>
          </w:p>
        </w:tc>
        <w:tc>
          <w:tcPr>
            <w:tcW w:w="85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广场园路及配套设施区</w:t>
            </w:r>
          </w:p>
        </w:tc>
        <w:tc>
          <w:tcPr>
            <w:tcW w:w="35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13438.07 </w:t>
            </w:r>
          </w:p>
        </w:tc>
        <w:tc>
          <w:tcPr>
            <w:tcW w:w="39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3357.96 </w:t>
            </w:r>
          </w:p>
        </w:tc>
        <w:tc>
          <w:tcPr>
            <w:tcW w:w="45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10080.108</w:t>
            </w:r>
          </w:p>
        </w:tc>
        <w:tc>
          <w:tcPr>
            <w:tcW w:w="39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41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11715.67 </w:t>
            </w:r>
          </w:p>
        </w:tc>
        <w:tc>
          <w:tcPr>
            <w:tcW w:w="3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11715.67 </w:t>
            </w:r>
          </w:p>
        </w:tc>
        <w:tc>
          <w:tcPr>
            <w:tcW w:w="40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37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3357.96 </w:t>
            </w:r>
          </w:p>
        </w:tc>
        <w:tc>
          <w:tcPr>
            <w:tcW w:w="36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8357.71 </w:t>
            </w:r>
          </w:p>
        </w:tc>
        <w:tc>
          <w:tcPr>
            <w:tcW w:w="3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10080.11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atLeast"/>
        </w:trPr>
        <w:tc>
          <w:tcPr>
            <w:tcW w:w="23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3</w:t>
            </w:r>
          </w:p>
        </w:tc>
        <w:tc>
          <w:tcPr>
            <w:tcW w:w="85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绿化工程区</w:t>
            </w:r>
          </w:p>
        </w:tc>
        <w:tc>
          <w:tcPr>
            <w:tcW w:w="35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6953.22 </w:t>
            </w:r>
          </w:p>
        </w:tc>
        <w:tc>
          <w:tcPr>
            <w:tcW w:w="39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2673.22 </w:t>
            </w:r>
          </w:p>
        </w:tc>
        <w:tc>
          <w:tcPr>
            <w:tcW w:w="45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c>
          <w:tcPr>
            <w:tcW w:w="39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4280.00 </w:t>
            </w:r>
          </w:p>
        </w:tc>
        <w:tc>
          <w:tcPr>
            <w:tcW w:w="41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14366.35 </w:t>
            </w:r>
          </w:p>
        </w:tc>
        <w:tc>
          <w:tcPr>
            <w:tcW w:w="3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10086.35 </w:t>
            </w:r>
          </w:p>
        </w:tc>
        <w:tc>
          <w:tcPr>
            <w:tcW w:w="40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4280.00 </w:t>
            </w:r>
          </w:p>
        </w:tc>
        <w:tc>
          <w:tcPr>
            <w:tcW w:w="37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6953.22 </w:t>
            </w:r>
          </w:p>
        </w:tc>
        <w:tc>
          <w:tcPr>
            <w:tcW w:w="36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7413.13 </w:t>
            </w:r>
          </w:p>
        </w:tc>
        <w:tc>
          <w:tcPr>
            <w:tcW w:w="3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089"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合计</w:t>
            </w:r>
          </w:p>
        </w:tc>
        <w:tc>
          <w:tcPr>
            <w:tcW w:w="35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20882.06 </w:t>
            </w:r>
          </w:p>
        </w:tc>
        <w:tc>
          <w:tcPr>
            <w:tcW w:w="39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6521.95 </w:t>
            </w:r>
          </w:p>
        </w:tc>
        <w:tc>
          <w:tcPr>
            <w:tcW w:w="45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10080.11 </w:t>
            </w:r>
          </w:p>
        </w:tc>
        <w:tc>
          <w:tcPr>
            <w:tcW w:w="39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4280.00 </w:t>
            </w:r>
          </w:p>
        </w:tc>
        <w:tc>
          <w:tcPr>
            <w:tcW w:w="41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27856.10 </w:t>
            </w:r>
          </w:p>
        </w:tc>
        <w:tc>
          <w:tcPr>
            <w:tcW w:w="3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23576.10 </w:t>
            </w:r>
          </w:p>
        </w:tc>
        <w:tc>
          <w:tcPr>
            <w:tcW w:w="40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4280.00 </w:t>
            </w:r>
          </w:p>
        </w:tc>
        <w:tc>
          <w:tcPr>
            <w:tcW w:w="37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10801.95 </w:t>
            </w:r>
          </w:p>
        </w:tc>
        <w:tc>
          <w:tcPr>
            <w:tcW w:w="36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17054.15 </w:t>
            </w:r>
          </w:p>
        </w:tc>
        <w:tc>
          <w:tcPr>
            <w:tcW w:w="3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 xml:space="preserve">10080.11 </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textAlignment w:val="auto"/>
        <w:outlineLvl w:val="9"/>
        <w:rPr>
          <w:color w:val="auto"/>
        </w:rPr>
      </w:pPr>
      <w:r>
        <w:rPr>
          <w:color w:val="auto"/>
        </w:rPr>
        <w:drawing>
          <wp:inline distT="0" distB="0" distL="114300" distR="114300">
            <wp:extent cx="8461375" cy="3190875"/>
            <wp:effectExtent l="0" t="0" r="12065" b="952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7"/>
                    <a:srcRect t="849"/>
                    <a:stretch>
                      <a:fillRect/>
                    </a:stretch>
                  </pic:blipFill>
                  <pic:spPr>
                    <a:xfrm>
                      <a:off x="0" y="0"/>
                      <a:ext cx="8461375" cy="31908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Cs w:val="24"/>
          <w:highlight w:val="none"/>
          <w:u w:val="none" w:color="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color w:val="auto"/>
          <w:szCs w:val="24"/>
          <w:highlight w:val="none"/>
          <w:u w:val="none" w:color="auto"/>
          <w:lang w:val="en-US" w:eastAsia="zh-CN"/>
        </w:rPr>
        <w:t>图 3.1-6  本项目土石方流向框图</w:t>
      </w:r>
    </w:p>
    <w:p>
      <w:pPr>
        <w:keepNext/>
        <w:keepLines w:val="0"/>
        <w:pageBreakBefore w:val="0"/>
        <w:widowControl w:val="0"/>
        <w:numPr>
          <w:ilvl w:val="1"/>
          <w:numId w:val="5"/>
        </w:numPr>
        <w:kinsoku/>
        <w:wordWrap/>
        <w:overflowPunct/>
        <w:topLinePunct w:val="0"/>
        <w:autoSpaceDE/>
        <w:autoSpaceDN/>
        <w:bidi w:val="0"/>
        <w:adjustRightInd/>
        <w:snapToGrid w:val="0"/>
        <w:spacing w:before="120" w:beforeLines="50" w:line="360" w:lineRule="auto"/>
        <w:textAlignment w:val="auto"/>
        <w:outlineLvl w:val="1"/>
        <w:rPr>
          <w:rFonts w:cs="Times New Roman"/>
          <w:b/>
          <w:bCs/>
          <w:color w:val="auto"/>
          <w:kern w:val="0"/>
          <w:sz w:val="30"/>
          <w:szCs w:val="30"/>
          <w:highlight w:val="none"/>
        </w:rPr>
      </w:pPr>
      <w:bookmarkStart w:id="70" w:name="_Toc7781"/>
      <w:r>
        <w:rPr>
          <w:rFonts w:hint="default" w:cs="Times New Roman"/>
          <w:b/>
          <w:bCs/>
          <w:color w:val="auto"/>
          <w:kern w:val="0"/>
          <w:sz w:val="30"/>
          <w:szCs w:val="30"/>
          <w:highlight w:val="none"/>
          <w:lang w:val="en-US" w:eastAsia="zh-CN"/>
        </w:rPr>
        <w:t>工程分析</w:t>
      </w:r>
      <w:bookmarkEnd w:id="70"/>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1"/>
        <w:rPr>
          <w:rFonts w:hint="default" w:cs="Times New Roman"/>
          <w:b/>
          <w:bCs/>
          <w:color w:val="auto"/>
          <w:kern w:val="0"/>
          <w:sz w:val="28"/>
          <w:szCs w:val="28"/>
          <w:highlight w:val="none"/>
          <w:lang w:val="en-US" w:eastAsia="zh-CN"/>
        </w:rPr>
      </w:pPr>
      <w:bookmarkStart w:id="71" w:name="_Toc19835"/>
      <w:r>
        <w:rPr>
          <w:rFonts w:hint="default" w:cs="Times New Roman"/>
          <w:b/>
          <w:bCs/>
          <w:color w:val="auto"/>
          <w:kern w:val="0"/>
          <w:sz w:val="28"/>
          <w:szCs w:val="28"/>
          <w:highlight w:val="none"/>
          <w:lang w:val="en-US" w:eastAsia="zh-CN"/>
        </w:rPr>
        <w:t>3.2.1施工期污染源分析</w:t>
      </w:r>
      <w:bookmarkEnd w:id="71"/>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3.2.1.1废气</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施工期废气污染物主要来源于施工活动扬尘、车辆运输扬尘、建筑拆除扬尘</w:t>
      </w:r>
      <w:r>
        <w:rPr>
          <w:rFonts w:hint="eastAsia" w:cs="Times New Roman"/>
          <w:color w:val="auto"/>
          <w:kern w:val="0"/>
          <w:sz w:val="24"/>
          <w:szCs w:val="24"/>
          <w:highlight w:val="none"/>
          <w:lang w:val="en-US" w:eastAsia="zh-CN" w:bidi="ar"/>
        </w:rPr>
        <w:t>和</w:t>
      </w:r>
      <w:r>
        <w:rPr>
          <w:rFonts w:hint="default" w:ascii="Times New Roman" w:hAnsi="Times New Roman" w:eastAsia="宋体" w:cs="Times New Roman"/>
          <w:color w:val="auto"/>
          <w:kern w:val="0"/>
          <w:sz w:val="24"/>
          <w:szCs w:val="24"/>
          <w:highlight w:val="none"/>
          <w:lang w:val="en-US" w:eastAsia="zh-CN" w:bidi="ar"/>
        </w:rPr>
        <w:t>路面摊铺沥青时产生的沥青烟等。</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（1）施工扬尘</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施工扬尘主要包括土方开挖、回填，平整土地等施工活动产生的扬尘。施工扬尘的产生量与施工现场的条件、管理水平、机械化强度及施工季节、建设地区土质及天气情况等诸多因素有关。</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本评价以同类型建筑工地施工现场扬尘监测数据为例，采用类比法对施工过程可能产生的扬尘影响进行分析。距离施工场地不同距离处空气中颗粒物浓度值详见下表。</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eastAsia="宋体" w:cs="Times New Roman"/>
          <w:b/>
          <w:color w:val="auto"/>
          <w:szCs w:val="24"/>
          <w:highlight w:val="none"/>
          <w:u w:val="none" w:color="auto"/>
        </w:rPr>
        <w:t>表</w:t>
      </w:r>
      <w:r>
        <w:rPr>
          <w:rFonts w:hint="default" w:ascii="Times New Roman" w:hAnsi="Times New Roman" w:eastAsia="宋体" w:cs="Times New Roman"/>
          <w:b/>
          <w:color w:val="auto"/>
          <w:szCs w:val="24"/>
          <w:highlight w:val="none"/>
          <w:u w:val="none" w:color="auto"/>
          <w:lang w:val="en-US" w:eastAsia="zh-CN"/>
        </w:rPr>
        <w:t>3.</w:t>
      </w:r>
      <w:r>
        <w:rPr>
          <w:rFonts w:hint="default" w:cs="Times New Roman"/>
          <w:b/>
          <w:color w:val="auto"/>
          <w:szCs w:val="24"/>
          <w:highlight w:val="none"/>
          <w:u w:val="none" w:color="auto"/>
          <w:lang w:val="en-US" w:eastAsia="zh-CN"/>
        </w:rPr>
        <w:t>2</w:t>
      </w:r>
      <w:r>
        <w:rPr>
          <w:rFonts w:hint="default" w:ascii="Times New Roman" w:hAnsi="Times New Roman" w:eastAsia="宋体" w:cs="Times New Roman"/>
          <w:b/>
          <w:color w:val="auto"/>
          <w:szCs w:val="24"/>
          <w:highlight w:val="none"/>
          <w:u w:val="none" w:color="auto"/>
          <w:lang w:val="en-US" w:eastAsia="zh-CN"/>
        </w:rPr>
        <w:t>-</w:t>
      </w:r>
      <w:r>
        <w:rPr>
          <w:rFonts w:hint="default" w:cs="Times New Roman"/>
          <w:b/>
          <w:color w:val="auto"/>
          <w:szCs w:val="24"/>
          <w:highlight w:val="none"/>
          <w:u w:val="none" w:color="auto"/>
          <w:lang w:val="en-US" w:eastAsia="zh-CN"/>
        </w:rPr>
        <w:t>1</w:t>
      </w:r>
      <w:r>
        <w:rPr>
          <w:rFonts w:hint="default" w:ascii="Times New Roman" w:hAnsi="Times New Roman" w:eastAsia="宋体" w:cs="Times New Roman"/>
          <w:b/>
          <w:color w:val="auto"/>
          <w:szCs w:val="24"/>
          <w:highlight w:val="none"/>
          <w:u w:val="none" w:color="auto"/>
        </w:rPr>
        <w:t>施工现场大气中颗粒物浓度变化表</w:t>
      </w:r>
    </w:p>
    <w:tbl>
      <w:tblPr>
        <w:tblStyle w:val="42"/>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721"/>
        <w:gridCol w:w="877"/>
        <w:gridCol w:w="870"/>
        <w:gridCol w:w="870"/>
        <w:gridCol w:w="1030"/>
        <w:gridCol w:w="1028"/>
        <w:gridCol w:w="1030"/>
        <w:gridCol w:w="87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036"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距离（m）</w:t>
            </w:r>
          </w:p>
        </w:tc>
        <w:tc>
          <w:tcPr>
            <w:tcW w:w="528"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524"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524"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620"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619"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620"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526"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4" w:hRule="atLeast"/>
        </w:trPr>
        <w:tc>
          <w:tcPr>
            <w:tcW w:w="1036"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浓度（mg/m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528"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1.75</w:t>
            </w:r>
          </w:p>
        </w:tc>
        <w:tc>
          <w:tcPr>
            <w:tcW w:w="524"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1.30</w:t>
            </w:r>
          </w:p>
        </w:tc>
        <w:tc>
          <w:tcPr>
            <w:tcW w:w="524"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0.78</w:t>
            </w:r>
          </w:p>
        </w:tc>
        <w:tc>
          <w:tcPr>
            <w:tcW w:w="620"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0.36</w:t>
            </w:r>
          </w:p>
        </w:tc>
        <w:tc>
          <w:tcPr>
            <w:tcW w:w="619"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0.34</w:t>
            </w:r>
          </w:p>
        </w:tc>
        <w:tc>
          <w:tcPr>
            <w:tcW w:w="620"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0.33</w:t>
            </w:r>
          </w:p>
        </w:tc>
        <w:tc>
          <w:tcPr>
            <w:tcW w:w="526" w:type="pct"/>
            <w:tcBorders>
              <w:tl2br w:val="nil"/>
              <w:tr2bl w:val="nil"/>
            </w:tcBorders>
            <w:noWrap w:val="0"/>
            <w:vAlign w:val="center"/>
          </w:tcPr>
          <w:p>
            <w:pPr>
              <w:keepLines w:val="0"/>
              <w:pageBreakBefore w:val="0"/>
              <w:widowControl w:val="0"/>
              <w:kinsoku/>
              <w:wordWrap/>
              <w:overflowPunct/>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0.29</w:t>
            </w:r>
          </w:p>
        </w:tc>
      </w:tr>
    </w:tbl>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颗粒物浓度值由远及近浓度值范围为0.29-1.75mg/m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。工程施工期严格落实</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八个百分百</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和</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三个全覆盖</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扬尘防治措施。在采取扬尘防治措施后，工程施工期的扬尘影响可降至最低水平，一旦施工活动结束，施工扬尘影响也就随之结束。</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（2）车辆运输扬尘</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根据有关文献报道。车辆行驶产生的扬尘占</w:t>
      </w:r>
      <w:r>
        <w:rPr>
          <w:rFonts w:hint="default" w:ascii="Times New Roman" w:hAnsi="Times New Roman" w:eastAsia="宋体" w:cs="Times New Roman"/>
          <w:color w:val="auto"/>
          <w:kern w:val="0"/>
          <w:sz w:val="24"/>
          <w:szCs w:val="24"/>
          <w:highlight w:val="none"/>
          <w:lang w:val="en-US" w:eastAsia="zh-CN" w:bidi="ar"/>
        </w:rPr>
        <w:t>建筑施工工地扬尘的60%，车辆行驶产生的扬尘在完全干燥的情况下</w:t>
      </w:r>
      <w:r>
        <w:rPr>
          <w:rFonts w:hint="default" w:cs="Times New Roman"/>
          <w:color w:val="auto"/>
          <w:kern w:val="0"/>
          <w:sz w:val="24"/>
          <w:szCs w:val="24"/>
          <w:highlight w:val="none"/>
          <w:lang w:val="en-US" w:eastAsia="zh-CN" w:bidi="ar"/>
        </w:rPr>
        <w:t>，可</w:t>
      </w:r>
      <w:r>
        <w:rPr>
          <w:rFonts w:hint="eastAsia" w:cs="Times New Roman"/>
          <w:color w:val="auto"/>
          <w:kern w:val="0"/>
          <w:sz w:val="24"/>
          <w:szCs w:val="24"/>
          <w:highlight w:val="none"/>
          <w:lang w:val="en-US" w:eastAsia="zh-CN" w:bidi="ar"/>
        </w:rPr>
        <w:t>按照以下</w:t>
      </w:r>
      <w:r>
        <w:rPr>
          <w:rFonts w:hint="default" w:ascii="Times New Roman" w:hAnsi="Times New Roman" w:eastAsia="宋体" w:cs="Times New Roman"/>
          <w:color w:val="auto"/>
          <w:kern w:val="0"/>
          <w:sz w:val="24"/>
          <w:szCs w:val="24"/>
          <w:highlight w:val="none"/>
          <w:lang w:val="en-US" w:eastAsia="zh-CN" w:bidi="ar"/>
        </w:rPr>
        <w:t>经验公式计算：</w:t>
      </w:r>
    </w:p>
    <w:p>
      <w:pPr>
        <w:keepNext w:val="0"/>
        <w:keepLines w:val="0"/>
        <w:pageBreakBefore w:val="0"/>
        <w:widowControl w:val="0"/>
        <w:suppressLineNumbers w:val="0"/>
        <w:kinsoku/>
        <w:wordWrap/>
        <w:overflowPunct/>
        <w:topLinePunct w:val="0"/>
        <w:autoSpaceDE/>
        <w:autoSpaceDN/>
        <w:bidi w:val="0"/>
        <w:spacing w:line="360" w:lineRule="auto"/>
        <w:ind w:left="0" w:right="0" w:firstLine="420" w:firstLineChars="200"/>
        <w:jc w:val="center"/>
        <w:textAlignment w:val="auto"/>
        <w:rPr>
          <w:rFonts w:hint="default" w:ascii="Times New Roman" w:hAnsi="Times New Roman" w:eastAsia="宋体" w:cs="Times New Roman"/>
          <w:color w:val="auto"/>
          <w:kern w:val="0"/>
          <w:sz w:val="24"/>
          <w:szCs w:val="24"/>
          <w:highlight w:val="none"/>
          <w:lang w:val="en-US" w:eastAsia="zh-CN" w:bidi="ar"/>
        </w:rPr>
      </w:pPr>
      <w:r>
        <w:rPr>
          <w:rFonts w:ascii="Times New Roman" w:hAnsi="Times New Roman"/>
          <w:color w:val="auto"/>
          <w:szCs w:val="21"/>
          <w:highlight w:val="none"/>
        </w:rPr>
        <w:object>
          <v:shape id="_x0000_i1025" o:spt="75" type="#_x0000_t75" style="height:38.1pt;width:164.55pt;" o:ole="t" filled="f" o:preferrelative="t" stroked="f" coordsize="21600,21600">
            <v:path/>
            <v:fill on="f" focussize="0,0"/>
            <v:stroke on="f" joinstyle="miter"/>
            <v:imagedata r:id="rId39" o:title=""/>
            <o:lock v:ext="edit" aspectratio="t"/>
            <w10:wrap type="none"/>
            <w10:anchorlock/>
          </v:shape>
          <o:OLEObject Type="Embed" ProgID="Equation.3" ShapeID="_x0000_i1025" DrawAspect="Content" ObjectID="_1468075725" r:id="rId38">
            <o:LockedField>false</o:LockedField>
          </o:OLEObject>
        </w:object>
      </w:r>
    </w:p>
    <w:p>
      <w:pPr>
        <w:pStyle w:val="36"/>
        <w:keepLines w:val="0"/>
        <w:pageBreakBefore w:val="0"/>
        <w:widowControl w:val="0"/>
        <w:kinsoku/>
        <w:wordWrap/>
        <w:overflowPunct/>
        <w:topLinePunct w:val="0"/>
        <w:bidi w:val="0"/>
        <w:adjustRightInd w:val="0"/>
        <w:snapToGrid w:val="0"/>
        <w:ind w:left="420" w:leftChars="200" w:firstLine="0" w:firstLineChars="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式中：Q---每辆汽车行驶扬尘量（kg/km·辆）；</w:t>
      </w:r>
    </w:p>
    <w:p>
      <w:pPr>
        <w:pStyle w:val="36"/>
        <w:keepLines w:val="0"/>
        <w:pageBreakBefore w:val="0"/>
        <w:widowControl w:val="0"/>
        <w:kinsoku/>
        <w:wordWrap/>
        <w:overflowPunct/>
        <w:topLinePunct w:val="0"/>
        <w:bidi w:val="0"/>
        <w:adjustRightInd w:val="0"/>
        <w:snapToGrid w:val="0"/>
        <w:ind w:left="420" w:leftChars="200" w:firstLine="0" w:firstLineChars="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V---汽车速度（km/h）；</w:t>
      </w:r>
    </w:p>
    <w:p>
      <w:pPr>
        <w:pStyle w:val="36"/>
        <w:keepLines w:val="0"/>
        <w:pageBreakBefore w:val="0"/>
        <w:widowControl w:val="0"/>
        <w:kinsoku/>
        <w:wordWrap/>
        <w:overflowPunct/>
        <w:topLinePunct w:val="0"/>
        <w:bidi w:val="0"/>
        <w:adjustRightInd w:val="0"/>
        <w:snapToGrid w:val="0"/>
        <w:ind w:left="420" w:leftChars="200" w:firstLine="0" w:firstLineChars="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W---汽车重量（t）；</w:t>
      </w:r>
    </w:p>
    <w:p>
      <w:pPr>
        <w:pStyle w:val="36"/>
        <w:keepLines w:val="0"/>
        <w:pageBreakBefore w:val="0"/>
        <w:widowControl w:val="0"/>
        <w:kinsoku/>
        <w:wordWrap/>
        <w:overflowPunct/>
        <w:topLinePunct w:val="0"/>
        <w:bidi w:val="0"/>
        <w:adjustRightInd w:val="0"/>
        <w:snapToGrid w:val="0"/>
        <w:ind w:left="0" w:leftChars="0" w:firstLine="0" w:firstLineChars="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P---道路表面粉尘量（kg/m</w:t>
      </w:r>
      <w:r>
        <w:rPr>
          <w:rFonts w:hint="default" w:ascii="Times New Roman" w:hAnsi="Times New Roman" w:eastAsia="宋体" w:cs="Times New Roman"/>
          <w:color w:val="auto"/>
          <w:sz w:val="24"/>
          <w:szCs w:val="24"/>
          <w:highlight w:val="none"/>
          <w:u w:val="none"/>
          <w:vertAlign w:val="superscript"/>
          <w:lang w:val="en-US" w:eastAsia="zh-CN"/>
        </w:rPr>
        <w:t>2</w:t>
      </w:r>
      <w:r>
        <w:rPr>
          <w:rFonts w:hint="default" w:ascii="Times New Roman" w:hAnsi="Times New Roman" w:eastAsia="宋体" w:cs="Times New Roman"/>
          <w:color w:val="auto"/>
          <w:sz w:val="24"/>
          <w:szCs w:val="24"/>
          <w:highlight w:val="none"/>
          <w:u w:val="none"/>
          <w:lang w:val="en-US" w:eastAsia="zh-CN"/>
        </w:rPr>
        <w:t>）。</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kern w:val="0"/>
          <w:sz w:val="24"/>
          <w:szCs w:val="24"/>
          <w:highlight w:val="none"/>
          <w:u w:val="none"/>
          <w:lang w:val="en-US" w:eastAsia="zh-CN"/>
        </w:rPr>
      </w:pPr>
      <w:r>
        <w:rPr>
          <w:rFonts w:hint="default" w:ascii="Times New Roman" w:hAnsi="Times New Roman" w:cs="Times New Roman"/>
          <w:color w:val="auto"/>
          <w:kern w:val="0"/>
          <w:sz w:val="24"/>
          <w:szCs w:val="24"/>
          <w:highlight w:val="none"/>
          <w:u w:val="none"/>
          <w:lang w:val="en-US" w:eastAsia="zh-CN"/>
        </w:rPr>
        <w:t>表3.2-3为一辆10t卡车通过一段长度为1km的路面时，不同路面清洁程度及不同行驶速度情况下的扬尘量</w:t>
      </w:r>
      <w:r>
        <w:rPr>
          <w:rFonts w:hint="default" w:ascii="Times New Roman" w:hAnsi="Times New Roman" w:eastAsia="宋体" w:cs="Times New Roman"/>
          <w:color w:val="auto"/>
          <w:kern w:val="0"/>
          <w:sz w:val="24"/>
          <w:szCs w:val="24"/>
          <w:highlight w:val="none"/>
          <w:u w:val="none"/>
          <w:lang w:val="en-US" w:eastAsia="zh-CN"/>
        </w:rPr>
        <w:t>。由此可见，在路面同样清洁程度下，车速越快，扬</w:t>
      </w:r>
      <w:r>
        <w:rPr>
          <w:rFonts w:hint="eastAsia" w:cs="Times New Roman"/>
          <w:color w:val="auto"/>
          <w:kern w:val="0"/>
          <w:sz w:val="24"/>
          <w:szCs w:val="24"/>
          <w:highlight w:val="none"/>
          <w:u w:val="none"/>
          <w:lang w:val="en-US" w:eastAsia="zh-CN"/>
        </w:rPr>
        <w:t>尘</w:t>
      </w:r>
      <w:r>
        <w:rPr>
          <w:rFonts w:hint="default" w:ascii="Times New Roman" w:hAnsi="Times New Roman" w:eastAsia="宋体" w:cs="Times New Roman"/>
          <w:color w:val="auto"/>
          <w:kern w:val="0"/>
          <w:sz w:val="24"/>
          <w:szCs w:val="24"/>
          <w:highlight w:val="none"/>
          <w:u w:val="none"/>
          <w:lang w:val="en-US" w:eastAsia="zh-CN"/>
        </w:rPr>
        <w:t>量越大；而在同样车速情况下，路面越脏，扬尘量越大。因此限速行驶及保持路面的清洁是减少汽车扬尘的有效办法</w:t>
      </w:r>
      <w:r>
        <w:rPr>
          <w:rFonts w:hint="default" w:cs="Times New Roman"/>
          <w:color w:val="auto"/>
          <w:kern w:val="0"/>
          <w:sz w:val="24"/>
          <w:szCs w:val="24"/>
          <w:highlight w:val="none"/>
          <w:u w:val="none"/>
          <w:lang w:val="en-US" w:eastAsia="zh-CN"/>
        </w:rPr>
        <w:t>。</w:t>
      </w:r>
    </w:p>
    <w:p>
      <w:pPr>
        <w:pStyle w:val="21"/>
        <w:keepLines w:val="0"/>
        <w:pageBreakBefore w:val="0"/>
        <w:widowControl w:val="0"/>
        <w:kinsoku/>
        <w:wordWrap/>
        <w:overflowPunct/>
        <w:topLinePunct w:val="0"/>
        <w:bidi w:val="0"/>
        <w:ind w:left="0" w:leftChars="0" w:firstLine="0" w:firstLineChars="0"/>
        <w:jc w:val="center"/>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eastAsia="宋体" w:cs="Times New Roman"/>
          <w:b/>
          <w:color w:val="auto"/>
          <w:kern w:val="2"/>
          <w:sz w:val="21"/>
          <w:szCs w:val="24"/>
          <w:highlight w:val="none"/>
          <w:u w:val="none" w:color="auto"/>
          <w:lang w:val="en-US" w:eastAsia="zh-CN" w:bidi="ar-SA"/>
        </w:rPr>
        <w:t>表3.</w:t>
      </w:r>
      <w:r>
        <w:rPr>
          <w:rFonts w:hint="default" w:ascii="Times New Roman" w:hAnsi="Times New Roman" w:cs="Times New Roman"/>
          <w:b/>
          <w:color w:val="auto"/>
          <w:kern w:val="2"/>
          <w:sz w:val="21"/>
          <w:szCs w:val="24"/>
          <w:highlight w:val="none"/>
          <w:u w:val="none" w:color="auto"/>
          <w:lang w:val="en-US" w:eastAsia="zh-CN" w:bidi="ar-SA"/>
        </w:rPr>
        <w:t>2</w:t>
      </w:r>
      <w:r>
        <w:rPr>
          <w:rFonts w:hint="default" w:ascii="Times New Roman" w:hAnsi="Times New Roman" w:eastAsia="宋体" w:cs="Times New Roman"/>
          <w:b/>
          <w:color w:val="auto"/>
          <w:kern w:val="2"/>
          <w:sz w:val="21"/>
          <w:szCs w:val="24"/>
          <w:highlight w:val="none"/>
          <w:u w:val="none" w:color="auto"/>
          <w:lang w:val="en-US" w:eastAsia="zh-CN" w:bidi="ar-SA"/>
        </w:rPr>
        <w:t>-</w:t>
      </w:r>
      <w:r>
        <w:rPr>
          <w:rFonts w:hint="default" w:ascii="Times New Roman" w:hAnsi="Times New Roman" w:cs="Times New Roman"/>
          <w:b/>
          <w:color w:val="auto"/>
          <w:kern w:val="2"/>
          <w:sz w:val="21"/>
          <w:szCs w:val="24"/>
          <w:highlight w:val="none"/>
          <w:u w:val="none" w:color="auto"/>
          <w:lang w:val="en-US" w:eastAsia="zh-CN" w:bidi="ar-SA"/>
        </w:rPr>
        <w:t>2</w:t>
      </w:r>
      <w:r>
        <w:rPr>
          <w:rFonts w:hint="default" w:ascii="Times New Roman" w:hAnsi="Times New Roman" w:eastAsia="宋体" w:cs="Times New Roman"/>
          <w:b/>
          <w:color w:val="auto"/>
          <w:kern w:val="2"/>
          <w:sz w:val="21"/>
          <w:szCs w:val="24"/>
          <w:highlight w:val="none"/>
          <w:u w:val="none" w:color="auto"/>
          <w:lang w:val="en-US" w:eastAsia="zh-CN" w:bidi="ar-SA"/>
        </w:rPr>
        <w:t>汽车行驶扬尘量单位：kg/km·辆</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6"/>
        <w:gridCol w:w="1216"/>
        <w:gridCol w:w="1267"/>
        <w:gridCol w:w="1183"/>
        <w:gridCol w:w="1200"/>
        <w:gridCol w:w="1150"/>
        <w:gridCol w:w="10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1396" w:type="dxa"/>
            <w:tcBorders>
              <w:tl2br w:val="nil"/>
              <w:tr2bl w:val="nil"/>
            </w:tcBorders>
            <mc:AlternateContent>
              <mc:Choice Requires="wpsCustomData">
                <wpsCustomData:diagonals>
                  <wpsCustomData:diagonal from="10000" to="30000">
                    <wpsCustomData:border w:val="single" w:color="auto" w:sz="12" w:space="0"/>
                  </wpsCustomData:diagonal>
                </wpsCustomData:diagonals>
              </mc:Choice>
            </mc:AlternateContent>
          </w:tcPr>
          <w:p>
            <w:pPr>
              <w:pStyle w:val="21"/>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p>
            <w:pPr>
              <w:keepNext w:val="0"/>
              <w:keepLines w:val="0"/>
              <w:pageBreakBefore w:val="0"/>
              <w:widowControl w:val="0"/>
              <w:kinsoku/>
              <w:wordWrap/>
              <w:overflowPunct/>
              <w:topLinePunct w:val="0"/>
              <w:autoSpaceDE/>
              <w:autoSpaceDN/>
              <w:bidi w:val="0"/>
              <w:adjustRightInd/>
              <w:jc w:val="left"/>
              <w:textAlignment w:val="auto"/>
              <mc:AlternateContent>
                <mc:Choice Requires="wpsCustomData">
                  <wpsCustomData:diagonalParaType/>
                </mc:Choice>
              </mc:AlternateContent>
              <w:rPr>
                <w:rFonts w:hint="default"/>
                <w:b w:val="0"/>
                <w:bCs w:val="0"/>
                <w:color w:val="auto"/>
                <w:highlight w:val="none"/>
                <w:lang w:val="en-US" w:eastAsia="zh-CN"/>
              </w:rPr>
            </w:pPr>
            <w:r>
              <w:rPr>
                <w:rFonts w:hint="default"/>
                <w:b w:val="0"/>
                <w:bCs w:val="0"/>
                <w:color w:val="auto"/>
                <w:highlight w:val="none"/>
                <w:lang w:val="en-US" w:eastAsia="zh-CN"/>
              </w:rPr>
              <w:t>车速</w:t>
            </w:r>
          </w:p>
          <w:p>
            <w:pPr>
              <w:pStyle w:val="21"/>
              <w:keepNext w:val="0"/>
              <w:keepLines w:val="0"/>
              <w:pageBreakBefore w:val="0"/>
              <w:widowControl w:val="0"/>
              <w:kinsoku/>
              <w:wordWrap/>
              <w:overflowPunct/>
              <w:topLinePunct w:val="0"/>
              <w:autoSpaceDE/>
              <w:autoSpaceDN/>
              <w:bidi w:val="0"/>
              <w:adjustRightInd/>
              <w:spacing w:after="0" w:afterLines="0"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路况</w:t>
            </w:r>
          </w:p>
        </w:tc>
        <w:tc>
          <w:tcPr>
            <w:tcW w:w="1216"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0.1</w:t>
            </w:r>
            <w:r>
              <w:rPr>
                <w:rFonts w:hint="default" w:ascii="Times New Roman" w:hAnsi="Times New Roman" w:eastAsia="宋体" w:cs="Times New Roman"/>
                <w:b w:val="0"/>
                <w:bCs w:val="0"/>
                <w:color w:val="auto"/>
                <w:sz w:val="24"/>
                <w:szCs w:val="24"/>
                <w:highlight w:val="none"/>
                <w:u w:val="none"/>
                <w:lang w:val="en-US" w:eastAsia="zh-CN"/>
              </w:rPr>
              <w:t>kg/m</w:t>
            </w:r>
            <w:r>
              <w:rPr>
                <w:rFonts w:hint="default" w:ascii="Times New Roman" w:hAnsi="Times New Roman" w:eastAsia="宋体" w:cs="Times New Roman"/>
                <w:b w:val="0"/>
                <w:bCs w:val="0"/>
                <w:color w:val="auto"/>
                <w:sz w:val="24"/>
                <w:szCs w:val="24"/>
                <w:highlight w:val="none"/>
                <w:u w:val="none"/>
                <w:vertAlign w:val="superscript"/>
                <w:lang w:val="en-US" w:eastAsia="zh-CN"/>
              </w:rPr>
              <w:t>2</w:t>
            </w:r>
          </w:p>
        </w:tc>
        <w:tc>
          <w:tcPr>
            <w:tcW w:w="126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0.2</w:t>
            </w:r>
            <w:r>
              <w:rPr>
                <w:rFonts w:hint="default" w:ascii="Times New Roman" w:hAnsi="Times New Roman" w:eastAsia="宋体" w:cs="Times New Roman"/>
                <w:b w:val="0"/>
                <w:bCs w:val="0"/>
                <w:color w:val="auto"/>
                <w:sz w:val="24"/>
                <w:szCs w:val="24"/>
                <w:highlight w:val="none"/>
                <w:u w:val="none"/>
                <w:lang w:val="en-US" w:eastAsia="zh-CN"/>
              </w:rPr>
              <w:t>kg/m</w:t>
            </w:r>
            <w:r>
              <w:rPr>
                <w:rFonts w:hint="default" w:ascii="Times New Roman" w:hAnsi="Times New Roman" w:eastAsia="宋体" w:cs="Times New Roman"/>
                <w:b w:val="0"/>
                <w:bCs w:val="0"/>
                <w:color w:val="auto"/>
                <w:sz w:val="24"/>
                <w:szCs w:val="24"/>
                <w:highlight w:val="none"/>
                <w:u w:val="none"/>
                <w:vertAlign w:val="superscript"/>
                <w:lang w:val="en-US" w:eastAsia="zh-CN"/>
              </w:rPr>
              <w:t>2</w:t>
            </w:r>
          </w:p>
        </w:tc>
        <w:tc>
          <w:tcPr>
            <w:tcW w:w="11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0.3</w:t>
            </w:r>
            <w:r>
              <w:rPr>
                <w:rFonts w:hint="default" w:ascii="Times New Roman" w:hAnsi="Times New Roman" w:eastAsia="宋体" w:cs="Times New Roman"/>
                <w:b w:val="0"/>
                <w:bCs w:val="0"/>
                <w:color w:val="auto"/>
                <w:sz w:val="24"/>
                <w:szCs w:val="24"/>
                <w:highlight w:val="none"/>
                <w:u w:val="none"/>
                <w:lang w:val="en-US" w:eastAsia="zh-CN"/>
              </w:rPr>
              <w:t>kg/m</w:t>
            </w:r>
            <w:r>
              <w:rPr>
                <w:rFonts w:hint="default" w:ascii="Times New Roman" w:hAnsi="Times New Roman" w:eastAsia="宋体" w:cs="Times New Roman"/>
                <w:b w:val="0"/>
                <w:bCs w:val="0"/>
                <w:color w:val="auto"/>
                <w:sz w:val="24"/>
                <w:szCs w:val="24"/>
                <w:highlight w:val="none"/>
                <w:u w:val="none"/>
                <w:vertAlign w:val="superscript"/>
                <w:lang w:val="en-US" w:eastAsia="zh-CN"/>
              </w:rPr>
              <w:t>2</w:t>
            </w:r>
          </w:p>
        </w:tc>
        <w:tc>
          <w:tcPr>
            <w:tcW w:w="120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0.4</w:t>
            </w:r>
            <w:r>
              <w:rPr>
                <w:rFonts w:hint="default" w:ascii="Times New Roman" w:hAnsi="Times New Roman" w:eastAsia="宋体" w:cs="Times New Roman"/>
                <w:b w:val="0"/>
                <w:bCs w:val="0"/>
                <w:color w:val="auto"/>
                <w:sz w:val="24"/>
                <w:szCs w:val="24"/>
                <w:highlight w:val="none"/>
                <w:u w:val="none"/>
                <w:lang w:val="en-US" w:eastAsia="zh-CN"/>
              </w:rPr>
              <w:t>kg/m</w:t>
            </w:r>
            <w:r>
              <w:rPr>
                <w:rFonts w:hint="default" w:ascii="Times New Roman" w:hAnsi="Times New Roman" w:eastAsia="宋体" w:cs="Times New Roman"/>
                <w:b w:val="0"/>
                <w:bCs w:val="0"/>
                <w:color w:val="auto"/>
                <w:sz w:val="24"/>
                <w:szCs w:val="24"/>
                <w:highlight w:val="none"/>
                <w:u w:val="none"/>
                <w:vertAlign w:val="superscript"/>
                <w:lang w:val="en-US" w:eastAsia="zh-CN"/>
              </w:rPr>
              <w:t>2</w:t>
            </w:r>
          </w:p>
        </w:tc>
        <w:tc>
          <w:tcPr>
            <w:tcW w:w="115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0.5</w:t>
            </w:r>
            <w:r>
              <w:rPr>
                <w:rFonts w:hint="default" w:ascii="Times New Roman" w:hAnsi="Times New Roman" w:eastAsia="宋体" w:cs="Times New Roman"/>
                <w:b w:val="0"/>
                <w:bCs w:val="0"/>
                <w:color w:val="auto"/>
                <w:sz w:val="24"/>
                <w:szCs w:val="24"/>
                <w:highlight w:val="none"/>
                <w:u w:val="none"/>
                <w:lang w:val="en-US" w:eastAsia="zh-CN"/>
              </w:rPr>
              <w:t>kg/m</w:t>
            </w:r>
            <w:r>
              <w:rPr>
                <w:rFonts w:hint="default" w:ascii="Times New Roman" w:hAnsi="Times New Roman" w:eastAsia="宋体" w:cs="Times New Roman"/>
                <w:b w:val="0"/>
                <w:bCs w:val="0"/>
                <w:color w:val="auto"/>
                <w:sz w:val="24"/>
                <w:szCs w:val="24"/>
                <w:highlight w:val="none"/>
                <w:u w:val="none"/>
                <w:vertAlign w:val="superscript"/>
                <w:lang w:val="en-US" w:eastAsia="zh-CN"/>
              </w:rPr>
              <w:t>2</w:t>
            </w:r>
          </w:p>
        </w:tc>
        <w:tc>
          <w:tcPr>
            <w:tcW w:w="1078"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w:t>
            </w:r>
            <w:r>
              <w:rPr>
                <w:rFonts w:hint="default" w:ascii="Times New Roman" w:hAnsi="Times New Roman" w:eastAsia="宋体" w:cs="Times New Roman"/>
                <w:b w:val="0"/>
                <w:bCs w:val="0"/>
                <w:color w:val="auto"/>
                <w:sz w:val="24"/>
                <w:szCs w:val="24"/>
                <w:highlight w:val="none"/>
                <w:u w:val="none"/>
                <w:lang w:val="en-US" w:eastAsia="zh-CN"/>
              </w:rPr>
              <w:t>kg/m</w:t>
            </w:r>
            <w:r>
              <w:rPr>
                <w:rFonts w:hint="default" w:ascii="Times New Roman" w:hAnsi="Times New Roman" w:eastAsia="宋体" w:cs="Times New Roman"/>
                <w:b w:val="0"/>
                <w:bCs w:val="0"/>
                <w:color w:val="auto"/>
                <w:sz w:val="24"/>
                <w:szCs w:val="24"/>
                <w:highlight w:val="none"/>
                <w:u w:val="none"/>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6" w:type="dxa"/>
            <w:tcBorders>
              <w:tl2br w:val="nil"/>
              <w:tr2bl w:val="nil"/>
            </w:tcBorders>
          </w:tcPr>
          <w:p>
            <w:pPr>
              <w:pStyle w:val="21"/>
              <w:keepNext w:val="0"/>
              <w:keepLines w:val="0"/>
              <w:pageBreakBefore w:val="0"/>
              <w:widowControl w:val="0"/>
              <w:kinsoku/>
              <w:wordWrap/>
              <w:overflowPunct/>
              <w:topLinePunct w:val="0"/>
              <w:autoSpaceDE/>
              <w:autoSpaceDN/>
              <w:bidi w:val="0"/>
              <w:adjustRightInd/>
              <w:spacing w:after="0" w:afterLines="0" w:line="240" w:lineRule="auto"/>
              <w:ind w:firstLine="0" w:firstLineChars="0"/>
              <w:jc w:val="both"/>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5km/h</w:t>
            </w:r>
          </w:p>
        </w:tc>
        <w:tc>
          <w:tcPr>
            <w:tcW w:w="1216"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0.0515</w:t>
            </w:r>
          </w:p>
        </w:tc>
        <w:tc>
          <w:tcPr>
            <w:tcW w:w="126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0.0859</w:t>
            </w:r>
          </w:p>
        </w:tc>
        <w:tc>
          <w:tcPr>
            <w:tcW w:w="11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0.1164</w:t>
            </w:r>
          </w:p>
        </w:tc>
        <w:tc>
          <w:tcPr>
            <w:tcW w:w="120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0.1444</w:t>
            </w:r>
          </w:p>
        </w:tc>
        <w:tc>
          <w:tcPr>
            <w:tcW w:w="115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0.1707</w:t>
            </w:r>
          </w:p>
        </w:tc>
        <w:tc>
          <w:tcPr>
            <w:tcW w:w="1078"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0.2871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6" w:type="dxa"/>
            <w:tcBorders>
              <w:tl2br w:val="nil"/>
              <w:tr2bl w:val="nil"/>
            </w:tcBorders>
          </w:tcPr>
          <w:p>
            <w:pPr>
              <w:pStyle w:val="21"/>
              <w:keepNext w:val="0"/>
              <w:keepLines w:val="0"/>
              <w:pageBreakBefore w:val="0"/>
              <w:widowControl w:val="0"/>
              <w:kinsoku/>
              <w:wordWrap/>
              <w:overflowPunct/>
              <w:topLinePunct w:val="0"/>
              <w:autoSpaceDE/>
              <w:autoSpaceDN/>
              <w:bidi w:val="0"/>
              <w:adjustRightInd/>
              <w:spacing w:after="0" w:afterLines="0" w:line="240" w:lineRule="auto"/>
              <w:ind w:firstLine="0" w:firstLineChars="0"/>
              <w:jc w:val="both"/>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10km/h</w:t>
            </w:r>
          </w:p>
        </w:tc>
        <w:tc>
          <w:tcPr>
            <w:tcW w:w="1216"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0.1021</w:t>
            </w:r>
          </w:p>
        </w:tc>
        <w:tc>
          <w:tcPr>
            <w:tcW w:w="126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0.1717</w:t>
            </w:r>
          </w:p>
        </w:tc>
        <w:tc>
          <w:tcPr>
            <w:tcW w:w="11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0.2328</w:t>
            </w:r>
          </w:p>
        </w:tc>
        <w:tc>
          <w:tcPr>
            <w:tcW w:w="120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0.2888</w:t>
            </w:r>
          </w:p>
        </w:tc>
        <w:tc>
          <w:tcPr>
            <w:tcW w:w="115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0.3414</w:t>
            </w:r>
          </w:p>
        </w:tc>
        <w:tc>
          <w:tcPr>
            <w:tcW w:w="1078"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0.5742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6" w:type="dxa"/>
            <w:tcBorders>
              <w:tl2br w:val="nil"/>
              <w:tr2bl w:val="nil"/>
            </w:tcBorders>
          </w:tcPr>
          <w:p>
            <w:pPr>
              <w:pStyle w:val="21"/>
              <w:keepNext w:val="0"/>
              <w:keepLines w:val="0"/>
              <w:pageBreakBefore w:val="0"/>
              <w:widowControl w:val="0"/>
              <w:kinsoku/>
              <w:wordWrap/>
              <w:overflowPunct/>
              <w:topLinePunct w:val="0"/>
              <w:autoSpaceDE/>
              <w:autoSpaceDN/>
              <w:bidi w:val="0"/>
              <w:adjustRightInd/>
              <w:spacing w:after="0" w:afterLines="0" w:line="240" w:lineRule="auto"/>
              <w:ind w:firstLine="0" w:firstLineChars="0"/>
              <w:jc w:val="both"/>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15km/h</w:t>
            </w:r>
          </w:p>
        </w:tc>
        <w:tc>
          <w:tcPr>
            <w:tcW w:w="1216"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0.153</w:t>
            </w:r>
            <w:r>
              <w:rPr>
                <w:rFonts w:hint="default" w:ascii="Times New Roman" w:hAnsi="Times New Roman" w:cs="Times New Roman"/>
                <w:b w:val="0"/>
                <w:bCs w:val="0"/>
                <w:color w:val="auto"/>
                <w:sz w:val="21"/>
                <w:szCs w:val="21"/>
                <w:highlight w:val="none"/>
                <w:u w:val="none"/>
                <w:vertAlign w:val="baseline"/>
                <w:lang w:val="en-US" w:eastAsia="zh-CN"/>
              </w:rPr>
              <w:t>2</w:t>
            </w:r>
          </w:p>
        </w:tc>
        <w:tc>
          <w:tcPr>
            <w:tcW w:w="126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0.257</w:t>
            </w:r>
            <w:r>
              <w:rPr>
                <w:rFonts w:hint="default" w:ascii="Times New Roman" w:hAnsi="Times New Roman" w:cs="Times New Roman"/>
                <w:b w:val="0"/>
                <w:bCs w:val="0"/>
                <w:color w:val="auto"/>
                <w:sz w:val="21"/>
                <w:szCs w:val="21"/>
                <w:highlight w:val="none"/>
                <w:u w:val="none"/>
                <w:vertAlign w:val="baseline"/>
                <w:lang w:val="en-US" w:eastAsia="zh-CN"/>
              </w:rPr>
              <w:t>6</w:t>
            </w:r>
          </w:p>
        </w:tc>
        <w:tc>
          <w:tcPr>
            <w:tcW w:w="11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0.3491</w:t>
            </w:r>
          </w:p>
        </w:tc>
        <w:tc>
          <w:tcPr>
            <w:tcW w:w="120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0.4332</w:t>
            </w:r>
          </w:p>
        </w:tc>
        <w:tc>
          <w:tcPr>
            <w:tcW w:w="115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0.5121</w:t>
            </w:r>
          </w:p>
        </w:tc>
        <w:tc>
          <w:tcPr>
            <w:tcW w:w="1078"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0.8613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6" w:type="dxa"/>
            <w:tcBorders>
              <w:tl2br w:val="nil"/>
              <w:tr2bl w:val="nil"/>
            </w:tcBorders>
          </w:tcPr>
          <w:p>
            <w:pPr>
              <w:pStyle w:val="21"/>
              <w:keepNext w:val="0"/>
              <w:keepLines w:val="0"/>
              <w:pageBreakBefore w:val="0"/>
              <w:widowControl w:val="0"/>
              <w:kinsoku/>
              <w:wordWrap/>
              <w:overflowPunct/>
              <w:topLinePunct w:val="0"/>
              <w:autoSpaceDE/>
              <w:autoSpaceDN/>
              <w:bidi w:val="0"/>
              <w:adjustRightInd/>
              <w:spacing w:after="0" w:afterLines="0" w:line="240" w:lineRule="auto"/>
              <w:ind w:firstLine="0" w:firstLineChars="0"/>
              <w:jc w:val="both"/>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20km/h</w:t>
            </w:r>
          </w:p>
        </w:tc>
        <w:tc>
          <w:tcPr>
            <w:tcW w:w="1216"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0.255</w:t>
            </w:r>
            <w:r>
              <w:rPr>
                <w:rFonts w:hint="default" w:ascii="Times New Roman" w:hAnsi="Times New Roman" w:cs="Times New Roman"/>
                <w:b w:val="0"/>
                <w:bCs w:val="0"/>
                <w:color w:val="auto"/>
                <w:sz w:val="21"/>
                <w:szCs w:val="21"/>
                <w:highlight w:val="none"/>
                <w:u w:val="none"/>
                <w:vertAlign w:val="baseline"/>
                <w:lang w:val="en-US" w:eastAsia="zh-CN"/>
              </w:rPr>
              <w:t>3</w:t>
            </w:r>
          </w:p>
        </w:tc>
        <w:tc>
          <w:tcPr>
            <w:tcW w:w="126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0.4293</w:t>
            </w:r>
          </w:p>
        </w:tc>
        <w:tc>
          <w:tcPr>
            <w:tcW w:w="11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0.5819</w:t>
            </w:r>
          </w:p>
        </w:tc>
        <w:tc>
          <w:tcPr>
            <w:tcW w:w="120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0.722</w:t>
            </w:r>
          </w:p>
        </w:tc>
        <w:tc>
          <w:tcPr>
            <w:tcW w:w="115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0.853</w:t>
            </w:r>
            <w:r>
              <w:rPr>
                <w:rFonts w:hint="default" w:ascii="Times New Roman" w:hAnsi="Times New Roman" w:cs="Times New Roman"/>
                <w:b w:val="0"/>
                <w:bCs w:val="0"/>
                <w:color w:val="auto"/>
                <w:sz w:val="21"/>
                <w:szCs w:val="21"/>
                <w:highlight w:val="none"/>
                <w:u w:val="none"/>
                <w:vertAlign w:val="baseline"/>
                <w:lang w:val="en-US" w:eastAsia="zh-CN"/>
              </w:rPr>
              <w:t>6</w:t>
            </w:r>
          </w:p>
        </w:tc>
        <w:tc>
          <w:tcPr>
            <w:tcW w:w="1078"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1.4355</w:t>
            </w:r>
          </w:p>
        </w:tc>
      </w:tr>
    </w:tbl>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由上表可见，扬尘的产生量与施工队的文明作业程度和管理水平密切相关，扬尘量也受当时的风速、湿度、温度等气象要素影响。一般情况下，施工工地、施工道路在自然风作用下产生的扬尘所影响的范围在100m以内。如果在施工期间对车辆行驶的路面实施洒水抑尘，每天洒水4～5次，可使扬尘减少70％左右，表3.2-3为施工场地洒水抑尘的试验结果。</w:t>
      </w:r>
      <w:r>
        <w:rPr>
          <w:rFonts w:hint="eastAsia" w:cs="Times New Roman"/>
          <w:color w:val="auto"/>
          <w:kern w:val="0"/>
          <w:sz w:val="24"/>
          <w:szCs w:val="24"/>
          <w:highlight w:val="none"/>
          <w:lang w:val="en-US" w:eastAsia="zh-CN" w:bidi="ar"/>
        </w:rPr>
        <w:t>可</w:t>
      </w:r>
      <w:r>
        <w:rPr>
          <w:rFonts w:hint="default" w:ascii="Times New Roman" w:hAnsi="Times New Roman" w:eastAsia="宋体" w:cs="Times New Roman"/>
          <w:color w:val="auto"/>
          <w:kern w:val="0"/>
          <w:sz w:val="24"/>
          <w:szCs w:val="24"/>
          <w:highlight w:val="none"/>
          <w:lang w:val="en-US" w:eastAsia="zh-CN" w:bidi="ar"/>
        </w:rPr>
        <w:t>每天洒水4～5次进行抑尘，可有效地控制施工扬尘，可将TSP的污染距离缩小到20～50m。</w:t>
      </w:r>
    </w:p>
    <w:p>
      <w:pPr>
        <w:pStyle w:val="21"/>
        <w:keepLines w:val="0"/>
        <w:pageBreakBefore w:val="0"/>
        <w:widowControl w:val="0"/>
        <w:kinsoku/>
        <w:wordWrap/>
        <w:overflowPunct/>
        <w:topLinePunct w:val="0"/>
        <w:bidi w:val="0"/>
        <w:ind w:left="0" w:leftChars="0" w:firstLine="0" w:firstLineChars="0"/>
        <w:jc w:val="center"/>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eastAsia="宋体" w:cs="Times New Roman"/>
          <w:b/>
          <w:color w:val="auto"/>
          <w:kern w:val="2"/>
          <w:sz w:val="21"/>
          <w:szCs w:val="24"/>
          <w:highlight w:val="none"/>
          <w:u w:val="none" w:color="auto"/>
          <w:lang w:val="en-US" w:eastAsia="zh-CN" w:bidi="ar-SA"/>
        </w:rPr>
        <w:t>表3.</w:t>
      </w:r>
      <w:r>
        <w:rPr>
          <w:rFonts w:hint="default" w:ascii="Times New Roman" w:hAnsi="Times New Roman" w:cs="Times New Roman"/>
          <w:b/>
          <w:color w:val="auto"/>
          <w:kern w:val="2"/>
          <w:sz w:val="21"/>
          <w:szCs w:val="24"/>
          <w:highlight w:val="none"/>
          <w:u w:val="none" w:color="auto"/>
          <w:lang w:val="en-US" w:eastAsia="zh-CN" w:bidi="ar-SA"/>
        </w:rPr>
        <w:t>2</w:t>
      </w:r>
      <w:r>
        <w:rPr>
          <w:rFonts w:hint="default" w:ascii="Times New Roman" w:hAnsi="Times New Roman" w:eastAsia="宋体" w:cs="Times New Roman"/>
          <w:b/>
          <w:color w:val="auto"/>
          <w:kern w:val="2"/>
          <w:sz w:val="21"/>
          <w:szCs w:val="24"/>
          <w:highlight w:val="none"/>
          <w:u w:val="none" w:color="auto"/>
          <w:lang w:val="en-US" w:eastAsia="zh-CN" w:bidi="ar-SA"/>
        </w:rPr>
        <w:t>-</w:t>
      </w:r>
      <w:r>
        <w:rPr>
          <w:rFonts w:hint="default" w:ascii="Times New Roman" w:hAnsi="Times New Roman" w:cs="Times New Roman"/>
          <w:b/>
          <w:color w:val="auto"/>
          <w:kern w:val="2"/>
          <w:sz w:val="21"/>
          <w:szCs w:val="24"/>
          <w:highlight w:val="none"/>
          <w:u w:val="none" w:color="auto"/>
          <w:lang w:val="en-US" w:eastAsia="zh-CN" w:bidi="ar-SA"/>
        </w:rPr>
        <w:t>3施工场地洒水抑尘试验结果</w:t>
      </w:r>
      <w:r>
        <w:rPr>
          <w:rFonts w:hint="default" w:ascii="Times New Roman" w:hAnsi="Times New Roman" w:eastAsia="宋体" w:cs="Times New Roman"/>
          <w:b/>
          <w:color w:val="auto"/>
          <w:kern w:val="2"/>
          <w:sz w:val="21"/>
          <w:szCs w:val="24"/>
          <w:highlight w:val="none"/>
          <w:u w:val="none" w:color="auto"/>
          <w:lang w:val="en-US" w:eastAsia="zh-CN" w:bidi="ar-SA"/>
        </w:rPr>
        <w:t>单位：kg/km·辆</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5"/>
        <w:gridCol w:w="1398"/>
        <w:gridCol w:w="1457"/>
        <w:gridCol w:w="1360"/>
        <w:gridCol w:w="1380"/>
        <w:gridCol w:w="13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2612" w:type="dxa"/>
            <w:gridSpan w:val="2"/>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highlight w:val="none"/>
                <w:lang w:val="en-US" w:eastAsia="zh-CN"/>
              </w:rPr>
              <w:t>距离（</w:t>
            </w:r>
            <w:r>
              <w:rPr>
                <w:rFonts w:hint="default" w:ascii="Times New Roman" w:hAnsi="Times New Roman" w:eastAsia="宋体" w:cs="Times New Roman"/>
                <w:b w:val="0"/>
                <w:bCs w:val="0"/>
                <w:color w:val="auto"/>
                <w:sz w:val="24"/>
                <w:szCs w:val="24"/>
                <w:highlight w:val="none"/>
                <w:u w:val="none"/>
                <w:lang w:val="en-US" w:eastAsia="zh-CN"/>
              </w:rPr>
              <w:t>m</w:t>
            </w:r>
            <w:r>
              <w:rPr>
                <w:rFonts w:hint="default" w:ascii="Times New Roman" w:hAnsi="Times New Roman" w:cs="Times New Roman"/>
                <w:b w:val="0"/>
                <w:bCs w:val="0"/>
                <w:color w:val="auto"/>
                <w:highlight w:val="none"/>
                <w:lang w:val="en-US" w:eastAsia="zh-CN"/>
              </w:rPr>
              <w:t>）</w:t>
            </w:r>
          </w:p>
        </w:tc>
        <w:tc>
          <w:tcPr>
            <w:tcW w:w="126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5</w:t>
            </w:r>
          </w:p>
        </w:tc>
        <w:tc>
          <w:tcPr>
            <w:tcW w:w="11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20</w:t>
            </w:r>
          </w:p>
        </w:tc>
        <w:tc>
          <w:tcPr>
            <w:tcW w:w="120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50</w:t>
            </w:r>
          </w:p>
        </w:tc>
        <w:tc>
          <w:tcPr>
            <w:tcW w:w="115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6" w:type="dxa"/>
            <w:vMerge w:val="restart"/>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TSP小时平均浓度</w:t>
            </w:r>
          </w:p>
        </w:tc>
        <w:tc>
          <w:tcPr>
            <w:tcW w:w="1216"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洒水</w:t>
            </w:r>
          </w:p>
        </w:tc>
        <w:tc>
          <w:tcPr>
            <w:tcW w:w="126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10.14</w:t>
            </w:r>
          </w:p>
        </w:tc>
        <w:tc>
          <w:tcPr>
            <w:tcW w:w="11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2.89</w:t>
            </w:r>
          </w:p>
        </w:tc>
        <w:tc>
          <w:tcPr>
            <w:tcW w:w="120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1.15</w:t>
            </w:r>
          </w:p>
        </w:tc>
        <w:tc>
          <w:tcPr>
            <w:tcW w:w="115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6"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216"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不洒水</w:t>
            </w:r>
          </w:p>
        </w:tc>
        <w:tc>
          <w:tcPr>
            <w:tcW w:w="126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2.01</w:t>
            </w:r>
          </w:p>
        </w:tc>
        <w:tc>
          <w:tcPr>
            <w:tcW w:w="11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1.10</w:t>
            </w:r>
          </w:p>
        </w:tc>
        <w:tc>
          <w:tcPr>
            <w:tcW w:w="120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0.67</w:t>
            </w:r>
          </w:p>
        </w:tc>
        <w:tc>
          <w:tcPr>
            <w:tcW w:w="115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0.60</w:t>
            </w:r>
          </w:p>
        </w:tc>
      </w:tr>
    </w:tbl>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建筑施工阶段产生的扬尘将可能使该地区和建筑施工阶段产生的扬尘将可能使该地区和下风向一定范围内空气中总悬浮颗粒物浓度增大，特别是天气干燥、风速较大时影响更为严重。因此应采取一系列有效措施，最大程度地减少扬尘对周围空气环境质量的影响。本工程施工过程中设置洒水车辆，对施工区域及道路</w:t>
      </w:r>
      <w:r>
        <w:rPr>
          <w:rFonts w:hint="default" w:cs="Times New Roman"/>
          <w:color w:val="auto"/>
          <w:kern w:val="0"/>
          <w:sz w:val="24"/>
          <w:szCs w:val="24"/>
          <w:highlight w:val="none"/>
          <w:lang w:val="en-US" w:eastAsia="zh-CN" w:bidi="ar"/>
        </w:rPr>
        <w:t>每天</w:t>
      </w:r>
      <w:r>
        <w:rPr>
          <w:rFonts w:hint="default" w:ascii="Times New Roman" w:hAnsi="Times New Roman" w:eastAsia="宋体" w:cs="Times New Roman"/>
          <w:color w:val="auto"/>
          <w:kern w:val="0"/>
          <w:sz w:val="24"/>
          <w:szCs w:val="24"/>
          <w:highlight w:val="none"/>
          <w:lang w:val="en-US" w:eastAsia="zh-CN" w:bidi="ar"/>
        </w:rPr>
        <w:t>进行</w:t>
      </w:r>
      <w:r>
        <w:rPr>
          <w:rFonts w:hint="default" w:cs="Times New Roman"/>
          <w:color w:val="auto"/>
          <w:kern w:val="0"/>
          <w:sz w:val="24"/>
          <w:szCs w:val="24"/>
          <w:highlight w:val="none"/>
          <w:lang w:val="en-US" w:eastAsia="zh-CN" w:bidi="ar"/>
        </w:rPr>
        <w:t>4~5次</w:t>
      </w:r>
      <w:r>
        <w:rPr>
          <w:rFonts w:hint="default" w:ascii="Times New Roman" w:hAnsi="Times New Roman" w:eastAsia="宋体" w:cs="Times New Roman"/>
          <w:color w:val="auto"/>
          <w:kern w:val="0"/>
          <w:sz w:val="24"/>
          <w:szCs w:val="24"/>
          <w:highlight w:val="none"/>
          <w:lang w:val="en-US" w:eastAsia="zh-CN" w:bidi="ar"/>
        </w:rPr>
        <w:t>洒水抑尘，并对运输车辆进行限速措施，采取以上措施后，可</w:t>
      </w:r>
      <w:r>
        <w:rPr>
          <w:rFonts w:hint="default" w:cs="Times New Roman"/>
          <w:color w:val="auto"/>
          <w:kern w:val="0"/>
          <w:sz w:val="24"/>
          <w:szCs w:val="24"/>
          <w:highlight w:val="none"/>
          <w:lang w:val="en-US" w:eastAsia="zh-CN" w:bidi="ar"/>
        </w:rPr>
        <w:t>使</w:t>
      </w:r>
      <w:r>
        <w:rPr>
          <w:rFonts w:hint="default" w:ascii="Times New Roman" w:hAnsi="Times New Roman" w:eastAsia="宋体" w:cs="Times New Roman"/>
          <w:color w:val="auto"/>
          <w:kern w:val="0"/>
          <w:sz w:val="24"/>
          <w:szCs w:val="24"/>
          <w:highlight w:val="none"/>
          <w:lang w:val="en-US" w:eastAsia="zh-CN" w:bidi="ar"/>
        </w:rPr>
        <w:t>运输车辆扬尘</w:t>
      </w:r>
      <w:r>
        <w:rPr>
          <w:rFonts w:hint="default" w:cs="Times New Roman"/>
          <w:color w:val="auto"/>
          <w:kern w:val="0"/>
          <w:sz w:val="24"/>
          <w:szCs w:val="24"/>
          <w:highlight w:val="none"/>
          <w:lang w:val="en-US" w:eastAsia="zh-CN" w:bidi="ar"/>
        </w:rPr>
        <w:t>减少70%左右</w:t>
      </w:r>
      <w:r>
        <w:rPr>
          <w:rFonts w:hint="default" w:ascii="Times New Roman" w:hAnsi="Times New Roman" w:eastAsia="宋体" w:cs="Times New Roman"/>
          <w:color w:val="auto"/>
          <w:kern w:val="0"/>
          <w:sz w:val="24"/>
          <w:szCs w:val="24"/>
          <w:highlight w:val="none"/>
          <w:lang w:val="en-US" w:eastAsia="zh-CN" w:bidi="ar"/>
        </w:rPr>
        <w:t>。</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（3）施工机械及运输车辆燃油废气</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施工期载重机、压路车、打桩机、柴油动力机械等机械施工中会产生燃油废气，污染物主要有CO、NOx、THC等。本工程施工机械多为大型机械，单车排放系数较大，但施工机械数量少且较分散，其污染程度相对较轻。类比同类工程施工期环境监理结果，距离现场50m处CO、N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小时平均浓度分别为0.2mg/m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和0.13mg/m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；日平均浓度分别为0.13mg/m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和0.062mg/m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，均能满足《环境空气质量标准》（GB3095-2012）二级标准的要求。施工机械废气对工程沿线的环境空气质量会产生一定影响，</w:t>
      </w:r>
      <w:r>
        <w:rPr>
          <w:rFonts w:hint="default" w:cs="Times New Roman"/>
          <w:color w:val="auto"/>
          <w:kern w:val="0"/>
          <w:sz w:val="24"/>
          <w:szCs w:val="24"/>
          <w:highlight w:val="none"/>
          <w:lang w:val="en-US" w:eastAsia="zh-CN" w:bidi="ar"/>
        </w:rPr>
        <w:t>但产生量不大，影响范围有限，</w:t>
      </w:r>
      <w:r>
        <w:rPr>
          <w:rFonts w:hint="default" w:ascii="Times New Roman" w:hAnsi="Times New Roman" w:eastAsia="宋体" w:cs="Times New Roman"/>
          <w:color w:val="auto"/>
          <w:kern w:val="0"/>
          <w:sz w:val="24"/>
          <w:szCs w:val="24"/>
          <w:highlight w:val="none"/>
          <w:lang w:val="en-US" w:eastAsia="zh-CN" w:bidi="ar"/>
        </w:rPr>
        <w:t>施工机械废气的影响随着施工的结束而消失。</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综上所述，项目施工期在加强预防和管控措施后，施工废气对区域环境空气的影响在可接受范围内。</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3.2.1.2废水</w:t>
      </w:r>
    </w:p>
    <w:p>
      <w:pPr>
        <w:pStyle w:val="43"/>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pacing w:val="-1"/>
          <w:sz w:val="24"/>
          <w:szCs w:val="24"/>
          <w:highlight w:val="none"/>
          <w:lang w:val="en-US" w:eastAsia="zh-CN"/>
        </w:rPr>
      </w:pPr>
      <w:r>
        <w:rPr>
          <w:rFonts w:hint="default" w:ascii="Times New Roman" w:hAnsi="Times New Roman" w:eastAsia="宋体" w:cs="Times New Roman"/>
          <w:color w:val="auto"/>
          <w:spacing w:val="-1"/>
          <w:sz w:val="24"/>
          <w:szCs w:val="24"/>
          <w:highlight w:val="none"/>
          <w:lang w:val="en-US" w:eastAsia="zh-CN"/>
        </w:rPr>
        <w:t>施工期对水环境的影响包括三方面：一是施工期的冲刷雨水，二是施工期生产废水，三是施工人员的生活污水。</w:t>
      </w:r>
    </w:p>
    <w:p>
      <w:pPr>
        <w:pStyle w:val="43"/>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pacing w:val="-1"/>
          <w:sz w:val="24"/>
          <w:szCs w:val="24"/>
          <w:highlight w:val="none"/>
        </w:rPr>
      </w:pPr>
      <w:r>
        <w:rPr>
          <w:rFonts w:hint="default"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lang w:val="en-US" w:eastAsia="zh-CN"/>
        </w:rPr>
        <w:t>1</w:t>
      </w:r>
      <w:r>
        <w:rPr>
          <w:rFonts w:hint="default"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施工</w:t>
      </w:r>
      <w:r>
        <w:rPr>
          <w:rFonts w:hint="default" w:ascii="Times New Roman" w:hAnsi="Times New Roman" w:eastAsia="宋体" w:cs="Times New Roman"/>
          <w:color w:val="auto"/>
          <w:spacing w:val="-1"/>
          <w:sz w:val="24"/>
          <w:szCs w:val="24"/>
          <w:highlight w:val="none"/>
          <w:lang w:val="en-US" w:eastAsia="zh-CN"/>
        </w:rPr>
        <w:t>冲刷雨</w:t>
      </w:r>
      <w:r>
        <w:rPr>
          <w:rFonts w:hint="default" w:ascii="Times New Roman" w:hAnsi="Times New Roman" w:eastAsia="宋体" w:cs="Times New Roman"/>
          <w:color w:val="auto"/>
          <w:spacing w:val="-1"/>
          <w:sz w:val="24"/>
          <w:szCs w:val="24"/>
          <w:highlight w:val="none"/>
        </w:rPr>
        <w:t>水</w:t>
      </w:r>
    </w:p>
    <w:p>
      <w:pPr>
        <w:pStyle w:val="43"/>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pacing w:val="-1"/>
          <w:sz w:val="24"/>
          <w:szCs w:val="24"/>
          <w:highlight w:val="none"/>
          <w:lang w:eastAsia="zh-CN"/>
        </w:rPr>
      </w:pPr>
      <w:r>
        <w:rPr>
          <w:rFonts w:hint="default" w:ascii="Times New Roman" w:hAnsi="Times New Roman" w:eastAsia="宋体" w:cs="Times New Roman"/>
          <w:color w:val="auto"/>
          <w:spacing w:val="-1"/>
          <w:sz w:val="24"/>
          <w:szCs w:val="24"/>
          <w:highlight w:val="none"/>
        </w:rPr>
        <w:t>施工期对水环境的影响主要来自施工期所需物料、油料等由于不当堆置，经雨淋产生的污水；粉状物料如水泥等遮挡不严或没有进行遮盖引起的扬尘进而对附近水体产生</w:t>
      </w:r>
      <w:r>
        <w:rPr>
          <w:rFonts w:hint="eastAsia" w:ascii="Times New Roman" w:hAnsi="Times New Roman" w:eastAsia="宋体" w:cs="Times New Roman"/>
          <w:color w:val="auto"/>
          <w:spacing w:val="-1"/>
          <w:sz w:val="24"/>
          <w:szCs w:val="24"/>
          <w:highlight w:val="none"/>
          <w:lang w:eastAsia="zh-CN"/>
        </w:rPr>
        <w:t>影响</w:t>
      </w:r>
      <w:r>
        <w:rPr>
          <w:rFonts w:hint="default" w:ascii="Times New Roman" w:hAnsi="Times New Roman" w:eastAsia="宋体" w:cs="Times New Roman"/>
          <w:color w:val="auto"/>
          <w:spacing w:val="-1"/>
          <w:sz w:val="24"/>
          <w:szCs w:val="24"/>
          <w:highlight w:val="none"/>
          <w:lang w:eastAsia="zh-CN"/>
        </w:rPr>
        <w:t>。</w:t>
      </w:r>
    </w:p>
    <w:p>
      <w:pPr>
        <w:pStyle w:val="43"/>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lang w:val="en-US" w:eastAsia="zh-CN"/>
        </w:rPr>
        <w:t>2</w:t>
      </w:r>
      <w:r>
        <w:rPr>
          <w:rFonts w:hint="default"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lang w:val="en-US" w:eastAsia="zh-CN"/>
        </w:rPr>
        <w:t>施工废水</w:t>
      </w:r>
    </w:p>
    <w:p>
      <w:pPr>
        <w:pStyle w:val="43"/>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pacing w:val="-1"/>
          <w:sz w:val="24"/>
          <w:szCs w:val="24"/>
          <w:highlight w:val="none"/>
          <w:lang w:eastAsia="zh-CN"/>
        </w:rPr>
      </w:pPr>
      <w:r>
        <w:rPr>
          <w:rFonts w:hint="default" w:ascii="Times New Roman" w:hAnsi="Times New Roman" w:eastAsia="宋体" w:cs="Times New Roman"/>
          <w:color w:val="auto"/>
          <w:spacing w:val="-1"/>
          <w:sz w:val="24"/>
          <w:szCs w:val="24"/>
          <w:highlight w:val="none"/>
        </w:rPr>
        <w:t>施工废水</w:t>
      </w:r>
      <w:r>
        <w:rPr>
          <w:rFonts w:hint="default" w:ascii="Times New Roman" w:hAnsi="Times New Roman" w:eastAsia="宋体" w:cs="Times New Roman"/>
          <w:color w:val="auto"/>
          <w:spacing w:val="-1"/>
          <w:sz w:val="24"/>
          <w:szCs w:val="24"/>
          <w:highlight w:val="none"/>
          <w:lang w:val="en-US" w:eastAsia="zh-CN"/>
        </w:rPr>
        <w:t>在混凝土浇筑、施工设备的维修、冲洗、工程养护、运输车辆冲洗过程中产生，施工废水往往偏碱性，一般施工废水</w:t>
      </w:r>
      <w:r>
        <w:rPr>
          <w:rFonts w:hint="eastAsia" w:ascii="Times New Roman" w:hAnsi="Times New Roman" w:eastAsia="宋体" w:cs="Times New Roman"/>
          <w:color w:val="auto"/>
          <w:spacing w:val="-1"/>
          <w:sz w:val="24"/>
          <w:szCs w:val="24"/>
          <w:highlight w:val="none"/>
          <w:lang w:val="en-US" w:eastAsia="zh-CN"/>
        </w:rPr>
        <w:t>pH值</w:t>
      </w:r>
      <w:r>
        <w:rPr>
          <w:rFonts w:hint="default" w:ascii="Times New Roman" w:hAnsi="Times New Roman" w:eastAsia="宋体" w:cs="Times New Roman"/>
          <w:color w:val="auto"/>
          <w:spacing w:val="-1"/>
          <w:sz w:val="24"/>
          <w:szCs w:val="24"/>
          <w:highlight w:val="none"/>
          <w:lang w:val="en-US" w:eastAsia="zh-CN"/>
        </w:rPr>
        <w:t>约为10，含石油类污染物和大量悬浮物。</w:t>
      </w:r>
      <w:r>
        <w:rPr>
          <w:rFonts w:hint="default" w:ascii="Times New Roman" w:hAnsi="Times New Roman" w:eastAsia="宋体" w:cs="Times New Roman"/>
          <w:color w:val="auto"/>
          <w:spacing w:val="-1"/>
          <w:sz w:val="24"/>
          <w:szCs w:val="24"/>
          <w:highlight w:val="none"/>
        </w:rPr>
        <w:t>这些物质如若管理不慎，随雨水流入附近水体，会对水体水质产生一定程度的影响</w:t>
      </w:r>
      <w:r>
        <w:rPr>
          <w:rFonts w:hint="default" w:ascii="Times New Roman" w:hAnsi="Times New Roman" w:eastAsia="宋体" w:cs="Times New Roman"/>
          <w:color w:val="auto"/>
          <w:spacing w:val="-1"/>
          <w:sz w:val="24"/>
          <w:szCs w:val="24"/>
          <w:highlight w:val="none"/>
          <w:lang w:eastAsia="zh-CN"/>
        </w:rPr>
        <w:t>。</w:t>
      </w:r>
    </w:p>
    <w:p>
      <w:pPr>
        <w:pStyle w:val="43"/>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pacing w:val="-1"/>
          <w:sz w:val="24"/>
          <w:szCs w:val="24"/>
          <w:highlight w:val="none"/>
        </w:rPr>
      </w:pPr>
      <w:r>
        <w:rPr>
          <w:rFonts w:hint="default" w:ascii="Times New Roman" w:hAnsi="Times New Roman" w:eastAsia="宋体" w:cs="Times New Roman"/>
          <w:color w:val="auto"/>
          <w:spacing w:val="-1"/>
          <w:sz w:val="24"/>
          <w:szCs w:val="24"/>
          <w:highlight w:val="none"/>
        </w:rPr>
        <w:t>施工过程中废水产生量较小，其主要污染物为SS、石油类。其中SS浓度为3000~5000mg/L，石油类浓度为50~100mg/L。</w:t>
      </w:r>
      <w:r>
        <w:rPr>
          <w:rFonts w:hint="eastAsia" w:ascii="Times New Roman" w:hAnsi="Times New Roman" w:eastAsia="宋体" w:cs="Times New Roman"/>
          <w:color w:val="auto"/>
          <w:spacing w:val="-1"/>
          <w:sz w:val="24"/>
          <w:szCs w:val="24"/>
          <w:highlight w:val="none"/>
          <w:lang w:eastAsia="zh-CN"/>
        </w:rPr>
        <w:t>施工</w:t>
      </w:r>
      <w:r>
        <w:rPr>
          <w:rFonts w:hint="default" w:ascii="Times New Roman" w:hAnsi="Times New Roman" w:eastAsia="宋体" w:cs="Times New Roman"/>
          <w:color w:val="auto"/>
          <w:spacing w:val="-1"/>
          <w:sz w:val="24"/>
          <w:szCs w:val="24"/>
          <w:highlight w:val="none"/>
          <w:lang w:val="en-US" w:eastAsia="zh-CN"/>
        </w:rPr>
        <w:t>废水经施工场地设置</w:t>
      </w:r>
      <w:r>
        <w:rPr>
          <w:rFonts w:hint="default" w:ascii="Times New Roman" w:hAnsi="Times New Roman" w:eastAsia="宋体" w:cs="Times New Roman"/>
          <w:color w:val="auto"/>
          <w:spacing w:val="-1"/>
          <w:sz w:val="24"/>
          <w:szCs w:val="24"/>
          <w:highlight w:val="none"/>
        </w:rPr>
        <w:t>沉淀</w:t>
      </w:r>
      <w:r>
        <w:rPr>
          <w:rFonts w:hint="default" w:ascii="Times New Roman" w:hAnsi="Times New Roman" w:eastAsia="宋体" w:cs="Times New Roman"/>
          <w:color w:val="auto"/>
          <w:spacing w:val="-1"/>
          <w:sz w:val="24"/>
          <w:szCs w:val="24"/>
          <w:highlight w:val="none"/>
          <w:lang w:val="en-US" w:eastAsia="zh-CN"/>
        </w:rPr>
        <w:t>隔油池</w:t>
      </w:r>
      <w:r>
        <w:rPr>
          <w:rFonts w:hint="default" w:ascii="Times New Roman" w:hAnsi="Times New Roman" w:eastAsia="宋体" w:cs="Times New Roman"/>
          <w:color w:val="auto"/>
          <w:spacing w:val="-1"/>
          <w:sz w:val="24"/>
          <w:szCs w:val="24"/>
          <w:highlight w:val="none"/>
        </w:rPr>
        <w:t>处理后回用于施工场地洒水或混凝土养护，多余部分排入临近的已建道路市政污水管网</w:t>
      </w:r>
      <w:r>
        <w:rPr>
          <w:rFonts w:hint="default" w:ascii="Times New Roman" w:hAnsi="Times New Roman" w:eastAsia="宋体" w:cs="Times New Roman"/>
          <w:color w:val="auto"/>
          <w:spacing w:val="-1"/>
          <w:sz w:val="24"/>
          <w:szCs w:val="24"/>
          <w:highlight w:val="none"/>
          <w:lang w:val="en-US" w:eastAsia="zh-CN"/>
        </w:rPr>
        <w:t>至</w:t>
      </w:r>
      <w:r>
        <w:rPr>
          <w:rFonts w:hint="default" w:ascii="Times New Roman" w:hAnsi="Times New Roman" w:eastAsia="宋体" w:cs="Times New Roman"/>
          <w:color w:val="auto"/>
          <w:spacing w:val="-1"/>
          <w:sz w:val="24"/>
          <w:szCs w:val="24"/>
          <w:highlight w:val="none"/>
        </w:rPr>
        <w:t>污水处理厂集中处理，</w:t>
      </w:r>
      <w:r>
        <w:rPr>
          <w:rFonts w:hint="default" w:ascii="Times New Roman" w:hAnsi="Times New Roman" w:eastAsia="宋体" w:cs="Times New Roman"/>
          <w:color w:val="auto"/>
          <w:spacing w:val="-1"/>
          <w:sz w:val="24"/>
          <w:szCs w:val="24"/>
          <w:highlight w:val="none"/>
          <w:lang w:val="en-US" w:eastAsia="zh-CN"/>
        </w:rPr>
        <w:t>沉淀隔油池四周做防渗漏砌护。</w:t>
      </w:r>
      <w:r>
        <w:rPr>
          <w:rFonts w:hint="default" w:ascii="Times New Roman" w:hAnsi="Times New Roman" w:eastAsia="宋体" w:cs="Times New Roman"/>
          <w:color w:val="auto"/>
          <w:spacing w:val="-1"/>
          <w:sz w:val="24"/>
          <w:szCs w:val="24"/>
          <w:highlight w:val="none"/>
        </w:rPr>
        <w:t>禁止</w:t>
      </w:r>
      <w:r>
        <w:rPr>
          <w:rFonts w:hint="default" w:ascii="Times New Roman" w:hAnsi="Times New Roman" w:eastAsia="宋体" w:cs="Times New Roman"/>
          <w:color w:val="auto"/>
          <w:spacing w:val="-1"/>
          <w:sz w:val="24"/>
          <w:szCs w:val="24"/>
          <w:highlight w:val="none"/>
          <w:lang w:val="en-US" w:eastAsia="zh-CN"/>
        </w:rPr>
        <w:t>施工废水</w:t>
      </w:r>
      <w:r>
        <w:rPr>
          <w:rFonts w:hint="default" w:ascii="Times New Roman" w:hAnsi="Times New Roman" w:eastAsia="宋体" w:cs="Times New Roman"/>
          <w:color w:val="auto"/>
          <w:spacing w:val="-1"/>
          <w:sz w:val="24"/>
          <w:szCs w:val="24"/>
          <w:highlight w:val="none"/>
        </w:rPr>
        <w:t>随意乱排，严禁排入湘江衡阳段四大家鱼国家级水产种质资源保护区、</w:t>
      </w:r>
      <w:r>
        <w:rPr>
          <w:rFonts w:hint="default" w:ascii="Times New Roman" w:hAnsi="Times New Roman" w:eastAsia="宋体" w:cs="Times New Roman"/>
          <w:color w:val="auto"/>
          <w:spacing w:val="-1"/>
          <w:sz w:val="24"/>
          <w:szCs w:val="24"/>
          <w:highlight w:val="none"/>
          <w:lang w:val="en-US" w:eastAsia="zh-CN"/>
        </w:rPr>
        <w:t>湘江</w:t>
      </w:r>
      <w:r>
        <w:rPr>
          <w:rFonts w:hint="default" w:ascii="Times New Roman" w:hAnsi="Times New Roman" w:eastAsia="宋体" w:cs="Times New Roman"/>
          <w:color w:val="auto"/>
          <w:spacing w:val="-1"/>
          <w:sz w:val="24"/>
          <w:szCs w:val="24"/>
          <w:highlight w:val="none"/>
        </w:rPr>
        <w:t>饮用水水源保护区内</w:t>
      </w:r>
      <w:r>
        <w:rPr>
          <w:rFonts w:hint="default"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采取以上措施后，</w:t>
      </w:r>
      <w:r>
        <w:rPr>
          <w:rFonts w:hint="default" w:ascii="Times New Roman" w:hAnsi="Times New Roman" w:eastAsia="宋体" w:cs="Times New Roman"/>
          <w:color w:val="auto"/>
          <w:spacing w:val="-1"/>
          <w:sz w:val="24"/>
          <w:szCs w:val="24"/>
          <w:highlight w:val="none"/>
          <w:lang w:val="en-US" w:eastAsia="zh-CN"/>
        </w:rPr>
        <w:t>施工</w:t>
      </w:r>
      <w:r>
        <w:rPr>
          <w:rFonts w:hint="default" w:ascii="Times New Roman" w:hAnsi="Times New Roman" w:eastAsia="宋体" w:cs="Times New Roman"/>
          <w:color w:val="auto"/>
          <w:spacing w:val="-1"/>
          <w:sz w:val="24"/>
          <w:szCs w:val="24"/>
          <w:highlight w:val="none"/>
        </w:rPr>
        <w:t>废水对水环境影响较小。</w:t>
      </w:r>
    </w:p>
    <w:p>
      <w:pPr>
        <w:pStyle w:val="43"/>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pacing w:val="-1"/>
          <w:sz w:val="24"/>
          <w:szCs w:val="24"/>
          <w:highlight w:val="none"/>
          <w:lang w:val="en-US" w:eastAsia="zh-CN"/>
        </w:rPr>
      </w:pPr>
      <w:r>
        <w:rPr>
          <w:rFonts w:hint="default" w:ascii="Times New Roman" w:hAnsi="Times New Roman" w:eastAsia="宋体" w:cs="Times New Roman"/>
          <w:color w:val="auto"/>
          <w:spacing w:val="-1"/>
          <w:sz w:val="24"/>
          <w:szCs w:val="24"/>
          <w:highlight w:val="none"/>
          <w:lang w:val="en-US" w:eastAsia="zh-CN"/>
        </w:rPr>
        <w:t>类比调查同类项目，本项目施工废水产生量及污染物浓度情况，见下表。</w:t>
      </w:r>
    </w:p>
    <w:p>
      <w:pPr>
        <w:pStyle w:val="21"/>
        <w:keepLines w:val="0"/>
        <w:pageBreakBefore w:val="0"/>
        <w:widowControl w:val="0"/>
        <w:kinsoku/>
        <w:wordWrap/>
        <w:overflowPunct/>
        <w:topLinePunct w:val="0"/>
        <w:bidi w:val="0"/>
        <w:ind w:left="0" w:leftChars="0" w:firstLine="0" w:firstLineChars="0"/>
        <w:jc w:val="center"/>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eastAsia="宋体" w:cs="Times New Roman"/>
          <w:b/>
          <w:color w:val="auto"/>
          <w:kern w:val="2"/>
          <w:sz w:val="21"/>
          <w:szCs w:val="24"/>
          <w:highlight w:val="none"/>
          <w:u w:val="none" w:color="auto"/>
          <w:lang w:val="en-US" w:eastAsia="zh-CN" w:bidi="ar-SA"/>
        </w:rPr>
        <w:t>表3.</w:t>
      </w:r>
      <w:r>
        <w:rPr>
          <w:rFonts w:hint="default" w:ascii="Times New Roman" w:hAnsi="Times New Roman" w:cs="Times New Roman"/>
          <w:b/>
          <w:color w:val="auto"/>
          <w:kern w:val="2"/>
          <w:sz w:val="21"/>
          <w:szCs w:val="24"/>
          <w:highlight w:val="none"/>
          <w:u w:val="none" w:color="auto"/>
          <w:lang w:val="en-US" w:eastAsia="zh-CN" w:bidi="ar-SA"/>
        </w:rPr>
        <w:t>2</w:t>
      </w:r>
      <w:r>
        <w:rPr>
          <w:rFonts w:hint="default" w:ascii="Times New Roman" w:hAnsi="Times New Roman" w:eastAsia="宋体" w:cs="Times New Roman"/>
          <w:b/>
          <w:color w:val="auto"/>
          <w:kern w:val="2"/>
          <w:sz w:val="21"/>
          <w:szCs w:val="24"/>
          <w:highlight w:val="none"/>
          <w:u w:val="none" w:color="auto"/>
          <w:lang w:val="en-US" w:eastAsia="zh-CN" w:bidi="ar-SA"/>
        </w:rPr>
        <w:t>-4施工废水产生情况</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6"/>
        <w:gridCol w:w="1500"/>
        <w:gridCol w:w="1333"/>
        <w:gridCol w:w="1683"/>
        <w:gridCol w:w="24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1596"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污染物</w:t>
            </w:r>
          </w:p>
        </w:tc>
        <w:tc>
          <w:tcPr>
            <w:tcW w:w="150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废水产生量</w:t>
            </w:r>
          </w:p>
        </w:tc>
        <w:tc>
          <w:tcPr>
            <w:tcW w:w="13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主要污染物</w:t>
            </w:r>
          </w:p>
        </w:tc>
        <w:tc>
          <w:tcPr>
            <w:tcW w:w="16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污染物浓度</w:t>
            </w:r>
          </w:p>
        </w:tc>
        <w:tc>
          <w:tcPr>
            <w:tcW w:w="241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污染物产生量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6" w:type="dxa"/>
            <w:vMerge w:val="restart"/>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日施工废水</w:t>
            </w:r>
          </w:p>
        </w:tc>
        <w:tc>
          <w:tcPr>
            <w:tcW w:w="1500" w:type="dxa"/>
            <w:vMerge w:val="restart"/>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5m</w:t>
            </w:r>
            <w:r>
              <w:rPr>
                <w:rFonts w:hint="default" w:ascii="Times New Roman" w:hAnsi="Times New Roman" w:eastAsia="宋体" w:cs="Times New Roman"/>
                <w:b w:val="0"/>
                <w:bCs w:val="0"/>
                <w:color w:val="auto"/>
                <w:sz w:val="21"/>
                <w:szCs w:val="21"/>
                <w:highlight w:val="none"/>
                <w:u w:val="none"/>
                <w:vertAlign w:val="superscript"/>
                <w:lang w:val="en-US" w:eastAsia="zh-CN"/>
              </w:rPr>
              <w:t>3</w:t>
            </w:r>
            <w:r>
              <w:rPr>
                <w:rFonts w:hint="default" w:ascii="Times New Roman" w:hAnsi="Times New Roman" w:eastAsia="宋体" w:cs="Times New Roman"/>
                <w:b w:val="0"/>
                <w:bCs w:val="0"/>
                <w:color w:val="auto"/>
                <w:sz w:val="21"/>
                <w:szCs w:val="21"/>
                <w:highlight w:val="none"/>
                <w:u w:val="none"/>
                <w:vertAlign w:val="baseline"/>
                <w:lang w:val="en-US" w:eastAsia="zh-CN"/>
              </w:rPr>
              <w:t>/d</w:t>
            </w:r>
          </w:p>
        </w:tc>
        <w:tc>
          <w:tcPr>
            <w:tcW w:w="13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石油类</w:t>
            </w:r>
          </w:p>
        </w:tc>
        <w:tc>
          <w:tcPr>
            <w:tcW w:w="16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5mg/L</w:t>
            </w:r>
          </w:p>
        </w:tc>
        <w:tc>
          <w:tcPr>
            <w:tcW w:w="241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0.025kg/d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6"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500"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3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SS</w:t>
            </w:r>
          </w:p>
        </w:tc>
        <w:tc>
          <w:tcPr>
            <w:tcW w:w="16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500mg/L</w:t>
            </w:r>
          </w:p>
        </w:tc>
        <w:tc>
          <w:tcPr>
            <w:tcW w:w="241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2.5kg/d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6" w:type="dxa"/>
            <w:vMerge w:val="restart"/>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vertAlign w:val="baseline"/>
                <w:lang w:val="en-US" w:eastAsia="zh-CN" w:bidi="ar-SA"/>
              </w:rPr>
            </w:pPr>
            <w:r>
              <w:rPr>
                <w:rFonts w:hint="default" w:ascii="Times New Roman" w:hAnsi="Times New Roman" w:eastAsia="宋体" w:cs="Times New Roman"/>
                <w:b w:val="0"/>
                <w:bCs w:val="0"/>
                <w:color w:val="auto"/>
                <w:sz w:val="21"/>
                <w:szCs w:val="21"/>
                <w:highlight w:val="none"/>
                <w:u w:val="none"/>
                <w:vertAlign w:val="baseline"/>
                <w:lang w:val="en-US" w:eastAsia="zh-CN"/>
              </w:rPr>
              <w:t>总施工废水</w:t>
            </w:r>
          </w:p>
        </w:tc>
        <w:tc>
          <w:tcPr>
            <w:tcW w:w="1500" w:type="dxa"/>
            <w:vMerge w:val="restart"/>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vertAlign w:val="baseline"/>
                <w:lang w:val="en-US" w:eastAsia="zh-CN" w:bidi="ar-SA"/>
              </w:rPr>
            </w:pPr>
            <w:r>
              <w:rPr>
                <w:rFonts w:hint="default" w:ascii="Times New Roman" w:hAnsi="Times New Roman" w:eastAsia="宋体" w:cs="Times New Roman"/>
                <w:b w:val="0"/>
                <w:bCs w:val="0"/>
                <w:color w:val="auto"/>
                <w:sz w:val="21"/>
                <w:szCs w:val="21"/>
                <w:highlight w:val="none"/>
                <w:u w:val="none"/>
                <w:vertAlign w:val="baseline"/>
                <w:lang w:val="en-US" w:eastAsia="zh-CN"/>
              </w:rPr>
              <w:t>1825m</w:t>
            </w:r>
            <w:r>
              <w:rPr>
                <w:rFonts w:hint="default" w:ascii="Times New Roman" w:hAnsi="Times New Roman" w:eastAsia="宋体" w:cs="Times New Roman"/>
                <w:b w:val="0"/>
                <w:bCs w:val="0"/>
                <w:color w:val="auto"/>
                <w:sz w:val="21"/>
                <w:szCs w:val="21"/>
                <w:highlight w:val="none"/>
                <w:u w:val="none"/>
                <w:vertAlign w:val="superscript"/>
                <w:lang w:val="en-US" w:eastAsia="zh-CN"/>
              </w:rPr>
              <w:t>3</w:t>
            </w:r>
          </w:p>
        </w:tc>
        <w:tc>
          <w:tcPr>
            <w:tcW w:w="13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石油类</w:t>
            </w:r>
          </w:p>
        </w:tc>
        <w:tc>
          <w:tcPr>
            <w:tcW w:w="16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5mg/L</w:t>
            </w:r>
          </w:p>
        </w:tc>
        <w:tc>
          <w:tcPr>
            <w:tcW w:w="241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9.125kg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6"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p>
        </w:tc>
        <w:tc>
          <w:tcPr>
            <w:tcW w:w="1500"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3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SS</w:t>
            </w:r>
          </w:p>
        </w:tc>
        <w:tc>
          <w:tcPr>
            <w:tcW w:w="168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500mg/L</w:t>
            </w:r>
          </w:p>
        </w:tc>
        <w:tc>
          <w:tcPr>
            <w:tcW w:w="241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912.5kg</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）施工期生活污水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highlight w:val="none"/>
          <w:lang w:val="en-US" w:eastAsia="zh-CN"/>
        </w:rPr>
      </w:pPr>
      <w:r>
        <w:rPr>
          <w:rFonts w:hint="default" w:ascii="Times New Roman" w:hAnsi="Times New Roman" w:cs="Times New Roman"/>
          <w:color w:val="auto"/>
          <w:sz w:val="24"/>
          <w:szCs w:val="24"/>
          <w:highlight w:val="none"/>
        </w:rPr>
        <w:t>施工期生活污水主要来源于施工生产生活区。项目施工高峰期施工人员为</w:t>
      </w:r>
      <w:r>
        <w:rPr>
          <w:rFonts w:hint="default"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00人，</w:t>
      </w:r>
      <w:r>
        <w:rPr>
          <w:rFonts w:hint="default" w:cs="Times New Roman"/>
          <w:color w:val="auto"/>
          <w:sz w:val="24"/>
          <w:szCs w:val="24"/>
          <w:highlight w:val="none"/>
          <w:lang w:val="en-US" w:eastAsia="zh-CN"/>
        </w:rPr>
        <w:t>施工人员用水量以120L/日·人计，生活污水排放量以用水量85%计，生活污水中主要含有COD、BOD</w:t>
      </w:r>
      <w:r>
        <w:rPr>
          <w:rFonts w:hint="default" w:cs="Times New Roman"/>
          <w:color w:val="auto"/>
          <w:sz w:val="24"/>
          <w:szCs w:val="24"/>
          <w:highlight w:val="none"/>
          <w:vertAlign w:val="subscript"/>
          <w:lang w:val="en-US" w:eastAsia="zh-CN"/>
        </w:rPr>
        <w:t>5</w:t>
      </w:r>
      <w:r>
        <w:rPr>
          <w:rFonts w:hint="default" w:cs="Times New Roman"/>
          <w:color w:val="auto"/>
          <w:sz w:val="24"/>
          <w:szCs w:val="24"/>
          <w:highlight w:val="none"/>
          <w:lang w:val="en-US" w:eastAsia="zh-CN"/>
        </w:rPr>
        <w:t>、SS、NH</w:t>
      </w:r>
      <w:r>
        <w:rPr>
          <w:rFonts w:hint="default" w:cs="Times New Roman"/>
          <w:color w:val="auto"/>
          <w:sz w:val="24"/>
          <w:szCs w:val="24"/>
          <w:highlight w:val="none"/>
          <w:vertAlign w:val="subscript"/>
          <w:lang w:val="en-US" w:eastAsia="zh-CN"/>
        </w:rPr>
        <w:t>3</w:t>
      </w:r>
      <w:r>
        <w:rPr>
          <w:rFonts w:hint="default" w:cs="Times New Roman"/>
          <w:color w:val="auto"/>
          <w:sz w:val="24"/>
          <w:szCs w:val="24"/>
          <w:highlight w:val="none"/>
          <w:lang w:val="en-US" w:eastAsia="zh-CN"/>
        </w:rPr>
        <w:t>-N、动植物油等污染物，类比衡阳市一般生活污水水质，污染物浓度分别约为380mg/L、200mg/L、250mg/L、38mg/L、20mg/L。则施工人员生活污水排放量和污染物排放情况见下表。</w:t>
      </w:r>
    </w:p>
    <w:p>
      <w:pPr>
        <w:pStyle w:val="21"/>
        <w:keepLines w:val="0"/>
        <w:pageBreakBefore w:val="0"/>
        <w:widowControl w:val="0"/>
        <w:kinsoku/>
        <w:wordWrap/>
        <w:overflowPunct/>
        <w:topLinePunct w:val="0"/>
        <w:bidi w:val="0"/>
        <w:ind w:left="0" w:leftChars="0" w:firstLine="0" w:firstLineChars="0"/>
        <w:jc w:val="center"/>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eastAsia="宋体" w:cs="Times New Roman"/>
          <w:b/>
          <w:color w:val="auto"/>
          <w:kern w:val="2"/>
          <w:sz w:val="21"/>
          <w:szCs w:val="24"/>
          <w:highlight w:val="none"/>
          <w:u w:val="none" w:color="auto"/>
          <w:lang w:val="en-US" w:eastAsia="zh-CN" w:bidi="ar-SA"/>
        </w:rPr>
        <w:t>表3.</w:t>
      </w:r>
      <w:r>
        <w:rPr>
          <w:rFonts w:hint="default" w:ascii="Times New Roman" w:hAnsi="Times New Roman" w:cs="Times New Roman"/>
          <w:b/>
          <w:color w:val="auto"/>
          <w:kern w:val="2"/>
          <w:sz w:val="21"/>
          <w:szCs w:val="24"/>
          <w:highlight w:val="none"/>
          <w:u w:val="none" w:color="auto"/>
          <w:lang w:val="en-US" w:eastAsia="zh-CN" w:bidi="ar-SA"/>
        </w:rPr>
        <w:t>2</w:t>
      </w:r>
      <w:r>
        <w:rPr>
          <w:rFonts w:hint="default" w:ascii="Times New Roman" w:hAnsi="Times New Roman" w:eastAsia="宋体" w:cs="Times New Roman"/>
          <w:b/>
          <w:color w:val="auto"/>
          <w:kern w:val="2"/>
          <w:sz w:val="21"/>
          <w:szCs w:val="24"/>
          <w:highlight w:val="none"/>
          <w:u w:val="none" w:color="auto"/>
          <w:lang w:val="en-US" w:eastAsia="zh-CN" w:bidi="ar-SA"/>
        </w:rPr>
        <w:t>-</w:t>
      </w:r>
      <w:r>
        <w:rPr>
          <w:rFonts w:hint="default" w:ascii="Times New Roman" w:hAnsi="Times New Roman" w:cs="Times New Roman"/>
          <w:b/>
          <w:color w:val="auto"/>
          <w:kern w:val="2"/>
          <w:sz w:val="21"/>
          <w:szCs w:val="24"/>
          <w:highlight w:val="none"/>
          <w:u w:val="none" w:color="auto"/>
          <w:lang w:val="en-US" w:eastAsia="zh-CN" w:bidi="ar-SA"/>
        </w:rPr>
        <w:t>5</w:t>
      </w:r>
      <w:r>
        <w:rPr>
          <w:rFonts w:hint="default" w:ascii="Times New Roman" w:hAnsi="Times New Roman" w:eastAsia="宋体" w:cs="Times New Roman"/>
          <w:b/>
          <w:color w:val="auto"/>
          <w:kern w:val="2"/>
          <w:sz w:val="21"/>
          <w:szCs w:val="24"/>
          <w:highlight w:val="none"/>
          <w:u w:val="none" w:color="auto"/>
          <w:lang w:val="en-US" w:eastAsia="zh-CN" w:bidi="ar-SA"/>
        </w:rPr>
        <w:t>施工</w:t>
      </w:r>
      <w:r>
        <w:rPr>
          <w:rFonts w:hint="default" w:ascii="Times New Roman" w:hAnsi="Times New Roman" w:cs="Times New Roman"/>
          <w:b/>
          <w:color w:val="auto"/>
          <w:kern w:val="2"/>
          <w:sz w:val="21"/>
          <w:szCs w:val="24"/>
          <w:highlight w:val="none"/>
          <w:u w:val="none" w:color="auto"/>
          <w:lang w:val="en-US" w:eastAsia="zh-CN" w:bidi="ar-SA"/>
        </w:rPr>
        <w:t>期生活污水</w:t>
      </w:r>
      <w:r>
        <w:rPr>
          <w:rFonts w:hint="default" w:ascii="Times New Roman" w:hAnsi="Times New Roman" w:eastAsia="宋体" w:cs="Times New Roman"/>
          <w:b/>
          <w:color w:val="auto"/>
          <w:kern w:val="2"/>
          <w:sz w:val="21"/>
          <w:szCs w:val="24"/>
          <w:highlight w:val="none"/>
          <w:u w:val="none" w:color="auto"/>
          <w:lang w:val="en-US" w:eastAsia="zh-CN" w:bidi="ar-SA"/>
        </w:rPr>
        <w:t>产生情况</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3"/>
        <w:gridCol w:w="1434"/>
        <w:gridCol w:w="1842"/>
        <w:gridCol w:w="1774"/>
        <w:gridCol w:w="23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115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污染物</w:t>
            </w:r>
          </w:p>
        </w:tc>
        <w:tc>
          <w:tcPr>
            <w:tcW w:w="143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废水产生量</w:t>
            </w: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主要污染物</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污染物浓度</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污染物产生量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53" w:type="dxa"/>
            <w:vMerge w:val="restart"/>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生活污水</w:t>
            </w:r>
          </w:p>
        </w:tc>
        <w:tc>
          <w:tcPr>
            <w:tcW w:w="1434" w:type="dxa"/>
            <w:vMerge w:val="restart"/>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12</w:t>
            </w:r>
            <w:r>
              <w:rPr>
                <w:rFonts w:hint="default" w:ascii="Times New Roman" w:hAnsi="Times New Roman" w:eastAsia="宋体" w:cs="Times New Roman"/>
                <w:b w:val="0"/>
                <w:bCs w:val="0"/>
                <w:color w:val="auto"/>
                <w:sz w:val="21"/>
                <w:szCs w:val="21"/>
                <w:highlight w:val="none"/>
                <w:u w:val="none"/>
                <w:vertAlign w:val="baseline"/>
                <w:lang w:val="en-US" w:eastAsia="zh-CN"/>
              </w:rPr>
              <w:t>m</w:t>
            </w:r>
            <w:r>
              <w:rPr>
                <w:rFonts w:hint="default" w:ascii="Times New Roman" w:hAnsi="Times New Roman" w:eastAsia="宋体" w:cs="Times New Roman"/>
                <w:b w:val="0"/>
                <w:bCs w:val="0"/>
                <w:color w:val="auto"/>
                <w:sz w:val="21"/>
                <w:szCs w:val="21"/>
                <w:highlight w:val="none"/>
                <w:u w:val="none"/>
                <w:vertAlign w:val="superscript"/>
                <w:lang w:val="en-US" w:eastAsia="zh-CN"/>
              </w:rPr>
              <w:t>3</w:t>
            </w:r>
            <w:r>
              <w:rPr>
                <w:rFonts w:hint="default" w:ascii="Times New Roman" w:hAnsi="Times New Roman" w:eastAsia="宋体" w:cs="Times New Roman"/>
                <w:b w:val="0"/>
                <w:bCs w:val="0"/>
                <w:color w:val="auto"/>
                <w:sz w:val="21"/>
                <w:szCs w:val="21"/>
                <w:highlight w:val="none"/>
                <w:u w:val="none"/>
                <w:vertAlign w:val="baseline"/>
                <w:lang w:val="en-US" w:eastAsia="zh-CN"/>
              </w:rPr>
              <w:t>/d</w:t>
            </w: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COD</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380</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4.56</w:t>
            </w:r>
            <w:r>
              <w:rPr>
                <w:rFonts w:hint="default" w:ascii="Times New Roman" w:hAnsi="Times New Roman" w:eastAsia="宋体" w:cs="Times New Roman"/>
                <w:b w:val="0"/>
                <w:bCs w:val="0"/>
                <w:color w:val="auto"/>
                <w:sz w:val="21"/>
                <w:szCs w:val="21"/>
                <w:highlight w:val="none"/>
                <w:u w:val="none"/>
                <w:vertAlign w:val="baseline"/>
                <w:lang w:val="en-US" w:eastAsia="zh-CN"/>
              </w:rPr>
              <w:t>kg/d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53"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p>
        </w:tc>
        <w:tc>
          <w:tcPr>
            <w:tcW w:w="1434"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BOD</w:t>
            </w:r>
            <w:r>
              <w:rPr>
                <w:rFonts w:hint="default" w:ascii="Times New Roman" w:hAnsi="Times New Roman" w:cs="Times New Roman"/>
                <w:b w:val="0"/>
                <w:bCs w:val="0"/>
                <w:color w:val="auto"/>
                <w:sz w:val="21"/>
                <w:szCs w:val="21"/>
                <w:highlight w:val="none"/>
                <w:u w:val="none"/>
                <w:vertAlign w:val="subscript"/>
                <w:lang w:val="en-US" w:eastAsia="zh-CN"/>
              </w:rPr>
              <w:t>5</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200</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2.4</w:t>
            </w:r>
            <w:r>
              <w:rPr>
                <w:rFonts w:hint="default" w:ascii="Times New Roman" w:hAnsi="Times New Roman" w:eastAsia="宋体" w:cs="Times New Roman"/>
                <w:b w:val="0"/>
                <w:bCs w:val="0"/>
                <w:color w:val="auto"/>
                <w:sz w:val="21"/>
                <w:szCs w:val="21"/>
                <w:highlight w:val="none"/>
                <w:u w:val="none"/>
                <w:vertAlign w:val="baseline"/>
                <w:lang w:val="en-US" w:eastAsia="zh-CN"/>
              </w:rPr>
              <w:t>kg/d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53"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p>
        </w:tc>
        <w:tc>
          <w:tcPr>
            <w:tcW w:w="1434"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SS</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250</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3</w:t>
            </w:r>
            <w:r>
              <w:rPr>
                <w:rFonts w:hint="default" w:ascii="Times New Roman" w:hAnsi="Times New Roman" w:eastAsia="宋体" w:cs="Times New Roman"/>
                <w:b w:val="0"/>
                <w:bCs w:val="0"/>
                <w:color w:val="auto"/>
                <w:sz w:val="21"/>
                <w:szCs w:val="21"/>
                <w:highlight w:val="none"/>
                <w:u w:val="none"/>
                <w:vertAlign w:val="baseline"/>
                <w:lang w:val="en-US" w:eastAsia="zh-CN"/>
              </w:rPr>
              <w:t>kg/d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3"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434"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NH</w:t>
            </w:r>
            <w:r>
              <w:rPr>
                <w:rFonts w:hint="default" w:ascii="Times New Roman" w:hAnsi="Times New Roman" w:eastAsia="宋体" w:cs="Times New Roman"/>
                <w:b w:val="0"/>
                <w:bCs w:val="0"/>
                <w:color w:val="auto"/>
                <w:sz w:val="21"/>
                <w:szCs w:val="21"/>
                <w:highlight w:val="none"/>
                <w:u w:val="none"/>
                <w:vertAlign w:val="subscript"/>
                <w:lang w:val="en-US" w:eastAsia="zh-CN"/>
              </w:rPr>
              <w:t>3</w:t>
            </w:r>
            <w:r>
              <w:rPr>
                <w:rFonts w:hint="default" w:ascii="Times New Roman" w:hAnsi="Times New Roman" w:eastAsia="宋体" w:cs="Times New Roman"/>
                <w:b w:val="0"/>
                <w:bCs w:val="0"/>
                <w:color w:val="auto"/>
                <w:sz w:val="21"/>
                <w:szCs w:val="21"/>
                <w:highlight w:val="none"/>
                <w:u w:val="none"/>
                <w:vertAlign w:val="baseline"/>
                <w:lang w:val="en-US" w:eastAsia="zh-CN"/>
              </w:rPr>
              <w:t>-N</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38</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0.456</w:t>
            </w:r>
            <w:r>
              <w:rPr>
                <w:rFonts w:hint="default" w:ascii="Times New Roman" w:hAnsi="Times New Roman" w:eastAsia="宋体" w:cs="Times New Roman"/>
                <w:b w:val="0"/>
                <w:bCs w:val="0"/>
                <w:color w:val="auto"/>
                <w:sz w:val="21"/>
                <w:szCs w:val="21"/>
                <w:highlight w:val="none"/>
                <w:u w:val="none"/>
                <w:vertAlign w:val="baseline"/>
                <w:lang w:val="en-US" w:eastAsia="zh-CN"/>
              </w:rPr>
              <w:t>kg/d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3"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434"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动植物油</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20</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0.24</w:t>
            </w:r>
            <w:r>
              <w:rPr>
                <w:rFonts w:hint="default" w:ascii="Times New Roman" w:hAnsi="Times New Roman" w:eastAsia="宋体" w:cs="Times New Roman"/>
                <w:b w:val="0"/>
                <w:bCs w:val="0"/>
                <w:color w:val="auto"/>
                <w:sz w:val="21"/>
                <w:szCs w:val="21"/>
                <w:highlight w:val="none"/>
                <w:u w:val="none"/>
                <w:vertAlign w:val="baseline"/>
                <w:lang w:val="en-US" w:eastAsia="zh-CN"/>
              </w:rPr>
              <w:t>kg/d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3" w:type="dxa"/>
            <w:vMerge w:val="restart"/>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vertAlign w:val="baseline"/>
                <w:lang w:val="en-US" w:eastAsia="zh-CN" w:bidi="ar-SA"/>
              </w:rPr>
            </w:pPr>
            <w:r>
              <w:rPr>
                <w:rFonts w:hint="default" w:ascii="Times New Roman" w:hAnsi="Times New Roman" w:eastAsia="宋体" w:cs="Times New Roman"/>
                <w:b w:val="0"/>
                <w:bCs w:val="0"/>
                <w:color w:val="auto"/>
                <w:sz w:val="21"/>
                <w:szCs w:val="21"/>
                <w:highlight w:val="none"/>
                <w:u w:val="none"/>
                <w:vertAlign w:val="baseline"/>
                <w:lang w:val="en-US" w:eastAsia="zh-CN"/>
              </w:rPr>
              <w:t>总</w:t>
            </w:r>
            <w:r>
              <w:rPr>
                <w:rFonts w:hint="default" w:ascii="Times New Roman" w:hAnsi="Times New Roman" w:cs="Times New Roman"/>
                <w:b w:val="0"/>
                <w:bCs w:val="0"/>
                <w:color w:val="auto"/>
                <w:sz w:val="21"/>
                <w:szCs w:val="21"/>
                <w:highlight w:val="none"/>
                <w:u w:val="none"/>
                <w:vertAlign w:val="baseline"/>
                <w:lang w:val="en-US" w:eastAsia="zh-CN"/>
              </w:rPr>
              <w:t>生活污水</w:t>
            </w:r>
          </w:p>
        </w:tc>
        <w:tc>
          <w:tcPr>
            <w:tcW w:w="1434" w:type="dxa"/>
            <w:vMerge w:val="restart"/>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vertAlign w:val="baseline"/>
                <w:lang w:val="en-US" w:eastAsia="zh-CN" w:bidi="ar-SA"/>
              </w:rPr>
            </w:pPr>
            <w:r>
              <w:rPr>
                <w:rFonts w:hint="default" w:ascii="Times New Roman" w:hAnsi="Times New Roman" w:cs="Times New Roman"/>
                <w:b w:val="0"/>
                <w:bCs w:val="0"/>
                <w:color w:val="auto"/>
                <w:kern w:val="2"/>
                <w:sz w:val="21"/>
                <w:szCs w:val="21"/>
                <w:highlight w:val="none"/>
                <w:u w:val="none"/>
                <w:vertAlign w:val="baseline"/>
                <w:lang w:val="en-US" w:eastAsia="zh-CN" w:bidi="ar-SA"/>
              </w:rPr>
              <w:t>4380</w:t>
            </w:r>
            <w:r>
              <w:rPr>
                <w:rFonts w:hint="default" w:ascii="Times New Roman" w:hAnsi="Times New Roman" w:eastAsia="宋体" w:cs="Times New Roman"/>
                <w:b w:val="0"/>
                <w:bCs w:val="0"/>
                <w:color w:val="auto"/>
                <w:sz w:val="21"/>
                <w:szCs w:val="21"/>
                <w:highlight w:val="none"/>
                <w:u w:val="none"/>
                <w:vertAlign w:val="baseline"/>
                <w:lang w:val="en-US" w:eastAsia="zh-CN"/>
              </w:rPr>
              <w:t>m</w:t>
            </w:r>
            <w:r>
              <w:rPr>
                <w:rFonts w:hint="default" w:ascii="Times New Roman" w:hAnsi="Times New Roman" w:eastAsia="宋体" w:cs="Times New Roman"/>
                <w:b w:val="0"/>
                <w:bCs w:val="0"/>
                <w:color w:val="auto"/>
                <w:sz w:val="21"/>
                <w:szCs w:val="21"/>
                <w:highlight w:val="none"/>
                <w:u w:val="none"/>
                <w:vertAlign w:val="superscript"/>
                <w:lang w:val="en-US" w:eastAsia="zh-CN"/>
              </w:rPr>
              <w:t>3</w:t>
            </w:r>
            <w:r>
              <w:rPr>
                <w:rFonts w:hint="default" w:ascii="Times New Roman" w:hAnsi="Times New Roman" w:eastAsia="宋体" w:cs="Times New Roman"/>
                <w:b w:val="0"/>
                <w:bCs w:val="0"/>
                <w:color w:val="auto"/>
                <w:sz w:val="21"/>
                <w:szCs w:val="21"/>
                <w:highlight w:val="none"/>
                <w:u w:val="none"/>
                <w:vertAlign w:val="baseline"/>
                <w:lang w:val="en-US" w:eastAsia="zh-CN"/>
              </w:rPr>
              <w:t>/</w:t>
            </w:r>
            <w:r>
              <w:rPr>
                <w:rFonts w:hint="default" w:ascii="Times New Roman" w:hAnsi="Times New Roman" w:cs="Times New Roman"/>
                <w:b w:val="0"/>
                <w:bCs w:val="0"/>
                <w:color w:val="auto"/>
                <w:sz w:val="21"/>
                <w:szCs w:val="21"/>
                <w:highlight w:val="none"/>
                <w:u w:val="none"/>
                <w:vertAlign w:val="baseline"/>
                <w:lang w:val="en-US" w:eastAsia="zh-CN"/>
              </w:rPr>
              <w:t>a</w:t>
            </w: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COD</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380</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1664.4</w:t>
            </w:r>
            <w:r>
              <w:rPr>
                <w:rFonts w:hint="default" w:ascii="Times New Roman" w:hAnsi="Times New Roman" w:eastAsia="宋体" w:cs="Times New Roman"/>
                <w:b w:val="0"/>
                <w:bCs w:val="0"/>
                <w:color w:val="auto"/>
                <w:sz w:val="21"/>
                <w:szCs w:val="21"/>
                <w:highlight w:val="none"/>
                <w:u w:val="none"/>
                <w:vertAlign w:val="baseline"/>
                <w:lang w:val="en-US" w:eastAsia="zh-CN"/>
              </w:rPr>
              <w:t>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3"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p>
        </w:tc>
        <w:tc>
          <w:tcPr>
            <w:tcW w:w="1434"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BOD</w:t>
            </w:r>
            <w:r>
              <w:rPr>
                <w:rFonts w:hint="default" w:ascii="Times New Roman" w:hAnsi="Times New Roman" w:cs="Times New Roman"/>
                <w:b w:val="0"/>
                <w:bCs w:val="0"/>
                <w:color w:val="auto"/>
                <w:sz w:val="21"/>
                <w:szCs w:val="21"/>
                <w:highlight w:val="none"/>
                <w:u w:val="none"/>
                <w:vertAlign w:val="subscript"/>
                <w:lang w:val="en-US" w:eastAsia="zh-CN"/>
              </w:rPr>
              <w:t>5</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200</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876</w:t>
            </w:r>
            <w:r>
              <w:rPr>
                <w:rFonts w:hint="default" w:ascii="Times New Roman" w:hAnsi="Times New Roman" w:eastAsia="宋体" w:cs="Times New Roman"/>
                <w:b w:val="0"/>
                <w:bCs w:val="0"/>
                <w:color w:val="auto"/>
                <w:sz w:val="21"/>
                <w:szCs w:val="21"/>
                <w:highlight w:val="none"/>
                <w:u w:val="none"/>
                <w:vertAlign w:val="baseline"/>
                <w:lang w:val="en-US" w:eastAsia="zh-CN"/>
              </w:rPr>
              <w:t>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3"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p>
        </w:tc>
        <w:tc>
          <w:tcPr>
            <w:tcW w:w="1434"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SS</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250</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1095</w:t>
            </w:r>
            <w:r>
              <w:rPr>
                <w:rFonts w:hint="default" w:ascii="Times New Roman" w:hAnsi="Times New Roman" w:eastAsia="宋体" w:cs="Times New Roman"/>
                <w:b w:val="0"/>
                <w:bCs w:val="0"/>
                <w:color w:val="auto"/>
                <w:sz w:val="21"/>
                <w:szCs w:val="21"/>
                <w:highlight w:val="none"/>
                <w:u w:val="none"/>
                <w:vertAlign w:val="baseline"/>
                <w:lang w:val="en-US" w:eastAsia="zh-CN"/>
              </w:rPr>
              <w:t>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3"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p>
        </w:tc>
        <w:tc>
          <w:tcPr>
            <w:tcW w:w="1434"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NH</w:t>
            </w:r>
            <w:r>
              <w:rPr>
                <w:rFonts w:hint="default" w:ascii="Times New Roman" w:hAnsi="Times New Roman" w:eastAsia="宋体" w:cs="Times New Roman"/>
                <w:b w:val="0"/>
                <w:bCs w:val="0"/>
                <w:color w:val="auto"/>
                <w:sz w:val="21"/>
                <w:szCs w:val="21"/>
                <w:highlight w:val="none"/>
                <w:u w:val="none"/>
                <w:vertAlign w:val="subscript"/>
                <w:lang w:val="en-US" w:eastAsia="zh-CN"/>
              </w:rPr>
              <w:t>3</w:t>
            </w:r>
            <w:r>
              <w:rPr>
                <w:rFonts w:hint="default" w:ascii="Times New Roman" w:hAnsi="Times New Roman" w:eastAsia="宋体" w:cs="Times New Roman"/>
                <w:b w:val="0"/>
                <w:bCs w:val="0"/>
                <w:color w:val="auto"/>
                <w:sz w:val="21"/>
                <w:szCs w:val="21"/>
                <w:highlight w:val="none"/>
                <w:u w:val="none"/>
                <w:vertAlign w:val="baseline"/>
                <w:lang w:val="en-US" w:eastAsia="zh-CN"/>
              </w:rPr>
              <w:t>-N</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38</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166.44</w:t>
            </w:r>
            <w:r>
              <w:rPr>
                <w:rFonts w:hint="default" w:ascii="Times New Roman" w:hAnsi="Times New Roman" w:eastAsia="宋体" w:cs="Times New Roman"/>
                <w:b w:val="0"/>
                <w:bCs w:val="0"/>
                <w:color w:val="auto"/>
                <w:sz w:val="21"/>
                <w:szCs w:val="21"/>
                <w:highlight w:val="none"/>
                <w:u w:val="none"/>
                <w:vertAlign w:val="baseline"/>
                <w:lang w:val="en-US" w:eastAsia="zh-CN"/>
              </w:rPr>
              <w:t>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3"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p>
        </w:tc>
        <w:tc>
          <w:tcPr>
            <w:tcW w:w="1434" w:type="dxa"/>
            <w:vMerge w:val="continue"/>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p>
        </w:tc>
        <w:tc>
          <w:tcPr>
            <w:tcW w:w="184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动植物油</w:t>
            </w:r>
          </w:p>
        </w:tc>
        <w:tc>
          <w:tcPr>
            <w:tcW w:w="1774"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20</w:t>
            </w:r>
            <w:r>
              <w:rPr>
                <w:rFonts w:hint="default" w:ascii="Times New Roman" w:hAnsi="Times New Roman" w:eastAsia="宋体" w:cs="Times New Roman"/>
                <w:b w:val="0"/>
                <w:bCs w:val="0"/>
                <w:color w:val="auto"/>
                <w:sz w:val="21"/>
                <w:szCs w:val="21"/>
                <w:highlight w:val="none"/>
                <w:u w:val="none"/>
                <w:vertAlign w:val="baseline"/>
                <w:lang w:val="en-US" w:eastAsia="zh-CN"/>
              </w:rPr>
              <w:t>mg/L</w:t>
            </w:r>
          </w:p>
        </w:tc>
        <w:tc>
          <w:tcPr>
            <w:tcW w:w="2319"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87.6</w:t>
            </w:r>
            <w:r>
              <w:rPr>
                <w:rFonts w:hint="default" w:ascii="Times New Roman" w:hAnsi="Times New Roman" w:eastAsia="宋体" w:cs="Times New Roman"/>
                <w:b w:val="0"/>
                <w:bCs w:val="0"/>
                <w:color w:val="auto"/>
                <w:sz w:val="21"/>
                <w:szCs w:val="21"/>
                <w:highlight w:val="none"/>
                <w:u w:val="none"/>
                <w:vertAlign w:val="baseline"/>
                <w:lang w:val="en-US" w:eastAsia="zh-CN"/>
              </w:rPr>
              <w:t>kg</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生活污水产生量为</w:t>
      </w:r>
      <w:r>
        <w:rPr>
          <w:rFonts w:hint="default"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生活污水若直接排入地表水体，将可能引起纳污水体污染。施工场地</w:t>
      </w:r>
      <w:r>
        <w:rPr>
          <w:rFonts w:hint="default" w:cs="Times New Roman"/>
          <w:color w:val="auto"/>
          <w:sz w:val="24"/>
          <w:szCs w:val="24"/>
          <w:highlight w:val="none"/>
          <w:lang w:val="en-US" w:eastAsia="zh-CN"/>
        </w:rPr>
        <w:t>已</w:t>
      </w:r>
      <w:r>
        <w:rPr>
          <w:rFonts w:hint="default" w:ascii="Times New Roman" w:hAnsi="Times New Roman" w:cs="Times New Roman"/>
          <w:color w:val="auto"/>
          <w:sz w:val="24"/>
          <w:szCs w:val="24"/>
          <w:highlight w:val="none"/>
        </w:rPr>
        <w:t>设置隔油沉淀池以及临时化粪池对施工生活污水进行预处理，生活污水预处理后通过管道对接</w:t>
      </w:r>
      <w:r>
        <w:rPr>
          <w:rFonts w:hint="default" w:ascii="Times New Roman" w:hAnsi="Times New Roman" w:cs="Times New Roman"/>
          <w:color w:val="auto"/>
          <w:sz w:val="24"/>
          <w:szCs w:val="24"/>
          <w:highlight w:val="none"/>
          <w:lang w:val="en-US" w:eastAsia="zh-CN"/>
        </w:rPr>
        <w:t>龙家坪路</w:t>
      </w:r>
      <w:r>
        <w:rPr>
          <w:rFonts w:hint="default" w:ascii="Times New Roman" w:hAnsi="Times New Roman" w:cs="Times New Roman"/>
          <w:color w:val="auto"/>
          <w:sz w:val="24"/>
          <w:szCs w:val="24"/>
          <w:highlight w:val="none"/>
        </w:rPr>
        <w:t>市政管网进入</w:t>
      </w:r>
      <w:r>
        <w:rPr>
          <w:rFonts w:hint="default" w:ascii="Times New Roman" w:hAnsi="Times New Roman" w:cs="Times New Roman"/>
          <w:color w:val="auto"/>
          <w:sz w:val="24"/>
          <w:szCs w:val="24"/>
          <w:highlight w:val="none"/>
          <w:lang w:val="en-US" w:eastAsia="zh-CN"/>
        </w:rPr>
        <w:t>江东</w:t>
      </w:r>
      <w:r>
        <w:rPr>
          <w:rFonts w:hint="default" w:ascii="Times New Roman" w:hAnsi="Times New Roman" w:cs="Times New Roman"/>
          <w:color w:val="auto"/>
          <w:sz w:val="24"/>
          <w:szCs w:val="24"/>
          <w:highlight w:val="none"/>
        </w:rPr>
        <w:t>污水处理厂处理，因此，施工期生活污水不会对周围地表水体产生明显影响。</w:t>
      </w:r>
    </w:p>
    <w:p>
      <w:pPr>
        <w:pStyle w:val="28"/>
        <w:jc w:val="center"/>
        <w:rPr>
          <w:rFonts w:hint="default" w:ascii="Times New Roman" w:eastAsia="仿宋" w:cs="Times New Roman"/>
          <w:color w:val="auto"/>
          <w:lang w:val="en-US" w:eastAsia="zh-CN"/>
        </w:rPr>
      </w:pPr>
      <w:r>
        <w:rPr>
          <w:rFonts w:hint="default" w:ascii="Times New Roman" w:hAnsi="Times New Roman" w:cs="Times New Roman" w:eastAsiaTheme="minorEastAsia"/>
          <w:b/>
          <w:bCs/>
          <w:color w:val="auto"/>
          <w:sz w:val="21"/>
          <w:szCs w:val="21"/>
          <w:lang w:val="en-US" w:eastAsia="zh-CN"/>
        </w:rPr>
        <w:object>
          <v:shape id="_x0000_i1026" o:spt="75" type="#_x0000_t75" style="height:128.7pt;width:415.2pt;" o:ole="t" filled="f" o:preferrelative="t" stroked="t" coordsize="21600,21600">
            <v:path/>
            <v:fill on="f" focussize="0,0"/>
            <v:stroke color="#000000" joinstyle="miter"/>
            <v:imagedata r:id="rId41" o:title=""/>
            <o:lock v:ext="edit" aspectratio="f"/>
            <w10:wrap type="none"/>
            <w10:anchorlock/>
          </v:shape>
          <o:OLEObject Type="Embed" ProgID="Visio.Drawing.15" ShapeID="_x0000_i1026" DrawAspect="Content" ObjectID="_1468075726" r:id="rId40">
            <o:LockedField>false</o:LockedField>
          </o:OLEObject>
        </w:object>
      </w:r>
      <w:r>
        <w:rPr>
          <w:rFonts w:hint="default" w:ascii="Times New Roman" w:hAnsi="Times New Roman" w:cs="Times New Roman" w:eastAsiaTheme="minorEastAsia"/>
          <w:b/>
          <w:bCs/>
          <w:color w:val="auto"/>
          <w:sz w:val="21"/>
          <w:szCs w:val="21"/>
          <w:lang w:val="en-US" w:eastAsia="zh-CN"/>
        </w:rPr>
        <w:t xml:space="preserve">图3.2-1 施工期水平衡图  </w:t>
      </w:r>
      <w:r>
        <w:rPr>
          <w:rFonts w:hint="default" w:ascii="Times New Roman" w:hAnsi="Times New Roman" w:cs="Times New Roman" w:eastAsiaTheme="minorEastAsia"/>
          <w:color w:val="auto"/>
          <w:sz w:val="21"/>
          <w:szCs w:val="21"/>
          <w:lang w:val="en-US" w:eastAsia="zh-CN"/>
        </w:rPr>
        <w:t>单位：</w:t>
      </w:r>
      <w:r>
        <w:rPr>
          <w:rFonts w:hint="default" w:ascii="Times New Roman" w:hAnsi="Times New Roman" w:cs="Times New Roman" w:eastAsiaTheme="minorEastAsia"/>
          <w:color w:val="auto"/>
          <w:sz w:val="21"/>
          <w:szCs w:val="21"/>
          <w:highlight w:val="none"/>
        </w:rPr>
        <w:t>m</w:t>
      </w:r>
      <w:r>
        <w:rPr>
          <w:rFonts w:hint="default" w:ascii="Times New Roman" w:hAnsi="Times New Roman" w:cs="Times New Roman" w:eastAsiaTheme="minorEastAsia"/>
          <w:color w:val="auto"/>
          <w:sz w:val="21"/>
          <w:szCs w:val="21"/>
          <w:highlight w:val="none"/>
          <w:vertAlign w:val="superscript"/>
        </w:rPr>
        <w:t>3</w:t>
      </w:r>
      <w:r>
        <w:rPr>
          <w:rFonts w:hint="default" w:ascii="Times New Roman" w:hAnsi="Times New Roman" w:cs="Times New Roman" w:eastAsiaTheme="minorEastAsia"/>
          <w:color w:val="auto"/>
          <w:sz w:val="21"/>
          <w:szCs w:val="21"/>
          <w:highlight w:val="none"/>
        </w:rPr>
        <w:t>/d</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3.2.1.3噪声</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类比同类工程，道路施工期间需要使用较多的施工机械和运输车辆，其中施工机械主要有挖掘机、推土机、装载机、压路机等；运输车辆包括各种卡车、自卸车等。这些机械设备运行时会产生较强的噪声，对附近居民的正常生活产生不利影响。主要施工机械及运输车辆噪声值见</w:t>
      </w:r>
      <w:r>
        <w:rPr>
          <w:rFonts w:hint="default" w:cs="Times New Roman"/>
          <w:color w:val="auto"/>
          <w:sz w:val="24"/>
          <w:szCs w:val="24"/>
          <w:highlight w:val="none"/>
          <w:lang w:val="en-US" w:eastAsia="zh-CN"/>
        </w:rPr>
        <w:t>下表</w:t>
      </w:r>
      <w:r>
        <w:rPr>
          <w:rFonts w:hint="default" w:ascii="Times New Roman" w:hAnsi="Times New Roman" w:eastAsia="宋体" w:cs="Times New Roman"/>
          <w:color w:val="auto"/>
          <w:kern w:val="0"/>
          <w:sz w:val="24"/>
          <w:szCs w:val="24"/>
          <w:highlight w:val="none"/>
          <w:lang w:val="en-US" w:eastAsia="zh-CN" w:bidi="ar"/>
        </w:rPr>
        <w:t>。</w:t>
      </w:r>
    </w:p>
    <w:p>
      <w:pPr>
        <w:pStyle w:val="21"/>
        <w:keepLines w:val="0"/>
        <w:pageBreakBefore w:val="0"/>
        <w:widowControl w:val="0"/>
        <w:kinsoku/>
        <w:wordWrap/>
        <w:overflowPunct/>
        <w:topLinePunct w:val="0"/>
        <w:bidi w:val="0"/>
        <w:ind w:left="0" w:leftChars="0" w:firstLine="0" w:firstLineChars="0"/>
        <w:jc w:val="center"/>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eastAsia="宋体" w:cs="Times New Roman"/>
          <w:b/>
          <w:color w:val="auto"/>
          <w:kern w:val="2"/>
          <w:sz w:val="21"/>
          <w:szCs w:val="24"/>
          <w:highlight w:val="none"/>
          <w:u w:val="none" w:color="auto"/>
          <w:lang w:val="en-US" w:eastAsia="zh-CN" w:bidi="ar-SA"/>
        </w:rPr>
        <w:t>表3.</w:t>
      </w:r>
      <w:r>
        <w:rPr>
          <w:rFonts w:hint="default" w:ascii="Times New Roman" w:hAnsi="Times New Roman" w:cs="Times New Roman"/>
          <w:b/>
          <w:color w:val="auto"/>
          <w:kern w:val="2"/>
          <w:sz w:val="21"/>
          <w:szCs w:val="24"/>
          <w:highlight w:val="none"/>
          <w:u w:val="none" w:color="auto"/>
          <w:lang w:val="en-US" w:eastAsia="zh-CN" w:bidi="ar-SA"/>
        </w:rPr>
        <w:t>2</w:t>
      </w:r>
      <w:r>
        <w:rPr>
          <w:rFonts w:hint="default" w:ascii="Times New Roman" w:hAnsi="Times New Roman" w:eastAsia="宋体" w:cs="Times New Roman"/>
          <w:b/>
          <w:color w:val="auto"/>
          <w:kern w:val="2"/>
          <w:sz w:val="21"/>
          <w:szCs w:val="24"/>
          <w:highlight w:val="none"/>
          <w:u w:val="none" w:color="auto"/>
          <w:lang w:val="en-US" w:eastAsia="zh-CN" w:bidi="ar-SA"/>
        </w:rPr>
        <w:t>-</w:t>
      </w:r>
      <w:r>
        <w:rPr>
          <w:rFonts w:hint="default" w:ascii="Times New Roman" w:hAnsi="Times New Roman" w:cs="Times New Roman"/>
          <w:b/>
          <w:color w:val="auto"/>
          <w:kern w:val="2"/>
          <w:sz w:val="21"/>
          <w:szCs w:val="24"/>
          <w:highlight w:val="none"/>
          <w:u w:val="none" w:color="auto"/>
          <w:lang w:val="en-US" w:eastAsia="zh-CN" w:bidi="ar-SA"/>
        </w:rPr>
        <w:t>6</w:t>
      </w:r>
      <w:r>
        <w:rPr>
          <w:rFonts w:hint="default" w:ascii="Times New Roman" w:hAnsi="Times New Roman" w:eastAsia="宋体" w:cs="Times New Roman"/>
          <w:b/>
          <w:color w:val="auto"/>
          <w:kern w:val="2"/>
          <w:sz w:val="21"/>
          <w:szCs w:val="24"/>
          <w:highlight w:val="none"/>
          <w:u w:val="none" w:color="auto"/>
          <w:lang w:val="en-US" w:eastAsia="zh-CN" w:bidi="ar-SA"/>
        </w:rPr>
        <w:t>施工主要机械及运输车辆噪声源强单位：dB（A）</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50"/>
        <w:gridCol w:w="2047"/>
        <w:gridCol w:w="2133"/>
        <w:gridCol w:w="19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2350"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机械设备</w:t>
            </w:r>
          </w:p>
        </w:tc>
        <w:tc>
          <w:tcPr>
            <w:tcW w:w="204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测距（m）</w:t>
            </w:r>
          </w:p>
        </w:tc>
        <w:tc>
          <w:tcPr>
            <w:tcW w:w="21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声级（dB）</w:t>
            </w:r>
          </w:p>
        </w:tc>
        <w:tc>
          <w:tcPr>
            <w:tcW w:w="199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声源特点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50" w:type="dxa"/>
            <w:tcBorders>
              <w:tl2br w:val="nil"/>
              <w:tr2bl w:val="nil"/>
            </w:tcBorders>
          </w:tcPr>
          <w:p>
            <w:pPr>
              <w:pStyle w:val="21"/>
              <w:keepNext w:val="0"/>
              <w:keepLines w:val="0"/>
              <w:pageBreakBefore w:val="0"/>
              <w:widowControl w:val="0"/>
              <w:kinsoku/>
              <w:wordWrap/>
              <w:overflowPunct/>
              <w:topLinePunct w:val="0"/>
              <w:autoSpaceDE/>
              <w:autoSpaceDN/>
              <w:bidi w:val="0"/>
              <w:adjustRightInd/>
              <w:spacing w:after="0" w:afterLines="0" w:line="240" w:lineRule="auto"/>
              <w:ind w:firstLine="0" w:firstLineChars="0"/>
              <w:jc w:val="both"/>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挖掘机</w:t>
            </w:r>
          </w:p>
        </w:tc>
        <w:tc>
          <w:tcPr>
            <w:tcW w:w="204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5</w:t>
            </w:r>
          </w:p>
        </w:tc>
        <w:tc>
          <w:tcPr>
            <w:tcW w:w="21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84</w:t>
            </w:r>
          </w:p>
        </w:tc>
        <w:tc>
          <w:tcPr>
            <w:tcW w:w="199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流动不稳态源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50" w:type="dxa"/>
            <w:tcBorders>
              <w:tl2br w:val="nil"/>
              <w:tr2bl w:val="nil"/>
            </w:tcBorders>
          </w:tcPr>
          <w:p>
            <w:pPr>
              <w:pStyle w:val="21"/>
              <w:keepNext w:val="0"/>
              <w:keepLines w:val="0"/>
              <w:pageBreakBefore w:val="0"/>
              <w:widowControl w:val="0"/>
              <w:kinsoku/>
              <w:wordWrap/>
              <w:overflowPunct/>
              <w:topLinePunct w:val="0"/>
              <w:autoSpaceDE/>
              <w:autoSpaceDN/>
              <w:bidi w:val="0"/>
              <w:adjustRightInd/>
              <w:spacing w:after="0" w:afterLines="0" w:line="240" w:lineRule="auto"/>
              <w:ind w:firstLine="0" w:firstLineChars="0"/>
              <w:jc w:val="both"/>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推土机</w:t>
            </w:r>
          </w:p>
        </w:tc>
        <w:tc>
          <w:tcPr>
            <w:tcW w:w="204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5</w:t>
            </w:r>
          </w:p>
        </w:tc>
        <w:tc>
          <w:tcPr>
            <w:tcW w:w="21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86</w:t>
            </w:r>
          </w:p>
        </w:tc>
        <w:tc>
          <w:tcPr>
            <w:tcW w:w="199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流动不稳态源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50" w:type="dxa"/>
            <w:tcBorders>
              <w:tl2br w:val="nil"/>
              <w:tr2bl w:val="nil"/>
            </w:tcBorders>
          </w:tcPr>
          <w:p>
            <w:pPr>
              <w:pStyle w:val="21"/>
              <w:keepNext w:val="0"/>
              <w:keepLines w:val="0"/>
              <w:pageBreakBefore w:val="0"/>
              <w:widowControl w:val="0"/>
              <w:kinsoku/>
              <w:wordWrap/>
              <w:overflowPunct/>
              <w:topLinePunct w:val="0"/>
              <w:autoSpaceDE/>
              <w:autoSpaceDN/>
              <w:bidi w:val="0"/>
              <w:adjustRightInd/>
              <w:spacing w:after="0" w:afterLines="0" w:line="240" w:lineRule="auto"/>
              <w:ind w:firstLine="0" w:firstLineChars="0"/>
              <w:jc w:val="both"/>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装载机</w:t>
            </w:r>
          </w:p>
        </w:tc>
        <w:tc>
          <w:tcPr>
            <w:tcW w:w="204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5</w:t>
            </w:r>
          </w:p>
        </w:tc>
        <w:tc>
          <w:tcPr>
            <w:tcW w:w="21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90</w:t>
            </w:r>
          </w:p>
        </w:tc>
        <w:tc>
          <w:tcPr>
            <w:tcW w:w="199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流动不稳态源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50" w:type="dxa"/>
            <w:tcBorders>
              <w:tl2br w:val="nil"/>
              <w:tr2bl w:val="nil"/>
            </w:tcBorders>
          </w:tcPr>
          <w:p>
            <w:pPr>
              <w:pStyle w:val="21"/>
              <w:keepNext w:val="0"/>
              <w:keepLines w:val="0"/>
              <w:pageBreakBefore w:val="0"/>
              <w:widowControl w:val="0"/>
              <w:kinsoku/>
              <w:wordWrap/>
              <w:overflowPunct/>
              <w:topLinePunct w:val="0"/>
              <w:autoSpaceDE/>
              <w:autoSpaceDN/>
              <w:bidi w:val="0"/>
              <w:adjustRightInd/>
              <w:spacing w:after="0" w:afterLines="0" w:line="240" w:lineRule="auto"/>
              <w:ind w:firstLine="0" w:firstLineChars="0"/>
              <w:jc w:val="both"/>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振捣机</w:t>
            </w:r>
          </w:p>
        </w:tc>
        <w:tc>
          <w:tcPr>
            <w:tcW w:w="204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15</w:t>
            </w:r>
          </w:p>
        </w:tc>
        <w:tc>
          <w:tcPr>
            <w:tcW w:w="21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81</w:t>
            </w:r>
          </w:p>
        </w:tc>
        <w:tc>
          <w:tcPr>
            <w:tcW w:w="199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流动不稳态源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50" w:type="dxa"/>
            <w:tcBorders>
              <w:tl2br w:val="nil"/>
              <w:tr2bl w:val="nil"/>
            </w:tcBorders>
          </w:tcPr>
          <w:p>
            <w:pPr>
              <w:pStyle w:val="21"/>
              <w:keepNext w:val="0"/>
              <w:keepLines w:val="0"/>
              <w:pageBreakBefore w:val="0"/>
              <w:widowControl w:val="0"/>
              <w:kinsoku/>
              <w:wordWrap/>
              <w:overflowPunct/>
              <w:topLinePunct w:val="0"/>
              <w:autoSpaceDE/>
              <w:autoSpaceDN/>
              <w:bidi w:val="0"/>
              <w:adjustRightInd/>
              <w:spacing w:after="0" w:afterLines="0" w:line="240" w:lineRule="auto"/>
              <w:ind w:firstLine="0" w:firstLineChars="0"/>
              <w:jc w:val="both"/>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夯土机</w:t>
            </w:r>
          </w:p>
        </w:tc>
        <w:tc>
          <w:tcPr>
            <w:tcW w:w="204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15</w:t>
            </w:r>
          </w:p>
        </w:tc>
        <w:tc>
          <w:tcPr>
            <w:tcW w:w="21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90</w:t>
            </w:r>
          </w:p>
        </w:tc>
        <w:tc>
          <w:tcPr>
            <w:tcW w:w="199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流动不稳态源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50" w:type="dxa"/>
            <w:tcBorders>
              <w:tl2br w:val="nil"/>
              <w:tr2bl w:val="nil"/>
            </w:tcBorders>
            <w:vAlign w:val="top"/>
          </w:tcPr>
          <w:p>
            <w:pPr>
              <w:pStyle w:val="21"/>
              <w:keepNext w:val="0"/>
              <w:keepLines w:val="0"/>
              <w:pageBreakBefore w:val="0"/>
              <w:widowControl w:val="0"/>
              <w:kinsoku/>
              <w:wordWrap/>
              <w:overflowPunct/>
              <w:topLinePunct w:val="0"/>
              <w:autoSpaceDE/>
              <w:autoSpaceDN/>
              <w:bidi w:val="0"/>
              <w:adjustRightInd/>
              <w:spacing w:after="0" w:afterLines="0" w:line="240" w:lineRule="auto"/>
              <w:ind w:left="420" w:leftChars="200" w:firstLine="0" w:firstLineChars="0"/>
              <w:jc w:val="both"/>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自卸汽车</w:t>
            </w:r>
          </w:p>
        </w:tc>
        <w:tc>
          <w:tcPr>
            <w:tcW w:w="2047"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7.5</w:t>
            </w:r>
          </w:p>
        </w:tc>
        <w:tc>
          <w:tcPr>
            <w:tcW w:w="2133"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85</w:t>
            </w:r>
          </w:p>
        </w:tc>
        <w:tc>
          <w:tcPr>
            <w:tcW w:w="1992"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流动不稳态源</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从上表可知，大中型施工机械运行时产生的突发性非稳态噪声源强较高，对道路运输沿线较近的居民住宅区等噪声敏感点有一定影响。</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3.2.1.4固体废物</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施工期产生的固体废物主要为建筑垃圾、弃土方、施工人员生活垃圾等。</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（1）建筑垃圾</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根据工程设计方案，本项目无弃方；项目建筑垃圾产生量约1000t，建筑垃圾由当地渣土办统一调配处置。此外，本项目施工期间，拟对部分开挖表土以及回填土进行堆存，多余土方计划堆存于道路红线范围内。</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（2）隔油池废油</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本项目设置隔油沉淀池处理施工废水，项目隔油池产生的费油，收集后交由有资质单位处理。</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（3）生活垃圾</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生产区会产生少量生活垃圾，在施工过程中施工人员产生的少量塑料袋、一次性饭盒等生活垃圾，这部分垃圾通过垃圾桶收集后，交由环卫部门处理。施工人员生活垃圾如不及时清运，随意堆放可能会滋生病虫毒害，对环境产生二次污染。</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（3）</w:t>
      </w:r>
      <w:r>
        <w:rPr>
          <w:rFonts w:hint="default" w:cs="Times New Roman"/>
          <w:color w:val="auto"/>
          <w:kern w:val="0"/>
          <w:sz w:val="24"/>
          <w:szCs w:val="24"/>
          <w:highlight w:val="none"/>
          <w:lang w:val="en-US" w:eastAsia="zh-CN" w:bidi="ar"/>
        </w:rPr>
        <w:t>危险废物</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施工机械和车辆日常检修、维护可能会产生少量废机油和废弃含油抹布及手套废机油属危险废物，各施工区集中收集，并交由有危险废物处置资质</w:t>
      </w:r>
      <w:r>
        <w:rPr>
          <w:rFonts w:hint="default" w:cs="Times New Roman"/>
          <w:color w:val="auto"/>
          <w:kern w:val="0"/>
          <w:sz w:val="24"/>
          <w:szCs w:val="24"/>
          <w:highlight w:val="none"/>
          <w:lang w:val="en-US" w:eastAsia="zh-CN" w:bidi="ar"/>
        </w:rPr>
        <w:t>单位</w:t>
      </w:r>
      <w:r>
        <w:rPr>
          <w:rFonts w:hint="default" w:ascii="Times New Roman" w:hAnsi="Times New Roman" w:eastAsia="宋体" w:cs="Times New Roman"/>
          <w:color w:val="auto"/>
          <w:kern w:val="0"/>
          <w:sz w:val="24"/>
          <w:szCs w:val="24"/>
          <w:highlight w:val="none"/>
          <w:lang w:val="en-US" w:eastAsia="zh-CN" w:bidi="ar"/>
        </w:rPr>
        <w:t>安全处置。根据《国家危险废物名录》（2021 年版）中危险废物豁免管理清单，废弃含油抹布及手套属于豁免的危险废物，混入生活垃圾，全过程不按危险废物处理。</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3.2.1.5生态环境影响</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（1）对陆生生态影响</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工程扰动地表、扰动原地貌、破坏地表及植被，将在施工期结束时予以及时恢复。</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（2）对水生生态影响</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①抛石护脚等涉水性施工活动，直接扰动施工周边水域，导致局部水域水体悬浮物浓度增加，水质下降，影响浮游植物和浮游动物生长环境，对水生生物和鱼类栖息产生不利影响。</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②施工噪声等对附近水域鱼类和水生生物将产生惊扰，直接影响其生存繁殖。</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（3）临时占地影响</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本工程施工临时占地包括临时堆土场、弃渣场等。对环境的影响主要表现为对地表植被造成破坏、地貌产生的影响。</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1"/>
        <w:rPr>
          <w:rFonts w:hint="default" w:cs="Times New Roman"/>
          <w:b/>
          <w:bCs/>
          <w:color w:val="auto"/>
          <w:kern w:val="0"/>
          <w:sz w:val="28"/>
          <w:szCs w:val="28"/>
          <w:highlight w:val="none"/>
          <w:lang w:val="en-US" w:eastAsia="zh-CN"/>
        </w:rPr>
      </w:pPr>
      <w:bookmarkStart w:id="72" w:name="_Toc13636"/>
      <w:r>
        <w:rPr>
          <w:rFonts w:hint="default" w:cs="Times New Roman"/>
          <w:b/>
          <w:bCs/>
          <w:color w:val="auto"/>
          <w:kern w:val="0"/>
          <w:sz w:val="28"/>
          <w:szCs w:val="28"/>
          <w:highlight w:val="none"/>
          <w:lang w:val="en-US" w:eastAsia="zh-CN"/>
        </w:rPr>
        <w:t>3.2.2营运期污染源强分析</w:t>
      </w:r>
      <w:bookmarkEnd w:id="72"/>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3.2.2.1废气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本项目运营期废气主要来源于车库机动车尾气。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本</w:t>
      </w:r>
      <w:r>
        <w:rPr>
          <w:rFonts w:hint="default" w:ascii="Times New Roman" w:hAnsi="Times New Roman" w:cs="Times New Roman"/>
          <w:color w:val="auto"/>
          <w:sz w:val="24"/>
          <w:szCs w:val="24"/>
          <w:highlight w:val="none"/>
        </w:rPr>
        <w:t>项目设有地面停车场</w:t>
      </w:r>
      <w:r>
        <w:rPr>
          <w:rFonts w:hint="default" w:ascii="Times New Roman" w:hAnsi="Times New Roman" w:cs="Times New Roman"/>
          <w:color w:val="auto"/>
          <w:sz w:val="24"/>
          <w:szCs w:val="24"/>
          <w:highlight w:val="none"/>
          <w:lang w:val="en-US" w:eastAsia="zh-CN"/>
        </w:rPr>
        <w:t>和地下停车场</w:t>
      </w:r>
      <w:r>
        <w:rPr>
          <w:rFonts w:hint="default" w:ascii="Times New Roman" w:hAnsi="Times New Roman" w:cs="Times New Roman"/>
          <w:color w:val="auto"/>
          <w:sz w:val="24"/>
          <w:szCs w:val="24"/>
          <w:highlight w:val="none"/>
        </w:rPr>
        <w:t>，根据对其他同类型停车场的类比调查和有关资料，停车场产生的主要污染物为汽车尾气，其主要成分为CO、HC和NOx。</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地上</w:t>
      </w:r>
      <w:r>
        <w:rPr>
          <w:rFonts w:hint="default" w:ascii="Times New Roman" w:hAnsi="Times New Roman" w:cs="Times New Roman"/>
          <w:color w:val="auto"/>
          <w:sz w:val="24"/>
          <w:szCs w:val="24"/>
          <w:highlight w:val="none"/>
        </w:rPr>
        <w:t>停车场设有</w:t>
      </w:r>
      <w:r>
        <w:rPr>
          <w:rFonts w:hint="default" w:cs="Times New Roman"/>
          <w:color w:val="auto"/>
          <w:sz w:val="24"/>
          <w:szCs w:val="24"/>
          <w:highlight w:val="none"/>
          <w:lang w:val="en-US" w:eastAsia="zh-CN"/>
        </w:rPr>
        <w:t>140</w:t>
      </w:r>
      <w:r>
        <w:rPr>
          <w:rFonts w:hint="default" w:ascii="Times New Roman" w:hAnsi="Times New Roman" w:cs="Times New Roman"/>
          <w:color w:val="auto"/>
          <w:sz w:val="24"/>
          <w:szCs w:val="24"/>
          <w:highlight w:val="none"/>
        </w:rPr>
        <w:t>个车位，</w:t>
      </w:r>
      <w:r>
        <w:rPr>
          <w:rFonts w:hint="default" w:ascii="Times New Roman" w:hAnsi="Times New Roman" w:cs="Times New Roman"/>
          <w:color w:val="auto"/>
          <w:sz w:val="24"/>
          <w:szCs w:val="24"/>
          <w:highlight w:val="none"/>
          <w:lang w:val="en-US" w:eastAsia="zh-CN"/>
        </w:rPr>
        <w:t>地下</w:t>
      </w:r>
      <w:r>
        <w:rPr>
          <w:rFonts w:hint="default" w:ascii="Times New Roman" w:hAnsi="Times New Roman" w:cs="Times New Roman"/>
          <w:color w:val="auto"/>
          <w:sz w:val="24"/>
          <w:szCs w:val="24"/>
          <w:highlight w:val="none"/>
        </w:rPr>
        <w:t>停车场设有</w:t>
      </w:r>
      <w:r>
        <w:rPr>
          <w:rFonts w:hint="default" w:cs="Times New Roman"/>
          <w:color w:val="auto"/>
          <w:sz w:val="24"/>
          <w:szCs w:val="24"/>
          <w:highlight w:val="none"/>
          <w:lang w:val="en-US" w:eastAsia="zh-CN"/>
        </w:rPr>
        <w:t>250</w:t>
      </w:r>
      <w:r>
        <w:rPr>
          <w:rFonts w:hint="default" w:ascii="Times New Roman" w:hAnsi="Times New Roman" w:cs="Times New Roman"/>
          <w:color w:val="auto"/>
          <w:sz w:val="24"/>
          <w:szCs w:val="24"/>
          <w:highlight w:val="none"/>
          <w:lang w:val="en-US" w:eastAsia="zh-CN"/>
        </w:rPr>
        <w:t>个</w:t>
      </w:r>
      <w:r>
        <w:rPr>
          <w:rFonts w:hint="default" w:ascii="Times New Roman" w:hAnsi="Times New Roman" w:cs="Times New Roman"/>
          <w:color w:val="auto"/>
          <w:sz w:val="24"/>
          <w:szCs w:val="24"/>
          <w:highlight w:val="none"/>
        </w:rPr>
        <w:t>车位</w:t>
      </w:r>
      <w:r>
        <w:rPr>
          <w:rFonts w:hint="default" w:ascii="Times New Roman" w:hAnsi="Times New Roman" w:cs="Times New Roman"/>
          <w:color w:val="auto"/>
          <w:sz w:val="24"/>
          <w:szCs w:val="24"/>
          <w:highlight w:val="none"/>
          <w:lang w:val="en-US" w:eastAsia="zh-CN"/>
        </w:rPr>
        <w:t>，共</w:t>
      </w:r>
      <w:r>
        <w:rPr>
          <w:rFonts w:hint="default" w:cs="Times New Roman"/>
          <w:color w:val="auto"/>
          <w:sz w:val="24"/>
          <w:szCs w:val="24"/>
          <w:highlight w:val="none"/>
          <w:lang w:val="en-US" w:eastAsia="zh-CN"/>
        </w:rPr>
        <w:t>390</w:t>
      </w:r>
      <w:r>
        <w:rPr>
          <w:rFonts w:hint="default" w:ascii="Times New Roman" w:hAnsi="Times New Roman" w:cs="Times New Roman"/>
          <w:color w:val="auto"/>
          <w:sz w:val="24"/>
          <w:szCs w:val="24"/>
          <w:highlight w:val="none"/>
        </w:rPr>
        <w:t>个车位</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可供</w:t>
      </w:r>
      <w:r>
        <w:rPr>
          <w:rFonts w:hint="default" w:cs="Times New Roman"/>
          <w:color w:val="auto"/>
          <w:sz w:val="24"/>
          <w:szCs w:val="24"/>
          <w:highlight w:val="none"/>
          <w:lang w:val="en-US" w:eastAsia="zh-CN"/>
        </w:rPr>
        <w:t>390</w:t>
      </w:r>
      <w:r>
        <w:rPr>
          <w:rFonts w:hint="default" w:ascii="Times New Roman" w:hAnsi="Times New Roman" w:cs="Times New Roman"/>
          <w:color w:val="auto"/>
          <w:sz w:val="24"/>
          <w:szCs w:val="24"/>
          <w:highlight w:val="none"/>
        </w:rPr>
        <w:t>辆车停放。按机动车停放点离出口平均100m路程，每辆车每天进出1次计，则每个车位车辆日总行程200m。污染物排放系数参考《</w:t>
      </w:r>
      <w:bookmarkStart w:id="73" w:name="OLE_LINK19"/>
      <w:bookmarkStart w:id="74" w:name="OLE_LINK20"/>
      <w:r>
        <w:rPr>
          <w:rFonts w:hint="default" w:ascii="Times New Roman" w:hAnsi="Times New Roman" w:cs="Times New Roman"/>
          <w:color w:val="auto"/>
          <w:sz w:val="24"/>
          <w:szCs w:val="24"/>
          <w:highlight w:val="none"/>
        </w:rPr>
        <w:t>轻型汽车污染物排放限值及测量方法（中国III、IV阶段）</w:t>
      </w:r>
      <w:bookmarkEnd w:id="73"/>
      <w:bookmarkEnd w:id="74"/>
      <w:r>
        <w:rPr>
          <w:rFonts w:hint="default" w:ascii="Times New Roman" w:hAnsi="Times New Roman" w:cs="Times New Roman"/>
          <w:color w:val="auto"/>
          <w:sz w:val="24"/>
          <w:szCs w:val="24"/>
          <w:highlight w:val="none"/>
        </w:rPr>
        <w:t>》（GB1835.3-2005）III阶段</w:t>
      </w:r>
      <w:bookmarkStart w:id="75" w:name="OLE_LINK10"/>
      <w:r>
        <w:rPr>
          <w:rFonts w:hint="default" w:ascii="Times New Roman" w:hAnsi="Times New Roman" w:cs="Times New Roman"/>
          <w:color w:val="auto"/>
          <w:sz w:val="24"/>
          <w:szCs w:val="24"/>
          <w:highlight w:val="none"/>
        </w:rPr>
        <w:t>第一类车</w:t>
      </w:r>
      <w:bookmarkEnd w:id="75"/>
      <w:r>
        <w:rPr>
          <w:rFonts w:hint="default" w:ascii="Times New Roman" w:hAnsi="Times New Roman" w:cs="Times New Roman"/>
          <w:color w:val="auto"/>
          <w:sz w:val="24"/>
          <w:szCs w:val="24"/>
          <w:highlight w:val="none"/>
        </w:rPr>
        <w:t>I型试验排放限值。（注：</w:t>
      </w:r>
      <w:r>
        <w:rPr>
          <w:rFonts w:hint="default" w:ascii="Times New Roman" w:hAnsi="Times New Roman" w:cs="Times New Roman"/>
          <w:bCs/>
          <w:color w:val="auto"/>
          <w:sz w:val="24"/>
          <w:szCs w:val="24"/>
          <w:highlight w:val="none"/>
        </w:rPr>
        <w:t>GB18352.3-2005定义的</w:t>
      </w:r>
      <w:r>
        <w:rPr>
          <w:rFonts w:hint="default" w:ascii="Times New Roman" w:hAnsi="Times New Roman" w:cs="Times New Roman"/>
          <w:color w:val="auto"/>
          <w:sz w:val="24"/>
          <w:szCs w:val="24"/>
          <w:highlight w:val="none"/>
        </w:rPr>
        <w:t>第一类车即指包括驾驶员座位在内，座位数不超过六座，且最大总质量不超过2500kg的载客汽车。）</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具体计算如下表所示。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b/>
          <w:color w:val="auto"/>
          <w:szCs w:val="24"/>
          <w:highlight w:val="none"/>
          <w:u w:val="none" w:color="auto"/>
        </w:rPr>
      </w:pPr>
      <w:r>
        <w:rPr>
          <w:rFonts w:hint="default" w:ascii="Times New Roman" w:hAnsi="Times New Roman"/>
          <w:b/>
          <w:color w:val="auto"/>
          <w:szCs w:val="24"/>
          <w:highlight w:val="none"/>
          <w:u w:val="none" w:color="auto"/>
        </w:rPr>
        <w:t>表</w:t>
      </w:r>
      <w:r>
        <w:rPr>
          <w:rFonts w:hint="default"/>
          <w:b/>
          <w:color w:val="auto"/>
          <w:szCs w:val="24"/>
          <w:highlight w:val="none"/>
          <w:u w:val="none" w:color="auto"/>
          <w:lang w:val="en-US" w:eastAsia="zh-CN"/>
        </w:rPr>
        <w:t>3.2-7</w:t>
      </w:r>
      <w:r>
        <w:rPr>
          <w:rFonts w:hint="default" w:ascii="Times New Roman" w:hAnsi="Times New Roman"/>
          <w:b/>
          <w:color w:val="auto"/>
          <w:szCs w:val="24"/>
          <w:highlight w:val="none"/>
          <w:u w:val="none" w:color="auto"/>
        </w:rPr>
        <w:t>机动车尾气污染物排放情况表</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763"/>
        <w:gridCol w:w="1884"/>
        <w:gridCol w:w="1862"/>
        <w:gridCol w:w="20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1621"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bookmarkStart w:id="76" w:name="OLE_LINK32"/>
            <w:r>
              <w:rPr>
                <w:rFonts w:hint="default" w:ascii="Times New Roman" w:hAnsi="Times New Roman" w:cs="Times New Roman"/>
                <w:b w:val="0"/>
                <w:bCs/>
                <w:color w:val="auto"/>
                <w:sz w:val="21"/>
                <w:szCs w:val="21"/>
                <w:highlight w:val="none"/>
              </w:rPr>
              <w:t>污染物</w:t>
            </w:r>
          </w:p>
        </w:tc>
        <w:tc>
          <w:tcPr>
            <w:tcW w:w="1105"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CO</w:t>
            </w:r>
          </w:p>
        </w:tc>
        <w:tc>
          <w:tcPr>
            <w:tcW w:w="1092"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HC</w:t>
            </w:r>
          </w:p>
        </w:tc>
        <w:tc>
          <w:tcPr>
            <w:tcW w:w="1179"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NO</w:t>
            </w:r>
            <w:r>
              <w:rPr>
                <w:rFonts w:hint="default" w:ascii="Times New Roman" w:hAnsi="Times New Roman" w:cs="Times New Roman"/>
                <w:b w:val="0"/>
                <w:bCs/>
                <w:color w:val="auto"/>
                <w:sz w:val="21"/>
                <w:szCs w:val="21"/>
                <w:highlight w:val="none"/>
                <w:vertAlign w:val="subscript"/>
              </w:rPr>
              <w:t>x</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4" w:hRule="exact"/>
        </w:trPr>
        <w:tc>
          <w:tcPr>
            <w:tcW w:w="1621"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排放系数（g/辆•km）</w:t>
            </w:r>
          </w:p>
        </w:tc>
        <w:tc>
          <w:tcPr>
            <w:tcW w:w="1105"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2.30</w:t>
            </w:r>
          </w:p>
        </w:tc>
        <w:tc>
          <w:tcPr>
            <w:tcW w:w="1092"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0.20</w:t>
            </w:r>
          </w:p>
        </w:tc>
        <w:tc>
          <w:tcPr>
            <w:tcW w:w="1179"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1621"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日排放量（kg/d）</w:t>
            </w:r>
          </w:p>
        </w:tc>
        <w:tc>
          <w:tcPr>
            <w:tcW w:w="1105" w:type="pct"/>
            <w:noWrap w:val="0"/>
            <w:vAlign w:val="center"/>
          </w:tcPr>
          <w:p>
            <w:pPr>
              <w:jc w:val="center"/>
              <w:rPr>
                <w:rFonts w:hint="default" w:ascii="Times New Roman" w:hAnsi="Times New Roman" w:eastAsia="宋体" w:cs="Times New Roman"/>
                <w:b w:val="0"/>
                <w:bCs/>
                <w:color w:val="auto"/>
                <w:szCs w:val="21"/>
                <w:highlight w:val="none"/>
                <w:lang w:val="en-US" w:eastAsia="zh-CN"/>
              </w:rPr>
            </w:pPr>
            <w:r>
              <w:rPr>
                <w:rFonts w:hint="default" w:cs="Times New Roman"/>
                <w:b w:val="0"/>
                <w:bCs/>
                <w:color w:val="auto"/>
                <w:szCs w:val="21"/>
                <w:highlight w:val="none"/>
                <w:lang w:val="en-US" w:eastAsia="zh-CN"/>
              </w:rPr>
              <w:t>0.1794</w:t>
            </w:r>
          </w:p>
        </w:tc>
        <w:tc>
          <w:tcPr>
            <w:tcW w:w="1092" w:type="pct"/>
            <w:noWrap w:val="0"/>
            <w:vAlign w:val="center"/>
          </w:tcPr>
          <w:p>
            <w:pPr>
              <w:jc w:val="center"/>
              <w:rPr>
                <w:rFonts w:hint="default" w:ascii="Times New Roman" w:hAnsi="Times New Roman" w:eastAsia="宋体" w:cs="Times New Roman"/>
                <w:b w:val="0"/>
                <w:bCs/>
                <w:color w:val="auto"/>
                <w:szCs w:val="21"/>
                <w:highlight w:val="none"/>
                <w:lang w:val="en-US" w:eastAsia="zh-CN"/>
              </w:rPr>
            </w:pPr>
            <w:r>
              <w:rPr>
                <w:rFonts w:hint="default" w:cs="Times New Roman"/>
                <w:b w:val="0"/>
                <w:bCs/>
                <w:color w:val="auto"/>
                <w:szCs w:val="21"/>
                <w:highlight w:val="none"/>
                <w:lang w:val="en-US" w:eastAsia="zh-CN"/>
              </w:rPr>
              <w:t>0.0156</w:t>
            </w:r>
          </w:p>
        </w:tc>
        <w:tc>
          <w:tcPr>
            <w:tcW w:w="1179" w:type="pct"/>
            <w:noWrap w:val="0"/>
            <w:vAlign w:val="center"/>
          </w:tcPr>
          <w:p>
            <w:pPr>
              <w:jc w:val="center"/>
              <w:rPr>
                <w:rFonts w:hint="default" w:ascii="Times New Roman" w:hAnsi="Times New Roman" w:eastAsia="宋体" w:cs="Times New Roman"/>
                <w:b w:val="0"/>
                <w:bCs/>
                <w:color w:val="auto"/>
                <w:szCs w:val="21"/>
                <w:highlight w:val="none"/>
                <w:lang w:val="en-US" w:eastAsia="zh-CN"/>
              </w:rPr>
            </w:pPr>
            <w:r>
              <w:rPr>
                <w:rFonts w:hint="default" w:cs="Times New Roman"/>
                <w:b w:val="0"/>
                <w:bCs/>
                <w:color w:val="auto"/>
                <w:szCs w:val="21"/>
                <w:highlight w:val="none"/>
                <w:lang w:val="en-US" w:eastAsia="zh-CN"/>
              </w:rPr>
              <w:t>0.0117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1621" w:type="pct"/>
            <w:noWrap w:val="0"/>
            <w:vAlign w:val="center"/>
          </w:tcPr>
          <w:p>
            <w:pPr>
              <w:pStyle w:val="44"/>
              <w:adjustRightInd w:val="0"/>
              <w:snapToGrid w:val="0"/>
              <w:spacing w:line="240" w:lineRule="auto"/>
              <w:ind w:firstLine="0" w:firstLineChars="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年排放量（t/a）</w:t>
            </w:r>
          </w:p>
        </w:tc>
        <w:tc>
          <w:tcPr>
            <w:tcW w:w="1105" w:type="pct"/>
            <w:noWrap w:val="0"/>
            <w:vAlign w:val="center"/>
          </w:tcPr>
          <w:p>
            <w:pPr>
              <w:jc w:val="center"/>
              <w:rPr>
                <w:rFonts w:hint="default" w:ascii="Times New Roman" w:hAnsi="Times New Roman" w:eastAsia="宋体" w:cs="Times New Roman"/>
                <w:b w:val="0"/>
                <w:bCs/>
                <w:color w:val="auto"/>
                <w:szCs w:val="21"/>
                <w:highlight w:val="none"/>
                <w:lang w:val="en-US" w:eastAsia="zh-CN"/>
              </w:rPr>
            </w:pPr>
            <w:r>
              <w:rPr>
                <w:rFonts w:hint="default" w:cs="Times New Roman"/>
                <w:b w:val="0"/>
                <w:bCs/>
                <w:color w:val="auto"/>
                <w:szCs w:val="21"/>
                <w:highlight w:val="none"/>
                <w:lang w:val="en-US" w:eastAsia="zh-CN"/>
              </w:rPr>
              <w:t>0.065</w:t>
            </w:r>
          </w:p>
        </w:tc>
        <w:tc>
          <w:tcPr>
            <w:tcW w:w="1092" w:type="pct"/>
            <w:noWrap w:val="0"/>
            <w:vAlign w:val="center"/>
          </w:tcPr>
          <w:p>
            <w:pPr>
              <w:jc w:val="center"/>
              <w:rPr>
                <w:rFonts w:hint="default" w:ascii="Times New Roman" w:hAnsi="Times New Roman" w:eastAsia="宋体" w:cs="Times New Roman"/>
                <w:b w:val="0"/>
                <w:bCs/>
                <w:color w:val="auto"/>
                <w:szCs w:val="21"/>
                <w:highlight w:val="none"/>
                <w:lang w:val="en-US" w:eastAsia="zh-CN"/>
              </w:rPr>
            </w:pPr>
            <w:r>
              <w:rPr>
                <w:rFonts w:hint="default" w:cs="Times New Roman"/>
                <w:b w:val="0"/>
                <w:bCs/>
                <w:color w:val="auto"/>
                <w:szCs w:val="21"/>
                <w:highlight w:val="none"/>
                <w:lang w:val="en-US" w:eastAsia="zh-CN"/>
              </w:rPr>
              <w:t>0.006</w:t>
            </w:r>
          </w:p>
        </w:tc>
        <w:tc>
          <w:tcPr>
            <w:tcW w:w="1179" w:type="pct"/>
            <w:noWrap w:val="0"/>
            <w:vAlign w:val="center"/>
          </w:tcPr>
          <w:p>
            <w:pPr>
              <w:jc w:val="center"/>
              <w:rPr>
                <w:rFonts w:hint="default" w:ascii="Times New Roman" w:hAnsi="Times New Roman" w:eastAsia="宋体" w:cs="Times New Roman"/>
                <w:b w:val="0"/>
                <w:bCs/>
                <w:color w:val="auto"/>
                <w:szCs w:val="21"/>
                <w:highlight w:val="none"/>
                <w:lang w:val="en-US" w:eastAsia="zh-CN"/>
              </w:rPr>
            </w:pPr>
            <w:r>
              <w:rPr>
                <w:rFonts w:hint="default" w:cs="Times New Roman"/>
                <w:b w:val="0"/>
                <w:bCs/>
                <w:color w:val="auto"/>
                <w:szCs w:val="21"/>
                <w:highlight w:val="none"/>
                <w:lang w:val="en-US" w:eastAsia="zh-CN"/>
              </w:rPr>
              <w:t>0.004</w:t>
            </w:r>
          </w:p>
        </w:tc>
      </w:tr>
      <w:bookmarkEnd w:id="76"/>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3.2.2.2废水</w:t>
      </w:r>
    </w:p>
    <w:p>
      <w:pPr>
        <w:snapToGrid w:val="0"/>
        <w:spacing w:line="360" w:lineRule="auto"/>
        <w:ind w:firstLine="489" w:firstLineChars="204"/>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①生活污水</w:t>
      </w:r>
    </w:p>
    <w:p>
      <w:pPr>
        <w:snapToGrid w:val="0"/>
        <w:spacing w:line="360" w:lineRule="auto"/>
        <w:ind w:firstLine="489" w:firstLineChars="204"/>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本项目生活污水来源于游客、商业建筑、景区管理人员。项目用水定额及具体计算见下表。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b/>
          <w:color w:val="auto"/>
          <w:szCs w:val="24"/>
          <w:highlight w:val="none"/>
          <w:u w:val="none" w:color="auto"/>
        </w:rPr>
      </w:pPr>
      <w:r>
        <w:rPr>
          <w:rFonts w:hint="default" w:ascii="Times New Roman" w:hAnsi="Times New Roman"/>
          <w:b/>
          <w:color w:val="auto"/>
          <w:szCs w:val="24"/>
          <w:highlight w:val="none"/>
          <w:u w:val="none" w:color="auto"/>
        </w:rPr>
        <w:t>表</w:t>
      </w:r>
      <w:r>
        <w:rPr>
          <w:rFonts w:hint="default"/>
          <w:b/>
          <w:color w:val="auto"/>
          <w:szCs w:val="24"/>
          <w:highlight w:val="none"/>
          <w:u w:val="none" w:color="auto"/>
          <w:lang w:val="en-US" w:eastAsia="zh-CN"/>
        </w:rPr>
        <w:t>3.2-8</w:t>
      </w:r>
      <w:r>
        <w:rPr>
          <w:rFonts w:hint="default" w:ascii="Times New Roman" w:hAnsi="Times New Roman"/>
          <w:b/>
          <w:color w:val="auto"/>
          <w:szCs w:val="24"/>
          <w:highlight w:val="none"/>
          <w:u w:val="none" w:color="auto"/>
        </w:rPr>
        <w:t>工程运营期用水及污水产生量一览表</w:t>
      </w:r>
    </w:p>
    <w:tbl>
      <w:tblPr>
        <w:tblStyle w:val="22"/>
        <w:tblW w:w="518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39"/>
        <w:gridCol w:w="1652"/>
        <w:gridCol w:w="1305"/>
        <w:gridCol w:w="1429"/>
        <w:gridCol w:w="945"/>
        <w:gridCol w:w="663"/>
        <w:gridCol w:w="12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2"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类别</w:t>
            </w:r>
          </w:p>
        </w:tc>
        <w:tc>
          <w:tcPr>
            <w:tcW w:w="955"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用水对象</w:t>
            </w:r>
          </w:p>
        </w:tc>
        <w:tc>
          <w:tcPr>
            <w:tcW w:w="754"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规模</w:t>
            </w:r>
          </w:p>
        </w:tc>
        <w:tc>
          <w:tcPr>
            <w:tcW w:w="826"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用水量定额</w:t>
            </w:r>
          </w:p>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（最高日)</w:t>
            </w:r>
          </w:p>
        </w:tc>
        <w:tc>
          <w:tcPr>
            <w:tcW w:w="546"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日用水量</w:t>
            </w:r>
          </w:p>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(t/d)</w:t>
            </w:r>
          </w:p>
        </w:tc>
        <w:tc>
          <w:tcPr>
            <w:tcW w:w="383"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排放系数</w:t>
            </w:r>
          </w:p>
        </w:tc>
        <w:tc>
          <w:tcPr>
            <w:tcW w:w="701"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日产生量</w:t>
            </w:r>
          </w:p>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32" w:type="pct"/>
            <w:vMerge w:val="restar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生活</w:t>
            </w:r>
          </w:p>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用水</w:t>
            </w:r>
          </w:p>
        </w:tc>
        <w:tc>
          <w:tcPr>
            <w:tcW w:w="1646"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left"/>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1、景区管理人员</w:t>
            </w:r>
          </w:p>
        </w:tc>
        <w:tc>
          <w:tcPr>
            <w:tcW w:w="130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val="en-US" w:eastAsia="zh-CN"/>
              </w:rPr>
              <w:t>50</w:t>
            </w:r>
            <w:r>
              <w:rPr>
                <w:rFonts w:hint="default" w:ascii="Times New Roman" w:hAnsi="Times New Roman" w:cs="Times New Roman"/>
                <w:b w:val="0"/>
                <w:bCs w:val="0"/>
                <w:color w:val="auto"/>
                <w:szCs w:val="21"/>
                <w:highlight w:val="none"/>
                <w:u w:val="none"/>
              </w:rPr>
              <w:t>人</w:t>
            </w:r>
          </w:p>
        </w:tc>
        <w:tc>
          <w:tcPr>
            <w:tcW w:w="1424"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45L/人•d</w:t>
            </w:r>
          </w:p>
        </w:tc>
        <w:tc>
          <w:tcPr>
            <w:tcW w:w="94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2.25</w:t>
            </w:r>
          </w:p>
        </w:tc>
        <w:tc>
          <w:tcPr>
            <w:tcW w:w="66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80%</w:t>
            </w:r>
          </w:p>
        </w:tc>
        <w:tc>
          <w:tcPr>
            <w:tcW w:w="1209"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8" w:hRule="atLeast"/>
          <w:jc w:val="center"/>
        </w:trPr>
        <w:tc>
          <w:tcPr>
            <w:tcW w:w="832"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0"/>
              <w:jc w:val="center"/>
              <w:textAlignment w:val="auto"/>
              <w:rPr>
                <w:rFonts w:hint="default" w:ascii="Times New Roman" w:hAnsi="Times New Roman" w:cs="Times New Roman"/>
                <w:b w:val="0"/>
                <w:bCs w:val="0"/>
                <w:color w:val="auto"/>
                <w:szCs w:val="21"/>
                <w:highlight w:val="none"/>
              </w:rPr>
            </w:pPr>
          </w:p>
        </w:tc>
        <w:tc>
          <w:tcPr>
            <w:tcW w:w="1646"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left"/>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val="en-US" w:eastAsia="zh-CN"/>
              </w:rPr>
              <w:t>2</w:t>
            </w:r>
            <w:r>
              <w:rPr>
                <w:rFonts w:hint="default" w:ascii="Times New Roman" w:hAnsi="Times New Roman" w:cs="Times New Roman"/>
                <w:b w:val="0"/>
                <w:bCs w:val="0"/>
                <w:color w:val="auto"/>
                <w:szCs w:val="21"/>
                <w:highlight w:val="none"/>
                <w:u w:val="none"/>
              </w:rPr>
              <w:t>、商业建筑</w:t>
            </w:r>
          </w:p>
        </w:tc>
        <w:tc>
          <w:tcPr>
            <w:tcW w:w="130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val="en-US" w:eastAsia="zh-CN"/>
              </w:rPr>
              <w:t>3846.72</w:t>
            </w:r>
            <w:r>
              <w:rPr>
                <w:rFonts w:hint="default" w:ascii="Times New Roman" w:hAnsi="Times New Roman" w:cs="Times New Roman"/>
                <w:b w:val="0"/>
                <w:bCs w:val="0"/>
                <w:color w:val="auto"/>
                <w:szCs w:val="21"/>
                <w:highlight w:val="none"/>
                <w:u w:val="none"/>
              </w:rPr>
              <w:t>m</w:t>
            </w:r>
            <w:r>
              <w:rPr>
                <w:rFonts w:hint="default" w:ascii="Times New Roman" w:hAnsi="Times New Roman" w:cs="Times New Roman"/>
                <w:b w:val="0"/>
                <w:bCs w:val="0"/>
                <w:color w:val="auto"/>
                <w:szCs w:val="21"/>
                <w:highlight w:val="none"/>
                <w:u w:val="none"/>
                <w:vertAlign w:val="superscript"/>
              </w:rPr>
              <w:t>2</w:t>
            </w:r>
          </w:p>
        </w:tc>
        <w:tc>
          <w:tcPr>
            <w:tcW w:w="1424"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20L/m</w:t>
            </w:r>
            <w:r>
              <w:rPr>
                <w:rFonts w:hint="default" w:ascii="Times New Roman" w:hAnsi="Times New Roman" w:cs="Times New Roman"/>
                <w:b w:val="0"/>
                <w:bCs w:val="0"/>
                <w:color w:val="auto"/>
                <w:szCs w:val="21"/>
                <w:highlight w:val="none"/>
                <w:u w:val="none"/>
                <w:vertAlign w:val="superscript"/>
              </w:rPr>
              <w:t>2</w:t>
            </w:r>
            <w:r>
              <w:rPr>
                <w:rFonts w:hint="default" w:ascii="Times New Roman" w:hAnsi="Times New Roman" w:cs="Times New Roman"/>
                <w:b w:val="0"/>
                <w:bCs w:val="0"/>
                <w:color w:val="auto"/>
                <w:szCs w:val="21"/>
                <w:highlight w:val="none"/>
                <w:u w:val="none"/>
              </w:rPr>
              <w:t>·d</w:t>
            </w:r>
          </w:p>
        </w:tc>
        <w:tc>
          <w:tcPr>
            <w:tcW w:w="94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76.93</w:t>
            </w:r>
          </w:p>
        </w:tc>
        <w:tc>
          <w:tcPr>
            <w:tcW w:w="66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80%</w:t>
            </w:r>
          </w:p>
        </w:tc>
        <w:tc>
          <w:tcPr>
            <w:tcW w:w="1209"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61.54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2"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0"/>
              <w:jc w:val="center"/>
              <w:textAlignment w:val="auto"/>
              <w:rPr>
                <w:rFonts w:hint="default" w:ascii="Times New Roman" w:hAnsi="Times New Roman" w:cs="Times New Roman"/>
                <w:b w:val="0"/>
                <w:bCs w:val="0"/>
                <w:color w:val="auto"/>
                <w:szCs w:val="21"/>
                <w:highlight w:val="none"/>
              </w:rPr>
            </w:pPr>
          </w:p>
        </w:tc>
        <w:tc>
          <w:tcPr>
            <w:tcW w:w="1646"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left"/>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3、游客</w:t>
            </w:r>
          </w:p>
        </w:tc>
        <w:tc>
          <w:tcPr>
            <w:tcW w:w="130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1200人</w:t>
            </w:r>
          </w:p>
        </w:tc>
        <w:tc>
          <w:tcPr>
            <w:tcW w:w="1424"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45L/人•d</w:t>
            </w:r>
          </w:p>
        </w:tc>
        <w:tc>
          <w:tcPr>
            <w:tcW w:w="94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54</w:t>
            </w:r>
          </w:p>
        </w:tc>
        <w:tc>
          <w:tcPr>
            <w:tcW w:w="66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80%</w:t>
            </w:r>
          </w:p>
        </w:tc>
        <w:tc>
          <w:tcPr>
            <w:tcW w:w="1209"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43.2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2" w:type="pct"/>
            <w:vMerge w:val="restar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非生活用水</w:t>
            </w:r>
          </w:p>
        </w:tc>
        <w:tc>
          <w:tcPr>
            <w:tcW w:w="1646"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left"/>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u w:val="none"/>
                <w:lang w:val="en-US" w:eastAsia="zh-CN"/>
              </w:rPr>
              <w:t>4、</w:t>
            </w:r>
            <w:r>
              <w:rPr>
                <w:rFonts w:hint="default" w:ascii="Times New Roman" w:hAnsi="Times New Roman" w:cs="Times New Roman"/>
                <w:b w:val="0"/>
                <w:bCs w:val="0"/>
                <w:color w:val="auto"/>
                <w:szCs w:val="21"/>
                <w:highlight w:val="none"/>
                <w:u w:val="none"/>
              </w:rPr>
              <w:t>绿化用水</w:t>
            </w:r>
          </w:p>
        </w:tc>
        <w:tc>
          <w:tcPr>
            <w:tcW w:w="130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u w:val="none"/>
              </w:rPr>
              <w:t>约9475m</w:t>
            </w:r>
            <w:r>
              <w:rPr>
                <w:rFonts w:hint="default" w:ascii="Times New Roman" w:hAnsi="Times New Roman" w:cs="Times New Roman"/>
                <w:b w:val="0"/>
                <w:bCs w:val="0"/>
                <w:color w:val="auto"/>
                <w:szCs w:val="21"/>
                <w:highlight w:val="none"/>
                <w:u w:val="none"/>
                <w:vertAlign w:val="superscript"/>
              </w:rPr>
              <w:t>2</w:t>
            </w:r>
          </w:p>
        </w:tc>
        <w:tc>
          <w:tcPr>
            <w:tcW w:w="1424"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u w:val="none"/>
              </w:rPr>
              <w:t>2L/m</w:t>
            </w:r>
            <w:r>
              <w:rPr>
                <w:rFonts w:hint="default" w:ascii="Times New Roman" w:hAnsi="Times New Roman" w:cs="Times New Roman"/>
                <w:b w:val="0"/>
                <w:bCs w:val="0"/>
                <w:color w:val="auto"/>
                <w:szCs w:val="21"/>
                <w:highlight w:val="none"/>
                <w:u w:val="none"/>
                <w:vertAlign w:val="superscript"/>
              </w:rPr>
              <w:t>2</w:t>
            </w:r>
            <w:r>
              <w:rPr>
                <w:rFonts w:hint="default" w:ascii="Times New Roman" w:hAnsi="Times New Roman" w:cs="Times New Roman"/>
                <w:b w:val="0"/>
                <w:bCs w:val="0"/>
                <w:color w:val="auto"/>
                <w:szCs w:val="21"/>
                <w:highlight w:val="none"/>
                <w:u w:val="none"/>
              </w:rPr>
              <w:t>·d</w:t>
            </w:r>
          </w:p>
        </w:tc>
        <w:tc>
          <w:tcPr>
            <w:tcW w:w="94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cs="Times New Roman"/>
                <w:b w:val="0"/>
                <w:bCs w:val="0"/>
                <w:color w:val="auto"/>
                <w:szCs w:val="21"/>
                <w:highlight w:val="none"/>
                <w:lang w:val="en-US" w:eastAsia="zh-CN"/>
              </w:rPr>
              <w:t>18.95</w:t>
            </w:r>
          </w:p>
        </w:tc>
        <w:tc>
          <w:tcPr>
            <w:tcW w:w="66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cs="Times New Roman"/>
                <w:b w:val="0"/>
                <w:bCs w:val="0"/>
                <w:color w:val="auto"/>
                <w:szCs w:val="21"/>
                <w:highlight w:val="none"/>
                <w:u w:val="none"/>
              </w:rPr>
              <w:t>--</w:t>
            </w:r>
          </w:p>
        </w:tc>
        <w:tc>
          <w:tcPr>
            <w:tcW w:w="1209"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cs="Times New Roman"/>
                <w:b w:val="0"/>
                <w:bCs w:val="0"/>
                <w:color w:val="auto"/>
                <w:szCs w:val="21"/>
                <w:highlight w:val="none"/>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2" w:type="pct"/>
            <w:vMerge w:val="continue"/>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p>
        </w:tc>
        <w:tc>
          <w:tcPr>
            <w:tcW w:w="1646"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left"/>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5、</w:t>
            </w:r>
            <w:r>
              <w:rPr>
                <w:rFonts w:hint="default" w:ascii="Times New Roman" w:hAnsi="Times New Roman" w:cs="Times New Roman"/>
                <w:b w:val="0"/>
                <w:bCs w:val="0"/>
                <w:color w:val="auto"/>
                <w:szCs w:val="21"/>
                <w:highlight w:val="none"/>
              </w:rPr>
              <w:t>清扫道路和广场</w:t>
            </w:r>
          </w:p>
        </w:tc>
        <w:tc>
          <w:tcPr>
            <w:tcW w:w="130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约5670</w:t>
            </w:r>
            <w:r>
              <w:rPr>
                <w:rFonts w:hint="default" w:ascii="Times New Roman" w:hAnsi="Times New Roman" w:cs="Times New Roman"/>
                <w:b w:val="0"/>
                <w:bCs w:val="0"/>
                <w:color w:val="auto"/>
                <w:szCs w:val="21"/>
                <w:highlight w:val="none"/>
                <w:u w:val="none"/>
              </w:rPr>
              <w:t>m</w:t>
            </w:r>
            <w:r>
              <w:rPr>
                <w:rFonts w:hint="default" w:ascii="Times New Roman" w:hAnsi="Times New Roman" w:cs="Times New Roman"/>
                <w:b w:val="0"/>
                <w:bCs w:val="0"/>
                <w:color w:val="auto"/>
                <w:szCs w:val="21"/>
                <w:highlight w:val="none"/>
                <w:u w:val="none"/>
                <w:vertAlign w:val="superscript"/>
              </w:rPr>
              <w:t>2</w:t>
            </w:r>
          </w:p>
        </w:tc>
        <w:tc>
          <w:tcPr>
            <w:tcW w:w="1424"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rPr>
              <w:t>1.2L/m</w:t>
            </w:r>
            <w:r>
              <w:rPr>
                <w:rFonts w:hint="default" w:ascii="Times New Roman" w:hAnsi="Times New Roman" w:cs="Times New Roman"/>
                <w:b w:val="0"/>
                <w:bCs w:val="0"/>
                <w:color w:val="auto"/>
                <w:szCs w:val="21"/>
                <w:highlight w:val="none"/>
                <w:vertAlign w:val="superscript"/>
              </w:rPr>
              <w:t>2</w:t>
            </w:r>
            <w:r>
              <w:rPr>
                <w:rFonts w:hint="default" w:ascii="Times New Roman" w:hAnsi="Times New Roman" w:cs="Times New Roman"/>
                <w:b w:val="0"/>
                <w:bCs w:val="0"/>
                <w:color w:val="auto"/>
                <w:szCs w:val="21"/>
                <w:highlight w:val="none"/>
              </w:rPr>
              <w:t>·d</w:t>
            </w:r>
          </w:p>
        </w:tc>
        <w:tc>
          <w:tcPr>
            <w:tcW w:w="94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lang w:val="en-US" w:eastAsia="zh-CN"/>
              </w:rPr>
            </w:pPr>
            <w:r>
              <w:rPr>
                <w:rFonts w:hint="default" w:ascii="Times New Roman" w:hAnsi="Times New Roman" w:cs="Times New Roman"/>
                <w:b w:val="0"/>
                <w:bCs w:val="0"/>
                <w:color w:val="auto"/>
                <w:szCs w:val="21"/>
                <w:highlight w:val="none"/>
                <w:lang w:val="en-US" w:eastAsia="zh-CN"/>
              </w:rPr>
              <w:t>6.8</w:t>
            </w:r>
          </w:p>
        </w:tc>
        <w:tc>
          <w:tcPr>
            <w:tcW w:w="661"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w:t>
            </w:r>
          </w:p>
        </w:tc>
        <w:tc>
          <w:tcPr>
            <w:tcW w:w="1209" w:type="dxa"/>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87" w:type="pct"/>
            <w:gridSpan w:val="2"/>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总计</w:t>
            </w:r>
          </w:p>
        </w:tc>
        <w:tc>
          <w:tcPr>
            <w:tcW w:w="754"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w:t>
            </w:r>
          </w:p>
        </w:tc>
        <w:tc>
          <w:tcPr>
            <w:tcW w:w="826"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w:t>
            </w:r>
          </w:p>
        </w:tc>
        <w:tc>
          <w:tcPr>
            <w:tcW w:w="546"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cs="Times New Roman"/>
                <w:b w:val="0"/>
                <w:bCs w:val="0"/>
                <w:color w:val="auto"/>
                <w:szCs w:val="21"/>
                <w:highlight w:val="none"/>
                <w:lang w:val="en-US" w:eastAsia="zh-CN"/>
              </w:rPr>
              <w:t>158.93</w:t>
            </w:r>
          </w:p>
        </w:tc>
        <w:tc>
          <w:tcPr>
            <w:tcW w:w="383"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w:t>
            </w:r>
          </w:p>
        </w:tc>
        <w:tc>
          <w:tcPr>
            <w:tcW w:w="701" w:type="pct"/>
            <w:tcBorders>
              <w:tl2br w:val="nil"/>
              <w:tr2bl w:val="nil"/>
            </w:tcBorders>
            <w:noWrap w:val="0"/>
            <w:vAlign w:val="center"/>
          </w:tcPr>
          <w:p>
            <w:pPr>
              <w:pStyle w:val="12"/>
              <w:keepNext w:val="0"/>
              <w:keepLines w:val="0"/>
              <w:pageBreakBefore w:val="0"/>
              <w:kinsoku/>
              <w:wordWrap/>
              <w:overflowPunct/>
              <w:topLinePunct w:val="0"/>
              <w:autoSpaceDE/>
              <w:autoSpaceDN/>
              <w:bidi w:val="0"/>
              <w:adjustRightInd w:val="0"/>
              <w:snapToGrid w:val="0"/>
              <w:spacing w:after="0"/>
              <w:ind w:left="0" w:leftChars="0" w:firstLine="0"/>
              <w:jc w:val="center"/>
              <w:textAlignment w:val="auto"/>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cs="Times New Roman"/>
                <w:b w:val="0"/>
                <w:bCs w:val="0"/>
                <w:color w:val="auto"/>
                <w:szCs w:val="21"/>
                <w:highlight w:val="none"/>
                <w:lang w:val="en-US" w:eastAsia="zh-CN"/>
              </w:rPr>
              <w:t>106.54</w:t>
            </w:r>
          </w:p>
        </w:tc>
      </w:tr>
    </w:tbl>
    <w:p>
      <w:pPr>
        <w:snapToGrid w:val="0"/>
        <w:spacing w:line="360" w:lineRule="auto"/>
        <w:ind w:firstLine="489" w:firstLineChars="204"/>
        <w:rPr>
          <w:rFonts w:hint="default" w:ascii="Times New Roman" w:hAnsi="Times New Roman" w:cs="Times New Roman"/>
          <w:color w:val="auto"/>
          <w:sz w:val="24"/>
          <w:szCs w:val="24"/>
          <w:highlight w:val="none"/>
          <w:lang w:val="en-US" w:eastAsia="zh-CN"/>
        </w:rPr>
      </w:pPr>
      <w:r>
        <w:rPr>
          <w:rFonts w:hint="default" w:cs="Times New Roman"/>
          <w:color w:val="auto"/>
          <w:sz w:val="24"/>
          <w:szCs w:val="24"/>
          <w:highlight w:val="none"/>
          <w:lang w:val="en-US" w:eastAsia="zh-CN"/>
        </w:rPr>
        <w:t>综上，项目生活污水产生量为106.54</w:t>
      </w:r>
      <w:r>
        <w:rPr>
          <w:rFonts w:hint="default" w:ascii="Times New Roman" w:hAnsi="Times New Roman" w:cs="Times New Roman"/>
          <w:color w:val="auto"/>
          <w:sz w:val="24"/>
          <w:szCs w:val="24"/>
          <w:highlight w:val="none"/>
          <w:u w:val="none"/>
        </w:rPr>
        <w:t>t/d</w:t>
      </w:r>
      <w:r>
        <w:rPr>
          <w:rFonts w:hint="default" w:ascii="Times New Roman" w:hAnsi="Times New Roman" w:cs="Times New Roman"/>
          <w:color w:val="auto"/>
          <w:sz w:val="24"/>
          <w:szCs w:val="24"/>
          <w:highlight w:val="none"/>
          <w:u w:val="none"/>
          <w:lang w:eastAsia="zh-CN"/>
        </w:rPr>
        <w:t>（</w:t>
      </w:r>
      <w:r>
        <w:rPr>
          <w:rFonts w:hint="default" w:cs="Times New Roman"/>
          <w:color w:val="auto"/>
          <w:sz w:val="24"/>
          <w:szCs w:val="24"/>
          <w:highlight w:val="none"/>
          <w:lang w:val="en-US" w:eastAsia="zh-CN"/>
        </w:rPr>
        <w:t>38887.1</w:t>
      </w:r>
      <w:r>
        <w:rPr>
          <w:rFonts w:hint="default" w:ascii="Times New Roman" w:hAnsi="Times New Roman" w:cs="Times New Roman"/>
          <w:color w:val="auto"/>
          <w:sz w:val="24"/>
          <w:szCs w:val="24"/>
          <w:highlight w:val="none"/>
          <w:u w:val="none"/>
        </w:rPr>
        <w:t>t/a</w:t>
      </w:r>
      <w:r>
        <w:rPr>
          <w:rFonts w:hint="default" w:ascii="Times New Roman" w:hAnsi="Times New Roman" w:cs="Times New Roman"/>
          <w:color w:val="auto"/>
          <w:sz w:val="24"/>
          <w:szCs w:val="24"/>
          <w:highlight w:val="none"/>
          <w:u w:val="none"/>
          <w:lang w:eastAsia="zh-CN"/>
        </w:rPr>
        <w:t>）</w:t>
      </w:r>
      <w:r>
        <w:rPr>
          <w:rFonts w:hint="default" w:cs="Times New Roman"/>
          <w:color w:val="auto"/>
          <w:sz w:val="24"/>
          <w:szCs w:val="24"/>
          <w:highlight w:val="none"/>
          <w:u w:val="none"/>
          <w:lang w:eastAsia="zh-CN"/>
        </w:rPr>
        <w:t>，</w:t>
      </w:r>
      <w:r>
        <w:rPr>
          <w:rFonts w:hint="default" w:ascii="Times New Roman" w:hAnsi="Times New Roman" w:cs="Times New Roman"/>
          <w:color w:val="auto"/>
          <w:sz w:val="24"/>
          <w:szCs w:val="24"/>
          <w:highlight w:val="none"/>
          <w:lang w:val="en-US" w:eastAsia="zh-CN"/>
        </w:rPr>
        <w:t>生活污水水质较简单，废水中各污染物浓度情况：COD：380mg/L、BOD</w:t>
      </w:r>
      <w:r>
        <w:rPr>
          <w:rFonts w:hint="default" w:ascii="Times New Roman" w:hAnsi="Times New Roman" w:cs="Times New Roman"/>
          <w:color w:val="auto"/>
          <w:sz w:val="24"/>
          <w:szCs w:val="24"/>
          <w:highlight w:val="none"/>
          <w:vertAlign w:val="subscript"/>
          <w:lang w:val="en-US" w:eastAsia="zh-CN"/>
        </w:rPr>
        <w:t>5</w:t>
      </w:r>
      <w:r>
        <w:rPr>
          <w:rFonts w:hint="default" w:ascii="Times New Roman" w:hAnsi="Times New Roman" w:cs="Times New Roman"/>
          <w:color w:val="auto"/>
          <w:sz w:val="24"/>
          <w:szCs w:val="24"/>
          <w:highlight w:val="none"/>
          <w:lang w:val="en-US" w:eastAsia="zh-CN"/>
        </w:rPr>
        <w:t>：200mg/L、SS：250mg/L、NH</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lang w:val="en-US" w:eastAsia="zh-CN"/>
        </w:rPr>
        <w:t>-N：38mg/L、动植物油20mg/L。</w:t>
      </w:r>
    </w:p>
    <w:p>
      <w:pPr>
        <w:snapToGrid w:val="0"/>
        <w:spacing w:line="360" w:lineRule="auto"/>
        <w:ind w:firstLine="489" w:firstLineChars="204"/>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项目湘江东岸区域</w:t>
      </w:r>
      <w:r>
        <w:rPr>
          <w:rFonts w:hint="default" w:ascii="Times New Roman" w:hAnsi="Times New Roman" w:cs="Times New Roman"/>
          <w:color w:val="auto"/>
          <w:sz w:val="24"/>
          <w:szCs w:val="24"/>
          <w:highlight w:val="none"/>
        </w:rPr>
        <w:t>生活污水经</w:t>
      </w:r>
      <w:r>
        <w:rPr>
          <w:rFonts w:hint="default" w:ascii="Times New Roman" w:hAnsi="Times New Roman" w:cs="Times New Roman"/>
          <w:color w:val="auto"/>
          <w:sz w:val="24"/>
          <w:szCs w:val="24"/>
          <w:highlight w:val="none"/>
          <w:lang w:val="en-US" w:eastAsia="zh-CN"/>
        </w:rPr>
        <w:t>隔油池+</w:t>
      </w:r>
      <w:r>
        <w:rPr>
          <w:rFonts w:hint="default" w:ascii="Times New Roman" w:hAnsi="Times New Roman" w:cs="Times New Roman"/>
          <w:color w:val="auto"/>
          <w:sz w:val="24"/>
          <w:szCs w:val="24"/>
          <w:highlight w:val="none"/>
        </w:rPr>
        <w:t>化粪池预处理后达到《污水综合排放标准》（GB8978-1996）表中三级标准后</w:t>
      </w:r>
      <w:r>
        <w:rPr>
          <w:rFonts w:hint="default" w:cs="Times New Roman"/>
          <w:color w:val="auto"/>
          <w:sz w:val="24"/>
          <w:szCs w:val="24"/>
          <w:highlight w:val="none"/>
          <w:lang w:val="en-US" w:eastAsia="zh-CN"/>
        </w:rPr>
        <w:t>排入市政管网</w:t>
      </w:r>
      <w:r>
        <w:rPr>
          <w:rFonts w:hint="default" w:ascii="Times New Roman" w:hAnsi="Times New Roman" w:cs="Times New Roman"/>
          <w:color w:val="auto"/>
          <w:sz w:val="24"/>
          <w:szCs w:val="24"/>
          <w:highlight w:val="none"/>
        </w:rPr>
        <w:t>进入</w:t>
      </w:r>
      <w:r>
        <w:rPr>
          <w:rFonts w:hint="default" w:ascii="Times New Roman" w:hAnsi="Times New Roman" w:cs="Times New Roman"/>
          <w:color w:val="auto"/>
          <w:sz w:val="24"/>
          <w:szCs w:val="24"/>
          <w:highlight w:val="none"/>
          <w:lang w:val="en-US" w:eastAsia="zh-CN"/>
        </w:rPr>
        <w:t>江东</w:t>
      </w:r>
      <w:r>
        <w:rPr>
          <w:rFonts w:hint="default" w:ascii="Times New Roman" w:hAnsi="Times New Roman" w:cs="Times New Roman"/>
          <w:color w:val="auto"/>
          <w:sz w:val="24"/>
          <w:szCs w:val="24"/>
          <w:highlight w:val="none"/>
        </w:rPr>
        <w:t>污水处理厂进行深度处理。</w:t>
      </w:r>
      <w:r>
        <w:rPr>
          <w:rFonts w:hint="default" w:ascii="Times New Roman" w:hAnsi="Times New Roman" w:cs="Times New Roman"/>
          <w:color w:val="auto"/>
          <w:sz w:val="24"/>
          <w:szCs w:val="24"/>
          <w:highlight w:val="none"/>
          <w:lang w:val="en-US" w:eastAsia="zh-CN"/>
        </w:rPr>
        <w:t>东洲岛内生活污水</w:t>
      </w:r>
      <w:r>
        <w:rPr>
          <w:rFonts w:hint="default" w:ascii="Times New Roman" w:hAnsi="Times New Roman" w:cs="Times New Roman"/>
          <w:color w:val="auto"/>
          <w:sz w:val="24"/>
          <w:szCs w:val="24"/>
          <w:highlight w:val="none"/>
        </w:rPr>
        <w:t>依托东洲岛现有已建污水处理设施（地下式污水处理站+无动力地埋分散式厌氧净化处理系统）处理后达到《污水综合排放标准》（GB8978-1996）一级标准要求，回用于岛上绿化不外排</w:t>
      </w:r>
      <w:r>
        <w:rPr>
          <w:rFonts w:hint="eastAsia" w:cs="Times New Roman"/>
          <w:color w:val="auto"/>
          <w:sz w:val="24"/>
          <w:szCs w:val="24"/>
          <w:highlight w:val="none"/>
          <w:lang w:eastAsia="zh-CN"/>
        </w:rPr>
        <w:t>。</w:t>
      </w:r>
    </w:p>
    <w:p>
      <w:pPr>
        <w:snapToGrid w:val="0"/>
        <w:spacing w:line="360" w:lineRule="auto"/>
        <w:ind w:firstLine="489" w:firstLineChars="204"/>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rPr>
        <w:t>根据污水排放量及处理前后污染物浓度，估算出项目的污染物排放量见</w:t>
      </w:r>
      <w:r>
        <w:rPr>
          <w:rFonts w:hint="default" w:ascii="Times New Roman" w:hAnsi="Times New Roman" w:cs="Times New Roman"/>
          <w:color w:val="auto"/>
          <w:sz w:val="24"/>
          <w:szCs w:val="24"/>
          <w:highlight w:val="none"/>
          <w:lang w:val="en-US" w:eastAsia="zh-CN"/>
        </w:rPr>
        <w:t>下</w:t>
      </w:r>
      <w:r>
        <w:rPr>
          <w:rFonts w:hint="default" w:ascii="Times New Roman" w:hAnsi="Times New Roman" w:cs="Times New Roman"/>
          <w:color w:val="auto"/>
          <w:sz w:val="24"/>
          <w:szCs w:val="24"/>
          <w:highlight w:val="none"/>
        </w:rPr>
        <w:t>表</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b/>
          <w:color w:val="auto"/>
          <w:szCs w:val="24"/>
          <w:highlight w:val="none"/>
          <w:u w:val="none" w:color="auto"/>
        </w:rPr>
      </w:pPr>
      <w:r>
        <w:rPr>
          <w:rFonts w:hint="default" w:ascii="Times New Roman" w:hAnsi="Times New Roman"/>
          <w:b/>
          <w:color w:val="auto"/>
          <w:szCs w:val="24"/>
          <w:highlight w:val="none"/>
          <w:u w:val="none" w:color="auto"/>
        </w:rPr>
        <w:t>表</w:t>
      </w:r>
      <w:r>
        <w:rPr>
          <w:rFonts w:hint="default"/>
          <w:b/>
          <w:color w:val="auto"/>
          <w:szCs w:val="24"/>
          <w:highlight w:val="none"/>
          <w:u w:val="none" w:color="auto"/>
          <w:lang w:val="en-US" w:eastAsia="zh-CN"/>
        </w:rPr>
        <w:t xml:space="preserve">3.2-9 </w:t>
      </w:r>
      <w:r>
        <w:rPr>
          <w:rFonts w:hint="default" w:ascii="Times New Roman" w:hAnsi="Times New Roman"/>
          <w:b/>
          <w:color w:val="auto"/>
          <w:szCs w:val="24"/>
          <w:highlight w:val="none"/>
          <w:u w:val="none" w:color="auto"/>
        </w:rPr>
        <w:t>生活污水产排污情况统计表</w:t>
      </w:r>
    </w:p>
    <w:tbl>
      <w:tblPr>
        <w:tblStyle w:val="4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80"/>
        <w:gridCol w:w="1567"/>
        <w:gridCol w:w="1332"/>
        <w:gridCol w:w="1334"/>
        <w:gridCol w:w="1312"/>
        <w:gridCol w:w="13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17" w:hRule="exact"/>
        </w:trPr>
        <w:tc>
          <w:tcPr>
            <w:tcW w:w="888"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污水排放量</w:t>
            </w:r>
          </w:p>
        </w:tc>
        <w:tc>
          <w:tcPr>
            <w:tcW w:w="940"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污染因子</w:t>
            </w:r>
          </w:p>
        </w:tc>
        <w:tc>
          <w:tcPr>
            <w:tcW w:w="1599" w:type="pct"/>
            <w:gridSpan w:val="2"/>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处理前</w:t>
            </w:r>
          </w:p>
        </w:tc>
        <w:tc>
          <w:tcPr>
            <w:tcW w:w="1573" w:type="pct"/>
            <w:gridSpan w:val="2"/>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7" w:hRule="exact"/>
        </w:trPr>
        <w:tc>
          <w:tcPr>
            <w:tcW w:w="88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1"/>
                <w:szCs w:val="21"/>
                <w:highlight w:val="none"/>
                <w:lang w:eastAsia="en-US"/>
              </w:rPr>
            </w:pPr>
          </w:p>
        </w:tc>
        <w:tc>
          <w:tcPr>
            <w:tcW w:w="9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1"/>
                <w:szCs w:val="21"/>
                <w:highlight w:val="none"/>
                <w:lang w:eastAsia="en-US"/>
              </w:rPr>
            </w:pPr>
          </w:p>
        </w:tc>
        <w:tc>
          <w:tcPr>
            <w:tcW w:w="799"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浓度(mg/L)</w:t>
            </w:r>
          </w:p>
        </w:tc>
        <w:tc>
          <w:tcPr>
            <w:tcW w:w="800"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产生量(t/a)</w:t>
            </w:r>
          </w:p>
        </w:tc>
        <w:tc>
          <w:tcPr>
            <w:tcW w:w="787"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浓度(mg/L)</w:t>
            </w:r>
          </w:p>
        </w:tc>
        <w:tc>
          <w:tcPr>
            <w:tcW w:w="786"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7" w:hRule="exact"/>
        </w:trPr>
        <w:tc>
          <w:tcPr>
            <w:tcW w:w="888"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u w:val="none"/>
                <w:lang w:val="en-US" w:eastAsia="zh-CN" w:bidi="ar-SA"/>
              </w:rPr>
              <w:t>38887.1</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position w:val="7"/>
                <w:sz w:val="21"/>
                <w:szCs w:val="21"/>
                <w:highlight w:val="none"/>
                <w:vertAlign w:val="superscript"/>
              </w:rPr>
              <w:t>3</w:t>
            </w:r>
            <w:r>
              <w:rPr>
                <w:rFonts w:hint="default" w:ascii="Times New Roman" w:hAnsi="Times New Roman" w:eastAsia="宋体" w:cs="Times New Roman"/>
                <w:color w:val="auto"/>
                <w:sz w:val="21"/>
                <w:szCs w:val="21"/>
                <w:highlight w:val="none"/>
              </w:rPr>
              <w:t>/a</w:t>
            </w:r>
          </w:p>
        </w:tc>
        <w:tc>
          <w:tcPr>
            <w:tcW w:w="940"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133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380</w:t>
            </w:r>
          </w:p>
        </w:tc>
        <w:tc>
          <w:tcPr>
            <w:tcW w:w="133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14.78 </w:t>
            </w:r>
          </w:p>
        </w:tc>
        <w:tc>
          <w:tcPr>
            <w:tcW w:w="131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350</w:t>
            </w:r>
          </w:p>
        </w:tc>
        <w:tc>
          <w:tcPr>
            <w:tcW w:w="131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13.61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7" w:hRule="exact"/>
        </w:trPr>
        <w:tc>
          <w:tcPr>
            <w:tcW w:w="88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eastAsia="en-US"/>
              </w:rPr>
            </w:pPr>
          </w:p>
        </w:tc>
        <w:tc>
          <w:tcPr>
            <w:tcW w:w="940"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2"/>
                <w:sz w:val="21"/>
                <w:szCs w:val="21"/>
                <w:highlight w:val="none"/>
              </w:rPr>
              <w:t>BOD</w:t>
            </w:r>
            <w:r>
              <w:rPr>
                <w:rFonts w:hint="default" w:ascii="Times New Roman" w:hAnsi="Times New Roman" w:eastAsia="宋体" w:cs="Times New Roman"/>
                <w:color w:val="auto"/>
                <w:sz w:val="21"/>
                <w:szCs w:val="21"/>
                <w:highlight w:val="none"/>
              </w:rPr>
              <w:t>5</w:t>
            </w:r>
          </w:p>
        </w:tc>
        <w:tc>
          <w:tcPr>
            <w:tcW w:w="133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133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7.78 </w:t>
            </w:r>
          </w:p>
        </w:tc>
        <w:tc>
          <w:tcPr>
            <w:tcW w:w="131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170</w:t>
            </w:r>
          </w:p>
        </w:tc>
        <w:tc>
          <w:tcPr>
            <w:tcW w:w="131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6.61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7" w:hRule="exact"/>
        </w:trPr>
        <w:tc>
          <w:tcPr>
            <w:tcW w:w="88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eastAsia="en-US"/>
              </w:rPr>
            </w:pPr>
          </w:p>
        </w:tc>
        <w:tc>
          <w:tcPr>
            <w:tcW w:w="940"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SS</w:t>
            </w:r>
          </w:p>
        </w:tc>
        <w:tc>
          <w:tcPr>
            <w:tcW w:w="133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133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9.72 </w:t>
            </w:r>
          </w:p>
        </w:tc>
        <w:tc>
          <w:tcPr>
            <w:tcW w:w="131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131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7.78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7" w:hRule="exact"/>
        </w:trPr>
        <w:tc>
          <w:tcPr>
            <w:tcW w:w="88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eastAsia="en-US"/>
              </w:rPr>
            </w:pPr>
          </w:p>
        </w:tc>
        <w:tc>
          <w:tcPr>
            <w:tcW w:w="940"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position w:val="2"/>
                <w:sz w:val="21"/>
                <w:szCs w:val="21"/>
                <w:highlight w:val="none"/>
              </w:rPr>
              <w:t>NH</w:t>
            </w:r>
            <w:r>
              <w:rPr>
                <w:rFonts w:hint="default" w:ascii="Times New Roman" w:hAnsi="Times New Roman" w:eastAsia="宋体" w:cs="Times New Roman"/>
                <w:color w:val="auto"/>
                <w:spacing w:val="-1"/>
                <w:sz w:val="21"/>
                <w:szCs w:val="21"/>
                <w:highlight w:val="none"/>
              </w:rPr>
              <w:t>3</w:t>
            </w:r>
            <w:r>
              <w:rPr>
                <w:rFonts w:hint="default" w:ascii="Times New Roman" w:hAnsi="Times New Roman" w:eastAsia="宋体" w:cs="Times New Roman"/>
                <w:color w:val="auto"/>
                <w:spacing w:val="-1"/>
                <w:position w:val="2"/>
                <w:sz w:val="21"/>
                <w:szCs w:val="21"/>
                <w:highlight w:val="none"/>
              </w:rPr>
              <w:t>-N</w:t>
            </w:r>
          </w:p>
        </w:tc>
        <w:tc>
          <w:tcPr>
            <w:tcW w:w="133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133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1.48 </w:t>
            </w:r>
          </w:p>
        </w:tc>
        <w:tc>
          <w:tcPr>
            <w:tcW w:w="131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31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1.36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17" w:hRule="exact"/>
        </w:trPr>
        <w:tc>
          <w:tcPr>
            <w:tcW w:w="88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eastAsia="en-US"/>
              </w:rPr>
            </w:pPr>
          </w:p>
        </w:tc>
        <w:tc>
          <w:tcPr>
            <w:tcW w:w="940"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动植物油</w:t>
            </w:r>
          </w:p>
        </w:tc>
        <w:tc>
          <w:tcPr>
            <w:tcW w:w="133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33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0.78 </w:t>
            </w:r>
          </w:p>
        </w:tc>
        <w:tc>
          <w:tcPr>
            <w:tcW w:w="131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31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0.58 </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jc w:val="center"/>
        <w:textAlignment w:val="auto"/>
        <w:outlineLvl w:val="9"/>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object>
          <v:shape id="_x0000_i1027" o:spt="75" type="#_x0000_t75" style="height:199pt;width:415.3pt;" o:ole="t" filled="f" o:preferrelative="t" stroked="f" coordsize="21600,21600">
            <v:path/>
            <v:fill on="f" focussize="0,0"/>
            <v:stroke on="f"/>
            <v:imagedata r:id="rId43" o:title=""/>
            <o:lock v:ext="edit" aspectratio="f"/>
            <w10:wrap type="none"/>
            <w10:anchorlock/>
          </v:shape>
          <o:OLEObject Type="Embed" ProgID="Visio.Drawing.15" ShapeID="_x0000_i1027" DrawAspect="Content" ObjectID="_1468075727" r:id="rId42">
            <o:LockedField>false</o:LockedField>
          </o:OLEObject>
        </w:object>
      </w:r>
      <w:r>
        <w:rPr>
          <w:rFonts w:hint="default" w:ascii="Times New Roman" w:hAnsi="Times New Roman" w:cs="Times New Roman" w:eastAsiaTheme="minorEastAsia"/>
          <w:b/>
          <w:bCs/>
          <w:color w:val="auto"/>
          <w:sz w:val="21"/>
          <w:szCs w:val="21"/>
          <w:lang w:val="en-US" w:eastAsia="zh-CN"/>
        </w:rPr>
        <w:t xml:space="preserve">图3.2-2 运营期水平衡图  </w:t>
      </w:r>
      <w:r>
        <w:rPr>
          <w:rFonts w:hint="default" w:ascii="Times New Roman" w:hAnsi="Times New Roman" w:cs="Times New Roman" w:eastAsiaTheme="minorEastAsia"/>
          <w:color w:val="auto"/>
          <w:sz w:val="21"/>
          <w:szCs w:val="21"/>
          <w:lang w:val="en-US" w:eastAsia="zh-CN"/>
        </w:rPr>
        <w:t>单位：</w:t>
      </w:r>
      <w:r>
        <w:rPr>
          <w:rFonts w:hint="default" w:ascii="Times New Roman" w:hAnsi="Times New Roman" w:cs="Times New Roman" w:eastAsiaTheme="minorEastAsia"/>
          <w:color w:val="auto"/>
          <w:sz w:val="21"/>
          <w:szCs w:val="21"/>
          <w:highlight w:val="none"/>
        </w:rPr>
        <w:t>m</w:t>
      </w:r>
      <w:r>
        <w:rPr>
          <w:rFonts w:hint="default" w:ascii="Times New Roman" w:hAnsi="Times New Roman" w:cs="Times New Roman" w:eastAsiaTheme="minorEastAsia"/>
          <w:color w:val="auto"/>
          <w:sz w:val="21"/>
          <w:szCs w:val="21"/>
          <w:highlight w:val="none"/>
          <w:vertAlign w:val="superscript"/>
        </w:rPr>
        <w:t>3</w:t>
      </w:r>
      <w:r>
        <w:rPr>
          <w:rFonts w:hint="default" w:ascii="Times New Roman" w:hAnsi="Times New Roman" w:cs="Times New Roman" w:eastAsiaTheme="minorEastAsia"/>
          <w:color w:val="auto"/>
          <w:sz w:val="21"/>
          <w:szCs w:val="21"/>
          <w:highlight w:val="none"/>
        </w:rPr>
        <w:t>/d</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3.2.2.3噪声</w:t>
      </w:r>
    </w:p>
    <w:p>
      <w:pPr>
        <w:snapToGrid w:val="0"/>
        <w:spacing w:line="360" w:lineRule="auto"/>
        <w:ind w:firstLine="489" w:firstLineChars="204"/>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本项目运营期产生的主要噪声为人群活动，本项目噪声源强见下表。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b/>
          <w:color w:val="auto"/>
          <w:szCs w:val="24"/>
          <w:highlight w:val="none"/>
          <w:u w:val="none" w:color="auto"/>
          <w:lang w:val="en-US" w:eastAsia="zh-CN"/>
        </w:rPr>
      </w:pPr>
      <w:r>
        <w:rPr>
          <w:rFonts w:hint="default" w:ascii="Times New Roman" w:hAnsi="Times New Roman"/>
          <w:b/>
          <w:color w:val="auto"/>
          <w:szCs w:val="24"/>
          <w:highlight w:val="none"/>
          <w:u w:val="none" w:color="auto"/>
        </w:rPr>
        <w:t>表</w:t>
      </w:r>
      <w:r>
        <w:rPr>
          <w:rFonts w:hint="default"/>
          <w:b/>
          <w:color w:val="auto"/>
          <w:szCs w:val="24"/>
          <w:highlight w:val="none"/>
          <w:u w:val="none" w:color="auto"/>
          <w:lang w:val="en-US" w:eastAsia="zh-CN"/>
        </w:rPr>
        <w:t>3.2-10  噪声源强</w:t>
      </w:r>
    </w:p>
    <w:tbl>
      <w:tblPr>
        <w:tblStyle w:val="42"/>
        <w:tblW w:w="503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918"/>
        <w:gridCol w:w="3265"/>
        <w:gridCol w:w="32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17" w:hRule="exact"/>
        </w:trPr>
        <w:tc>
          <w:tcPr>
            <w:tcW w:w="1142"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序号</w:t>
            </w:r>
          </w:p>
        </w:tc>
        <w:tc>
          <w:tcPr>
            <w:tcW w:w="1944"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噪声源</w:t>
            </w:r>
          </w:p>
        </w:tc>
        <w:tc>
          <w:tcPr>
            <w:tcW w:w="1913"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单台设备平均声级（dB）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0" w:hRule="exact"/>
        </w:trPr>
        <w:tc>
          <w:tcPr>
            <w:tcW w:w="1142"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1944"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人群活动</w:t>
            </w:r>
          </w:p>
        </w:tc>
        <w:tc>
          <w:tcPr>
            <w:tcW w:w="1913"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56-65</w:t>
            </w:r>
          </w:p>
        </w:tc>
      </w:tr>
    </w:tbl>
    <w:p>
      <w:pPr>
        <w:keepNext w:val="0"/>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480" w:firstLineChars="200"/>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如上所示，本项目噪声平均声级较低，经过绿化等降噪措施后，产生的噪声影响较小。</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3.2.2.4固废</w:t>
      </w:r>
    </w:p>
    <w:p>
      <w:pPr>
        <w:snapToGrid w:val="0"/>
        <w:spacing w:line="360" w:lineRule="auto"/>
        <w:ind w:firstLine="489" w:firstLineChars="204"/>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本项目运营期主要污染物为游客垃圾及化粪池中污泥。</w:t>
      </w:r>
    </w:p>
    <w:p>
      <w:pPr>
        <w:snapToGrid w:val="0"/>
        <w:spacing w:line="360" w:lineRule="auto"/>
        <w:ind w:firstLine="489" w:firstLineChars="204"/>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①生活垃圾</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生活垃圾主要来源于管理人员和游客，根据我国城市垃圾产生量统计，常住人员人均产生垃圾量为lkg/人·d，游客生活垃圾按0.5kg/人·d计。本项目管理人员按</w:t>
      </w:r>
      <w:r>
        <w:rPr>
          <w:rFonts w:hint="default"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0人考虑，游客按高峰期</w:t>
      </w:r>
      <w:r>
        <w:rPr>
          <w:rFonts w:hint="default" w:cs="Times New Roman"/>
          <w:color w:val="auto"/>
          <w:sz w:val="24"/>
          <w:szCs w:val="24"/>
          <w:highlight w:val="none"/>
          <w:lang w:val="en-US" w:eastAsia="zh-CN"/>
        </w:rPr>
        <w:t>1700</w:t>
      </w:r>
      <w:r>
        <w:rPr>
          <w:rFonts w:hint="default" w:ascii="Times New Roman" w:hAnsi="Times New Roman" w:cs="Times New Roman"/>
          <w:color w:val="auto"/>
          <w:sz w:val="24"/>
          <w:szCs w:val="24"/>
          <w:highlight w:val="none"/>
        </w:rPr>
        <w:t>人/d计算，则本项目生活垃圾总产生量为</w:t>
      </w:r>
      <w:r>
        <w:rPr>
          <w:rFonts w:hint="default" w:cs="Times New Roman"/>
          <w:color w:val="auto"/>
          <w:sz w:val="24"/>
          <w:szCs w:val="24"/>
          <w:highlight w:val="none"/>
          <w:lang w:val="en-US" w:eastAsia="zh-CN"/>
        </w:rPr>
        <w:t>900</w:t>
      </w:r>
      <w:r>
        <w:rPr>
          <w:rFonts w:hint="default" w:ascii="Times New Roman" w:hAnsi="Times New Roman" w:cs="Times New Roman"/>
          <w:color w:val="auto"/>
          <w:sz w:val="24"/>
          <w:szCs w:val="24"/>
          <w:highlight w:val="none"/>
        </w:rPr>
        <w:t>kg/d(</w:t>
      </w:r>
      <w:r>
        <w:rPr>
          <w:rFonts w:hint="default" w:cs="Times New Roman"/>
          <w:color w:val="auto"/>
          <w:sz w:val="24"/>
          <w:szCs w:val="24"/>
          <w:highlight w:val="none"/>
          <w:lang w:val="en-US" w:eastAsia="zh-CN"/>
        </w:rPr>
        <w:t>328.5</w:t>
      </w:r>
      <w:r>
        <w:rPr>
          <w:rFonts w:hint="default" w:ascii="Times New Roman" w:hAnsi="Times New Roman" w:cs="Times New Roman"/>
          <w:color w:val="auto"/>
          <w:sz w:val="24"/>
          <w:szCs w:val="24"/>
          <w:highlight w:val="none"/>
        </w:rPr>
        <w:t>t/a)。</w:t>
      </w:r>
    </w:p>
    <w:p>
      <w:pPr>
        <w:snapToGrid w:val="0"/>
        <w:spacing w:line="360" w:lineRule="auto"/>
        <w:ind w:firstLine="489" w:firstLineChars="204"/>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②化粪池污泥</w:t>
      </w:r>
    </w:p>
    <w:p>
      <w:pPr>
        <w:snapToGrid w:val="0"/>
        <w:spacing w:line="360" w:lineRule="auto"/>
        <w:ind w:firstLine="489" w:firstLineChars="204"/>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化粪池污泥产生量按照废水产生量的0.05%计算，本项目废水产生总量为39617.1</w:t>
      </w:r>
      <w:r>
        <w:rPr>
          <w:rFonts w:hint="default" w:ascii="Times New Roman" w:hAnsi="Times New Roman" w:cs="Times New Roman"/>
          <w:color w:val="auto"/>
          <w:sz w:val="24"/>
          <w:szCs w:val="24"/>
          <w:highlight w:val="none"/>
          <w:u w:val="none"/>
        </w:rPr>
        <w:t>t/a</w:t>
      </w:r>
      <w:r>
        <w:rPr>
          <w:rFonts w:hint="default" w:cs="Times New Roman"/>
          <w:color w:val="auto"/>
          <w:sz w:val="24"/>
          <w:szCs w:val="24"/>
          <w:highlight w:val="none"/>
          <w:u w:val="none"/>
          <w:lang w:eastAsia="zh-CN"/>
        </w:rPr>
        <w:t>，</w:t>
      </w:r>
      <w:r>
        <w:rPr>
          <w:rFonts w:hint="default" w:cs="Times New Roman"/>
          <w:color w:val="auto"/>
          <w:sz w:val="24"/>
          <w:szCs w:val="24"/>
          <w:highlight w:val="none"/>
          <w:u w:val="none"/>
          <w:lang w:val="en-US" w:eastAsia="zh-CN"/>
        </w:rPr>
        <w:t>则化粪池污泥的产生量为19.8</w:t>
      </w:r>
      <w:r>
        <w:rPr>
          <w:rFonts w:hint="default" w:ascii="Times New Roman" w:hAnsi="Times New Roman" w:cs="Times New Roman"/>
          <w:color w:val="auto"/>
          <w:sz w:val="24"/>
          <w:szCs w:val="24"/>
          <w:highlight w:val="none"/>
          <w:u w:val="none"/>
        </w:rPr>
        <w:t>t/a</w:t>
      </w:r>
      <w:r>
        <w:rPr>
          <w:rFonts w:hint="default" w:cs="Times New Roman"/>
          <w:color w:val="auto"/>
          <w:sz w:val="24"/>
          <w:szCs w:val="24"/>
          <w:highlight w:val="none"/>
          <w:lang w:val="en-US" w:eastAsia="zh-CN"/>
        </w:rPr>
        <w:t>。化粪池污泥作为一般固废，交由环卫部门处理。</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3.2.2.5生态环境影响</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color w:val="auto"/>
          <w:kern w:val="0"/>
          <w:sz w:val="24"/>
          <w:szCs w:val="24"/>
          <w:highlight w:val="none"/>
          <w:lang w:val="en-US" w:eastAsia="zh-CN" w:bidi="ar"/>
        </w:rPr>
      </w:pPr>
      <w:bookmarkStart w:id="77" w:name="_Toc7784"/>
      <w:r>
        <w:rPr>
          <w:rFonts w:hint="default" w:ascii="Times New Roman" w:hAnsi="Times New Roman" w:eastAsia="宋体" w:cs="Times New Roman"/>
          <w:color w:val="auto"/>
          <w:kern w:val="0"/>
          <w:sz w:val="24"/>
          <w:szCs w:val="24"/>
          <w:highlight w:val="none"/>
          <w:lang w:val="en-US" w:eastAsia="zh-CN" w:bidi="ar"/>
        </w:rPr>
        <w:t>运行期对</w:t>
      </w:r>
      <w:r>
        <w:rPr>
          <w:rFonts w:hint="default" w:cs="Times New Roman"/>
          <w:color w:val="auto"/>
          <w:kern w:val="0"/>
          <w:sz w:val="24"/>
          <w:szCs w:val="24"/>
          <w:highlight w:val="none"/>
          <w:lang w:val="en-US" w:eastAsia="zh-CN" w:bidi="ar"/>
        </w:rPr>
        <w:t>生态环境</w:t>
      </w:r>
      <w:r>
        <w:rPr>
          <w:rFonts w:hint="default" w:ascii="Times New Roman" w:hAnsi="Times New Roman" w:eastAsia="宋体" w:cs="Times New Roman"/>
          <w:color w:val="auto"/>
          <w:kern w:val="0"/>
          <w:sz w:val="24"/>
          <w:szCs w:val="24"/>
          <w:highlight w:val="none"/>
          <w:lang w:val="en-US" w:eastAsia="zh-CN" w:bidi="ar"/>
        </w:rPr>
        <w:t>的影响主要表现为噪声、灯光。鱼类容易受到声音、异物等的惊吓</w:t>
      </w:r>
      <w:r>
        <w:rPr>
          <w:rFonts w:hint="default" w:cs="Times New Roman"/>
          <w:color w:val="auto"/>
          <w:kern w:val="0"/>
          <w:sz w:val="24"/>
          <w:szCs w:val="24"/>
          <w:highlight w:val="none"/>
          <w:lang w:val="en-US" w:eastAsia="zh-CN" w:bidi="ar"/>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1"/>
        <w:rPr>
          <w:rFonts w:hint="default" w:cs="Times New Roman"/>
          <w:b/>
          <w:bCs/>
          <w:color w:val="auto"/>
          <w:kern w:val="0"/>
          <w:sz w:val="28"/>
          <w:szCs w:val="28"/>
          <w:highlight w:val="none"/>
          <w:lang w:val="en-US" w:eastAsia="zh-CN"/>
        </w:rPr>
      </w:pPr>
      <w:bookmarkStart w:id="78" w:name="_Toc26169"/>
      <w:r>
        <w:rPr>
          <w:rFonts w:hint="default" w:cs="Times New Roman"/>
          <w:b/>
          <w:bCs/>
          <w:color w:val="auto"/>
          <w:kern w:val="0"/>
          <w:sz w:val="28"/>
          <w:szCs w:val="28"/>
          <w:highlight w:val="none"/>
          <w:lang w:val="en-US" w:eastAsia="zh-CN"/>
        </w:rPr>
        <w:t>3.2.3工程施工方案的环境合理性分析</w:t>
      </w:r>
      <w:bookmarkEnd w:id="78"/>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3.2.3.1施工布置合理性</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施工总布置应遵循因地制宜、有利于生产、方便生活、易于管理、安全经济等原则：（1）尽量减少对附近居民生活影响；（2）施工布置充分考虑施工要求影响。合理利用有利地形，采取就近布置，尽量减少临建工程量；（3）生活设施</w:t>
      </w:r>
      <w:r>
        <w:rPr>
          <w:rFonts w:hint="default" w:cs="Times New Roman"/>
          <w:color w:val="auto"/>
          <w:kern w:val="0"/>
          <w:sz w:val="24"/>
          <w:szCs w:val="24"/>
          <w:highlight w:val="none"/>
          <w:lang w:val="en-US" w:eastAsia="zh-CN" w:bidi="ar"/>
        </w:rPr>
        <w:t>利用</w:t>
      </w:r>
      <w:r>
        <w:rPr>
          <w:rFonts w:hint="default" w:ascii="Times New Roman" w:hAnsi="Times New Roman" w:eastAsia="宋体" w:cs="Times New Roman"/>
          <w:color w:val="auto"/>
          <w:kern w:val="0"/>
          <w:sz w:val="24"/>
          <w:szCs w:val="24"/>
          <w:highlight w:val="none"/>
          <w:lang w:val="en-US" w:eastAsia="zh-CN" w:bidi="ar"/>
        </w:rPr>
        <w:t>附近</w:t>
      </w:r>
      <w:r>
        <w:rPr>
          <w:rFonts w:hint="eastAsia" w:cs="Times New Roman"/>
          <w:color w:val="auto"/>
          <w:kern w:val="0"/>
          <w:sz w:val="24"/>
          <w:szCs w:val="24"/>
          <w:highlight w:val="none"/>
          <w:lang w:val="en-US" w:eastAsia="zh-CN" w:bidi="ar"/>
        </w:rPr>
        <w:t>已有</w:t>
      </w:r>
      <w:r>
        <w:rPr>
          <w:rFonts w:hint="default" w:ascii="Times New Roman" w:hAnsi="Times New Roman" w:eastAsia="宋体" w:cs="Times New Roman"/>
          <w:color w:val="auto"/>
          <w:kern w:val="0"/>
          <w:sz w:val="24"/>
          <w:szCs w:val="24"/>
          <w:highlight w:val="none"/>
          <w:lang w:val="en-US" w:eastAsia="zh-CN" w:bidi="ar"/>
        </w:rPr>
        <w:t>设施。各施工段对外交通较便利</w:t>
      </w:r>
      <w:r>
        <w:rPr>
          <w:rFonts w:hint="default" w:cs="Times New Roman"/>
          <w:color w:val="auto"/>
          <w:kern w:val="0"/>
          <w:sz w:val="24"/>
          <w:szCs w:val="24"/>
          <w:highlight w:val="none"/>
          <w:lang w:val="en-US" w:eastAsia="zh-CN" w:bidi="ar"/>
        </w:rPr>
        <w:t>；（4）</w:t>
      </w:r>
      <w:r>
        <w:rPr>
          <w:rFonts w:hint="default" w:ascii="Times New Roman" w:hAnsi="Times New Roman" w:eastAsia="宋体" w:cs="Times New Roman"/>
          <w:color w:val="auto"/>
          <w:kern w:val="0"/>
          <w:sz w:val="24"/>
          <w:szCs w:val="24"/>
          <w:highlight w:val="none"/>
          <w:lang w:val="en-US" w:eastAsia="zh-CN" w:bidi="ar"/>
        </w:rPr>
        <w:t>本项目涉水施工在枯水季</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从环境角度分析，工程施工布置方案基本合理。</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3.2.3.2取、弃土场合理性分析</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本项目设置1处取土场、1处弃土场，选址均符合取土场、弃土场选址要求，不存在约束性因素，符合水土保持规定。取、弃渣场200m范围周边无公共基础设施及民用建筑等敏感点，不会对周边造成影响。</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color w:val="auto"/>
          <w:kern w:val="0"/>
          <w:sz w:val="24"/>
          <w:szCs w:val="24"/>
          <w:highlight w:val="none"/>
          <w:lang w:val="en-US" w:eastAsia="zh-CN" w:bidi="ar"/>
        </w:rPr>
        <w:t>综上所述，取、弃渣场占地影响相对较小，生物损失量极其有限，在施工中按照水土保持方案提出的各项措施做好相关防护工作、采取适当处理措施，从环境的角度判断基本合理。</w:t>
      </w:r>
    </w:p>
    <w:p>
      <w:pPr>
        <w:keepNext/>
        <w:keepLines w:val="0"/>
        <w:pageBreakBefore w:val="0"/>
        <w:widowControl w:val="0"/>
        <w:numPr>
          <w:ilvl w:val="0"/>
          <w:numId w:val="4"/>
        </w:numPr>
        <w:kinsoku/>
        <w:wordWrap/>
        <w:overflowPunct/>
        <w:topLinePunct w:val="0"/>
        <w:autoSpaceDE/>
        <w:autoSpaceDN/>
        <w:bidi w:val="0"/>
        <w:adjustRightInd/>
        <w:snapToGrid w:val="0"/>
        <w:spacing w:before="120" w:beforeLines="50" w:after="120" w:afterLines="50" w:line="360" w:lineRule="auto"/>
        <w:ind w:left="0"/>
        <w:jc w:val="center"/>
        <w:textAlignment w:val="auto"/>
        <w:outlineLvl w:val="0"/>
        <w:rPr>
          <w:rFonts w:cs="Times New Roman"/>
          <w:b/>
          <w:bCs/>
          <w:color w:val="auto"/>
          <w:kern w:val="44"/>
          <w:sz w:val="32"/>
          <w:szCs w:val="32"/>
          <w:highlight w:val="none"/>
        </w:rPr>
      </w:pPr>
      <w:bookmarkStart w:id="79" w:name="_Toc1054"/>
      <w:r>
        <w:rPr>
          <w:rFonts w:hint="default" w:cs="Times New Roman"/>
          <w:b/>
          <w:bCs/>
          <w:color w:val="auto"/>
          <w:kern w:val="44"/>
          <w:sz w:val="32"/>
          <w:szCs w:val="32"/>
          <w:highlight w:val="none"/>
          <w:lang w:val="en-US" w:eastAsia="zh-CN"/>
        </w:rPr>
        <w:t>环境现状调查与评价</w:t>
      </w:r>
      <w:bookmarkEnd w:id="77"/>
      <w:bookmarkEnd w:id="79"/>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80" w:name="_Toc6931"/>
      <w:bookmarkStart w:id="81" w:name="_Toc21797"/>
      <w:r>
        <w:rPr>
          <w:rFonts w:hint="default" w:cs="Times New Roman"/>
          <w:b/>
          <w:bCs/>
          <w:color w:val="auto"/>
          <w:kern w:val="0"/>
          <w:sz w:val="30"/>
          <w:szCs w:val="30"/>
          <w:highlight w:val="none"/>
          <w:lang w:val="en-US" w:eastAsia="zh-CN"/>
        </w:rPr>
        <w:t>自然环境调查与评价</w:t>
      </w:r>
      <w:bookmarkEnd w:id="80"/>
      <w:bookmarkEnd w:id="81"/>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4.1.1地理位置</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衡阳位于湖南省中南部，湘江中游，衡山之南。地处</w:t>
      </w:r>
      <w:r>
        <w:rPr>
          <w:rFonts w:hint="eastAsia" w:cs="Times New Roman"/>
          <w:color w:val="auto"/>
          <w:kern w:val="0"/>
          <w:sz w:val="24"/>
          <w:szCs w:val="24"/>
          <w:highlight w:val="none"/>
          <w:lang w:val="en-US" w:eastAsia="zh-CN" w:bidi="ar"/>
        </w:rPr>
        <w:t>东经</w:t>
      </w:r>
      <w:r>
        <w:rPr>
          <w:rFonts w:hint="default" w:ascii="Times New Roman" w:hAnsi="Times New Roman" w:eastAsia="宋体" w:cs="Times New Roman"/>
          <w:color w:val="auto"/>
          <w:kern w:val="0"/>
          <w:sz w:val="24"/>
          <w:szCs w:val="24"/>
          <w:highlight w:val="none"/>
          <w:lang w:val="en-US" w:eastAsia="zh-CN" w:bidi="ar"/>
        </w:rPr>
        <w:t>10°32'16"-113°16'32"，北纬26°07'05"-27°28'24"。东邻株洲、攸县、安仁</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南界永兴、桂阳；西接冷水滩、祁阳、东安、邵阳、邵东；北靠双峰、湘潭。南北长150公里、东西宽173公里。衡阳市总面积15310平方公里。衡阳市辖南岳、珠晖、雁峰、石鼓、蒸湘5区，常宁、耒阳2市，衡南、衡阳、衡山、衡东、祁东5县。</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拟建工程项目起点为龙家坪路，终点为冶金中路。项目地理位置示意图见附图1。</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4.1.2地形地貌</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衡阳市处于湖南省凹形面的轴带部分。周围环绕着古老宕层形成的断续环带的岭脊山地，内镶大面积白垩系和下第三系红层的红色丘陵台地，构成典型的盆地形势，构造剥蚀低丘地貌，为</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红层</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低缓丘陵地形。四周环绕着古老岩层形成断续环带的岭脊山地，内镶大面积白垩系和第三系的红色丘陵台地，构成典型的盆地形势，盆地周围高度均在海拔300m以上，且多为超过海拔500m的低山，北、西、南三向有超过海拔1000m的中山。盆地中部广大地区多在海50~100m之间，舂陵河口以下的湘江谷地均在50m以下，形成周边高中间低、南高北低的地势，导致衡阳盆地向心型树枝状辐聚式水系的形成。地貌类型以岗、丘为主，山地占总面积的21%，丘陵占27%，岗地占27%，平原占21%，水域占4%。</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拟建工程位于湘江东洲岛北侧，项目所处位置地势较平坦，河道顺直，水流缓慢，岸坡稳定，河床宽500~600m。</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4.1.</w:t>
      </w:r>
      <w:r>
        <w:rPr>
          <w:rFonts w:hint="default" w:cs="Times New Roman"/>
          <w:b/>
          <w:bCs/>
          <w:color w:val="auto"/>
          <w:kern w:val="0"/>
          <w:sz w:val="28"/>
          <w:szCs w:val="28"/>
          <w:highlight w:val="none"/>
          <w:lang w:val="en-US" w:eastAsia="zh-CN"/>
        </w:rPr>
        <w:t>3</w:t>
      </w:r>
      <w:r>
        <w:rPr>
          <w:rFonts w:hint="default" w:ascii="Times New Roman" w:hAnsi="Times New Roman" w:eastAsia="宋体" w:cs="Times New Roman"/>
          <w:b/>
          <w:bCs/>
          <w:color w:val="auto"/>
          <w:kern w:val="0"/>
          <w:sz w:val="28"/>
          <w:szCs w:val="28"/>
          <w:highlight w:val="none"/>
          <w:lang w:val="en-US" w:eastAsia="zh-CN"/>
        </w:rPr>
        <w:t>气象气候</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所在地属亚热带季风区，气候温和，雨量充沛，四季分明，盛夏初秋易干旱，冬春多低温阴雨，冬季多北风和东北风，春夏季多南风和东南风。据衡阳市气象局统计部门数据，衡阳市历年最高气温40.8℃（1953年），历年最低气温-7.9℃，多年平均气温17.9℃，大于10℃积温5030~5353℃；历年最大风力9级，多年平均风速2.0m/s，历年最大风速20.7m/s，常风向NE频率15%</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多年平均降水日数40d(≥10mm)，13.5d(≥25mm)，3.3d(≥50mm)，雨季跨越时段为4-9月，多年平均降水量1388mm，历年最大降水量1756.1mm(1956年)，最大日降水量149.3mm(1992年6月27日)，多年平均降水天数159d，历年最长连续降水天数18d(1970年，1973年2月~3月)</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多年平均雾日17.8d（发生在冬春两季)，历年最多雾日34d</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历年最大积雪厚度16cm(1969年1月12日)，历年积雪最长持续时间16d(1969年1月)，多年平均降雪天数7.5d</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冬季相对湿度5g/m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，夏季相对湿度10~30g/m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4.1.</w:t>
      </w:r>
      <w:r>
        <w:rPr>
          <w:rFonts w:hint="default" w:cs="Times New Roman"/>
          <w:b/>
          <w:bCs/>
          <w:color w:val="auto"/>
          <w:kern w:val="0"/>
          <w:sz w:val="28"/>
          <w:szCs w:val="28"/>
          <w:highlight w:val="none"/>
          <w:lang w:val="en-US" w:eastAsia="zh-CN"/>
        </w:rPr>
        <w:t>4地质</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地层岩性</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从区域地质图上看，区域内无断层构造通过，从现有钻勘探资料来看，推荐处的地质构造主要为第四纪河湖相沉积层，沉积环境较复杂，欠规律性，层次较紊乱，形成地层结构的复杂性，主要为粘土、淤泥质亚粘土，淤泥质粉细砂夹粘土，粗砂、砂砾卵石层。</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本工程所经区域出露的地层较为简单，据勘察揭露的地层为第四系（Q)和第三系茶山坳组泥岩。第四系（Q)</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填筑土、淤泥、粉质粘土、粉土、圆砾</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第三系茶山坳组泥岩</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强风化泥岩、冲风化泥岩、微风化泥岩。</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区域地质构造</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项目区域构造以喜山期为主，主要有北北东和北北西向两组。场地内及其外侧邻近地段未见有大的断裂构造通过的痕迹，且新构造运动不明显，处于相对稳定状态。</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不良地质现象</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本项目场地钻孔控制深度及范围内未发现岩溶、滑坡、泥石流、危岩及崩塌、采空区、地面沉降等不良工程地质现象。</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根据衡阳地震史记载，衡阳地区自文明史以来从未发生过大于6级的地震。根据国家地震局颁布的《中国地震动参数区划图》(</w:t>
      </w:r>
      <w:r>
        <w:rPr>
          <w:rFonts w:hint="eastAsia" w:cs="Times New Roman"/>
          <w:color w:val="auto"/>
          <w:kern w:val="0"/>
          <w:sz w:val="24"/>
          <w:szCs w:val="24"/>
          <w:highlight w:val="none"/>
          <w:lang w:val="en-US" w:eastAsia="zh-CN" w:bidi="ar"/>
        </w:rPr>
        <w:t>GB 18306-2015</w:t>
      </w:r>
      <w:r>
        <w:rPr>
          <w:rFonts w:hint="default" w:ascii="Times New Roman" w:hAnsi="Times New Roman" w:eastAsia="宋体" w:cs="Times New Roman"/>
          <w:color w:val="auto"/>
          <w:kern w:val="0"/>
          <w:sz w:val="24"/>
          <w:szCs w:val="24"/>
          <w:highlight w:val="none"/>
          <w:lang w:val="en-US" w:eastAsia="zh-CN" w:bidi="ar"/>
        </w:rPr>
        <w:t>)，场地地震动峰值加速a&lt;0.05g，地震动反应谱特征周期Ts=0.35s</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又根据《建筑抗震设计规范》(</w:t>
      </w:r>
      <w:r>
        <w:rPr>
          <w:rFonts w:hint="eastAsia" w:cs="Times New Roman"/>
          <w:color w:val="auto"/>
          <w:kern w:val="0"/>
          <w:sz w:val="24"/>
          <w:szCs w:val="24"/>
          <w:highlight w:val="none"/>
          <w:lang w:val="en-US" w:eastAsia="zh-CN" w:bidi="ar"/>
        </w:rPr>
        <w:t>GB 50011-2010[2016年版]</w:t>
      </w:r>
      <w:r>
        <w:rPr>
          <w:rFonts w:hint="default" w:ascii="Times New Roman" w:hAnsi="Times New Roman" w:eastAsia="宋体" w:cs="Times New Roman"/>
          <w:color w:val="auto"/>
          <w:kern w:val="0"/>
          <w:sz w:val="24"/>
          <w:szCs w:val="24"/>
          <w:highlight w:val="none"/>
          <w:lang w:val="en-US" w:eastAsia="zh-CN" w:bidi="ar"/>
        </w:rPr>
        <w:t>GB50011-2001)地震基本烈度分区表，衡阳地区设计地震分组为第一组，地震基本烈度属小于6度区。</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4.1.</w:t>
      </w:r>
      <w:r>
        <w:rPr>
          <w:rFonts w:hint="default" w:cs="Times New Roman"/>
          <w:b/>
          <w:bCs/>
          <w:color w:val="auto"/>
          <w:kern w:val="0"/>
          <w:sz w:val="28"/>
          <w:szCs w:val="28"/>
          <w:highlight w:val="none"/>
          <w:lang w:val="en-US" w:eastAsia="zh-CN"/>
        </w:rPr>
        <w:t>5</w:t>
      </w:r>
      <w:r>
        <w:rPr>
          <w:rFonts w:hint="default" w:ascii="Times New Roman" w:hAnsi="Times New Roman" w:eastAsia="宋体" w:cs="Times New Roman"/>
          <w:b/>
          <w:bCs/>
          <w:color w:val="auto"/>
          <w:kern w:val="0"/>
          <w:sz w:val="28"/>
          <w:szCs w:val="28"/>
          <w:highlight w:val="none"/>
          <w:lang w:val="en-US" w:eastAsia="zh-CN"/>
        </w:rPr>
        <w:t>水文</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（1）地表水</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湘江是长江中游南岸重要支流，又称湘水。主源海洋河，源出广西临桂县海洋坪的龙门界，于全州附近，汇灌江和罗江，北流入湖南省，经17县市，在湘阴濠河口分为东西两支，至芦林潭又汇合注入洞庭湖。干流全长856千米，流域面积9.46万平方千米，沿途接纳大小支流1300</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多条，主要支流有潇水、舂陵水、未水、米水、蒸水、涟水等。多年平均入湖水量713亿立方米。零陵以上为上游，流经山区，枯水期地下水补给占25%左右。零陵至衡阳为中游，沿岸丘陵起伏，红层盆地错落其间，河宽500米至1000米，常年可通航15吨至300吨驳轮，沿河泥沙淤积，多边滩、心滩、沙洲。</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拟建工程所属区域系湘江水系，湘江河宽400-1000m，根据衡阳水文站统计资料，集水面积521507km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，多年平均水位45.44m，大源度电站建成后，水位相对提高2m左右，多年平均径流量为429.20亿</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，含沙量0.137kg/m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，洪水期一般出现在5月，枯水期一般出现在1月。湘江衡阳段水文特征如下：</w:t>
      </w:r>
    </w:p>
    <w:p>
      <w:pPr>
        <w:pStyle w:val="46"/>
        <w:bidi w:val="0"/>
        <w:rPr>
          <w:rFonts w:hint="default" w:ascii="Times New Roman" w:hAnsi="Times New Roman" w:eastAsia="宋体" w:cs="Times New Roman"/>
          <w:b/>
          <w:color w:val="auto"/>
          <w:kern w:val="0"/>
          <w:szCs w:val="24"/>
          <w:highlight w:val="none"/>
          <w:u w:val="none" w:color="auto"/>
        </w:rPr>
      </w:pPr>
      <w:r>
        <w:rPr>
          <w:rFonts w:hint="default"/>
          <w:color w:val="auto"/>
          <w:highlight w:val="none"/>
        </w:rPr>
        <w:t>表4.1-1大源渡建坝蓄水前后湘江衡</w:t>
      </w:r>
      <w:r>
        <w:rPr>
          <w:rFonts w:hint="default"/>
          <w:color w:val="auto"/>
          <w:highlight w:val="none"/>
          <w:lang w:val="en-US" w:eastAsia="zh-CN"/>
        </w:rPr>
        <w:t>阳</w:t>
      </w:r>
      <w:r>
        <w:rPr>
          <w:rFonts w:hint="default"/>
          <w:color w:val="auto"/>
          <w:highlight w:val="none"/>
        </w:rPr>
        <w:t>段水文特征</w:t>
      </w:r>
    </w:p>
    <w:tbl>
      <w:tblPr>
        <w:tblStyle w:val="22"/>
        <w:tblW w:w="8630"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3409"/>
        <w:gridCol w:w="2611"/>
        <w:gridCol w:w="261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特征项目</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蓄水前</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蓄水后</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平均流量m3//s</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1360</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1320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最大流量</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18100</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2780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最小流量</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30</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389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平均水位m</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47.86</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51.54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最大水深m</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8.20</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16.54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最小水深m</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1.03</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平均水深m</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3.85</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7.12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平均流速</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0.87</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0.31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平均河宽</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414.5</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442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平均水面比降(万分之一)</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1.24</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1.05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09"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年平均水温</w:t>
            </w:r>
          </w:p>
        </w:tc>
        <w:tc>
          <w:tcPr>
            <w:tcW w:w="2611"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19.5</w:t>
            </w:r>
          </w:p>
        </w:tc>
        <w:tc>
          <w:tcPr>
            <w:tcW w:w="2610" w:type="dxa"/>
            <w:tcBorders>
              <w:tl2br w:val="nil"/>
              <w:tr2bl w:val="nil"/>
            </w:tcBorders>
            <w:noWrap w:val="0"/>
            <w:vAlign w:val="top"/>
          </w:tcPr>
          <w:p>
            <w:pPr>
              <w:spacing w:line="240" w:lineRule="auto"/>
              <w:ind w:firstLine="0" w:firstLineChars="0"/>
              <w:jc w:val="center"/>
              <w:rPr>
                <w:rFonts w:hint="default" w:ascii="Times New Roman" w:hAnsi="Times New Roman" w:eastAsia="宋体" w:cs="Times New Roman"/>
                <w:color w:val="auto"/>
                <w:kern w:val="0"/>
                <w:sz w:val="21"/>
                <w:szCs w:val="18"/>
                <w:highlight w:val="none"/>
                <w:u w:val="none" w:color="auto"/>
              </w:rPr>
            </w:pPr>
            <w:r>
              <w:rPr>
                <w:rFonts w:hint="default" w:ascii="Times New Roman" w:hAnsi="Times New Roman" w:eastAsia="宋体" w:cs="Times New Roman"/>
                <w:color w:val="auto"/>
                <w:kern w:val="0"/>
                <w:sz w:val="21"/>
                <w:szCs w:val="18"/>
                <w:highlight w:val="none"/>
                <w:u w:val="none" w:color="auto"/>
              </w:rPr>
              <w:t>20.8</w:t>
            </w:r>
          </w:p>
        </w:tc>
      </w:tr>
    </w:tbl>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本工程位于湘江中游衡阳段东洲岛附近。根据《湖南省主要水系地表水环境功能区划》，拟建</w:t>
      </w:r>
      <w:r>
        <w:rPr>
          <w:rFonts w:hint="default" w:cs="Times New Roman"/>
          <w:color w:val="auto"/>
          <w:kern w:val="0"/>
          <w:sz w:val="24"/>
          <w:szCs w:val="24"/>
          <w:highlight w:val="none"/>
          <w:lang w:val="en-US" w:eastAsia="zh-CN" w:bidi="ar"/>
        </w:rPr>
        <w:t>项目</w:t>
      </w:r>
      <w:r>
        <w:rPr>
          <w:rFonts w:hint="default" w:ascii="Times New Roman" w:hAnsi="Times New Roman" w:eastAsia="宋体" w:cs="Times New Roman"/>
          <w:color w:val="auto"/>
          <w:kern w:val="0"/>
          <w:sz w:val="24"/>
          <w:szCs w:val="24"/>
          <w:highlight w:val="none"/>
          <w:lang w:val="en-US" w:eastAsia="zh-CN" w:bidi="ar"/>
        </w:rPr>
        <w:t>水域功能为Ⅱ级饮用水水源保护区（丁家桥至蒸水口（石鼓嘴）</w:t>
      </w:r>
      <w:r>
        <w:rPr>
          <w:rFonts w:hint="default"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公里)。</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（2）地下水</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根据地下水赋存条件，拟建工程区域内</w:t>
      </w:r>
      <w:r>
        <w:rPr>
          <w:rFonts w:hint="eastAsia" w:cs="Times New Roman"/>
          <w:color w:val="auto"/>
          <w:kern w:val="0"/>
          <w:sz w:val="24"/>
          <w:szCs w:val="24"/>
          <w:highlight w:val="none"/>
          <w:lang w:val="en-US" w:eastAsia="zh-CN" w:bidi="ar"/>
        </w:rPr>
        <w:t>划</w:t>
      </w:r>
      <w:r>
        <w:rPr>
          <w:rFonts w:hint="default" w:ascii="Times New Roman" w:hAnsi="Times New Roman" w:eastAsia="宋体" w:cs="Times New Roman"/>
          <w:color w:val="auto"/>
          <w:kern w:val="0"/>
          <w:sz w:val="24"/>
          <w:szCs w:val="24"/>
          <w:highlight w:val="none"/>
          <w:lang w:val="en-US" w:eastAsia="zh-CN" w:bidi="ar"/>
        </w:rPr>
        <w:t>分为松散土层孔隙水、基岩裂隙水2种类型。</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松散土层孔障水</w:t>
      </w:r>
      <w:r>
        <w:rPr>
          <w:rFonts w:hint="default" w:cs="Times New Roman"/>
          <w:b/>
          <w:bCs/>
          <w:color w:val="auto"/>
          <w:kern w:val="0"/>
          <w:sz w:val="24"/>
          <w:szCs w:val="24"/>
          <w:highlight w:val="none"/>
          <w:lang w:val="en-US" w:eastAsia="zh-CN" w:bidi="ar"/>
        </w:rPr>
        <w:t>：</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①分布在拟建工程场地内填筑土层中的上层滞水，富水程度较一般，受大气降水及地表水补给，</w:t>
      </w:r>
      <w:r>
        <w:rPr>
          <w:rFonts w:hint="eastAsia" w:cs="Times New Roman"/>
          <w:color w:val="auto"/>
          <w:kern w:val="0"/>
          <w:sz w:val="24"/>
          <w:szCs w:val="24"/>
          <w:highlight w:val="none"/>
          <w:lang w:val="en-US" w:eastAsia="zh-CN" w:bidi="ar"/>
        </w:rPr>
        <w:t>具有</w:t>
      </w:r>
      <w:r>
        <w:rPr>
          <w:rFonts w:hint="default" w:ascii="Times New Roman" w:hAnsi="Times New Roman" w:eastAsia="宋体" w:cs="Times New Roman"/>
          <w:color w:val="auto"/>
          <w:kern w:val="0"/>
          <w:sz w:val="24"/>
          <w:szCs w:val="24"/>
          <w:highlight w:val="none"/>
          <w:lang w:val="en-US" w:eastAsia="zh-CN" w:bidi="ar"/>
        </w:rPr>
        <w:t>明显的季节性特征，以水平径流形式向湘江排泄，或以垂直渗入基岩裂隙中的形式进行排泄。</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②分布于第四系冲洪积粉砂剧、粗砂层和圆砾层中的孔隙潜水，分布在工作区Ⅰ级堆积阶地，富水程度中等，受大气降水及地表水补给，具明显的季节性特征，以水平径流形式向蒸水河排泄，或以垂直渗入基岩裂隙中的形式进行排泄。</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基岩裂障水</w:t>
      </w:r>
      <w:r>
        <w:rPr>
          <w:rFonts w:hint="default" w:cs="Times New Roman"/>
          <w:b/>
          <w:bCs/>
          <w:color w:val="auto"/>
          <w:kern w:val="0"/>
          <w:sz w:val="24"/>
          <w:szCs w:val="24"/>
          <w:highlight w:val="none"/>
          <w:lang w:val="en-US" w:eastAsia="zh-CN" w:bidi="ar"/>
        </w:rPr>
        <w:t>：</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含水岩组主要为下第三系霞流市组粉砂质泥岩。富水程度为贫乏-富水，赋水性与岩体节理、裂隙的大小、密度、以及连通性等密切相关，分布不均匀，主要取决于节理裂隙发育程度。上部强风化泥岩层节理裂隙较发育，接受补给条件有利，因此富水性较好，其下中风化岩层则富水性较差，总体上看，工程区基岩裂隙水基本上以点滴状下渗，下渗面不连续，接受大气降水补给，径流途径多沿岩石节理裂隙向地势低处排泄。</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拟建工程</w:t>
      </w:r>
      <w:r>
        <w:rPr>
          <w:rFonts w:hint="default" w:cs="Times New Roman"/>
          <w:color w:val="auto"/>
          <w:kern w:val="0"/>
          <w:sz w:val="24"/>
          <w:szCs w:val="24"/>
          <w:highlight w:val="none"/>
          <w:lang w:val="en-US" w:eastAsia="zh-CN" w:bidi="ar"/>
        </w:rPr>
        <w:t>所在区域</w:t>
      </w:r>
      <w:r>
        <w:rPr>
          <w:rFonts w:hint="default" w:ascii="Times New Roman" w:hAnsi="Times New Roman" w:eastAsia="宋体" w:cs="Times New Roman"/>
          <w:color w:val="auto"/>
          <w:kern w:val="0"/>
          <w:sz w:val="24"/>
          <w:szCs w:val="24"/>
          <w:highlight w:val="none"/>
          <w:lang w:val="en-US" w:eastAsia="zh-CN" w:bidi="ar"/>
        </w:rPr>
        <w:t>地下水包括孔隙水和基岩裂隙水，接受大气降水补给，水位及水量随大气降水和季节变化而波动，地下水对混凝土无腐蚀性。</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 xml:space="preserve">4.1.6土壤侵蚀现状 </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olor w:val="auto"/>
          <w:lang w:val="en-US" w:eastAsia="zh-CN"/>
        </w:rPr>
      </w:pPr>
      <w:r>
        <w:rPr>
          <w:rFonts w:hint="default" w:ascii="Times New Roman" w:hAnsi="Times New Roman" w:eastAsia="宋体" w:cs="Times New Roman"/>
          <w:color w:val="auto"/>
          <w:kern w:val="0"/>
          <w:sz w:val="24"/>
          <w:szCs w:val="24"/>
          <w:highlight w:val="none"/>
          <w:lang w:val="en-US" w:eastAsia="zh-CN" w:bidi="ar"/>
        </w:rPr>
        <w:t>根据《衡阳市水土流失现状图》，项目位于微度侵蚀区域，水土流失形式以水力侵蚀为主。</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82" w:name="_Toc15223"/>
      <w:r>
        <w:rPr>
          <w:rFonts w:hint="default" w:cs="Times New Roman"/>
          <w:b/>
          <w:bCs/>
          <w:color w:val="auto"/>
          <w:kern w:val="0"/>
          <w:sz w:val="30"/>
          <w:szCs w:val="30"/>
          <w:highlight w:val="none"/>
          <w:lang w:val="en-US" w:eastAsia="zh-CN"/>
        </w:rPr>
        <w:t>社会经济状况</w:t>
      </w:r>
      <w:bookmarkEnd w:id="82"/>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4.2.1社会经济</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衡阳</w:t>
      </w:r>
      <w:r>
        <w:rPr>
          <w:rFonts w:hint="default" w:cs="Times New Roman"/>
          <w:color w:val="auto"/>
          <w:kern w:val="0"/>
          <w:sz w:val="24"/>
          <w:szCs w:val="24"/>
          <w:highlight w:val="none"/>
          <w:lang w:val="en-US" w:eastAsia="zh-CN" w:bidi="ar"/>
        </w:rPr>
        <w:t>市是湖南省重要的工业基地，工业区域特色鲜明</w:t>
      </w:r>
      <w:r>
        <w:rPr>
          <w:rFonts w:hint="default" w:ascii="Times New Roman" w:hAnsi="Times New Roman" w:eastAsia="宋体"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形成了衡阳市区以设备制造、原材料加工业为主；耒阳市以能源、建材产业为主；衡东县、常宁市以有色冶炼、化工为主；衡阳县以电子、瓷泥加工为主等区域工业发展格局。</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2022年实现地区生产总值4089.69亿元，其中，第一产业增加值471.10亿元，增长3.5%；第二产业增加值1389.35亿元，增长7.4%；第三产业增加值2229.24亿元。</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2022年农林牧渔业实现总产值842.87亿元，增长3.8%。其中，农业产值316.49亿元，增长2.6%；林业产值63.95亿元，增长5.6%；牧业产值329.41亿元，增长3.6%；渔业产值74.97亿元，增长3.0%；农林牧渔专业及辅助性活动产值58.05亿元，增长9.7%。</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2022年实现规模工业增加值增长7.8%。规模工业的重点行业中，黑色金属冶炼和压延加工业增长30%；有色金属冶炼及压延加工业增长26.8%；计算机、通信和其他电子设备制造业增长13.2%；农副食品加工业下降7%；化学原料及化学制品制造业增长5.5%；非金属矿物制品业增长1.9%，电气机械及器材制造业增长12.2%。</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w:t>
      </w:r>
      <w:r>
        <w:rPr>
          <w:rFonts w:hint="default" w:cs="Times New Roman"/>
          <w:b/>
          <w:bCs/>
          <w:color w:val="auto"/>
          <w:kern w:val="0"/>
          <w:sz w:val="28"/>
          <w:szCs w:val="28"/>
          <w:highlight w:val="none"/>
          <w:lang w:val="en-US" w:eastAsia="zh-CN"/>
        </w:rPr>
        <w:t>2</w:t>
      </w:r>
      <w:r>
        <w:rPr>
          <w:rFonts w:hint="default" w:ascii="Times New Roman" w:hAnsi="Times New Roman" w:eastAsia="宋体" w:cs="Times New Roman"/>
          <w:b/>
          <w:bCs/>
          <w:color w:val="auto"/>
          <w:kern w:val="0"/>
          <w:sz w:val="28"/>
          <w:szCs w:val="28"/>
          <w:highlight w:val="none"/>
          <w:lang w:val="en-US" w:eastAsia="zh-CN"/>
        </w:rPr>
        <w:t>.2</w:t>
      </w:r>
      <w:r>
        <w:rPr>
          <w:rFonts w:hint="default" w:cs="Times New Roman"/>
          <w:b/>
          <w:bCs/>
          <w:color w:val="auto"/>
          <w:kern w:val="0"/>
          <w:sz w:val="28"/>
          <w:szCs w:val="28"/>
          <w:highlight w:val="none"/>
          <w:lang w:val="en-US" w:eastAsia="zh-CN"/>
        </w:rPr>
        <w:t>旅游资源及文物古迹分布</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衡阳市以南岳衡山风景名胜区为核心，山奇水秀，人文荟萃。东有</w:t>
      </w:r>
      <w:r>
        <w:rPr>
          <w:rFonts w:hint="eastAsia"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洣</w:t>
      </w:r>
      <w:r>
        <w:rPr>
          <w:rFonts w:hint="default" w:ascii="Times New Roman" w:hAnsi="Times New Roman" w:eastAsia="宋体" w:cs="Times New Roman"/>
          <w:color w:val="auto"/>
          <w:kern w:val="0"/>
          <w:sz w:val="24"/>
          <w:szCs w:val="24"/>
          <w:highlight w:val="none"/>
          <w:lang w:val="en-US" w:eastAsia="zh-CN" w:bidi="ar"/>
        </w:rPr>
        <w:t>河——四方山</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风景名胜区</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西有王船山故居、峋蝼峰国家森林公园</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南有水口山</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工人俱乐部</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旧址、庙前溶洞、天堂山国家森林公园</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北有岳北农工会旧址、护湘关竹市等景点。20</w:t>
      </w:r>
      <w:r>
        <w:rPr>
          <w:rFonts w:hint="default" w:cs="Times New Roman"/>
          <w:color w:val="auto"/>
          <w:kern w:val="0"/>
          <w:sz w:val="24"/>
          <w:szCs w:val="24"/>
          <w:highlight w:val="none"/>
          <w:lang w:val="en-US" w:eastAsia="zh-CN" w:bidi="ar"/>
        </w:rPr>
        <w:t>22</w:t>
      </w:r>
      <w:r>
        <w:rPr>
          <w:rFonts w:hint="default" w:ascii="Times New Roman" w:hAnsi="Times New Roman" w:eastAsia="宋体" w:cs="Times New Roman"/>
          <w:color w:val="auto"/>
          <w:kern w:val="0"/>
          <w:sz w:val="24"/>
          <w:szCs w:val="24"/>
          <w:highlight w:val="none"/>
          <w:lang w:val="en-US" w:eastAsia="zh-CN" w:bidi="ar"/>
        </w:rPr>
        <w:t>年，全市共有等级旅游区（点)</w:t>
      </w:r>
      <w:r>
        <w:rPr>
          <w:rFonts w:hint="default" w:cs="Times New Roman"/>
          <w:color w:val="auto"/>
          <w:kern w:val="0"/>
          <w:sz w:val="24"/>
          <w:szCs w:val="24"/>
          <w:highlight w:val="none"/>
          <w:lang w:val="en-US" w:eastAsia="zh-CN" w:bidi="ar"/>
        </w:rPr>
        <w:t>36</w:t>
      </w:r>
      <w:r>
        <w:rPr>
          <w:rFonts w:hint="default" w:ascii="Times New Roman" w:hAnsi="Times New Roman" w:eastAsia="宋体" w:cs="Times New Roman"/>
          <w:color w:val="auto"/>
          <w:kern w:val="0"/>
          <w:sz w:val="24"/>
          <w:szCs w:val="24"/>
          <w:highlight w:val="none"/>
          <w:lang w:val="en-US" w:eastAsia="zh-CN" w:bidi="ar"/>
        </w:rPr>
        <w:t>个，全市实现国内旅游总收入</w:t>
      </w:r>
      <w:r>
        <w:rPr>
          <w:rFonts w:hint="default" w:cs="Times New Roman"/>
          <w:color w:val="auto"/>
          <w:kern w:val="0"/>
          <w:sz w:val="24"/>
          <w:szCs w:val="24"/>
          <w:highlight w:val="none"/>
          <w:lang w:val="en-US" w:eastAsia="zh-CN" w:bidi="ar"/>
        </w:rPr>
        <w:t>440.47</w:t>
      </w:r>
      <w:r>
        <w:rPr>
          <w:rFonts w:hint="default" w:ascii="Times New Roman" w:hAnsi="Times New Roman" w:eastAsia="宋体" w:cs="Times New Roman"/>
          <w:color w:val="auto"/>
          <w:kern w:val="0"/>
          <w:sz w:val="24"/>
          <w:szCs w:val="24"/>
          <w:highlight w:val="none"/>
          <w:lang w:val="en-US" w:eastAsia="zh-CN" w:bidi="ar"/>
        </w:rPr>
        <w:t>亿元，接待国内外游客</w:t>
      </w:r>
      <w:r>
        <w:rPr>
          <w:rFonts w:hint="default" w:cs="Times New Roman"/>
          <w:color w:val="auto"/>
          <w:kern w:val="0"/>
          <w:sz w:val="24"/>
          <w:szCs w:val="24"/>
          <w:highlight w:val="none"/>
          <w:lang w:val="en-US" w:eastAsia="zh-CN" w:bidi="ar"/>
        </w:rPr>
        <w:t>4454.14</w:t>
      </w:r>
      <w:r>
        <w:rPr>
          <w:rFonts w:hint="default" w:ascii="Times New Roman" w:hAnsi="Times New Roman" w:eastAsia="宋体" w:cs="Times New Roman"/>
          <w:color w:val="auto"/>
          <w:kern w:val="0"/>
          <w:sz w:val="24"/>
          <w:szCs w:val="24"/>
          <w:highlight w:val="none"/>
          <w:lang w:val="en-US" w:eastAsia="zh-CN" w:bidi="ar"/>
        </w:rPr>
        <w:t>万人次。</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本项目评价范围内无风景名胜区、森林公园、自然保护区和文物古迹分布。</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w:t>
      </w:r>
      <w:r>
        <w:rPr>
          <w:rFonts w:hint="default" w:cs="Times New Roman"/>
          <w:b/>
          <w:bCs/>
          <w:color w:val="auto"/>
          <w:kern w:val="0"/>
          <w:sz w:val="28"/>
          <w:szCs w:val="28"/>
          <w:highlight w:val="none"/>
          <w:lang w:val="en-US" w:eastAsia="zh-CN"/>
        </w:rPr>
        <w:t>2.3矿产</w:t>
      </w:r>
      <w:r>
        <w:rPr>
          <w:rFonts w:hint="default" w:ascii="Times New Roman" w:hAnsi="Times New Roman" w:eastAsia="宋体" w:cs="Times New Roman"/>
          <w:b/>
          <w:bCs/>
          <w:color w:val="auto"/>
          <w:kern w:val="0"/>
          <w:sz w:val="28"/>
          <w:szCs w:val="28"/>
          <w:highlight w:val="none"/>
          <w:lang w:val="en-US" w:eastAsia="zh-CN"/>
        </w:rPr>
        <w:t>资源</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衡阳市境内矿产资源丰富，已</w:t>
      </w:r>
      <w:r>
        <w:rPr>
          <w:rFonts w:hint="eastAsia" w:cs="Times New Roman"/>
          <w:color w:val="auto"/>
          <w:kern w:val="0"/>
          <w:sz w:val="24"/>
          <w:szCs w:val="24"/>
          <w:highlight w:val="none"/>
          <w:lang w:val="en-US" w:eastAsia="zh-CN" w:bidi="ar"/>
        </w:rPr>
        <w:t>发现</w:t>
      </w:r>
      <w:r>
        <w:rPr>
          <w:rFonts w:hint="default" w:ascii="Times New Roman" w:hAnsi="Times New Roman" w:eastAsia="宋体" w:cs="Times New Roman"/>
          <w:color w:val="auto"/>
          <w:kern w:val="0"/>
          <w:sz w:val="24"/>
          <w:szCs w:val="24"/>
          <w:highlight w:val="none"/>
          <w:lang w:val="en-US" w:eastAsia="zh-CN" w:bidi="ar"/>
        </w:rPr>
        <w:t>的</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煤、铁、铅、锌、钨、锰、铜、锡、高岭土、萤石、重晶石、硼、石膏、盐、钠长石、大理石等50余种。其中有色金属居全国前列，瓷泥储量、纳长石产量为全国之冠，莹石、重晶石蜚声海内，素有</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有色金属之乡</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和</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非金属之乡</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之称。境内最有优势的矿种</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有色金属中的铅、锌、铜均居全省前茅，铅的储量13.56万吨</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锌的储量123万吨，铜的储量13.6万吨</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贵重金属中的黄金储量48143公斤，居全省之冠</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白银储量1852.3吨，镍也有一席之地。非金</w:t>
      </w:r>
      <w:r>
        <w:rPr>
          <w:rFonts w:hint="default" w:cs="Times New Roman"/>
          <w:color w:val="auto"/>
          <w:kern w:val="0"/>
          <w:sz w:val="24"/>
          <w:szCs w:val="24"/>
          <w:highlight w:val="none"/>
          <w:lang w:val="en-US" w:eastAsia="zh-CN" w:bidi="ar"/>
        </w:rPr>
        <w:t>属中的钠长石，储量3499.7万吨，位居全国第一；硼的储量100.94万吨。</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83" w:name="_Toc25592"/>
      <w:bookmarkStart w:id="84" w:name="_Toc17648"/>
      <w:r>
        <w:rPr>
          <w:rFonts w:hint="default" w:cs="Times New Roman"/>
          <w:b/>
          <w:bCs/>
          <w:color w:val="auto"/>
          <w:kern w:val="0"/>
          <w:sz w:val="30"/>
          <w:szCs w:val="30"/>
          <w:highlight w:val="none"/>
          <w:lang w:val="en-US" w:eastAsia="zh-CN"/>
        </w:rPr>
        <w:t>生态环境敏感区及生态空间现状</w:t>
      </w:r>
      <w:bookmarkEnd w:id="83"/>
      <w:bookmarkEnd w:id="84"/>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w:t>
      </w:r>
      <w:r>
        <w:rPr>
          <w:rFonts w:hint="eastAsia" w:cs="Times New Roman"/>
          <w:b/>
          <w:bCs/>
          <w:color w:val="auto"/>
          <w:kern w:val="0"/>
          <w:sz w:val="28"/>
          <w:szCs w:val="28"/>
          <w:highlight w:val="none"/>
          <w:lang w:val="en-US" w:eastAsia="zh-CN"/>
        </w:rPr>
        <w:t>3</w:t>
      </w:r>
      <w:r>
        <w:rPr>
          <w:rFonts w:hint="default" w:cs="Times New Roman"/>
          <w:b/>
          <w:bCs/>
          <w:color w:val="auto"/>
          <w:kern w:val="0"/>
          <w:sz w:val="28"/>
          <w:szCs w:val="28"/>
          <w:highlight w:val="none"/>
          <w:lang w:val="en-US" w:eastAsia="zh-CN"/>
        </w:rPr>
        <w:t>.1生态保护红线</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根据</w:t>
      </w:r>
      <w:r>
        <w:rPr>
          <w:rFonts w:hint="default" w:cs="Times New Roman"/>
          <w:color w:val="auto"/>
          <w:kern w:val="0"/>
          <w:sz w:val="24"/>
          <w:szCs w:val="24"/>
          <w:highlight w:val="none"/>
          <w:lang w:val="en-US" w:eastAsia="zh-CN" w:bidi="ar"/>
        </w:rPr>
        <w:t>本</w:t>
      </w:r>
      <w:r>
        <w:rPr>
          <w:rFonts w:hint="default" w:ascii="Times New Roman" w:hAnsi="Times New Roman" w:cs="Times New Roman"/>
          <w:color w:val="auto"/>
          <w:kern w:val="0"/>
          <w:sz w:val="24"/>
          <w:szCs w:val="24"/>
          <w:highlight w:val="none"/>
          <w:lang w:val="en-US" w:eastAsia="zh-CN" w:bidi="ar"/>
        </w:rPr>
        <w:t>工程布置和衡阳市</w:t>
      </w:r>
      <w:r>
        <w:rPr>
          <w:rFonts w:hint="default" w:cs="Times New Roman"/>
          <w:color w:val="auto"/>
          <w:kern w:val="0"/>
          <w:sz w:val="24"/>
          <w:szCs w:val="24"/>
          <w:highlight w:val="none"/>
          <w:lang w:val="en-US" w:eastAsia="zh-CN" w:bidi="ar"/>
        </w:rPr>
        <w:t>最新发布的</w:t>
      </w:r>
      <w:r>
        <w:rPr>
          <w:rFonts w:hint="eastAsia"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三区三线</w:t>
      </w:r>
      <w:r>
        <w:rPr>
          <w:rFonts w:hint="eastAsia"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成果</w:t>
      </w:r>
      <w:r>
        <w:rPr>
          <w:rFonts w:hint="default" w:cs="Times New Roman"/>
          <w:color w:val="auto"/>
          <w:kern w:val="0"/>
          <w:sz w:val="24"/>
          <w:szCs w:val="24"/>
          <w:highlight w:val="none"/>
          <w:lang w:val="en-US" w:eastAsia="zh-CN" w:bidi="ar"/>
        </w:rPr>
        <w:t>套合图</w:t>
      </w:r>
      <w:r>
        <w:rPr>
          <w:rFonts w:hint="default" w:ascii="Times New Roman" w:hAnsi="Times New Roman" w:cs="Times New Roman"/>
          <w:color w:val="auto"/>
          <w:kern w:val="0"/>
          <w:sz w:val="24"/>
          <w:szCs w:val="24"/>
          <w:highlight w:val="none"/>
          <w:lang w:val="en-US" w:eastAsia="zh-CN" w:bidi="ar"/>
        </w:rPr>
        <w:t>，本项目</w:t>
      </w:r>
      <w:r>
        <w:rPr>
          <w:rFonts w:hint="default" w:cs="Times New Roman"/>
          <w:color w:val="auto"/>
          <w:kern w:val="0"/>
          <w:sz w:val="24"/>
          <w:szCs w:val="24"/>
          <w:highlight w:val="none"/>
          <w:lang w:val="en-US" w:eastAsia="zh-CN" w:bidi="ar"/>
        </w:rPr>
        <w:t>占地范围内无</w:t>
      </w:r>
      <w:r>
        <w:rPr>
          <w:rFonts w:hint="default" w:ascii="Times New Roman" w:hAnsi="Times New Roman" w:cs="Times New Roman"/>
          <w:color w:val="auto"/>
          <w:kern w:val="0"/>
          <w:sz w:val="24"/>
          <w:szCs w:val="24"/>
          <w:highlight w:val="none"/>
          <w:lang w:val="en-US" w:eastAsia="zh-CN" w:bidi="ar"/>
        </w:rPr>
        <w:t>生态保护红线，</w:t>
      </w:r>
      <w:r>
        <w:rPr>
          <w:rFonts w:hint="eastAsia" w:cs="Times New Roman"/>
          <w:color w:val="auto"/>
          <w:kern w:val="0"/>
          <w:sz w:val="24"/>
          <w:szCs w:val="24"/>
          <w:highlight w:val="none"/>
          <w:lang w:val="en-US" w:eastAsia="zh-CN" w:bidi="ar"/>
        </w:rPr>
        <w:t>但与</w:t>
      </w:r>
      <w:r>
        <w:rPr>
          <w:rFonts w:hint="default" w:cs="Times New Roman"/>
          <w:color w:val="auto"/>
          <w:kern w:val="0"/>
          <w:sz w:val="24"/>
          <w:szCs w:val="24"/>
          <w:highlight w:val="none"/>
          <w:lang w:val="en-US" w:eastAsia="zh-CN" w:bidi="ar"/>
        </w:rPr>
        <w:t>生态保护红线</w:t>
      </w:r>
      <w:r>
        <w:rPr>
          <w:rFonts w:hint="eastAsia" w:cs="Times New Roman"/>
          <w:color w:val="auto"/>
          <w:kern w:val="0"/>
          <w:sz w:val="24"/>
          <w:szCs w:val="24"/>
          <w:highlight w:val="none"/>
          <w:lang w:val="en-US" w:eastAsia="zh-CN" w:bidi="ar"/>
        </w:rPr>
        <w:t>相邻</w:t>
      </w:r>
      <w:r>
        <w:rPr>
          <w:rFonts w:hint="default"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该生态保护红线为</w:t>
      </w:r>
      <w:r>
        <w:rPr>
          <w:rFonts w:hint="default" w:cs="Times New Roman"/>
          <w:color w:val="auto"/>
          <w:kern w:val="0"/>
          <w:sz w:val="24"/>
          <w:szCs w:val="24"/>
          <w:highlight w:val="none"/>
          <w:lang w:val="en-US" w:eastAsia="zh-CN" w:bidi="ar"/>
        </w:rPr>
        <w:t>城南水厂饮用</w:t>
      </w:r>
      <w:r>
        <w:rPr>
          <w:rFonts w:hint="eastAsia" w:cs="Times New Roman"/>
          <w:color w:val="auto"/>
          <w:kern w:val="0"/>
          <w:sz w:val="24"/>
          <w:szCs w:val="24"/>
          <w:highlight w:val="none"/>
          <w:lang w:val="en-US" w:eastAsia="zh-CN" w:bidi="ar"/>
        </w:rPr>
        <w:t>水</w:t>
      </w:r>
      <w:r>
        <w:rPr>
          <w:rFonts w:hint="default" w:cs="Times New Roman"/>
          <w:color w:val="auto"/>
          <w:kern w:val="0"/>
          <w:sz w:val="24"/>
          <w:szCs w:val="24"/>
          <w:highlight w:val="none"/>
          <w:lang w:val="en-US" w:eastAsia="zh-CN" w:bidi="ar"/>
        </w:rPr>
        <w:t>水源保护区</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i w:val="0"/>
          <w:iCs w:val="0"/>
          <w:caps w:val="0"/>
          <w:color w:val="auto"/>
          <w:spacing w:val="0"/>
          <w:sz w:val="24"/>
          <w:szCs w:val="24"/>
          <w:highlight w:val="none"/>
          <w:shd w:val="clear" w:fill="FFFFFF"/>
        </w:rPr>
        <w:t>主导生态功能为水源涵养</w:t>
      </w:r>
      <w:r>
        <w:rPr>
          <w:rFonts w:hint="default"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如下图所示。</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textAlignment w:val="auto"/>
        <w:outlineLvl w:val="9"/>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lang w:eastAsia="zh-CN"/>
        </w:rPr>
        <w:drawing>
          <wp:inline distT="0" distB="0" distL="114300" distR="114300">
            <wp:extent cx="5521325" cy="3639820"/>
            <wp:effectExtent l="0" t="0" r="3175" b="17780"/>
            <wp:docPr id="88" name="图片 88" descr="三区三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三区三线"/>
                    <pic:cNvPicPr>
                      <a:picLocks noChangeAspect="1"/>
                    </pic:cNvPicPr>
                  </pic:nvPicPr>
                  <pic:blipFill>
                    <a:blip r:embed="rId44"/>
                    <a:stretch>
                      <a:fillRect/>
                    </a:stretch>
                  </pic:blipFill>
                  <pic:spPr>
                    <a:xfrm>
                      <a:off x="0" y="0"/>
                      <a:ext cx="5521325" cy="3639820"/>
                    </a:xfrm>
                    <a:prstGeom prst="rect">
                      <a:avLst/>
                    </a:prstGeom>
                  </pic:spPr>
                </pic:pic>
              </a:graphicData>
            </a:graphic>
          </wp:inline>
        </w:drawing>
      </w:r>
    </w:p>
    <w:p>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图</w:t>
      </w:r>
      <w:r>
        <w:rPr>
          <w:rFonts w:hint="default" w:ascii="Times New Roman" w:hAnsi="Times New Roman" w:eastAsia="宋体" w:cs="Times New Roman"/>
          <w:color w:val="auto"/>
          <w:sz w:val="21"/>
          <w:szCs w:val="21"/>
          <w:highlight w:val="none"/>
          <w:lang w:val="en-US" w:eastAsia="zh-CN"/>
        </w:rPr>
        <w:t>4.</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 xml:space="preserve"> </w:t>
      </w:r>
      <w:r>
        <w:rPr>
          <w:rFonts w:hint="default" w:ascii="Times New Roman" w:hAnsi="Times New Roman" w:eastAsia="宋体" w:cs="Times New Roman"/>
          <w:color w:val="auto"/>
          <w:sz w:val="21"/>
          <w:szCs w:val="21"/>
          <w:highlight w:val="none"/>
          <w:lang w:val="en-US" w:eastAsia="zh-CN"/>
        </w:rPr>
        <w:t>项目与衡阳市</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三区三线</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划定成果位置关系图</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w:t>
      </w:r>
      <w:r>
        <w:rPr>
          <w:rFonts w:hint="eastAsia" w:cs="Times New Roman"/>
          <w:b/>
          <w:bCs/>
          <w:color w:val="auto"/>
          <w:kern w:val="0"/>
          <w:sz w:val="28"/>
          <w:szCs w:val="28"/>
          <w:highlight w:val="none"/>
          <w:lang w:val="en-US" w:eastAsia="zh-CN"/>
        </w:rPr>
        <w:t>3</w:t>
      </w:r>
      <w:r>
        <w:rPr>
          <w:rFonts w:hint="default" w:cs="Times New Roman"/>
          <w:b/>
          <w:bCs/>
          <w:color w:val="auto"/>
          <w:kern w:val="0"/>
          <w:sz w:val="28"/>
          <w:szCs w:val="28"/>
          <w:highlight w:val="none"/>
          <w:lang w:val="en-US" w:eastAsia="zh-CN"/>
        </w:rPr>
        <w:t>.2湘江衡阳段四大家鱼国家级水产种质资源保护区</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（1）水产种质资源保护区概况</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湘江衡阳段四大家鱼国家级水产种质资源保护区（以下简称</w:t>
      </w:r>
      <w:r>
        <w:rPr>
          <w:rFonts w:hint="eastAsia"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保护区</w:t>
      </w:r>
      <w:r>
        <w:rPr>
          <w:rFonts w:hint="eastAsia"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是2010年12月17日农业部第1491号公告颁布的第四批国家级水产种质资源保护区，位于湘江衡阳段及所属支流入口河段，范围包括：湘江干流从近尾洲电站至大源渡电站的150km江段，支流包括舂陵江常宁亲仁电站以下长10km江段，耒水衡阳白渔潭电站以下长10km江段，蒸水衡阳呆鹰岭大桥以下长5km江段。保护区总面积4900hm</w:t>
      </w:r>
      <w:r>
        <w:rPr>
          <w:rFonts w:hint="default" w:ascii="Times New Roman" w:hAnsi="Times New Roman" w:cs="Times New Roman"/>
          <w:color w:val="auto"/>
          <w:kern w:val="0"/>
          <w:sz w:val="24"/>
          <w:szCs w:val="24"/>
          <w:highlight w:val="none"/>
          <w:vertAlign w:val="superscript"/>
          <w:lang w:val="en-US" w:eastAsia="zh-CN" w:bidi="ar"/>
        </w:rPr>
        <w:t>2</w:t>
      </w:r>
      <w:r>
        <w:rPr>
          <w:rFonts w:hint="default" w:ascii="Times New Roman" w:hAnsi="Times New Roman" w:cs="Times New Roman"/>
          <w:color w:val="auto"/>
          <w:kern w:val="0"/>
          <w:sz w:val="24"/>
          <w:szCs w:val="24"/>
          <w:highlight w:val="none"/>
          <w:lang w:val="en-US" w:eastAsia="zh-CN" w:bidi="ar"/>
        </w:rPr>
        <w:t>，其中核心区2700hm</w:t>
      </w:r>
      <w:r>
        <w:rPr>
          <w:rFonts w:hint="default" w:ascii="Times New Roman" w:hAnsi="Times New Roman" w:cs="Times New Roman"/>
          <w:color w:val="auto"/>
          <w:kern w:val="0"/>
          <w:sz w:val="24"/>
          <w:szCs w:val="24"/>
          <w:highlight w:val="none"/>
          <w:vertAlign w:val="superscript"/>
          <w:lang w:val="en-US" w:eastAsia="zh-CN" w:bidi="ar"/>
        </w:rPr>
        <w:t>2</w:t>
      </w:r>
      <w:r>
        <w:rPr>
          <w:rFonts w:hint="default" w:ascii="Times New Roman" w:hAnsi="Times New Roman" w:cs="Times New Roman"/>
          <w:color w:val="auto"/>
          <w:kern w:val="0"/>
          <w:sz w:val="24"/>
          <w:szCs w:val="24"/>
          <w:highlight w:val="none"/>
          <w:lang w:val="en-US" w:eastAsia="zh-CN" w:bidi="ar"/>
        </w:rPr>
        <w:t>，实验区2200hm</w:t>
      </w:r>
      <w:r>
        <w:rPr>
          <w:rFonts w:hint="default" w:ascii="Times New Roman" w:hAnsi="Times New Roman" w:cs="Times New Roman"/>
          <w:color w:val="auto"/>
          <w:kern w:val="0"/>
          <w:sz w:val="24"/>
          <w:szCs w:val="24"/>
          <w:highlight w:val="none"/>
          <w:vertAlign w:val="superscript"/>
          <w:lang w:val="en-US" w:eastAsia="zh-CN" w:bidi="ar"/>
        </w:rPr>
        <w:t>2</w:t>
      </w:r>
      <w:r>
        <w:rPr>
          <w:rFonts w:hint="default" w:ascii="Times New Roman" w:hAnsi="Times New Roman" w:cs="Times New Roman"/>
          <w:color w:val="auto"/>
          <w:kern w:val="0"/>
          <w:sz w:val="24"/>
          <w:szCs w:val="24"/>
          <w:highlight w:val="none"/>
          <w:lang w:val="en-US" w:eastAsia="zh-CN" w:bidi="ar"/>
        </w:rPr>
        <w:t>。主要保护对象为青鱼、草鱼、鲢、鳙、鳡、鳤、鯮等。特别保护期为每年的3月1日～7月31日。</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保护区核心区范围：从近尾洲电站到呆鹰岭大桥江段的水域，即由近尾洲电站(112°22'161"E，26°33'716"N)、(112°21'975"E，26°33'513"N)，亲仁电站(112°39'864"E，26°29'851"N)，白渔潭电站(112°41'997"E，26°52'935"N)、呆鹰岭大桥（112°32'351"E，26°54'463"N）等5个拐点顺次连线所围的水域。</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保护区实验区范围：从呆鹰岭大桥以下江段到大源渡电站，为呆鹰岭大桥（112°32'351"E，26°54'463"N），白渔潭电站（112°41'997"E，26°52'935"N），大源渡电站（112°51'874"E，27°08'651"N）、（112°51'527"E，27°08'876"N）等4个拐点顺次连线围成的水域。</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保护区功能区划图如图4.4-1。</w:t>
      </w:r>
    </w:p>
    <w:p>
      <w:pPr>
        <w:keepNext w:val="0"/>
        <w:keepLines w:val="0"/>
        <w:pageBreakBefore w:val="0"/>
        <w:widowControl w:val="0"/>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149850" cy="5479415"/>
            <wp:effectExtent l="0" t="0" r="12700" b="698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45"/>
                    <a:stretch>
                      <a:fillRect/>
                    </a:stretch>
                  </pic:blipFill>
                  <pic:spPr>
                    <a:xfrm>
                      <a:off x="0" y="0"/>
                      <a:ext cx="5149850" cy="5479415"/>
                    </a:xfrm>
                    <a:prstGeom prst="rect">
                      <a:avLst/>
                    </a:prstGeom>
                    <a:noFill/>
                    <a:ln>
                      <a:noFill/>
                    </a:ln>
                  </pic:spPr>
                </pic:pic>
              </a:graphicData>
            </a:graphic>
          </wp:inline>
        </w:drawing>
      </w:r>
    </w:p>
    <w:p>
      <w:pPr>
        <w:pStyle w:val="21"/>
        <w:keepLines w:val="0"/>
        <w:pageBreakBefore w:val="0"/>
        <w:widowControl w:val="0"/>
        <w:kinsoku/>
        <w:wordWrap/>
        <w:overflowPunct/>
        <w:topLinePunct w:val="0"/>
        <w:bidi w:val="0"/>
        <w:ind w:left="0" w:leftChars="0" w:firstLine="0" w:firstLineChars="0"/>
        <w:jc w:val="center"/>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cs="Times New Roman"/>
          <w:b/>
          <w:color w:val="auto"/>
          <w:kern w:val="2"/>
          <w:sz w:val="21"/>
          <w:szCs w:val="24"/>
          <w:highlight w:val="none"/>
          <w:u w:val="none" w:color="auto"/>
          <w:lang w:val="en-US" w:eastAsia="zh-CN" w:bidi="ar-SA"/>
        </w:rPr>
        <w:t>图4.4-1保护区功能区划图</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（2）水产种质资源保护区鱼类</w:t>
      </w:r>
      <w:r>
        <w:rPr>
          <w:rFonts w:hint="eastAsia" w:cs="Times New Roman"/>
          <w:b/>
          <w:bCs/>
          <w:color w:val="auto"/>
          <w:kern w:val="0"/>
          <w:sz w:val="24"/>
          <w:szCs w:val="24"/>
          <w:highlight w:val="none"/>
          <w:lang w:val="en-US" w:eastAsia="zh-CN" w:bidi="ar"/>
        </w:rPr>
        <w:t>“</w:t>
      </w:r>
      <w:r>
        <w:rPr>
          <w:rFonts w:hint="default" w:cs="Times New Roman"/>
          <w:b/>
          <w:bCs/>
          <w:color w:val="auto"/>
          <w:kern w:val="0"/>
          <w:sz w:val="24"/>
          <w:szCs w:val="24"/>
          <w:highlight w:val="none"/>
          <w:lang w:val="en-US" w:eastAsia="zh-CN" w:bidi="ar"/>
        </w:rPr>
        <w:t>三场一通道</w:t>
      </w:r>
      <w:r>
        <w:rPr>
          <w:rFonts w:hint="eastAsia" w:cs="Times New Roman"/>
          <w:b/>
          <w:bCs/>
          <w:color w:val="auto"/>
          <w:kern w:val="0"/>
          <w:sz w:val="24"/>
          <w:szCs w:val="24"/>
          <w:highlight w:val="none"/>
          <w:lang w:val="en-US" w:eastAsia="zh-CN" w:bidi="ar"/>
        </w:rPr>
        <w:t>”</w:t>
      </w:r>
    </w:p>
    <w:p>
      <w:pPr>
        <w:pStyle w:val="8"/>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①产卵场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保护区江段</w:t>
      </w:r>
      <w:r>
        <w:rPr>
          <w:rFonts w:hint="default" w:ascii="Times New Roman" w:hAnsi="Times New Roman" w:eastAsia="宋体" w:cs="Times New Roman"/>
          <w:color w:val="auto"/>
          <w:sz w:val="24"/>
          <w:szCs w:val="24"/>
          <w:highlight w:val="none"/>
          <w:lang w:val="en-US" w:eastAsia="zh-CN"/>
        </w:rPr>
        <w:t>有</w:t>
      </w:r>
      <w:r>
        <w:rPr>
          <w:rFonts w:hint="default" w:ascii="Times New Roman" w:hAnsi="Times New Roman" w:eastAsia="宋体" w:cs="Times New Roman"/>
          <w:color w:val="auto"/>
          <w:sz w:val="24"/>
          <w:szCs w:val="24"/>
          <w:highlight w:val="none"/>
        </w:rPr>
        <w:t>3个产漂浮卵产卵场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为</w:t>
      </w:r>
      <w:r>
        <w:rPr>
          <w:rFonts w:hint="default" w:ascii="Times New Roman" w:hAnsi="Times New Roman" w:eastAsia="宋体" w:cs="Times New Roman"/>
          <w:color w:val="auto"/>
          <w:sz w:val="24"/>
          <w:szCs w:val="24"/>
          <w:highlight w:val="none"/>
        </w:rPr>
        <w:t>柏枋—大渔湾—松柏产卵场处湘江衡阳常宁江段，长度包括湘江干流19km江段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烟洲产卵场处湘江一级支流舂陵水烟洲—湾阳江段，长度6km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丛洲—云集—车江产卵场处湘江衡阳衡南江段，长度包括湘江干流20km江段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有粘性卵、浮性卵鱼类产卵场9处，从上游到下游依次为柏坊、松柏、茭河口、落沙洲、周丫塘、东洲、彭家老屋、耒水河口</w:t>
      </w:r>
      <w:r>
        <w:rPr>
          <w:rFonts w:hint="default" w:ascii="Times New Roman" w:hAnsi="Times New Roman" w:eastAsia="宋体" w:cs="Times New Roman"/>
          <w:color w:val="auto"/>
          <w:sz w:val="24"/>
          <w:szCs w:val="24"/>
          <w:highlight w:val="none"/>
          <w:lang w:val="en-US" w:eastAsia="zh-CN"/>
        </w:rPr>
        <w:t>和</w:t>
      </w:r>
      <w:r>
        <w:rPr>
          <w:rFonts w:hint="default" w:ascii="Times New Roman" w:hAnsi="Times New Roman" w:eastAsia="宋体" w:cs="Times New Roman"/>
          <w:color w:val="auto"/>
          <w:sz w:val="24"/>
          <w:szCs w:val="24"/>
          <w:highlight w:val="none"/>
        </w:rPr>
        <w:t>成家大屋</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②索饵场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保护区江段主要经济鱼类索饵场一般分布在粘性卵鱼类产卵场、支流入口处附近，但索饵场分布面积较产卵场大。保护区内江段分布有主要经济鱼类索饵场9处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与</w:t>
      </w:r>
      <w:r>
        <w:rPr>
          <w:rFonts w:hint="default" w:ascii="Times New Roman" w:hAnsi="Times New Roman" w:eastAsia="宋体" w:cs="Times New Roman"/>
          <w:color w:val="auto"/>
          <w:sz w:val="24"/>
          <w:szCs w:val="24"/>
          <w:highlight w:val="none"/>
        </w:rPr>
        <w:t>粘性卵、浮性卵鱼类产卵场</w:t>
      </w:r>
      <w:r>
        <w:rPr>
          <w:rFonts w:hint="default" w:ascii="Times New Roman" w:hAnsi="Times New Roman" w:eastAsia="宋体" w:cs="Times New Roman"/>
          <w:color w:val="auto"/>
          <w:sz w:val="24"/>
          <w:szCs w:val="24"/>
          <w:highlight w:val="none"/>
          <w:lang w:val="en-US" w:eastAsia="zh-CN"/>
        </w:rPr>
        <w:t>位置一致</w:t>
      </w:r>
      <w:r>
        <w:rPr>
          <w:rFonts w:hint="default" w:ascii="Times New Roman" w:hAnsi="Times New Roman" w:cs="Times New Roman"/>
          <w:color w:val="auto"/>
          <w:sz w:val="24"/>
          <w:szCs w:val="24"/>
          <w:highlight w:val="none"/>
          <w:lang w:val="en-US" w:eastAsia="zh-CN"/>
        </w:rPr>
        <w:t>。</w:t>
      </w:r>
    </w:p>
    <w:p>
      <w:pPr>
        <w:pStyle w:val="8"/>
        <w:keepNext w:val="0"/>
        <w:keepLines w:val="0"/>
        <w:pageBreakBefore w:val="0"/>
        <w:widowControl/>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③越冬场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鱼类越冬场则在深潭处，保护区</w:t>
      </w:r>
      <w:r>
        <w:rPr>
          <w:rFonts w:hint="default" w:ascii="Times New Roman" w:hAnsi="Times New Roman" w:eastAsia="宋体" w:cs="Times New Roman"/>
          <w:color w:val="auto"/>
          <w:sz w:val="24"/>
          <w:szCs w:val="24"/>
          <w:highlight w:val="none"/>
          <w:lang w:val="en-US" w:eastAsia="zh-CN"/>
        </w:rPr>
        <w:t>核心区</w:t>
      </w:r>
      <w:r>
        <w:rPr>
          <w:rFonts w:hint="default" w:ascii="Times New Roman" w:hAnsi="Times New Roman" w:eastAsia="宋体" w:cs="Times New Roman"/>
          <w:color w:val="auto"/>
          <w:sz w:val="24"/>
          <w:szCs w:val="24"/>
          <w:highlight w:val="none"/>
        </w:rPr>
        <w:t>江段分布有鲤鱼潭（常宁）、大渔湾潭（常宁）、云集潭（衡南）、白渔潭（耒水口）、樟木潭（坝前）等主要经济鱼类越冬场5个</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④洄游通道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湘江常宁近尾洲以下江段是鱼类重要的洄游通道，青鱼、草鱼、鲢、鳙、鱤等重要经济鱼类繁殖季节从下游及洞庭湖上溯洄游到常宁大渔湾江段产卵繁殖，鱼卵随水漂流孵化，进入河湾及洞庭湖摄食生长。</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（3）项目与水产种质资源保护区的位置关系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东洲岛位于湘江河道，该区域为湘江衡阳段四大家鱼国家级水产种质资源保护区核心区</w:t>
      </w:r>
      <w:r>
        <w:rPr>
          <w:rFonts w:hint="default" w:cs="Times New Roman"/>
          <w:color w:val="auto"/>
          <w:sz w:val="24"/>
          <w:szCs w:val="24"/>
          <w:highlight w:val="none"/>
          <w:lang w:val="en-US" w:eastAsia="zh-CN"/>
        </w:rPr>
        <w:t>，但本项目对东洲岛的景观提质改造各项目内容均位于陆域，且离水域较远。本项目风光带整治中的</w:t>
      </w:r>
      <w:r>
        <w:rPr>
          <w:rFonts w:hint="default" w:ascii="Times New Roman" w:hAnsi="Times New Roman" w:eastAsia="宋体" w:cs="Times New Roman"/>
          <w:color w:val="auto"/>
          <w:sz w:val="24"/>
          <w:szCs w:val="24"/>
          <w:highlight w:val="none"/>
          <w:lang w:val="en-US" w:eastAsia="zh-CN"/>
        </w:rPr>
        <w:t>抛石护岸</w:t>
      </w:r>
      <w:r>
        <w:rPr>
          <w:rFonts w:hint="default" w:cs="Times New Roman"/>
          <w:color w:val="auto"/>
          <w:sz w:val="24"/>
          <w:szCs w:val="24"/>
          <w:highlight w:val="none"/>
          <w:lang w:val="en-US" w:eastAsia="zh-CN"/>
        </w:rPr>
        <w:t>工程（工程量为</w:t>
      </w:r>
      <w:r>
        <w:rPr>
          <w:rFonts w:hint="default" w:ascii="Times New Roman" w:hAnsi="Times New Roman" w:eastAsia="宋体" w:cs="Times New Roman"/>
          <w:color w:val="auto"/>
          <w:sz w:val="24"/>
          <w:szCs w:val="24"/>
          <w:highlight w:val="none"/>
          <w:lang w:val="en-US" w:eastAsia="zh-CN"/>
        </w:rPr>
        <w:t>3320m</w:t>
      </w:r>
      <w:r>
        <w:rPr>
          <w:rFonts w:hint="default" w:ascii="Times New Roman" w:hAnsi="Times New Roman" w:eastAsia="宋体" w:cs="Times New Roman"/>
          <w:color w:val="auto"/>
          <w:sz w:val="24"/>
          <w:szCs w:val="24"/>
          <w:highlight w:val="none"/>
          <w:vertAlign w:val="superscript"/>
          <w:lang w:val="en-US" w:eastAsia="zh-CN"/>
        </w:rPr>
        <w:t>3</w:t>
      </w:r>
      <w:r>
        <w:rPr>
          <w:rFonts w:hint="default" w:cs="Times New Roman"/>
          <w:color w:val="auto"/>
          <w:sz w:val="24"/>
          <w:szCs w:val="24"/>
          <w:highlight w:val="none"/>
          <w:lang w:val="en-US" w:eastAsia="zh-CN"/>
        </w:rPr>
        <w:t>）涉及保护区水域；</w:t>
      </w:r>
      <w:r>
        <w:rPr>
          <w:rFonts w:hint="default" w:cs="Times New Roman"/>
          <w:color w:val="auto"/>
          <w:sz w:val="24"/>
          <w:szCs w:val="24"/>
          <w:highlight w:val="none"/>
          <w:vertAlign w:val="baseline"/>
          <w:lang w:val="en-US" w:eastAsia="zh-CN"/>
        </w:rPr>
        <w:t>岸坡整治工程涉及湘江水域岸线，整治长度为650m。岸坡整治工程</w:t>
      </w:r>
      <w:r>
        <w:rPr>
          <w:rFonts w:hint="default" w:ascii="Times New Roman" w:hAnsi="Times New Roman" w:eastAsia="宋体" w:cs="Times New Roman"/>
          <w:color w:val="auto"/>
          <w:sz w:val="24"/>
          <w:szCs w:val="24"/>
          <w:u w:val="none"/>
          <w:lang w:val="en-US" w:eastAsia="zh-CN"/>
        </w:rPr>
        <w:t>标高</w:t>
      </w:r>
      <w:r>
        <w:rPr>
          <w:rFonts w:hint="default" w:ascii="Times New Roman" w:hAnsi="Times New Roman" w:cs="Times New Roman"/>
          <w:color w:val="auto"/>
          <w:sz w:val="24"/>
          <w:szCs w:val="24"/>
          <w:u w:val="none"/>
          <w:lang w:val="en-US" w:eastAsia="zh-CN"/>
        </w:rPr>
        <w:t>为</w:t>
      </w:r>
      <w:r>
        <w:rPr>
          <w:rFonts w:hint="default" w:ascii="Times New Roman" w:hAnsi="Times New Roman" w:eastAsia="宋体" w:cs="Times New Roman"/>
          <w:color w:val="auto"/>
          <w:sz w:val="24"/>
          <w:szCs w:val="24"/>
          <w:u w:val="none"/>
          <w:lang w:val="en-US" w:eastAsia="zh-CN"/>
        </w:rPr>
        <w:t>52～55.5m</w:t>
      </w:r>
      <w:r>
        <w:rPr>
          <w:rFonts w:hint="default" w:ascii="Times New Roman" w:hAnsi="Times New Roman" w:cs="Times New Roman"/>
          <w:color w:val="auto"/>
          <w:sz w:val="24"/>
          <w:szCs w:val="24"/>
          <w:u w:val="none"/>
          <w:lang w:val="en-US" w:eastAsia="zh-CN"/>
        </w:rPr>
        <w:t>，项目区域湘江</w:t>
      </w:r>
      <w:r>
        <w:rPr>
          <w:rFonts w:hint="default" w:ascii="Times New Roman" w:hAnsi="Times New Roman" w:eastAsia="宋体" w:cs="Times New Roman"/>
          <w:color w:val="auto"/>
          <w:sz w:val="24"/>
          <w:szCs w:val="24"/>
          <w:u w:val="none"/>
          <w:lang w:val="en-US" w:eastAsia="zh-CN"/>
        </w:rPr>
        <w:t>100年洪水位标高为61.67～61.80m</w:t>
      </w:r>
      <w:r>
        <w:rPr>
          <w:rFonts w:hint="default" w:cs="Times New Roman"/>
          <w:color w:val="auto"/>
          <w:sz w:val="24"/>
          <w:szCs w:val="24"/>
          <w:highlight w:val="none"/>
          <w:lang w:val="en-US" w:eastAsia="zh-CN"/>
        </w:rPr>
        <w:t>，</w:t>
      </w:r>
      <w:r>
        <w:rPr>
          <w:rFonts w:hint="default" w:ascii="Times New Roman" w:hAnsi="Times New Roman" w:eastAsia="宋体" w:cs="Times New Roman"/>
          <w:color w:val="auto"/>
          <w:sz w:val="24"/>
          <w:szCs w:val="24"/>
          <w:u w:val="none"/>
          <w:lang w:val="en-US" w:eastAsia="zh-CN"/>
        </w:rPr>
        <w:t>常水位为50.49～50.52m，2年一遇水位为55.50m</w:t>
      </w:r>
      <w:r>
        <w:rPr>
          <w:rFonts w:hint="default" w:ascii="Times New Roman" w:hAnsi="Times New Roman" w:cs="Times New Roman"/>
          <w:color w:val="auto"/>
          <w:sz w:val="24"/>
          <w:szCs w:val="24"/>
          <w:u w:val="none"/>
          <w:lang w:val="en-US" w:eastAsia="zh-CN"/>
        </w:rPr>
        <w:t>。因此岸坡整治工程施工期间可能涉及湘江水域。</w:t>
      </w:r>
      <w:r>
        <w:rPr>
          <w:rFonts w:hint="default" w:cs="Times New Roman"/>
          <w:color w:val="auto"/>
          <w:sz w:val="24"/>
          <w:szCs w:val="24"/>
          <w:highlight w:val="none"/>
          <w:lang w:val="en-US" w:eastAsia="zh-CN"/>
        </w:rPr>
        <w:t>项目</w:t>
      </w:r>
      <w:r>
        <w:rPr>
          <w:rFonts w:hint="default"/>
          <w:color w:val="auto"/>
          <w:sz w:val="24"/>
          <w:highlight w:val="none"/>
          <w:lang w:val="en-US" w:eastAsia="zh-CN"/>
        </w:rPr>
        <w:t>位于</w:t>
      </w:r>
      <w:r>
        <w:rPr>
          <w:rFonts w:hint="eastAsia"/>
          <w:color w:val="auto"/>
          <w:sz w:val="24"/>
          <w:highlight w:val="none"/>
          <w:lang w:val="en-US" w:eastAsia="zh-CN"/>
        </w:rPr>
        <w:t>“</w:t>
      </w:r>
      <w:r>
        <w:rPr>
          <w:rFonts w:hint="default"/>
          <w:color w:val="auto"/>
          <w:sz w:val="24"/>
          <w:highlight w:val="none"/>
          <w:lang w:val="en-US" w:eastAsia="zh-CN"/>
        </w:rPr>
        <w:t>四大家鱼</w:t>
      </w:r>
      <w:r>
        <w:rPr>
          <w:rFonts w:hint="eastAsia"/>
          <w:color w:val="auto"/>
          <w:sz w:val="24"/>
          <w:highlight w:val="none"/>
          <w:lang w:val="en-US" w:eastAsia="zh-CN"/>
        </w:rPr>
        <w:t>”</w:t>
      </w:r>
      <w:r>
        <w:rPr>
          <w:rFonts w:hint="default"/>
          <w:color w:val="auto"/>
          <w:sz w:val="24"/>
          <w:highlight w:val="none"/>
          <w:lang w:val="en-US" w:eastAsia="zh-CN"/>
        </w:rPr>
        <w:t>产卵场下游，距离上游最近的衡南从洲-云集-车江</w:t>
      </w:r>
      <w:r>
        <w:rPr>
          <w:rFonts w:hint="eastAsia"/>
          <w:color w:val="auto"/>
          <w:sz w:val="24"/>
          <w:highlight w:val="none"/>
          <w:lang w:val="en-US" w:eastAsia="zh-CN"/>
        </w:rPr>
        <w:t>“</w:t>
      </w:r>
      <w:r>
        <w:rPr>
          <w:rFonts w:hint="default"/>
          <w:color w:val="auto"/>
          <w:sz w:val="24"/>
          <w:highlight w:val="none"/>
          <w:lang w:val="en-US" w:eastAsia="zh-CN"/>
        </w:rPr>
        <w:t>四大家鱼</w:t>
      </w:r>
      <w:r>
        <w:rPr>
          <w:rFonts w:hint="eastAsia"/>
          <w:color w:val="auto"/>
          <w:sz w:val="24"/>
          <w:highlight w:val="none"/>
          <w:lang w:val="en-US" w:eastAsia="zh-CN"/>
        </w:rPr>
        <w:t>”</w:t>
      </w:r>
      <w:r>
        <w:rPr>
          <w:rFonts w:hint="default"/>
          <w:color w:val="auto"/>
          <w:sz w:val="24"/>
          <w:highlight w:val="none"/>
          <w:lang w:val="en-US" w:eastAsia="zh-CN"/>
        </w:rPr>
        <w:t>产卵场约18km。不在该保护区的鱼类</w:t>
      </w:r>
      <w:r>
        <w:rPr>
          <w:rFonts w:hint="eastAsia"/>
          <w:color w:val="auto"/>
          <w:sz w:val="24"/>
          <w:highlight w:val="none"/>
          <w:lang w:val="en-US" w:eastAsia="zh-CN"/>
        </w:rPr>
        <w:t>“</w:t>
      </w:r>
      <w:r>
        <w:rPr>
          <w:rFonts w:hint="default"/>
          <w:color w:val="auto"/>
          <w:sz w:val="24"/>
          <w:highlight w:val="none"/>
          <w:lang w:val="en-US" w:eastAsia="zh-CN"/>
        </w:rPr>
        <w:t>三场</w:t>
      </w:r>
      <w:r>
        <w:rPr>
          <w:rFonts w:hint="eastAsia"/>
          <w:color w:val="auto"/>
          <w:sz w:val="24"/>
          <w:highlight w:val="none"/>
          <w:lang w:val="en-US" w:eastAsia="zh-CN"/>
        </w:rPr>
        <w:t>”</w:t>
      </w:r>
      <w:r>
        <w:rPr>
          <w:rFonts w:hint="default"/>
          <w:color w:val="auto"/>
          <w:sz w:val="24"/>
          <w:highlight w:val="none"/>
          <w:lang w:val="en-US" w:eastAsia="zh-CN"/>
        </w:rPr>
        <w:t>。</w:t>
      </w:r>
      <w:r>
        <w:rPr>
          <w:rFonts w:hint="default" w:ascii="Times New Roman" w:hAnsi="Times New Roman" w:eastAsia="宋体" w:cs="Times New Roman"/>
          <w:color w:val="auto"/>
          <w:sz w:val="24"/>
          <w:szCs w:val="24"/>
          <w:highlight w:val="none"/>
          <w:lang w:val="en-US" w:eastAsia="zh-CN"/>
        </w:rPr>
        <w:t>项目区下游约1km处分布有主要经济鱼类越冬场1处</w:t>
      </w:r>
      <w:r>
        <w:rPr>
          <w:rFonts w:hint="default" w:cs="Times New Roman"/>
          <w:color w:val="auto"/>
          <w:sz w:val="24"/>
          <w:szCs w:val="24"/>
          <w:highlight w:val="none"/>
          <w:lang w:val="en-US" w:eastAsia="zh-CN"/>
        </w:rPr>
        <w:t>，为白渔潭</w:t>
      </w:r>
      <w:r>
        <w:rPr>
          <w:rFonts w:hint="default" w:ascii="Times New Roman" w:hAnsi="Times New Roman" w:eastAsia="宋体" w:cs="Times New Roman"/>
          <w:color w:val="auto"/>
          <w:sz w:val="24"/>
          <w:szCs w:val="24"/>
          <w:highlight w:val="none"/>
          <w:lang w:val="en-US" w:eastAsia="zh-CN"/>
        </w:rPr>
        <w:t>；主要经济鱼类索饵场1处</w:t>
      </w:r>
      <w:r>
        <w:rPr>
          <w:rFonts w:hint="default"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粘性卵、浮性卵鱼类产卵场1处</w:t>
      </w:r>
      <w:r>
        <w:rPr>
          <w:rFonts w:hint="default" w:cs="Times New Roman"/>
          <w:color w:val="auto"/>
          <w:sz w:val="24"/>
          <w:szCs w:val="24"/>
          <w:highlight w:val="none"/>
          <w:lang w:val="en-US" w:eastAsia="zh-CN"/>
        </w:rPr>
        <w:t>，为东洲索饵场和产卵场</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与湘江衡阳段四大家鱼国家级水产种质资源保护区位置关系如</w:t>
      </w:r>
      <w:r>
        <w:rPr>
          <w:rFonts w:hint="default"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图。</w:t>
      </w:r>
    </w:p>
    <w:p>
      <w:pPr>
        <w:pStyle w:val="21"/>
        <w:keepLines w:val="0"/>
        <w:pageBreakBefore w:val="0"/>
        <w:widowControl w:val="0"/>
        <w:kinsoku/>
        <w:wordWrap/>
        <w:overflowPunct/>
        <w:topLinePunct w:val="0"/>
        <w:bidi w:val="0"/>
        <w:ind w:left="0" w:leftChars="0" w:firstLine="0" w:firstLineChars="0"/>
        <w:jc w:val="center"/>
        <w:rPr>
          <w:rFonts w:hint="default" w:ascii="Times New Roman" w:hAnsi="Times New Roman" w:cs="Times New Roman"/>
          <w:b/>
          <w:color w:val="auto"/>
          <w:kern w:val="2"/>
          <w:sz w:val="21"/>
          <w:szCs w:val="24"/>
          <w:highlight w:val="none"/>
          <w:u w:val="none" w:color="auto"/>
          <w:lang w:val="en-US" w:eastAsia="zh-CN" w:bidi="ar-SA"/>
        </w:rPr>
      </w:pPr>
      <w:r>
        <w:rPr>
          <w:rFonts w:hint="default" w:ascii="Times New Roman" w:hAnsi="Times New Roman" w:cs="Times New Roman"/>
          <w:b/>
          <w:color w:val="auto"/>
          <w:kern w:val="2"/>
          <w:sz w:val="21"/>
          <w:szCs w:val="24"/>
          <w:highlight w:val="none"/>
          <w:u w:val="none" w:color="auto"/>
          <w:lang w:val="en-US" w:eastAsia="zh-CN" w:bidi="ar-SA"/>
        </w:rPr>
        <w:drawing>
          <wp:inline distT="0" distB="0" distL="114300" distR="114300">
            <wp:extent cx="5179060" cy="3457575"/>
            <wp:effectExtent l="0" t="0" r="2540" b="9525"/>
            <wp:docPr id="11" name="图片 11" descr="项目与水产种质资源保护区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项目与水产种质资源保护区位置关系图"/>
                    <pic:cNvPicPr>
                      <a:picLocks noChangeAspect="1"/>
                    </pic:cNvPicPr>
                  </pic:nvPicPr>
                  <pic:blipFill>
                    <a:blip r:embed="rId46"/>
                    <a:stretch>
                      <a:fillRect/>
                    </a:stretch>
                  </pic:blipFill>
                  <pic:spPr>
                    <a:xfrm>
                      <a:off x="0" y="0"/>
                      <a:ext cx="5179060" cy="3457575"/>
                    </a:xfrm>
                    <a:prstGeom prst="rect">
                      <a:avLst/>
                    </a:prstGeom>
                  </pic:spPr>
                </pic:pic>
              </a:graphicData>
            </a:graphic>
          </wp:inline>
        </w:drawing>
      </w:r>
    </w:p>
    <w:p>
      <w:pPr>
        <w:pStyle w:val="21"/>
        <w:keepLines w:val="0"/>
        <w:pageBreakBefore w:val="0"/>
        <w:widowControl w:val="0"/>
        <w:kinsoku/>
        <w:wordWrap/>
        <w:overflowPunct/>
        <w:topLinePunct w:val="0"/>
        <w:bidi w:val="0"/>
        <w:ind w:left="0" w:leftChars="0" w:firstLine="0" w:firstLineChars="0"/>
        <w:jc w:val="center"/>
        <w:rPr>
          <w:rFonts w:hint="default" w:ascii="Times New Roman" w:hAnsi="Times New Roman" w:cs="Times New Roman"/>
          <w:b/>
          <w:color w:val="auto"/>
          <w:kern w:val="2"/>
          <w:sz w:val="21"/>
          <w:szCs w:val="24"/>
          <w:highlight w:val="none"/>
          <w:u w:val="none" w:color="auto"/>
          <w:lang w:val="en-US" w:eastAsia="zh-CN" w:bidi="ar-SA"/>
        </w:rPr>
      </w:pPr>
      <w:r>
        <w:rPr>
          <w:rFonts w:hint="default" w:ascii="Times New Roman" w:hAnsi="Times New Roman" w:cs="Times New Roman"/>
          <w:b/>
          <w:color w:val="auto"/>
          <w:kern w:val="2"/>
          <w:sz w:val="21"/>
          <w:szCs w:val="24"/>
          <w:highlight w:val="none"/>
          <w:u w:val="none" w:color="auto"/>
          <w:lang w:val="en-US" w:eastAsia="zh-CN" w:bidi="ar-SA"/>
        </w:rPr>
        <w:t>图4.4-2 项目与湘江衡阳段四大家鱼国家级水产种质资源保护区位置关系图</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w:t>
      </w:r>
      <w:r>
        <w:rPr>
          <w:rFonts w:hint="eastAsia" w:cs="Times New Roman"/>
          <w:b/>
          <w:bCs/>
          <w:color w:val="auto"/>
          <w:kern w:val="0"/>
          <w:sz w:val="28"/>
          <w:szCs w:val="28"/>
          <w:highlight w:val="none"/>
          <w:lang w:val="en-US" w:eastAsia="zh-CN"/>
        </w:rPr>
        <w:t>3</w:t>
      </w:r>
      <w:r>
        <w:rPr>
          <w:rFonts w:hint="default" w:cs="Times New Roman"/>
          <w:b/>
          <w:bCs/>
          <w:color w:val="auto"/>
          <w:kern w:val="0"/>
          <w:sz w:val="28"/>
          <w:szCs w:val="28"/>
          <w:highlight w:val="none"/>
          <w:lang w:val="en-US" w:eastAsia="zh-CN"/>
        </w:rPr>
        <w:t>.3生态公益与天然林</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本项目位于衡阳市市区，根据现场调查，征地区域无原生、</w:t>
      </w:r>
      <w:r>
        <w:rPr>
          <w:rFonts w:hint="default" w:ascii="Times New Roman" w:hAnsi="Times New Roman" w:cs="Times New Roman"/>
          <w:color w:val="auto"/>
          <w:sz w:val="24"/>
          <w:szCs w:val="24"/>
          <w:highlight w:val="none"/>
        </w:rPr>
        <w:t>次生</w:t>
      </w:r>
      <w:r>
        <w:rPr>
          <w:rFonts w:hint="default" w:ascii="Times New Roman" w:hAnsi="Times New Roman" w:cs="Times New Roman"/>
          <w:color w:val="auto"/>
          <w:sz w:val="24"/>
          <w:szCs w:val="24"/>
          <w:highlight w:val="none"/>
          <w:lang w:val="en-US" w:eastAsia="zh-CN"/>
        </w:rPr>
        <w:t>乔木林，征地范围内乔木为绿化树种，无</w:t>
      </w:r>
      <w:r>
        <w:rPr>
          <w:rFonts w:hint="default" w:ascii="Times New Roman" w:hAnsi="Times New Roman" w:cs="Times New Roman"/>
          <w:color w:val="auto"/>
          <w:sz w:val="24"/>
          <w:szCs w:val="24"/>
          <w:highlight w:val="none"/>
        </w:rPr>
        <w:t>湖南省生态公益林</w:t>
      </w:r>
      <w:r>
        <w:rPr>
          <w:rFonts w:hint="default" w:ascii="Times New Roman" w:hAnsi="Times New Roman" w:cs="Times New Roman"/>
          <w:color w:val="auto"/>
          <w:sz w:val="24"/>
          <w:szCs w:val="24"/>
          <w:highlight w:val="none"/>
          <w:lang w:val="en-US" w:eastAsia="zh-CN"/>
        </w:rPr>
        <w:t>和</w:t>
      </w:r>
      <w:r>
        <w:rPr>
          <w:rFonts w:hint="default" w:ascii="Times New Roman" w:hAnsi="Times New Roman" w:cs="Times New Roman"/>
          <w:color w:val="auto"/>
          <w:sz w:val="24"/>
          <w:szCs w:val="24"/>
          <w:highlight w:val="none"/>
        </w:rPr>
        <w:t>天然林</w:t>
      </w:r>
      <w:r>
        <w:rPr>
          <w:rFonts w:hint="default" w:ascii="Times New Roman" w:hAnsi="Times New Roman" w:cs="Times New Roman"/>
          <w:color w:val="auto"/>
          <w:sz w:val="24"/>
          <w:szCs w:val="24"/>
          <w:highlight w:val="none"/>
          <w:lang w:val="en-US" w:eastAsia="zh-CN"/>
        </w:rPr>
        <w:t>分布。</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w:t>
      </w:r>
      <w:r>
        <w:rPr>
          <w:rFonts w:hint="eastAsia" w:cs="Times New Roman"/>
          <w:b/>
          <w:bCs/>
          <w:color w:val="auto"/>
          <w:kern w:val="0"/>
          <w:sz w:val="28"/>
          <w:szCs w:val="28"/>
          <w:highlight w:val="none"/>
          <w:lang w:val="en-US" w:eastAsia="zh-CN"/>
        </w:rPr>
        <w:t>3</w:t>
      </w:r>
      <w:r>
        <w:rPr>
          <w:rFonts w:hint="default" w:cs="Times New Roman"/>
          <w:b/>
          <w:bCs/>
          <w:color w:val="auto"/>
          <w:kern w:val="0"/>
          <w:sz w:val="28"/>
          <w:szCs w:val="28"/>
          <w:highlight w:val="none"/>
          <w:lang w:val="en-US" w:eastAsia="zh-CN"/>
        </w:rPr>
        <w:t>.4区域饮用水水源地调查</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项目位于衡阳市城区，根据</w:t>
      </w:r>
      <w:r>
        <w:rPr>
          <w:rFonts w:hint="default" w:ascii="Times New Roman" w:hAnsi="Times New Roman" w:eastAsia="宋体" w:cs="Times New Roman"/>
          <w:color w:val="auto"/>
          <w:sz w:val="24"/>
          <w:szCs w:val="24"/>
          <w:highlight w:val="none"/>
        </w:rPr>
        <w:t>《湖南省县级以上地表水集中式饮用水水源保护区划定方案》</w:t>
      </w:r>
      <w:r>
        <w:rPr>
          <w:rFonts w:hint="default" w:cs="Times New Roman"/>
          <w:color w:val="auto"/>
          <w:sz w:val="24"/>
          <w:szCs w:val="24"/>
          <w:highlight w:val="none"/>
          <w:lang w:eastAsia="zh-CN"/>
        </w:rPr>
        <w:t>（湘政函（2016）176号），</w:t>
      </w:r>
      <w:r>
        <w:rPr>
          <w:rFonts w:hint="default" w:cs="Times New Roman"/>
          <w:color w:val="auto"/>
          <w:sz w:val="24"/>
          <w:szCs w:val="24"/>
          <w:highlight w:val="none"/>
          <w:lang w:val="en-US" w:eastAsia="zh-CN"/>
        </w:rPr>
        <w:t>项目所在位置及周边有3处饮用水源保护区，</w:t>
      </w:r>
      <w:r>
        <w:rPr>
          <w:rFonts w:hint="default" w:ascii="Times New Roman" w:hAnsi="Times New Roman" w:eastAsia="宋体" w:cs="Times New Roman"/>
          <w:color w:val="auto"/>
          <w:sz w:val="24"/>
          <w:szCs w:val="24"/>
          <w:highlight w:val="none"/>
        </w:rPr>
        <w:t>保护区范围如下所示</w:t>
      </w:r>
      <w:r>
        <w:rPr>
          <w:rFonts w:hint="default" w:ascii="Times New Roman" w:hAnsi="Times New Roman" w:eastAsia="宋体" w:cs="Times New Roman"/>
          <w:color w:val="auto"/>
          <w:kern w:val="0"/>
          <w:sz w:val="24"/>
          <w:szCs w:val="24"/>
          <w:highlight w:val="none"/>
          <w:lang w:val="en-US" w:eastAsia="zh-CN" w:bidi="ar"/>
        </w:rPr>
        <w:t>。</w:t>
      </w:r>
    </w:p>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4.</w:t>
      </w:r>
      <w:r>
        <w:rPr>
          <w:rFonts w:hint="eastAsia" w:eastAsia="宋体" w:cs="Times New Roman"/>
          <w:b/>
          <w:color w:val="auto"/>
          <w:kern w:val="2"/>
          <w:sz w:val="21"/>
          <w:szCs w:val="24"/>
          <w:highlight w:val="none"/>
          <w:u w:val="none" w:color="auto"/>
          <w:lang w:val="en-US" w:eastAsia="zh-CN" w:bidi="ar-SA"/>
        </w:rPr>
        <w:t>3</w:t>
      </w:r>
      <w:r>
        <w:rPr>
          <w:rFonts w:hint="default" w:eastAsia="宋体" w:cs="Times New Roman"/>
          <w:b/>
          <w:color w:val="auto"/>
          <w:kern w:val="2"/>
          <w:sz w:val="21"/>
          <w:szCs w:val="24"/>
          <w:highlight w:val="none"/>
          <w:u w:val="none" w:color="auto"/>
          <w:lang w:val="en-US" w:eastAsia="zh-CN" w:bidi="ar-SA"/>
        </w:rPr>
        <w:t>-1项目周边</w:t>
      </w:r>
      <w:r>
        <w:rPr>
          <w:rFonts w:hint="default" w:ascii="Times New Roman" w:hAnsi="Times New Roman" w:eastAsia="宋体" w:cs="Times New Roman"/>
          <w:b/>
          <w:color w:val="auto"/>
          <w:kern w:val="2"/>
          <w:sz w:val="21"/>
          <w:szCs w:val="24"/>
          <w:highlight w:val="none"/>
          <w:u w:val="none" w:color="auto"/>
          <w:lang w:val="en-US" w:eastAsia="zh-CN" w:bidi="ar-SA"/>
        </w:rPr>
        <w:t>饮用水水源保护区</w:t>
      </w:r>
      <w:r>
        <w:rPr>
          <w:rFonts w:hint="default" w:eastAsia="宋体" w:cs="Times New Roman"/>
          <w:b/>
          <w:color w:val="auto"/>
          <w:kern w:val="2"/>
          <w:sz w:val="21"/>
          <w:szCs w:val="24"/>
          <w:highlight w:val="none"/>
          <w:u w:val="none" w:color="auto"/>
          <w:lang w:val="en-US" w:eastAsia="zh-CN" w:bidi="ar-SA"/>
        </w:rPr>
        <w:t>情况</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696"/>
        <w:gridCol w:w="662"/>
        <w:gridCol w:w="3311"/>
        <w:gridCol w:w="27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647" w:type="pct"/>
            <w:vMerge w:val="restar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val="en-US" w:eastAsia="zh-CN"/>
              </w:rPr>
            </w:pPr>
            <w:r>
              <w:rPr>
                <w:rFonts w:hint="default" w:cs="Times New Roman"/>
                <w:b w:val="0"/>
                <w:bCs/>
                <w:color w:val="auto"/>
                <w:sz w:val="21"/>
                <w:szCs w:val="21"/>
                <w:highlight w:val="none"/>
                <w:lang w:val="en-US" w:eastAsia="zh-CN"/>
              </w:rPr>
              <w:t>保护区名称</w:t>
            </w:r>
          </w:p>
        </w:tc>
        <w:tc>
          <w:tcPr>
            <w:tcW w:w="408" w:type="pct"/>
            <w:vMerge w:val="restar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val="en-US" w:eastAsia="zh-CN"/>
              </w:rPr>
            </w:pPr>
            <w:r>
              <w:rPr>
                <w:rFonts w:hint="default" w:cs="Times New Roman"/>
                <w:b w:val="0"/>
                <w:bCs/>
                <w:color w:val="auto"/>
                <w:sz w:val="21"/>
                <w:szCs w:val="21"/>
                <w:highlight w:val="none"/>
                <w:lang w:val="en-US" w:eastAsia="zh-CN"/>
              </w:rPr>
              <w:t>水厂</w:t>
            </w:r>
          </w:p>
        </w:tc>
        <w:tc>
          <w:tcPr>
            <w:tcW w:w="388" w:type="pct"/>
            <w:vMerge w:val="restart"/>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保护级别</w:t>
            </w:r>
          </w:p>
        </w:tc>
        <w:tc>
          <w:tcPr>
            <w:tcW w:w="3555" w:type="pct"/>
            <w:gridSpan w:val="2"/>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保护区范围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647" w:type="pct"/>
            <w:vMerge w:val="continue"/>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p>
        </w:tc>
        <w:tc>
          <w:tcPr>
            <w:tcW w:w="408" w:type="pct"/>
            <w:vMerge w:val="continue"/>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p>
        </w:tc>
        <w:tc>
          <w:tcPr>
            <w:tcW w:w="388" w:type="pct"/>
            <w:vMerge w:val="continue"/>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p>
        </w:tc>
        <w:tc>
          <w:tcPr>
            <w:tcW w:w="1942" w:type="pct"/>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水域</w:t>
            </w:r>
          </w:p>
        </w:tc>
        <w:tc>
          <w:tcPr>
            <w:tcW w:w="1612" w:type="pct"/>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陆域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pct"/>
            <w:vMerge w:val="restar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val="en-US" w:eastAsia="zh-CN"/>
              </w:rPr>
            </w:pPr>
            <w:r>
              <w:rPr>
                <w:rFonts w:hint="default" w:cs="Times New Roman"/>
                <w:b w:val="0"/>
                <w:bCs/>
                <w:color w:val="auto"/>
                <w:sz w:val="21"/>
                <w:szCs w:val="21"/>
                <w:highlight w:val="none"/>
                <w:lang w:val="en-US" w:eastAsia="zh-CN"/>
              </w:rPr>
              <w:t>衡阳市珠晖区湘江饮用水水源保护区</w:t>
            </w:r>
          </w:p>
        </w:tc>
        <w:tc>
          <w:tcPr>
            <w:tcW w:w="408" w:type="pct"/>
            <w:vMerge w:val="restar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val="en-US" w:eastAsia="zh-CN"/>
              </w:rPr>
            </w:pPr>
            <w:r>
              <w:rPr>
                <w:rFonts w:hint="default" w:cs="Times New Roman"/>
                <w:b w:val="0"/>
                <w:bCs/>
                <w:color w:val="auto"/>
                <w:sz w:val="21"/>
                <w:szCs w:val="21"/>
                <w:highlight w:val="none"/>
                <w:lang w:val="en-US" w:eastAsia="zh-CN"/>
              </w:rPr>
              <w:t>江东水厂</w:t>
            </w:r>
          </w:p>
        </w:tc>
        <w:tc>
          <w:tcPr>
            <w:tcW w:w="388" w:type="pct"/>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一级</w:t>
            </w:r>
          </w:p>
        </w:tc>
        <w:tc>
          <w:tcPr>
            <w:tcW w:w="1942" w:type="pc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江东水厂取水口上游1000米至下游100米的河道水域</w:t>
            </w:r>
            <w:r>
              <w:rPr>
                <w:rFonts w:hint="default" w:cs="Times New Roman"/>
                <w:b w:val="0"/>
                <w:bCs/>
                <w:color w:val="auto"/>
                <w:sz w:val="21"/>
                <w:szCs w:val="21"/>
                <w:highlight w:val="none"/>
                <w:lang w:eastAsia="zh-CN"/>
              </w:rPr>
              <w:t>。</w:t>
            </w:r>
          </w:p>
        </w:tc>
        <w:tc>
          <w:tcPr>
            <w:tcW w:w="1612" w:type="pc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一级保护区水域边界至两岸防洪堤迎水侧堤肩之间的陆域</w:t>
            </w:r>
            <w:r>
              <w:rPr>
                <w:rFonts w:hint="default" w:cs="Times New Roman"/>
                <w:b w:val="0"/>
                <w:bCs/>
                <w:color w:val="auto"/>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pct"/>
            <w:vMerge w:val="continue"/>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p>
        </w:tc>
        <w:tc>
          <w:tcPr>
            <w:tcW w:w="408" w:type="pct"/>
            <w:vMerge w:val="continue"/>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p>
        </w:tc>
        <w:tc>
          <w:tcPr>
            <w:tcW w:w="388" w:type="pct"/>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二级</w:t>
            </w:r>
          </w:p>
        </w:tc>
        <w:tc>
          <w:tcPr>
            <w:tcW w:w="1942" w:type="pc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一级保护区水域上边界上溯2000米、下边界下延200米河道水域</w:t>
            </w:r>
            <w:r>
              <w:rPr>
                <w:rFonts w:hint="default" w:cs="Times New Roman"/>
                <w:b w:val="0"/>
                <w:bCs/>
                <w:color w:val="auto"/>
                <w:sz w:val="21"/>
                <w:szCs w:val="21"/>
                <w:highlight w:val="none"/>
                <w:lang w:eastAsia="zh-CN"/>
              </w:rPr>
              <w:t>。</w:t>
            </w:r>
          </w:p>
        </w:tc>
        <w:tc>
          <w:tcPr>
            <w:tcW w:w="1612" w:type="pc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一、二级保护区水域边界至防洪堤背水坡脚之间的陆域（一级保护区陆域除外）</w:t>
            </w:r>
            <w:r>
              <w:rPr>
                <w:rFonts w:hint="default" w:cs="Times New Roman"/>
                <w:b w:val="0"/>
                <w:bCs/>
                <w:color w:val="auto"/>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pct"/>
            <w:vMerge w:val="restart"/>
            <w:tcBorders>
              <w:tl2br w:val="nil"/>
              <w:tr2bl w:val="nil"/>
            </w:tcBorders>
            <w:noWrap w:val="0"/>
            <w:vAlign w:val="center"/>
          </w:tcPr>
          <w:p>
            <w:pPr>
              <w:pStyle w:val="38"/>
              <w:rPr>
                <w:rFonts w:hint="default" w:cs="Times New Roman"/>
                <w:b w:val="0"/>
                <w:bCs/>
                <w:color w:val="auto"/>
                <w:sz w:val="21"/>
                <w:szCs w:val="21"/>
                <w:highlight w:val="none"/>
                <w:lang w:val="en-US" w:eastAsia="zh-CN"/>
              </w:rPr>
            </w:pPr>
            <w:r>
              <w:rPr>
                <w:rFonts w:hint="default" w:cs="Times New Roman"/>
                <w:b w:val="0"/>
                <w:bCs/>
                <w:color w:val="auto"/>
                <w:sz w:val="21"/>
                <w:szCs w:val="21"/>
                <w:highlight w:val="none"/>
                <w:lang w:val="en-US" w:eastAsia="zh-CN"/>
              </w:rPr>
              <w:t>衡阳市雁峰区湘江饮用水水源保护区</w:t>
            </w:r>
          </w:p>
        </w:tc>
        <w:tc>
          <w:tcPr>
            <w:tcW w:w="408" w:type="pct"/>
            <w:vMerge w:val="restar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val="en-US" w:eastAsia="zh-CN"/>
              </w:rPr>
            </w:pPr>
            <w:r>
              <w:rPr>
                <w:rFonts w:hint="default" w:cs="Times New Roman"/>
                <w:b w:val="0"/>
                <w:bCs/>
                <w:color w:val="auto"/>
                <w:sz w:val="21"/>
                <w:szCs w:val="21"/>
                <w:highlight w:val="none"/>
                <w:lang w:val="en-US" w:eastAsia="zh-CN"/>
              </w:rPr>
              <w:t>城南水厂</w:t>
            </w:r>
          </w:p>
        </w:tc>
        <w:tc>
          <w:tcPr>
            <w:tcW w:w="388" w:type="pct"/>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一级</w:t>
            </w:r>
          </w:p>
        </w:tc>
        <w:tc>
          <w:tcPr>
            <w:tcW w:w="1942" w:type="pc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val="en-US" w:eastAsia="zh-CN"/>
              </w:rPr>
            </w:pPr>
            <w:r>
              <w:rPr>
                <w:rFonts w:hint="default" w:cs="Times New Roman"/>
                <w:b w:val="0"/>
                <w:bCs/>
                <w:color w:val="auto"/>
                <w:sz w:val="21"/>
                <w:szCs w:val="21"/>
                <w:highlight w:val="none"/>
                <w:lang w:val="en-US" w:eastAsia="zh-CN"/>
              </w:rPr>
              <w:t>城南</w:t>
            </w:r>
            <w:r>
              <w:rPr>
                <w:rFonts w:hint="default" w:ascii="Times New Roman" w:hAnsi="Times New Roman" w:cs="Times New Roman"/>
                <w:b w:val="0"/>
                <w:bCs/>
                <w:color w:val="auto"/>
                <w:sz w:val="21"/>
                <w:szCs w:val="21"/>
                <w:highlight w:val="none"/>
              </w:rPr>
              <w:t>水厂取水口上游1000米至下游100米</w:t>
            </w:r>
            <w:r>
              <w:rPr>
                <w:rFonts w:hint="default" w:cs="Times New Roman"/>
                <w:b w:val="0"/>
                <w:bCs/>
                <w:color w:val="auto"/>
                <w:sz w:val="21"/>
                <w:szCs w:val="21"/>
                <w:highlight w:val="none"/>
                <w:lang w:eastAsia="zh-CN"/>
              </w:rPr>
              <w:t>，</w:t>
            </w:r>
            <w:r>
              <w:rPr>
                <w:rFonts w:hint="default" w:cs="Times New Roman"/>
                <w:b w:val="0"/>
                <w:bCs/>
                <w:color w:val="auto"/>
                <w:sz w:val="21"/>
                <w:szCs w:val="21"/>
                <w:highlight w:val="none"/>
                <w:lang w:val="en-US" w:eastAsia="zh-CN"/>
              </w:rPr>
              <w:t>宽度为湘江左岸防洪堤与东洲岛南侧防洪堤内水域。</w:t>
            </w:r>
          </w:p>
        </w:tc>
        <w:tc>
          <w:tcPr>
            <w:tcW w:w="1612" w:type="pc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一级保护区水域边界至两岸（右岸至东洲岛）防洪堤迎水侧堤肩之间的陆域。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pct"/>
            <w:vMerge w:val="continue"/>
            <w:tcBorders>
              <w:tl2br w:val="nil"/>
              <w:tr2bl w:val="nil"/>
            </w:tcBorders>
            <w:noWrap w:val="0"/>
            <w:vAlign w:val="center"/>
          </w:tcPr>
          <w:p>
            <w:pPr>
              <w:pStyle w:val="38"/>
              <w:rPr>
                <w:rFonts w:hint="default" w:cs="Times New Roman"/>
                <w:b w:val="0"/>
                <w:bCs/>
                <w:color w:val="auto"/>
                <w:sz w:val="21"/>
                <w:szCs w:val="21"/>
                <w:highlight w:val="none"/>
                <w:lang w:val="en-US" w:eastAsia="zh-CN"/>
              </w:rPr>
            </w:pPr>
          </w:p>
        </w:tc>
        <w:tc>
          <w:tcPr>
            <w:tcW w:w="408" w:type="pct"/>
            <w:vMerge w:val="continue"/>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p>
        </w:tc>
        <w:tc>
          <w:tcPr>
            <w:tcW w:w="388" w:type="pct"/>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二级</w:t>
            </w:r>
          </w:p>
        </w:tc>
        <w:tc>
          <w:tcPr>
            <w:tcW w:w="1942" w:type="pct"/>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一级保护区水域上边界上溯至江东水厂二级保护区，下边界下延200米之间河道水域，包括东洲岛北侧水域（一级保护区水域除外）。</w:t>
            </w:r>
          </w:p>
        </w:tc>
        <w:tc>
          <w:tcPr>
            <w:tcW w:w="1612" w:type="pc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一、二级保护区水域边界至防洪堤背水坡脚之间的陆域（一级保护区陆域除外）</w:t>
            </w:r>
            <w:r>
              <w:rPr>
                <w:rFonts w:hint="default" w:cs="Times New Roman"/>
                <w:b w:val="0"/>
                <w:bCs/>
                <w:color w:val="auto"/>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3" w:hRule="atLeast"/>
          <w:jc w:val="center"/>
        </w:trPr>
        <w:tc>
          <w:tcPr>
            <w:tcW w:w="647" w:type="pct"/>
            <w:vMerge w:val="restart"/>
            <w:tcBorders>
              <w:tl2br w:val="nil"/>
              <w:tr2bl w:val="nil"/>
            </w:tcBorders>
            <w:noWrap w:val="0"/>
            <w:vAlign w:val="center"/>
          </w:tcPr>
          <w:p>
            <w:pPr>
              <w:pStyle w:val="38"/>
              <w:rPr>
                <w:rFonts w:hint="default" w:cs="Times New Roman"/>
                <w:b w:val="0"/>
                <w:bCs/>
                <w:color w:val="auto"/>
                <w:sz w:val="21"/>
                <w:szCs w:val="21"/>
                <w:highlight w:val="none"/>
                <w:lang w:val="en-US" w:eastAsia="zh-CN"/>
              </w:rPr>
            </w:pPr>
            <w:r>
              <w:rPr>
                <w:rFonts w:hint="default" w:cs="Times New Roman"/>
                <w:b w:val="0"/>
                <w:bCs/>
                <w:color w:val="auto"/>
                <w:sz w:val="21"/>
                <w:szCs w:val="21"/>
                <w:highlight w:val="none"/>
                <w:lang w:val="en-US" w:eastAsia="zh-CN"/>
              </w:rPr>
              <w:t>衡阳市石鼓区湘江饮用水水源保护区</w:t>
            </w:r>
          </w:p>
        </w:tc>
        <w:tc>
          <w:tcPr>
            <w:tcW w:w="408" w:type="pct"/>
            <w:vMerge w:val="restar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val="en-US" w:eastAsia="zh-CN"/>
              </w:rPr>
            </w:pPr>
            <w:r>
              <w:rPr>
                <w:rFonts w:hint="default" w:cs="Times New Roman"/>
                <w:b w:val="0"/>
                <w:bCs/>
                <w:color w:val="auto"/>
                <w:sz w:val="21"/>
                <w:szCs w:val="21"/>
                <w:highlight w:val="none"/>
                <w:lang w:val="en-US" w:eastAsia="zh-CN"/>
              </w:rPr>
              <w:t>城北水厂、演武坪水厂</w:t>
            </w:r>
          </w:p>
        </w:tc>
        <w:tc>
          <w:tcPr>
            <w:tcW w:w="388" w:type="pct"/>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一级</w:t>
            </w:r>
          </w:p>
        </w:tc>
        <w:tc>
          <w:tcPr>
            <w:tcW w:w="1942" w:type="pc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湘江城北水厂、演武坪水厂取水口上游1000米至下游100米河道水域。</w:t>
            </w:r>
          </w:p>
        </w:tc>
        <w:tc>
          <w:tcPr>
            <w:tcW w:w="1612" w:type="pct"/>
            <w:tcBorders>
              <w:tl2br w:val="nil"/>
              <w:tr2bl w:val="nil"/>
            </w:tcBorders>
            <w:noWrap w:val="0"/>
            <w:vAlign w:val="center"/>
          </w:tcPr>
          <w:p>
            <w:pPr>
              <w:pStyle w:val="38"/>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一级保护区水域边界至两岸防洪堤迎水侧堤肩之间的陆域。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pct"/>
            <w:vMerge w:val="continue"/>
            <w:tcBorders>
              <w:tl2br w:val="nil"/>
              <w:tr2bl w:val="nil"/>
            </w:tcBorders>
            <w:noWrap w:val="0"/>
            <w:vAlign w:val="center"/>
          </w:tcPr>
          <w:p>
            <w:pPr>
              <w:pStyle w:val="38"/>
              <w:rPr>
                <w:rFonts w:hint="default" w:cs="Times New Roman"/>
                <w:b w:val="0"/>
                <w:bCs/>
                <w:color w:val="auto"/>
                <w:sz w:val="21"/>
                <w:szCs w:val="21"/>
                <w:highlight w:val="none"/>
                <w:lang w:val="en-US" w:eastAsia="zh-CN"/>
              </w:rPr>
            </w:pPr>
          </w:p>
        </w:tc>
        <w:tc>
          <w:tcPr>
            <w:tcW w:w="408" w:type="pct"/>
            <w:vMerge w:val="continue"/>
            <w:tcBorders>
              <w:tl2br w:val="nil"/>
              <w:tr2bl w:val="nil"/>
            </w:tcBorders>
            <w:noWrap w:val="0"/>
            <w:vAlign w:val="center"/>
          </w:tcPr>
          <w:p>
            <w:pPr>
              <w:pStyle w:val="38"/>
              <w:rPr>
                <w:rFonts w:hint="default" w:ascii="Times New Roman" w:hAnsi="Times New Roman" w:cs="Times New Roman"/>
                <w:b w:val="0"/>
                <w:bCs/>
                <w:color w:val="auto"/>
                <w:sz w:val="21"/>
                <w:szCs w:val="21"/>
                <w:highlight w:val="none"/>
              </w:rPr>
            </w:pPr>
          </w:p>
        </w:tc>
        <w:tc>
          <w:tcPr>
            <w:tcW w:w="388" w:type="pct"/>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二级</w:t>
            </w:r>
          </w:p>
        </w:tc>
        <w:tc>
          <w:tcPr>
            <w:tcW w:w="1942" w:type="pct"/>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一级保护区水域上边界上溯至城南水厂二级保护区，下边界下延200米之间河道水域（一级保护区水域除外）</w:t>
            </w:r>
            <w:r>
              <w:rPr>
                <w:rFonts w:hint="default" w:cs="Times New Roman"/>
                <w:b w:val="0"/>
                <w:bCs/>
                <w:color w:val="auto"/>
                <w:sz w:val="21"/>
                <w:szCs w:val="21"/>
                <w:highlight w:val="none"/>
                <w:lang w:eastAsia="zh-CN"/>
              </w:rPr>
              <w:t>。</w:t>
            </w:r>
          </w:p>
        </w:tc>
        <w:tc>
          <w:tcPr>
            <w:tcW w:w="1612" w:type="pct"/>
            <w:tcBorders>
              <w:tl2br w:val="nil"/>
              <w:tr2bl w:val="nil"/>
            </w:tcBorders>
            <w:noWrap w:val="0"/>
            <w:vAlign w:val="center"/>
          </w:tcPr>
          <w:p>
            <w:pPr>
              <w:pStyle w:val="38"/>
              <w:ind w:firstLine="0" w:firstLineChars="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一、二级保护区水域边界至防洪堤背水坡脚之间的陆域（一级保护区陆域除外）</w:t>
            </w:r>
            <w:r>
              <w:rPr>
                <w:rFonts w:hint="default" w:cs="Times New Roman"/>
                <w:b w:val="0"/>
                <w:bCs/>
                <w:color w:val="auto"/>
                <w:sz w:val="21"/>
                <w:szCs w:val="21"/>
                <w:highlight w:val="none"/>
                <w:lang w:eastAsia="zh-CN"/>
              </w:rPr>
              <w:t>。</w:t>
            </w:r>
          </w:p>
        </w:tc>
      </w:tr>
    </w:tbl>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hint="default" w:cs="Times New Roman"/>
          <w:b/>
          <w:bCs/>
          <w:color w:val="auto"/>
          <w:kern w:val="0"/>
          <w:sz w:val="30"/>
          <w:szCs w:val="30"/>
          <w:highlight w:val="none"/>
          <w:lang w:val="en-US" w:eastAsia="zh-CN"/>
        </w:rPr>
      </w:pPr>
      <w:bookmarkStart w:id="85" w:name="_Toc22855"/>
      <w:bookmarkStart w:id="86" w:name="_Toc29392"/>
      <w:r>
        <w:rPr>
          <w:rFonts w:hint="default" w:cs="Times New Roman"/>
          <w:b/>
          <w:bCs/>
          <w:color w:val="auto"/>
          <w:kern w:val="0"/>
          <w:sz w:val="30"/>
          <w:szCs w:val="30"/>
          <w:highlight w:val="none"/>
          <w:lang w:val="en-US" w:eastAsia="zh-CN"/>
        </w:rPr>
        <w:t>环境质量现状调查与评价</w:t>
      </w:r>
      <w:bookmarkEnd w:id="85"/>
      <w:bookmarkEnd w:id="86"/>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4.4.1环境空气质量现状调查与评价</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（1）空气质量达标区判定</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依据《环境影响评价技术导则大气环境》（HJ2.2-2018）中</w:t>
      </w:r>
      <w:r>
        <w:rPr>
          <w:rFonts w:hint="eastAsia"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6.2.1项目所在区域达标判定，优先采用国家或地方生态环境主管部门公开发布的评价基准年环境质量公告或环境质量报告中数据或结论</w:t>
      </w:r>
      <w:r>
        <w:rPr>
          <w:rFonts w:hint="eastAsia"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。本次评价引用衡阳市生态环境局公布的《关于2023年12月及1-12月全市环境治理状况的通报》中的珠晖区、雁峰区的空气质量监测数据作为基本污染物环境质量现状及达标区判定依据，具体评价情况如下表所示。</w:t>
      </w:r>
    </w:p>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4.4-1  2023年珠晖区环境空气质量现状评价表  单位：</w:t>
      </w:r>
      <w:r>
        <w:rPr>
          <w:rFonts w:hint="eastAsia" w:eastAsia="宋体" w:cs="Times New Roman"/>
          <w:b/>
          <w:color w:val="auto"/>
          <w:kern w:val="2"/>
          <w:sz w:val="21"/>
          <w:szCs w:val="24"/>
          <w:highlight w:val="none"/>
          <w:u w:val="none" w:color="auto"/>
          <w:lang w:val="en-US" w:eastAsia="zh-CN" w:bidi="ar-SA"/>
        </w:rPr>
        <w:t>μg/m3</w:t>
      </w:r>
    </w:p>
    <w:tbl>
      <w:tblPr>
        <w:tblStyle w:val="22"/>
        <w:tblW w:w="48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6"/>
        <w:gridCol w:w="1897"/>
        <w:gridCol w:w="914"/>
        <w:gridCol w:w="931"/>
        <w:gridCol w:w="854"/>
        <w:gridCol w:w="901"/>
        <w:gridCol w:w="869"/>
        <w:gridCol w:w="1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vMerge w:val="restar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项目</w:t>
            </w:r>
          </w:p>
        </w:tc>
        <w:tc>
          <w:tcPr>
            <w:tcW w:w="1137" w:type="pct"/>
            <w:vMerge w:val="restart"/>
            <w:tcBorders>
              <w:top w:val="single" w:color="auto" w:sz="4" w:space="0"/>
              <w:left w:val="nil"/>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指标</w:t>
            </w:r>
          </w:p>
        </w:tc>
        <w:tc>
          <w:tcPr>
            <w:tcW w:w="1106" w:type="pct"/>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lang w:val="en-US" w:eastAsia="zh-CN"/>
              </w:rPr>
              <w:t>珠晖区</w:t>
            </w:r>
          </w:p>
        </w:tc>
        <w:tc>
          <w:tcPr>
            <w:tcW w:w="1052" w:type="pct"/>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雁峰区</w:t>
            </w:r>
          </w:p>
        </w:tc>
        <w:tc>
          <w:tcPr>
            <w:tcW w:w="521" w:type="pct"/>
            <w:vMerge w:val="restart"/>
            <w:tcBorders>
              <w:top w:val="single" w:color="auto" w:sz="4" w:space="0"/>
              <w:left w:val="nil"/>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标准值</w:t>
            </w:r>
          </w:p>
        </w:tc>
        <w:tc>
          <w:tcPr>
            <w:tcW w:w="649" w:type="pct"/>
            <w:vMerge w:val="restart"/>
            <w:tcBorders>
              <w:top w:val="single" w:color="auto" w:sz="4" w:space="0"/>
              <w:left w:val="nil"/>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vMerge w:val="continue"/>
            <w:tcBorders>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p>
        </w:tc>
        <w:tc>
          <w:tcPr>
            <w:tcW w:w="1137" w:type="pct"/>
            <w:vMerge w:val="continue"/>
            <w:tcBorders>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p>
        </w:tc>
        <w:tc>
          <w:tcPr>
            <w:tcW w:w="54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rPr>
              <w:t>统计值</w:t>
            </w:r>
          </w:p>
        </w:tc>
        <w:tc>
          <w:tcPr>
            <w:tcW w:w="55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占标率</w:t>
            </w:r>
          </w:p>
        </w:tc>
        <w:tc>
          <w:tcPr>
            <w:tcW w:w="512"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统计值</w:t>
            </w:r>
          </w:p>
        </w:tc>
        <w:tc>
          <w:tcPr>
            <w:tcW w:w="540"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占标率</w:t>
            </w:r>
          </w:p>
        </w:tc>
        <w:tc>
          <w:tcPr>
            <w:tcW w:w="521" w:type="pct"/>
            <w:vMerge w:val="continue"/>
            <w:tcBorders>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p>
        </w:tc>
        <w:tc>
          <w:tcPr>
            <w:tcW w:w="649" w:type="pct"/>
            <w:vMerge w:val="continue"/>
            <w:tcBorders>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SO</w:t>
            </w:r>
            <w:r>
              <w:rPr>
                <w:rFonts w:hint="default" w:ascii="Times New Roman" w:hAnsi="Times New Roman" w:cs="Times New Roman"/>
                <w:color w:val="auto"/>
                <w:kern w:val="0"/>
                <w:sz w:val="21"/>
                <w:szCs w:val="21"/>
                <w:highlight w:val="none"/>
                <w:u w:val="none"/>
                <w:vertAlign w:val="subscript"/>
              </w:rPr>
              <w:t>2</w:t>
            </w:r>
          </w:p>
        </w:tc>
        <w:tc>
          <w:tcPr>
            <w:tcW w:w="1137"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年平均质量浓度</w:t>
            </w:r>
          </w:p>
        </w:tc>
        <w:tc>
          <w:tcPr>
            <w:tcW w:w="54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10</w:t>
            </w:r>
          </w:p>
        </w:tc>
        <w:tc>
          <w:tcPr>
            <w:tcW w:w="55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cs="Times New Roman"/>
                <w:color w:val="auto"/>
                <w:kern w:val="0"/>
                <w:sz w:val="21"/>
                <w:szCs w:val="21"/>
                <w:highlight w:val="none"/>
                <w:u w:val="none"/>
                <w:lang w:val="en-US" w:eastAsia="zh-CN"/>
              </w:rPr>
              <w:t>16.7%</w:t>
            </w:r>
          </w:p>
        </w:tc>
        <w:tc>
          <w:tcPr>
            <w:tcW w:w="512"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12</w:t>
            </w:r>
          </w:p>
        </w:tc>
        <w:tc>
          <w:tcPr>
            <w:tcW w:w="540"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20.0%</w:t>
            </w:r>
          </w:p>
        </w:tc>
        <w:tc>
          <w:tcPr>
            <w:tcW w:w="521"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rPr>
              <w:t>60</w:t>
            </w:r>
          </w:p>
        </w:tc>
        <w:tc>
          <w:tcPr>
            <w:tcW w:w="649"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NO</w:t>
            </w:r>
            <w:r>
              <w:rPr>
                <w:rFonts w:hint="default" w:ascii="Times New Roman" w:hAnsi="Times New Roman" w:cs="Times New Roman"/>
                <w:color w:val="auto"/>
                <w:kern w:val="0"/>
                <w:sz w:val="21"/>
                <w:szCs w:val="21"/>
                <w:highlight w:val="none"/>
                <w:u w:val="none"/>
                <w:vertAlign w:val="subscript"/>
              </w:rPr>
              <w:t>2</w:t>
            </w:r>
          </w:p>
        </w:tc>
        <w:tc>
          <w:tcPr>
            <w:tcW w:w="1137"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年平均质量浓度</w:t>
            </w:r>
          </w:p>
        </w:tc>
        <w:tc>
          <w:tcPr>
            <w:tcW w:w="54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20</w:t>
            </w:r>
          </w:p>
        </w:tc>
        <w:tc>
          <w:tcPr>
            <w:tcW w:w="55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cs="Times New Roman"/>
                <w:color w:val="auto"/>
                <w:kern w:val="0"/>
                <w:sz w:val="21"/>
                <w:szCs w:val="21"/>
                <w:highlight w:val="none"/>
                <w:u w:val="none"/>
                <w:lang w:val="en-US" w:eastAsia="zh-CN"/>
              </w:rPr>
              <w:t>50.0%</w:t>
            </w:r>
          </w:p>
        </w:tc>
        <w:tc>
          <w:tcPr>
            <w:tcW w:w="512"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18</w:t>
            </w:r>
          </w:p>
        </w:tc>
        <w:tc>
          <w:tcPr>
            <w:tcW w:w="540"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45.0%</w:t>
            </w:r>
          </w:p>
        </w:tc>
        <w:tc>
          <w:tcPr>
            <w:tcW w:w="521"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rPr>
              <w:t>40</w:t>
            </w:r>
          </w:p>
        </w:tc>
        <w:tc>
          <w:tcPr>
            <w:tcW w:w="649"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PM</w:t>
            </w:r>
            <w:r>
              <w:rPr>
                <w:rFonts w:hint="default" w:ascii="Times New Roman" w:hAnsi="Times New Roman" w:cs="Times New Roman"/>
                <w:color w:val="auto"/>
                <w:kern w:val="0"/>
                <w:sz w:val="21"/>
                <w:szCs w:val="21"/>
                <w:highlight w:val="none"/>
                <w:u w:val="none"/>
                <w:vertAlign w:val="subscript"/>
              </w:rPr>
              <w:t>10</w:t>
            </w:r>
          </w:p>
        </w:tc>
        <w:tc>
          <w:tcPr>
            <w:tcW w:w="1137"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年平均质量浓度</w:t>
            </w:r>
          </w:p>
        </w:tc>
        <w:tc>
          <w:tcPr>
            <w:tcW w:w="54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55</w:t>
            </w:r>
          </w:p>
        </w:tc>
        <w:tc>
          <w:tcPr>
            <w:tcW w:w="55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cs="Times New Roman"/>
                <w:color w:val="auto"/>
                <w:kern w:val="0"/>
                <w:sz w:val="21"/>
                <w:szCs w:val="21"/>
                <w:highlight w:val="none"/>
                <w:u w:val="none"/>
                <w:lang w:val="en-US" w:eastAsia="zh-CN"/>
              </w:rPr>
              <w:t>78.6%</w:t>
            </w:r>
          </w:p>
        </w:tc>
        <w:tc>
          <w:tcPr>
            <w:tcW w:w="512"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59</w:t>
            </w:r>
          </w:p>
        </w:tc>
        <w:tc>
          <w:tcPr>
            <w:tcW w:w="540"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84.3%</w:t>
            </w:r>
          </w:p>
        </w:tc>
        <w:tc>
          <w:tcPr>
            <w:tcW w:w="521"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rPr>
              <w:t>70</w:t>
            </w:r>
          </w:p>
        </w:tc>
        <w:tc>
          <w:tcPr>
            <w:tcW w:w="649"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kern w:val="0"/>
                <w:sz w:val="21"/>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PM</w:t>
            </w:r>
            <w:r>
              <w:rPr>
                <w:rFonts w:hint="default" w:ascii="Times New Roman" w:hAnsi="Times New Roman" w:cs="Times New Roman"/>
                <w:color w:val="auto"/>
                <w:kern w:val="0"/>
                <w:sz w:val="21"/>
                <w:szCs w:val="21"/>
                <w:highlight w:val="none"/>
                <w:u w:val="none"/>
                <w:vertAlign w:val="subscript"/>
              </w:rPr>
              <w:t>2.5</w:t>
            </w:r>
          </w:p>
        </w:tc>
        <w:tc>
          <w:tcPr>
            <w:tcW w:w="1137"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年平均质量浓度</w:t>
            </w:r>
          </w:p>
        </w:tc>
        <w:tc>
          <w:tcPr>
            <w:tcW w:w="54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38</w:t>
            </w:r>
          </w:p>
        </w:tc>
        <w:tc>
          <w:tcPr>
            <w:tcW w:w="55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cs="Times New Roman"/>
                <w:color w:val="auto"/>
                <w:kern w:val="0"/>
                <w:sz w:val="21"/>
                <w:szCs w:val="21"/>
                <w:highlight w:val="none"/>
                <w:u w:val="none"/>
                <w:lang w:val="en-US" w:eastAsia="zh-CN"/>
              </w:rPr>
              <w:t>108.6%</w:t>
            </w:r>
          </w:p>
        </w:tc>
        <w:tc>
          <w:tcPr>
            <w:tcW w:w="512"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40</w:t>
            </w:r>
          </w:p>
        </w:tc>
        <w:tc>
          <w:tcPr>
            <w:tcW w:w="540"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114.3%</w:t>
            </w:r>
          </w:p>
        </w:tc>
        <w:tc>
          <w:tcPr>
            <w:tcW w:w="521"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rPr>
              <w:t>35</w:t>
            </w:r>
          </w:p>
        </w:tc>
        <w:tc>
          <w:tcPr>
            <w:tcW w:w="649"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u w:val="none"/>
                <w:lang w:eastAsia="zh-CN"/>
              </w:rPr>
            </w:pPr>
            <w:r>
              <w:rPr>
                <w:rFonts w:hint="default" w:cs="Times New Roman"/>
                <w:color w:val="auto"/>
                <w:kern w:val="0"/>
                <w:sz w:val="21"/>
                <w:szCs w:val="21"/>
                <w:highlight w:val="none"/>
                <w:u w:val="none"/>
                <w:lang w:val="en-US" w:eastAsia="zh-CN"/>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CO</w:t>
            </w:r>
          </w:p>
        </w:tc>
        <w:tc>
          <w:tcPr>
            <w:tcW w:w="1137"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日均浓度第95位百分数</w:t>
            </w:r>
          </w:p>
        </w:tc>
        <w:tc>
          <w:tcPr>
            <w:tcW w:w="548" w:type="pct"/>
            <w:tcBorders>
              <w:top w:val="single" w:color="auto" w:sz="4" w:space="0"/>
              <w:left w:val="nil"/>
              <w:bottom w:val="single" w:color="auto" w:sz="4" w:space="0"/>
              <w:right w:val="single" w:color="auto" w:sz="4" w:space="0"/>
            </w:tcBorders>
            <w:noWrap w:val="0"/>
            <w:vAlign w:val="center"/>
          </w:tcPr>
          <w:p>
            <w:pPr>
              <w:tabs>
                <w:tab w:val="left" w:pos="302"/>
              </w:tabs>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1200</w:t>
            </w:r>
          </w:p>
        </w:tc>
        <w:tc>
          <w:tcPr>
            <w:tcW w:w="55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30.0%</w:t>
            </w:r>
          </w:p>
        </w:tc>
        <w:tc>
          <w:tcPr>
            <w:tcW w:w="512"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1200</w:t>
            </w:r>
          </w:p>
        </w:tc>
        <w:tc>
          <w:tcPr>
            <w:tcW w:w="540"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30.0%</w:t>
            </w:r>
          </w:p>
        </w:tc>
        <w:tc>
          <w:tcPr>
            <w:tcW w:w="521"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rPr>
              <w:t>4</w:t>
            </w:r>
            <w:r>
              <w:rPr>
                <w:rFonts w:hint="default" w:cs="Times New Roman"/>
                <w:color w:val="auto"/>
                <w:kern w:val="0"/>
                <w:sz w:val="21"/>
                <w:szCs w:val="21"/>
                <w:highlight w:val="none"/>
                <w:u w:val="none"/>
                <w:lang w:val="en-US" w:eastAsia="zh-CN"/>
              </w:rPr>
              <w:t>000</w:t>
            </w:r>
          </w:p>
        </w:tc>
        <w:tc>
          <w:tcPr>
            <w:tcW w:w="649"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O</w:t>
            </w:r>
            <w:r>
              <w:rPr>
                <w:rFonts w:hint="default" w:ascii="Times New Roman" w:hAnsi="Times New Roman" w:cs="Times New Roman"/>
                <w:color w:val="auto"/>
                <w:kern w:val="0"/>
                <w:sz w:val="21"/>
                <w:szCs w:val="21"/>
                <w:highlight w:val="none"/>
                <w:u w:val="none"/>
                <w:vertAlign w:val="subscript"/>
              </w:rPr>
              <w:t>3</w:t>
            </w:r>
          </w:p>
        </w:tc>
        <w:tc>
          <w:tcPr>
            <w:tcW w:w="1137"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日最大8小时均浓度第95位百分数</w:t>
            </w:r>
          </w:p>
        </w:tc>
        <w:tc>
          <w:tcPr>
            <w:tcW w:w="54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136</w:t>
            </w:r>
          </w:p>
        </w:tc>
        <w:tc>
          <w:tcPr>
            <w:tcW w:w="558"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cs="Times New Roman"/>
                <w:color w:val="auto"/>
                <w:kern w:val="0"/>
                <w:sz w:val="21"/>
                <w:szCs w:val="21"/>
                <w:highlight w:val="none"/>
                <w:u w:val="none"/>
                <w:lang w:val="en-US" w:eastAsia="zh-CN"/>
              </w:rPr>
              <w:t>85.0%</w:t>
            </w:r>
          </w:p>
        </w:tc>
        <w:tc>
          <w:tcPr>
            <w:tcW w:w="512"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139</w:t>
            </w:r>
          </w:p>
        </w:tc>
        <w:tc>
          <w:tcPr>
            <w:tcW w:w="540"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86.9%</w:t>
            </w:r>
          </w:p>
        </w:tc>
        <w:tc>
          <w:tcPr>
            <w:tcW w:w="521"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rPr>
              <w:t>160</w:t>
            </w:r>
          </w:p>
        </w:tc>
        <w:tc>
          <w:tcPr>
            <w:tcW w:w="649" w:type="pct"/>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达标</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由上表可知，拟建项目所在区域2023年PM</w:t>
      </w:r>
      <w:r>
        <w:rPr>
          <w:rFonts w:hint="default" w:cs="Times New Roman"/>
          <w:color w:val="auto"/>
          <w:kern w:val="0"/>
          <w:sz w:val="24"/>
          <w:szCs w:val="24"/>
          <w:highlight w:val="none"/>
          <w:vertAlign w:val="subscript"/>
          <w:lang w:val="en-US" w:eastAsia="zh-CN" w:bidi="ar"/>
        </w:rPr>
        <w:t>10</w:t>
      </w:r>
      <w:r>
        <w:rPr>
          <w:rFonts w:hint="default" w:cs="Times New Roman"/>
          <w:color w:val="auto"/>
          <w:kern w:val="0"/>
          <w:sz w:val="24"/>
          <w:szCs w:val="24"/>
          <w:highlight w:val="none"/>
          <w:lang w:val="en-US" w:eastAsia="zh-CN" w:bidi="ar"/>
        </w:rPr>
        <w:t>、O</w:t>
      </w:r>
      <w:r>
        <w:rPr>
          <w:rFonts w:hint="default" w:cs="Times New Roman"/>
          <w:color w:val="auto"/>
          <w:kern w:val="0"/>
          <w:sz w:val="24"/>
          <w:szCs w:val="24"/>
          <w:highlight w:val="none"/>
          <w:vertAlign w:val="subscript"/>
          <w:lang w:val="en-US" w:eastAsia="zh-CN" w:bidi="ar"/>
        </w:rPr>
        <w:t>3</w:t>
      </w:r>
      <w:r>
        <w:rPr>
          <w:rFonts w:hint="default" w:cs="Times New Roman"/>
          <w:color w:val="auto"/>
          <w:kern w:val="0"/>
          <w:sz w:val="24"/>
          <w:szCs w:val="24"/>
          <w:highlight w:val="none"/>
          <w:lang w:val="en-US" w:eastAsia="zh-CN" w:bidi="ar"/>
        </w:rPr>
        <w:t>、CO、SO</w:t>
      </w:r>
      <w:r>
        <w:rPr>
          <w:rFonts w:hint="default" w:cs="Times New Roman"/>
          <w:color w:val="auto"/>
          <w:kern w:val="0"/>
          <w:sz w:val="24"/>
          <w:szCs w:val="24"/>
          <w:highlight w:val="none"/>
          <w:vertAlign w:val="subscript"/>
          <w:lang w:val="en-US" w:eastAsia="zh-CN" w:bidi="ar"/>
        </w:rPr>
        <w:t>2</w:t>
      </w:r>
      <w:r>
        <w:rPr>
          <w:rFonts w:hint="default" w:cs="Times New Roman"/>
          <w:color w:val="auto"/>
          <w:kern w:val="0"/>
          <w:sz w:val="24"/>
          <w:szCs w:val="24"/>
          <w:highlight w:val="none"/>
          <w:lang w:val="en-US" w:eastAsia="zh-CN" w:bidi="ar"/>
        </w:rPr>
        <w:t>、NO</w:t>
      </w:r>
      <w:r>
        <w:rPr>
          <w:rFonts w:hint="default" w:cs="Times New Roman"/>
          <w:color w:val="auto"/>
          <w:kern w:val="0"/>
          <w:sz w:val="24"/>
          <w:szCs w:val="24"/>
          <w:highlight w:val="none"/>
          <w:vertAlign w:val="subscript"/>
          <w:lang w:val="en-US" w:eastAsia="zh-CN" w:bidi="ar"/>
        </w:rPr>
        <w:t>2</w:t>
      </w:r>
      <w:r>
        <w:rPr>
          <w:rFonts w:hint="default" w:cs="Times New Roman"/>
          <w:color w:val="auto"/>
          <w:kern w:val="0"/>
          <w:sz w:val="24"/>
          <w:szCs w:val="24"/>
          <w:highlight w:val="none"/>
          <w:lang w:val="en-US" w:eastAsia="zh-CN" w:bidi="ar"/>
        </w:rPr>
        <w:t>均能够达到《环境空气质量标准》（GB3095-2012）二级标准，PM</w:t>
      </w:r>
      <w:r>
        <w:rPr>
          <w:rFonts w:hint="default" w:cs="Times New Roman"/>
          <w:color w:val="auto"/>
          <w:kern w:val="0"/>
          <w:sz w:val="24"/>
          <w:szCs w:val="24"/>
          <w:highlight w:val="none"/>
          <w:vertAlign w:val="subscript"/>
          <w:lang w:val="en-US" w:eastAsia="zh-CN" w:bidi="ar"/>
        </w:rPr>
        <w:t>2.5</w:t>
      </w:r>
      <w:r>
        <w:rPr>
          <w:rFonts w:hint="default" w:cs="Times New Roman"/>
          <w:color w:val="auto"/>
          <w:kern w:val="0"/>
          <w:sz w:val="24"/>
          <w:szCs w:val="24"/>
          <w:highlight w:val="none"/>
          <w:lang w:val="en-US" w:eastAsia="zh-CN" w:bidi="ar"/>
        </w:rPr>
        <w:t>年均值超过《环境空气质量标准》（GB3095-2012）二级标准年均值要求，因此项目所在区域属于不达标区。</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根据《衡阳市大气环境质量限期达标规划》(2020-2025)、《衡阳市</w:t>
      </w:r>
      <w:r>
        <w:rPr>
          <w:rFonts w:hint="eastAsia"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十四五</w:t>
      </w:r>
      <w:r>
        <w:rPr>
          <w:rFonts w:hint="eastAsia"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空气质量改善规划》，衡阳市将全面推进大气污染治理，产业结构逐步优化，能源结构持续调整，全面推进工业污染治理，深入推进移动源污染防治，加强扬尘污染综合整治，积极开展其他面源污染整治，强化重污染天气应对。推动形成有利于节约能源资源、保护生态环境的产业结构布局和生产生活方式，推进大气环境管理体系和治理能力现代化，促进城市环境空气质量显著改善和生态环境根本好转。</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规划期间，衡阳市环境空气PM</w:t>
      </w:r>
      <w:r>
        <w:rPr>
          <w:rFonts w:hint="default" w:cs="Times New Roman"/>
          <w:color w:val="auto"/>
          <w:kern w:val="0"/>
          <w:sz w:val="24"/>
          <w:szCs w:val="24"/>
          <w:highlight w:val="none"/>
          <w:vertAlign w:val="subscript"/>
          <w:lang w:val="en-US" w:eastAsia="zh-CN" w:bidi="ar"/>
        </w:rPr>
        <w:t>2.5</w:t>
      </w:r>
      <w:r>
        <w:rPr>
          <w:rFonts w:hint="default" w:cs="Times New Roman"/>
          <w:color w:val="auto"/>
          <w:kern w:val="0"/>
          <w:sz w:val="24"/>
          <w:szCs w:val="24"/>
          <w:highlight w:val="none"/>
          <w:lang w:val="en-US" w:eastAsia="zh-CN" w:bidi="ar"/>
        </w:rPr>
        <w:t>年均浓度及特护期浓度逐步下降，有力遏制O</w:t>
      </w:r>
      <w:r>
        <w:rPr>
          <w:rFonts w:hint="default" w:cs="Times New Roman"/>
          <w:color w:val="auto"/>
          <w:kern w:val="0"/>
          <w:sz w:val="24"/>
          <w:szCs w:val="24"/>
          <w:highlight w:val="none"/>
          <w:vertAlign w:val="subscript"/>
          <w:lang w:val="en-US" w:eastAsia="zh-CN" w:bidi="ar"/>
        </w:rPr>
        <w:t>3</w:t>
      </w:r>
      <w:r>
        <w:rPr>
          <w:rFonts w:hint="default" w:cs="Times New Roman"/>
          <w:color w:val="auto"/>
          <w:kern w:val="0"/>
          <w:sz w:val="24"/>
          <w:szCs w:val="24"/>
          <w:highlight w:val="none"/>
          <w:lang w:val="en-US" w:eastAsia="zh-CN" w:bidi="ar"/>
        </w:rPr>
        <w:t>浓度上升趋势，显著降低其超标风险，空气质量优良天数比例稳步提升。2025年，环境空气PM2.5年均浓度小于35ug/m</w:t>
      </w:r>
      <w:r>
        <w:rPr>
          <w:rFonts w:hint="default" w:cs="Times New Roman"/>
          <w:color w:val="auto"/>
          <w:kern w:val="0"/>
          <w:sz w:val="24"/>
          <w:szCs w:val="24"/>
          <w:highlight w:val="none"/>
          <w:vertAlign w:val="superscript"/>
          <w:lang w:val="en-US" w:eastAsia="zh-CN" w:bidi="ar"/>
        </w:rPr>
        <w:t>3</w:t>
      </w:r>
      <w:r>
        <w:rPr>
          <w:rFonts w:hint="default" w:cs="Times New Roman"/>
          <w:color w:val="auto"/>
          <w:kern w:val="0"/>
          <w:sz w:val="24"/>
          <w:szCs w:val="24"/>
          <w:highlight w:val="none"/>
          <w:lang w:val="en-US" w:eastAsia="zh-CN" w:bidi="ar"/>
        </w:rPr>
        <w:t>，实现环境空气质量全面达标。</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（2）其他污染物环境质量现状数据</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根据对本项目工程分析,本项目施工期主要大气其他污染物为颗粒物。根据《环境影响评价技术导则大气环境》(HJ2.2-2018) 要求，在评价范围内没有环境空气质量监测网数据或公开发布的环境空气质量现状数据的,可收集评价范围内近3年与项目排放的其他污染物有关的历史监测资料。在没有可以引用的监测资料时，应进行补充监测。本环评采用收集</w:t>
      </w:r>
      <w:r>
        <w:rPr>
          <w:rFonts w:hint="eastAsia" w:cs="Times New Roman"/>
          <w:color w:val="auto"/>
          <w:kern w:val="0"/>
          <w:sz w:val="24"/>
          <w:szCs w:val="24"/>
          <w:highlight w:val="none"/>
          <w:lang w:val="en-US" w:eastAsia="zh-CN" w:bidi="ar"/>
        </w:rPr>
        <w:t>资料</w:t>
      </w:r>
      <w:r>
        <w:rPr>
          <w:rFonts w:hint="default" w:ascii="Times New Roman" w:hAnsi="Times New Roman" w:eastAsia="宋体" w:cs="Times New Roman"/>
          <w:color w:val="auto"/>
          <w:kern w:val="0"/>
          <w:sz w:val="24"/>
          <w:szCs w:val="24"/>
          <w:highlight w:val="none"/>
          <w:lang w:val="en-US" w:eastAsia="zh-CN" w:bidi="ar"/>
        </w:rPr>
        <w:t>和补充监测获取颗粒物的现状数据。</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1、收集的历史监测数据</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评价收集了《衡阳市二环东路（湘江东路南-湘江东路北）建设项目环评报告表》委托湖南永蓝检测技术股份有限公司于2021年6月26日~7月2日对项目附近金色兰庭环境空气中的TSP污染物的监测数据，情况详见下表。</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p>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 xml:space="preserve">4.4-2  收集的颗粒物历史监测点情况 </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89"/>
        <w:gridCol w:w="2443"/>
        <w:gridCol w:w="1471"/>
        <w:gridCol w:w="28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4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监测点位</w:t>
            </w:r>
          </w:p>
        </w:tc>
        <w:tc>
          <w:tcPr>
            <w:tcW w:w="143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相对方位、距离</w:t>
            </w:r>
          </w:p>
        </w:tc>
        <w:tc>
          <w:tcPr>
            <w:tcW w:w="863"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rPr>
            </w:pPr>
            <w:r>
              <w:rPr>
                <w:rFonts w:hint="default" w:cs="Times New Roman"/>
                <w:color w:val="auto"/>
                <w:kern w:val="0"/>
                <w:sz w:val="21"/>
                <w:szCs w:val="21"/>
                <w:highlight w:val="none"/>
                <w:u w:val="none"/>
                <w:lang w:val="en-US" w:eastAsia="zh-CN"/>
              </w:rPr>
              <w:t>监测因子</w:t>
            </w:r>
          </w:p>
        </w:tc>
        <w:tc>
          <w:tcPr>
            <w:tcW w:w="165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4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G1金色兰庭</w:t>
            </w:r>
          </w:p>
        </w:tc>
        <w:tc>
          <w:tcPr>
            <w:tcW w:w="143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东北侧、2.5km</w:t>
            </w:r>
          </w:p>
        </w:tc>
        <w:tc>
          <w:tcPr>
            <w:tcW w:w="863"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rPr>
            </w:pPr>
            <w:r>
              <w:rPr>
                <w:rFonts w:hint="default" w:cs="Times New Roman"/>
                <w:color w:val="auto"/>
                <w:kern w:val="0"/>
                <w:sz w:val="21"/>
                <w:szCs w:val="21"/>
                <w:highlight w:val="none"/>
                <w:u w:val="none"/>
                <w:lang w:val="en-US" w:eastAsia="zh-CN"/>
              </w:rPr>
              <w:t>TSP</w:t>
            </w:r>
          </w:p>
        </w:tc>
        <w:tc>
          <w:tcPr>
            <w:tcW w:w="165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连续监测7天，日均值</w:t>
            </w:r>
          </w:p>
        </w:tc>
      </w:tr>
    </w:tbl>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 xml:space="preserve">4.4-3  TSP历史监测结果一览表 </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543"/>
        <w:gridCol w:w="2073"/>
        <w:gridCol w:w="1859"/>
        <w:gridCol w:w="19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监测点位</w:t>
            </w:r>
          </w:p>
        </w:tc>
        <w:tc>
          <w:tcPr>
            <w:tcW w:w="905"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监测因子</w:t>
            </w:r>
          </w:p>
        </w:tc>
        <w:tc>
          <w:tcPr>
            <w:tcW w:w="1216" w:type="pct"/>
            <w:tcBorders>
              <w:tl2br w:val="nil"/>
              <w:tr2bl w:val="nil"/>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监测范围值/mg/m</w:t>
            </w:r>
            <w:r>
              <w:rPr>
                <w:rFonts w:hint="default" w:cs="Times New Roman"/>
                <w:color w:val="auto"/>
                <w:kern w:val="0"/>
                <w:sz w:val="21"/>
                <w:szCs w:val="21"/>
                <w:highlight w:val="none"/>
                <w:u w:val="none"/>
                <w:vertAlign w:val="superscript"/>
                <w:lang w:val="en-US" w:eastAsia="zh-CN"/>
              </w:rPr>
              <w:t>3</w:t>
            </w:r>
          </w:p>
        </w:tc>
        <w:tc>
          <w:tcPr>
            <w:tcW w:w="1090"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rPr>
            </w:pPr>
            <w:r>
              <w:rPr>
                <w:rFonts w:hint="default" w:cs="Times New Roman"/>
                <w:color w:val="auto"/>
                <w:kern w:val="0"/>
                <w:sz w:val="21"/>
                <w:szCs w:val="21"/>
                <w:highlight w:val="none"/>
                <w:u w:val="none"/>
                <w:lang w:val="en-US" w:eastAsia="zh-CN"/>
              </w:rPr>
              <w:t>评价标准</w:t>
            </w:r>
          </w:p>
        </w:tc>
        <w:tc>
          <w:tcPr>
            <w:tcW w:w="111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G1</w:t>
            </w:r>
          </w:p>
        </w:tc>
        <w:tc>
          <w:tcPr>
            <w:tcW w:w="905"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TSP</w:t>
            </w:r>
          </w:p>
        </w:tc>
        <w:tc>
          <w:tcPr>
            <w:tcW w:w="1216" w:type="pct"/>
            <w:tcBorders>
              <w:tl2br w:val="nil"/>
              <w:tr2bl w:val="nil"/>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0.09~0.106</w:t>
            </w:r>
          </w:p>
        </w:tc>
        <w:tc>
          <w:tcPr>
            <w:tcW w:w="1090"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rPr>
            </w:pPr>
            <w:r>
              <w:rPr>
                <w:rFonts w:hint="default" w:cs="Times New Roman"/>
                <w:color w:val="auto"/>
                <w:kern w:val="0"/>
                <w:sz w:val="21"/>
                <w:szCs w:val="21"/>
                <w:highlight w:val="none"/>
                <w:u w:val="none"/>
                <w:lang w:val="en-US" w:eastAsia="zh-CN"/>
              </w:rPr>
              <w:t>0.3</w:t>
            </w:r>
          </w:p>
        </w:tc>
        <w:tc>
          <w:tcPr>
            <w:tcW w:w="111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达标</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2、补充监测</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本次环评委托湖南林晟环境检测有限公司于2024年4月7日-13日对项目所在地环境空气特征因子进行了一期监测。监测点位情况详见下表。</w:t>
      </w:r>
    </w:p>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 xml:space="preserve">4.4-4  补充监测点情况 </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89"/>
        <w:gridCol w:w="2443"/>
        <w:gridCol w:w="1471"/>
        <w:gridCol w:w="28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4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监测点位</w:t>
            </w:r>
          </w:p>
        </w:tc>
        <w:tc>
          <w:tcPr>
            <w:tcW w:w="143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相对方位、距离</w:t>
            </w:r>
          </w:p>
        </w:tc>
        <w:tc>
          <w:tcPr>
            <w:tcW w:w="863"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rPr>
            </w:pPr>
            <w:r>
              <w:rPr>
                <w:rFonts w:hint="default" w:cs="Times New Roman"/>
                <w:color w:val="auto"/>
                <w:kern w:val="0"/>
                <w:sz w:val="21"/>
                <w:szCs w:val="21"/>
                <w:highlight w:val="none"/>
                <w:u w:val="none"/>
                <w:lang w:val="en-US" w:eastAsia="zh-CN"/>
              </w:rPr>
              <w:t>监测因子</w:t>
            </w:r>
          </w:p>
        </w:tc>
        <w:tc>
          <w:tcPr>
            <w:tcW w:w="165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4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G1保利阅江台</w:t>
            </w:r>
          </w:p>
        </w:tc>
        <w:tc>
          <w:tcPr>
            <w:tcW w:w="143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北、40m</w:t>
            </w:r>
          </w:p>
        </w:tc>
        <w:tc>
          <w:tcPr>
            <w:tcW w:w="863"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rPr>
            </w:pPr>
            <w:r>
              <w:rPr>
                <w:rFonts w:hint="default" w:cs="Times New Roman"/>
                <w:color w:val="auto"/>
                <w:kern w:val="0"/>
                <w:sz w:val="21"/>
                <w:szCs w:val="21"/>
                <w:highlight w:val="none"/>
                <w:u w:val="none"/>
                <w:lang w:val="en-US" w:eastAsia="zh-CN"/>
              </w:rPr>
              <w:t>TSP</w:t>
            </w:r>
          </w:p>
        </w:tc>
        <w:tc>
          <w:tcPr>
            <w:tcW w:w="165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连续监测7天，日均值</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本次监测结果如下表所示。</w:t>
      </w:r>
    </w:p>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 xml:space="preserve">4.4-5  TSP历史监测结果一览表 </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543"/>
        <w:gridCol w:w="2073"/>
        <w:gridCol w:w="1859"/>
        <w:gridCol w:w="19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监测点位</w:t>
            </w:r>
          </w:p>
        </w:tc>
        <w:tc>
          <w:tcPr>
            <w:tcW w:w="905"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监测因子</w:t>
            </w:r>
          </w:p>
        </w:tc>
        <w:tc>
          <w:tcPr>
            <w:tcW w:w="1216" w:type="pct"/>
            <w:tcBorders>
              <w:tl2br w:val="nil"/>
              <w:tr2bl w:val="nil"/>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监测范围值/mg/m</w:t>
            </w:r>
            <w:r>
              <w:rPr>
                <w:rFonts w:hint="default" w:cs="Times New Roman"/>
                <w:color w:val="auto"/>
                <w:kern w:val="0"/>
                <w:sz w:val="21"/>
                <w:szCs w:val="21"/>
                <w:highlight w:val="none"/>
                <w:u w:val="none"/>
                <w:vertAlign w:val="superscript"/>
                <w:lang w:val="en-US" w:eastAsia="zh-CN"/>
              </w:rPr>
              <w:t>3</w:t>
            </w:r>
          </w:p>
        </w:tc>
        <w:tc>
          <w:tcPr>
            <w:tcW w:w="1090"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rPr>
            </w:pPr>
            <w:r>
              <w:rPr>
                <w:rFonts w:hint="default" w:cs="Times New Roman"/>
                <w:color w:val="auto"/>
                <w:kern w:val="0"/>
                <w:sz w:val="21"/>
                <w:szCs w:val="21"/>
                <w:highlight w:val="none"/>
                <w:u w:val="none"/>
                <w:lang w:val="en-US" w:eastAsia="zh-CN"/>
              </w:rPr>
              <w:t>评价标准</w:t>
            </w:r>
          </w:p>
        </w:tc>
        <w:tc>
          <w:tcPr>
            <w:tcW w:w="111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G1</w:t>
            </w:r>
          </w:p>
        </w:tc>
        <w:tc>
          <w:tcPr>
            <w:tcW w:w="905"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TSP</w:t>
            </w:r>
          </w:p>
        </w:tc>
        <w:tc>
          <w:tcPr>
            <w:tcW w:w="1216" w:type="pct"/>
            <w:tcBorders>
              <w:tl2br w:val="nil"/>
              <w:tr2bl w:val="nil"/>
            </w:tcBorders>
            <w:noWrap w:val="0"/>
            <w:vAlign w:val="center"/>
          </w:tcPr>
          <w:p>
            <w:pPr>
              <w:spacing w:line="240" w:lineRule="auto"/>
              <w:ind w:firstLine="0" w:firstLineChars="0"/>
              <w:jc w:val="center"/>
              <w:rPr>
                <w:rFonts w:hint="default" w:cs="Times New Roman"/>
                <w:color w:val="auto"/>
                <w:kern w:val="0"/>
                <w:sz w:val="21"/>
                <w:szCs w:val="21"/>
                <w:highlight w:val="none"/>
                <w:u w:val="none"/>
                <w:lang w:val="en-US" w:eastAsia="zh-CN"/>
              </w:rPr>
            </w:pPr>
            <w:r>
              <w:rPr>
                <w:rFonts w:hint="default" w:cs="Times New Roman"/>
                <w:color w:val="auto"/>
                <w:kern w:val="0"/>
                <w:sz w:val="21"/>
                <w:szCs w:val="21"/>
                <w:highlight w:val="none"/>
                <w:u w:val="none"/>
                <w:lang w:val="en-US" w:eastAsia="zh-CN"/>
              </w:rPr>
              <w:t>0.104~0.112</w:t>
            </w:r>
          </w:p>
        </w:tc>
        <w:tc>
          <w:tcPr>
            <w:tcW w:w="1090"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rPr>
            </w:pPr>
            <w:r>
              <w:rPr>
                <w:rFonts w:hint="default" w:cs="Times New Roman"/>
                <w:color w:val="auto"/>
                <w:kern w:val="0"/>
                <w:sz w:val="21"/>
                <w:szCs w:val="21"/>
                <w:highlight w:val="none"/>
                <w:u w:val="none"/>
                <w:lang w:val="en-US" w:eastAsia="zh-CN"/>
              </w:rPr>
              <w:t>0.3</w:t>
            </w:r>
          </w:p>
        </w:tc>
        <w:tc>
          <w:tcPr>
            <w:tcW w:w="111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达标</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由上表可知，项目所在区域TSP符合《环境空气质量标准》（GB3095-2012）及其修改单中二级标准要求。</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4.4.2地表水环境现状调查与评价</w:t>
      </w:r>
    </w:p>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根据《环境影响评价技术导则地表水环境》（HJ2.3-2018）6.6.3.2应优先采用国务院生态环境主管部门统一发布的水环境状况信息，本项目地表水环境质量现状评价依据主要引用衡阳市生态环境局网站公布的《关于2022年12月及1-12月全市环境质量状况的通报）》（网址：http://sthjj.hengyang.gov.cn/hjzl/hjzkgb/20230201/i2921284.html）。湘江新塘铺、江东水厂、城南水厂、城北水厂、鱼石村5个断面2022年水质监测情况见下表。</w:t>
      </w:r>
    </w:p>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4.4-6  2022年湘江考核断面水质监测情况</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1143"/>
        <w:gridCol w:w="1634"/>
        <w:gridCol w:w="1141"/>
        <w:gridCol w:w="1545"/>
        <w:gridCol w:w="1105"/>
        <w:gridCol w:w="11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水体</w:t>
            </w:r>
          </w:p>
        </w:tc>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eastAsia="zh-CN"/>
              </w:rPr>
            </w:pPr>
            <w:r>
              <w:rPr>
                <w:rFonts w:hint="default" w:ascii="Times New Roman" w:hAnsi="Times New Roman" w:cs="Times New Roman"/>
                <w:color w:val="auto"/>
                <w:kern w:val="0"/>
                <w:sz w:val="21"/>
                <w:szCs w:val="21"/>
                <w:highlight w:val="none"/>
                <w:u w:val="none"/>
                <w:lang w:val="en-US" w:eastAsia="zh-CN"/>
              </w:rPr>
              <w:t>断面</w:t>
            </w:r>
          </w:p>
        </w:tc>
        <w:tc>
          <w:tcPr>
            <w:tcW w:w="95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vertAlign w:val="subscript"/>
                <w:lang w:val="en-US" w:eastAsia="zh-CN"/>
              </w:rPr>
            </w:pPr>
            <w:r>
              <w:rPr>
                <w:rFonts w:hint="default" w:ascii="Times New Roman" w:hAnsi="Times New Roman" w:cs="Times New Roman"/>
                <w:color w:val="auto"/>
                <w:kern w:val="0"/>
                <w:sz w:val="21"/>
                <w:szCs w:val="21"/>
                <w:highlight w:val="none"/>
                <w:u w:val="none"/>
                <w:lang w:val="en-US" w:eastAsia="zh-CN"/>
              </w:rPr>
              <w:t>被考核区域</w:t>
            </w:r>
          </w:p>
        </w:tc>
        <w:tc>
          <w:tcPr>
            <w:tcW w:w="66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断面性质</w:t>
            </w:r>
          </w:p>
        </w:tc>
        <w:tc>
          <w:tcPr>
            <w:tcW w:w="906"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水质监测类别</w:t>
            </w:r>
          </w:p>
        </w:tc>
        <w:tc>
          <w:tcPr>
            <w:tcW w:w="648"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考核目标</w:t>
            </w:r>
          </w:p>
        </w:tc>
        <w:tc>
          <w:tcPr>
            <w:tcW w:w="702"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湘江</w:t>
            </w:r>
          </w:p>
        </w:tc>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新塘铺</w:t>
            </w:r>
          </w:p>
        </w:tc>
        <w:tc>
          <w:tcPr>
            <w:tcW w:w="95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衡南县</w:t>
            </w:r>
          </w:p>
        </w:tc>
        <w:tc>
          <w:tcPr>
            <w:tcW w:w="66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国控</w:t>
            </w:r>
          </w:p>
        </w:tc>
        <w:tc>
          <w:tcPr>
            <w:tcW w:w="906"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648"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702"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p>
        </w:tc>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江东水厂</w:t>
            </w:r>
          </w:p>
        </w:tc>
        <w:tc>
          <w:tcPr>
            <w:tcW w:w="95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珠晖区、高新区</w:t>
            </w:r>
          </w:p>
        </w:tc>
        <w:tc>
          <w:tcPr>
            <w:tcW w:w="66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eastAsia="zh-CN"/>
              </w:rPr>
            </w:pPr>
            <w:r>
              <w:rPr>
                <w:rFonts w:hint="default" w:ascii="Times New Roman" w:hAnsi="Times New Roman" w:cs="Times New Roman"/>
                <w:color w:val="auto"/>
                <w:kern w:val="0"/>
                <w:sz w:val="21"/>
                <w:szCs w:val="21"/>
                <w:highlight w:val="none"/>
                <w:u w:val="none"/>
                <w:lang w:val="en-US" w:eastAsia="zh-CN"/>
              </w:rPr>
              <w:t>饮用水</w:t>
            </w:r>
          </w:p>
        </w:tc>
        <w:tc>
          <w:tcPr>
            <w:tcW w:w="906"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648"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702"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p>
        </w:tc>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城</w:t>
            </w:r>
            <w:r>
              <w:rPr>
                <w:rFonts w:hint="default" w:ascii="Times New Roman" w:hAnsi="Times New Roman" w:cs="Times New Roman"/>
                <w:color w:val="auto"/>
                <w:kern w:val="0"/>
                <w:sz w:val="21"/>
                <w:szCs w:val="21"/>
                <w:highlight w:val="none"/>
                <w:u w:val="none"/>
                <w:lang w:val="en-US" w:eastAsia="zh-CN"/>
              </w:rPr>
              <w:t>南</w:t>
            </w:r>
            <w:r>
              <w:rPr>
                <w:rFonts w:hint="default" w:ascii="Times New Roman" w:hAnsi="Times New Roman" w:cs="Times New Roman"/>
                <w:color w:val="auto"/>
                <w:kern w:val="0"/>
                <w:sz w:val="21"/>
                <w:szCs w:val="21"/>
                <w:highlight w:val="none"/>
                <w:u w:val="none"/>
              </w:rPr>
              <w:t>水厂</w:t>
            </w:r>
          </w:p>
        </w:tc>
        <w:tc>
          <w:tcPr>
            <w:tcW w:w="95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雁峰区</w:t>
            </w:r>
          </w:p>
        </w:tc>
        <w:tc>
          <w:tcPr>
            <w:tcW w:w="669"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lang w:val="en-US" w:eastAsia="zh-CN"/>
              </w:rPr>
              <w:t>饮用水</w:t>
            </w:r>
          </w:p>
        </w:tc>
        <w:tc>
          <w:tcPr>
            <w:tcW w:w="906"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648"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702"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kern w:val="0"/>
                <w:sz w:val="21"/>
                <w:szCs w:val="21"/>
                <w:highlight w:val="none"/>
                <w:u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p>
        </w:tc>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城北水厂</w:t>
            </w:r>
          </w:p>
        </w:tc>
        <w:tc>
          <w:tcPr>
            <w:tcW w:w="95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雁峰区、石鼓区</w:t>
            </w:r>
          </w:p>
        </w:tc>
        <w:tc>
          <w:tcPr>
            <w:tcW w:w="669"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lang w:val="en-US" w:eastAsia="zh-CN"/>
              </w:rPr>
              <w:t>饮用水</w:t>
            </w:r>
          </w:p>
        </w:tc>
        <w:tc>
          <w:tcPr>
            <w:tcW w:w="906"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648"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702"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kern w:val="0"/>
                <w:sz w:val="21"/>
                <w:szCs w:val="21"/>
                <w:highlight w:val="none"/>
                <w:u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p>
        </w:tc>
        <w:tc>
          <w:tcPr>
            <w:tcW w:w="670"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鱼石村</w:t>
            </w:r>
          </w:p>
        </w:tc>
        <w:tc>
          <w:tcPr>
            <w:tcW w:w="958" w:type="pct"/>
            <w:tcBorders>
              <w:tl2br w:val="nil"/>
              <w:tr2bl w:val="nil"/>
            </w:tcBorders>
            <w:noWrap w:val="0"/>
            <w:vAlign w:val="center"/>
          </w:tcPr>
          <w:p>
            <w:pPr>
              <w:tabs>
                <w:tab w:val="left" w:pos="302"/>
              </w:tabs>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石鼓区、珠晖区、松木经开区</w:t>
            </w:r>
          </w:p>
        </w:tc>
        <w:tc>
          <w:tcPr>
            <w:tcW w:w="669"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lang w:val="en-US" w:eastAsia="zh-CN"/>
              </w:rPr>
              <w:t>国控</w:t>
            </w:r>
          </w:p>
        </w:tc>
        <w:tc>
          <w:tcPr>
            <w:tcW w:w="906"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648"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Ⅱ</w:t>
            </w:r>
          </w:p>
        </w:tc>
        <w:tc>
          <w:tcPr>
            <w:tcW w:w="702" w:type="pct"/>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达标</w:t>
            </w:r>
          </w:p>
        </w:tc>
      </w:tr>
    </w:tbl>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根据公报可知，湘江新塘铺、江东水厂、城南水厂、城北水厂、鱼石村断面2022年1~12月水质均可达到《地表水环境质量标准》(GB3838-2002)</w:t>
      </w:r>
      <w:r>
        <w:rPr>
          <w:rFonts w:hint="default" w:ascii="Times New Roman" w:hAnsi="Times New Roman" w:eastAsia="宋体" w:cs="Times New Roman"/>
          <w:color w:val="auto"/>
          <w:kern w:val="0"/>
          <w:sz w:val="24"/>
          <w:szCs w:val="24"/>
          <w:highlight w:val="none"/>
          <w:u w:val="none"/>
          <w:lang w:val="en-US" w:eastAsia="zh-CN"/>
        </w:rPr>
        <w:t>Ⅱ</w:t>
      </w:r>
      <w:r>
        <w:rPr>
          <w:rFonts w:hint="default" w:cs="Times New Roman"/>
          <w:color w:val="auto"/>
          <w:kern w:val="0"/>
          <w:sz w:val="24"/>
          <w:szCs w:val="24"/>
          <w:highlight w:val="none"/>
          <w:lang w:val="en-US" w:eastAsia="zh-CN" w:bidi="ar"/>
        </w:rPr>
        <w:t>类标准。</w:t>
      </w:r>
    </w:p>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u w:val="none"/>
          <w:lang w:val="en-US" w:eastAsia="zh-CN"/>
        </w:rPr>
      </w:pPr>
      <w:r>
        <w:rPr>
          <w:rFonts w:hint="default" w:cs="Times New Roman"/>
          <w:color w:val="auto"/>
          <w:kern w:val="0"/>
          <w:sz w:val="24"/>
          <w:szCs w:val="24"/>
          <w:highlight w:val="none"/>
          <w:lang w:val="en-US" w:eastAsia="zh-CN" w:bidi="ar"/>
        </w:rPr>
        <w:t>同时本项目还收集了衡阳市生态环境局网站公布的《衡阳市城区集中式生活饮用水水源水质状况报告（2024年1月）》，2024年1月对衡阳市城区江东水厂、城南水厂、城北水厂3个地表水水源水质监测，监测项目为《地表水环境质量标准》（GB3838-2002)表1的基本项目(23项，化学需氧量除外)、表2的补充项目(5项)、表3的优选特定项目(33项)，共61项，根据监测结果，江东水厂、城南水厂、城北水厂水质均为</w:t>
      </w:r>
      <w:r>
        <w:rPr>
          <w:rFonts w:hint="default" w:ascii="Times New Roman" w:hAnsi="Times New Roman" w:eastAsia="宋体" w:cs="Times New Roman"/>
          <w:color w:val="auto"/>
          <w:kern w:val="0"/>
          <w:sz w:val="24"/>
          <w:szCs w:val="24"/>
          <w:highlight w:val="none"/>
          <w:u w:val="none"/>
          <w:lang w:val="en-US" w:eastAsia="zh-CN"/>
        </w:rPr>
        <w:t>Ⅱ类水质，水质达标率为100%。</w:t>
      </w:r>
    </w:p>
    <w:p>
      <w:pPr>
        <w:pStyle w:val="20"/>
        <w:rPr>
          <w:color w:val="auto"/>
        </w:rPr>
      </w:pPr>
      <w:r>
        <w:rPr>
          <w:color w:val="auto"/>
        </w:rPr>
        <w:drawing>
          <wp:inline distT="0" distB="0" distL="114300" distR="114300">
            <wp:extent cx="5078095" cy="5241925"/>
            <wp:effectExtent l="0" t="0" r="12065" b="63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47"/>
                    <a:srcRect t="3567"/>
                    <a:stretch>
                      <a:fillRect/>
                    </a:stretch>
                  </pic:blipFill>
                  <pic:spPr>
                    <a:xfrm>
                      <a:off x="0" y="0"/>
                      <a:ext cx="5078095" cy="5241925"/>
                    </a:xfrm>
                    <a:prstGeom prst="rect">
                      <a:avLst/>
                    </a:prstGeom>
                    <a:noFill/>
                    <a:ln>
                      <a:noFill/>
                    </a:ln>
                  </pic:spPr>
                </pic:pic>
              </a:graphicData>
            </a:graphic>
          </wp:inline>
        </w:drawing>
      </w:r>
    </w:p>
    <w:p>
      <w:pPr>
        <w:jc w:val="center"/>
        <w:rPr>
          <w:rFonts w:hint="default"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图</w:t>
      </w:r>
      <w:r>
        <w:rPr>
          <w:rFonts w:hint="default" w:eastAsia="宋体" w:cs="Times New Roman"/>
          <w:b/>
          <w:color w:val="auto"/>
          <w:kern w:val="2"/>
          <w:sz w:val="21"/>
          <w:szCs w:val="24"/>
          <w:highlight w:val="none"/>
          <w:u w:val="none" w:color="auto"/>
          <w:lang w:val="en-US" w:eastAsia="zh-CN" w:bidi="ar-SA"/>
        </w:rPr>
        <w:t xml:space="preserve"> 4.4-1  《衡阳市城区集中式生活饮用水水源水质状况报告（2024年1月）》截图</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4.4.</w:t>
      </w:r>
      <w:r>
        <w:rPr>
          <w:rFonts w:hint="eastAsia" w:cs="Times New Roman"/>
          <w:b/>
          <w:bCs/>
          <w:color w:val="auto"/>
          <w:kern w:val="0"/>
          <w:sz w:val="28"/>
          <w:szCs w:val="28"/>
          <w:highlight w:val="none"/>
          <w:lang w:val="en-US" w:eastAsia="zh-CN"/>
        </w:rPr>
        <w:t>3</w:t>
      </w:r>
      <w:r>
        <w:rPr>
          <w:rFonts w:hint="default" w:cs="Times New Roman"/>
          <w:b/>
          <w:bCs/>
          <w:color w:val="auto"/>
          <w:kern w:val="0"/>
          <w:sz w:val="28"/>
          <w:szCs w:val="28"/>
          <w:highlight w:val="none"/>
          <w:lang w:val="en-US" w:eastAsia="zh-CN"/>
        </w:rPr>
        <w:t>地</w:t>
      </w:r>
      <w:r>
        <w:rPr>
          <w:rFonts w:hint="eastAsia" w:cs="Times New Roman"/>
          <w:b/>
          <w:bCs/>
          <w:color w:val="auto"/>
          <w:kern w:val="0"/>
          <w:sz w:val="28"/>
          <w:szCs w:val="28"/>
          <w:highlight w:val="none"/>
          <w:lang w:val="en-US" w:eastAsia="zh-CN"/>
        </w:rPr>
        <w:t>下</w:t>
      </w:r>
      <w:r>
        <w:rPr>
          <w:rFonts w:hint="default" w:cs="Times New Roman"/>
          <w:b/>
          <w:bCs/>
          <w:color w:val="auto"/>
          <w:kern w:val="0"/>
          <w:sz w:val="28"/>
          <w:szCs w:val="28"/>
          <w:highlight w:val="none"/>
          <w:lang w:val="en-US" w:eastAsia="zh-CN"/>
        </w:rPr>
        <w:t>水环境现状调查与评价</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（1）监测因子</w:t>
      </w:r>
      <w:r>
        <w:rPr>
          <w:rFonts w:hint="eastAsia" w:cs="Times New Roman"/>
          <w:color w:val="auto"/>
          <w:kern w:val="0"/>
          <w:sz w:val="24"/>
          <w:szCs w:val="24"/>
          <w:highlight w:val="none"/>
          <w:lang w:val="en-US" w:eastAsia="zh-CN" w:bidi="ar"/>
        </w:rPr>
        <w:t>及评价方法</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监测</w:t>
      </w:r>
      <w:r>
        <w:rPr>
          <w:rFonts w:hint="default" w:cs="Times New Roman"/>
          <w:color w:val="auto"/>
          <w:kern w:val="0"/>
          <w:sz w:val="24"/>
          <w:szCs w:val="24"/>
          <w:highlight w:val="none"/>
          <w:lang w:val="en-US" w:eastAsia="zh-CN" w:bidi="ar"/>
        </w:rPr>
        <w:t>因子：K</w:t>
      </w:r>
      <w:r>
        <w:rPr>
          <w:rFonts w:hint="default" w:cs="Times New Roman"/>
          <w:color w:val="auto"/>
          <w:kern w:val="0"/>
          <w:sz w:val="24"/>
          <w:szCs w:val="24"/>
          <w:highlight w:val="none"/>
          <w:vertAlign w:val="superscript"/>
          <w:lang w:val="en-US" w:eastAsia="zh-CN" w:bidi="ar"/>
        </w:rPr>
        <w:t>+</w:t>
      </w:r>
      <w:r>
        <w:rPr>
          <w:rFonts w:hint="default" w:cs="Times New Roman"/>
          <w:color w:val="auto"/>
          <w:kern w:val="0"/>
          <w:sz w:val="24"/>
          <w:szCs w:val="24"/>
          <w:highlight w:val="none"/>
          <w:lang w:val="en-US" w:eastAsia="zh-CN" w:bidi="ar"/>
        </w:rPr>
        <w:t>、Na</w:t>
      </w:r>
      <w:r>
        <w:rPr>
          <w:rFonts w:hint="default" w:cs="Times New Roman"/>
          <w:color w:val="auto"/>
          <w:kern w:val="0"/>
          <w:sz w:val="24"/>
          <w:szCs w:val="24"/>
          <w:highlight w:val="none"/>
          <w:vertAlign w:val="superscript"/>
          <w:lang w:val="en-US" w:eastAsia="zh-CN" w:bidi="ar"/>
        </w:rPr>
        <w:t>+</w:t>
      </w:r>
      <w:r>
        <w:rPr>
          <w:rFonts w:hint="default" w:cs="Times New Roman"/>
          <w:color w:val="auto"/>
          <w:kern w:val="0"/>
          <w:sz w:val="24"/>
          <w:szCs w:val="24"/>
          <w:highlight w:val="none"/>
          <w:lang w:val="en-US" w:eastAsia="zh-CN" w:bidi="ar"/>
        </w:rPr>
        <w:t>、Ca</w:t>
      </w:r>
      <w:r>
        <w:rPr>
          <w:rFonts w:hint="default" w:cs="Times New Roman"/>
          <w:color w:val="auto"/>
          <w:kern w:val="0"/>
          <w:sz w:val="24"/>
          <w:szCs w:val="24"/>
          <w:highlight w:val="none"/>
          <w:vertAlign w:val="superscript"/>
          <w:lang w:val="en-US" w:eastAsia="zh-CN" w:bidi="ar"/>
        </w:rPr>
        <w:t>2+</w:t>
      </w:r>
      <w:r>
        <w:rPr>
          <w:rFonts w:hint="default" w:cs="Times New Roman"/>
          <w:color w:val="auto"/>
          <w:kern w:val="0"/>
          <w:sz w:val="24"/>
          <w:szCs w:val="24"/>
          <w:highlight w:val="none"/>
          <w:lang w:val="en-US" w:eastAsia="zh-CN" w:bidi="ar"/>
        </w:rPr>
        <w:t>、Mg</w:t>
      </w:r>
      <w:r>
        <w:rPr>
          <w:rFonts w:hint="default" w:cs="Times New Roman"/>
          <w:color w:val="auto"/>
          <w:kern w:val="0"/>
          <w:sz w:val="24"/>
          <w:szCs w:val="24"/>
          <w:highlight w:val="none"/>
          <w:vertAlign w:val="superscript"/>
          <w:lang w:val="en-US" w:eastAsia="zh-CN" w:bidi="ar"/>
        </w:rPr>
        <w:t>2+</w:t>
      </w:r>
      <w:r>
        <w:rPr>
          <w:rFonts w:hint="default" w:cs="Times New Roman"/>
          <w:color w:val="auto"/>
          <w:kern w:val="0"/>
          <w:sz w:val="24"/>
          <w:szCs w:val="24"/>
          <w:highlight w:val="none"/>
          <w:lang w:val="en-US" w:eastAsia="zh-CN" w:bidi="ar"/>
        </w:rPr>
        <w:t>、CO</w:t>
      </w:r>
      <w:r>
        <w:rPr>
          <w:rFonts w:hint="default" w:cs="Times New Roman"/>
          <w:color w:val="auto"/>
          <w:kern w:val="0"/>
          <w:sz w:val="24"/>
          <w:szCs w:val="24"/>
          <w:highlight w:val="none"/>
          <w:vertAlign w:val="subscript"/>
          <w:lang w:val="en-US" w:eastAsia="zh-CN" w:bidi="ar"/>
        </w:rPr>
        <w:t>3</w:t>
      </w:r>
      <w:r>
        <w:rPr>
          <w:rFonts w:hint="default" w:cs="Times New Roman"/>
          <w:color w:val="auto"/>
          <w:kern w:val="0"/>
          <w:sz w:val="24"/>
          <w:szCs w:val="24"/>
          <w:highlight w:val="none"/>
          <w:vertAlign w:val="superscript"/>
          <w:lang w:val="en-US" w:eastAsia="zh-CN" w:bidi="ar"/>
        </w:rPr>
        <w:t>2-</w:t>
      </w:r>
      <w:r>
        <w:rPr>
          <w:rFonts w:hint="default" w:cs="Times New Roman"/>
          <w:color w:val="auto"/>
          <w:kern w:val="0"/>
          <w:sz w:val="24"/>
          <w:szCs w:val="24"/>
          <w:highlight w:val="none"/>
          <w:lang w:val="en-US" w:eastAsia="zh-CN" w:bidi="ar"/>
        </w:rPr>
        <w:t>、HCO</w:t>
      </w:r>
      <w:r>
        <w:rPr>
          <w:rFonts w:hint="default" w:cs="Times New Roman"/>
          <w:color w:val="auto"/>
          <w:kern w:val="0"/>
          <w:sz w:val="24"/>
          <w:szCs w:val="24"/>
          <w:highlight w:val="none"/>
          <w:vertAlign w:val="subscript"/>
          <w:lang w:val="en-US" w:eastAsia="zh-CN" w:bidi="ar"/>
        </w:rPr>
        <w:t>3</w:t>
      </w:r>
      <w:r>
        <w:rPr>
          <w:rFonts w:hint="default" w:cs="Times New Roman"/>
          <w:color w:val="auto"/>
          <w:kern w:val="0"/>
          <w:sz w:val="24"/>
          <w:szCs w:val="24"/>
          <w:highlight w:val="none"/>
          <w:vertAlign w:val="superscript"/>
          <w:lang w:val="en-US" w:eastAsia="zh-CN" w:bidi="ar"/>
        </w:rPr>
        <w:t>-</w:t>
      </w:r>
      <w:r>
        <w:rPr>
          <w:rFonts w:hint="default" w:cs="Times New Roman"/>
          <w:color w:val="auto"/>
          <w:kern w:val="0"/>
          <w:sz w:val="24"/>
          <w:szCs w:val="24"/>
          <w:highlight w:val="none"/>
          <w:lang w:val="en-US" w:eastAsia="zh-CN" w:bidi="ar"/>
        </w:rPr>
        <w:t>、Cl</w:t>
      </w:r>
      <w:r>
        <w:rPr>
          <w:rFonts w:hint="default" w:cs="Times New Roman"/>
          <w:color w:val="auto"/>
          <w:kern w:val="0"/>
          <w:sz w:val="24"/>
          <w:szCs w:val="24"/>
          <w:highlight w:val="none"/>
          <w:vertAlign w:val="superscript"/>
          <w:lang w:val="en-US" w:eastAsia="zh-CN" w:bidi="ar"/>
        </w:rPr>
        <w:t>-</w:t>
      </w:r>
      <w:r>
        <w:rPr>
          <w:rFonts w:hint="default" w:cs="Times New Roman"/>
          <w:color w:val="auto"/>
          <w:kern w:val="0"/>
          <w:sz w:val="24"/>
          <w:szCs w:val="24"/>
          <w:highlight w:val="none"/>
          <w:lang w:val="en-US" w:eastAsia="zh-CN" w:bidi="ar"/>
        </w:rPr>
        <w:t>、 SO</w:t>
      </w:r>
      <w:r>
        <w:rPr>
          <w:rFonts w:hint="default" w:cs="Times New Roman"/>
          <w:color w:val="auto"/>
          <w:kern w:val="0"/>
          <w:sz w:val="24"/>
          <w:szCs w:val="24"/>
          <w:highlight w:val="none"/>
          <w:vertAlign w:val="subscript"/>
          <w:lang w:val="en-US" w:eastAsia="zh-CN" w:bidi="ar"/>
        </w:rPr>
        <w:t>4</w:t>
      </w:r>
      <w:r>
        <w:rPr>
          <w:rFonts w:hint="default" w:cs="Times New Roman"/>
          <w:color w:val="auto"/>
          <w:kern w:val="0"/>
          <w:sz w:val="24"/>
          <w:szCs w:val="24"/>
          <w:highlight w:val="none"/>
          <w:vertAlign w:val="superscript"/>
          <w:lang w:val="en-US" w:eastAsia="zh-CN" w:bidi="ar"/>
        </w:rPr>
        <w:t>2-</w:t>
      </w:r>
      <w:r>
        <w:rPr>
          <w:rFonts w:hint="default" w:cs="Times New Roman"/>
          <w:color w:val="auto"/>
          <w:kern w:val="0"/>
          <w:sz w:val="24"/>
          <w:szCs w:val="24"/>
          <w:highlight w:val="none"/>
          <w:lang w:val="en-US" w:eastAsia="zh-CN" w:bidi="ar"/>
        </w:rPr>
        <w:t>、pH、氨氮、</w:t>
      </w:r>
      <w:r>
        <w:rPr>
          <w:rFonts w:hint="eastAsia" w:cs="Times New Roman"/>
          <w:color w:val="auto"/>
          <w:kern w:val="0"/>
          <w:sz w:val="24"/>
          <w:szCs w:val="24"/>
          <w:highlight w:val="none"/>
          <w:lang w:val="en-US" w:eastAsia="zh-CN" w:bidi="ar"/>
        </w:rPr>
        <w:t>耗氧量</w:t>
      </w:r>
      <w:r>
        <w:rPr>
          <w:rFonts w:hint="default" w:cs="Times New Roman"/>
          <w:color w:val="auto"/>
          <w:kern w:val="0"/>
          <w:sz w:val="24"/>
          <w:szCs w:val="24"/>
          <w:highlight w:val="none"/>
          <w:lang w:val="en-US" w:eastAsia="zh-CN" w:bidi="ar"/>
        </w:rPr>
        <w:t>、挥发性酚类、砷、汞、铬（六价）、铅、镉、</w:t>
      </w:r>
      <w:r>
        <w:rPr>
          <w:rFonts w:hint="eastAsia" w:cs="Times New Roman"/>
          <w:color w:val="auto"/>
          <w:kern w:val="0"/>
          <w:sz w:val="24"/>
          <w:szCs w:val="24"/>
          <w:highlight w:val="none"/>
          <w:lang w:val="en-US" w:eastAsia="zh-CN" w:bidi="ar"/>
        </w:rPr>
        <w:t>铜</w:t>
      </w:r>
      <w:r>
        <w:rPr>
          <w:rFonts w:hint="default"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锌</w:t>
      </w:r>
      <w:r>
        <w:rPr>
          <w:rFonts w:hint="default"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氟化物、</w:t>
      </w:r>
      <w:r>
        <w:rPr>
          <w:rFonts w:hint="default" w:cs="Times New Roman"/>
          <w:color w:val="auto"/>
          <w:kern w:val="0"/>
          <w:sz w:val="24"/>
          <w:szCs w:val="24"/>
          <w:highlight w:val="none"/>
          <w:lang w:val="en-US" w:eastAsia="zh-CN" w:bidi="ar"/>
        </w:rPr>
        <w:t>总大肠菌群。监测同时调查或测量地下水水位。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eastAsia"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评价方法：评价方法采用《环境影响评价技术导则 地下水环境》（HJ610-2016）所推荐的标准指标法进行评价。</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（2）监测点位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本次地下水水质现状监测共布设3个监测点，见下表</w:t>
      </w:r>
      <w:r>
        <w:rPr>
          <w:rFonts w:hint="default" w:cs="Times New Roman"/>
          <w:color w:val="auto"/>
          <w:kern w:val="0"/>
          <w:sz w:val="24"/>
          <w:szCs w:val="24"/>
          <w:highlight w:val="none"/>
          <w:lang w:val="en-US" w:eastAsia="zh-CN" w:bidi="ar"/>
        </w:rPr>
        <w:t>。</w:t>
      </w:r>
    </w:p>
    <w:p>
      <w:pPr>
        <w:pStyle w:val="52"/>
        <w:keepNext w:val="0"/>
        <w:keepLines w:val="0"/>
        <w:pageBreakBefore w:val="0"/>
        <w:widowControl w:val="0"/>
        <w:kinsoku/>
        <w:wordWrap/>
        <w:overflowPunct/>
        <w:topLinePunct w:val="0"/>
        <w:autoSpaceDE/>
        <w:autoSpaceDN/>
        <w:bidi w:val="0"/>
        <w:adjustRightInd/>
        <w:snapToGrid/>
        <w:ind w:right="-391"/>
        <w:jc w:val="center"/>
        <w:textAlignment w:val="auto"/>
        <w:outlineLvl w:val="9"/>
        <w:rPr>
          <w:rFonts w:hint="default" w:ascii="Times New Roman" w:hAnsi="Times New Roman" w:eastAsia="宋体" w:cs="Times New Roman"/>
          <w:b/>
          <w:bCs/>
          <w:color w:val="auto"/>
          <w:kern w:val="2"/>
          <w:sz w:val="24"/>
          <w:szCs w:val="24"/>
          <w:highlight w:val="none"/>
          <w:u w:val="none"/>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表4.</w:t>
      </w:r>
      <w:r>
        <w:rPr>
          <w:rFonts w:hint="default" w:cs="Times New Roman"/>
          <w:b/>
          <w:color w:val="auto"/>
          <w:kern w:val="2"/>
          <w:sz w:val="21"/>
          <w:szCs w:val="24"/>
          <w:highlight w:val="none"/>
          <w:u w:val="none" w:color="auto"/>
          <w:lang w:val="en-US" w:eastAsia="zh-CN" w:bidi="ar-SA"/>
        </w:rPr>
        <w:t>4</w:t>
      </w:r>
      <w:r>
        <w:rPr>
          <w:rFonts w:hint="default" w:ascii="Times New Roman" w:hAnsi="Times New Roman" w:eastAsia="宋体" w:cs="Times New Roman"/>
          <w:b/>
          <w:color w:val="auto"/>
          <w:kern w:val="2"/>
          <w:sz w:val="21"/>
          <w:szCs w:val="24"/>
          <w:highlight w:val="none"/>
          <w:u w:val="none" w:color="auto"/>
          <w:lang w:val="en-US" w:eastAsia="zh-CN" w:bidi="ar-SA"/>
        </w:rPr>
        <w:t>-</w:t>
      </w:r>
      <w:r>
        <w:rPr>
          <w:rFonts w:hint="default" w:cs="Times New Roman"/>
          <w:b/>
          <w:color w:val="auto"/>
          <w:kern w:val="2"/>
          <w:sz w:val="21"/>
          <w:szCs w:val="24"/>
          <w:highlight w:val="none"/>
          <w:u w:val="none" w:color="auto"/>
          <w:lang w:val="en-US" w:eastAsia="zh-CN" w:bidi="ar-SA"/>
        </w:rPr>
        <w:t>7</w:t>
      </w:r>
      <w:r>
        <w:rPr>
          <w:rFonts w:hint="default" w:ascii="Times New Roman" w:hAnsi="Times New Roman" w:eastAsia="宋体" w:cs="Times New Roman"/>
          <w:b/>
          <w:color w:val="auto"/>
          <w:kern w:val="2"/>
          <w:sz w:val="21"/>
          <w:szCs w:val="24"/>
          <w:highlight w:val="none"/>
          <w:u w:val="none" w:color="auto"/>
          <w:lang w:val="en-US" w:eastAsia="zh-CN" w:bidi="ar-SA"/>
        </w:rPr>
        <w:t xml:space="preserve"> </w:t>
      </w:r>
      <w:r>
        <w:rPr>
          <w:rFonts w:hint="eastAsia" w:cs="Times New Roman"/>
          <w:b/>
          <w:color w:val="auto"/>
          <w:kern w:val="2"/>
          <w:sz w:val="21"/>
          <w:szCs w:val="24"/>
          <w:highlight w:val="none"/>
          <w:u w:val="none" w:color="auto"/>
          <w:lang w:val="en-US" w:eastAsia="zh-CN" w:bidi="ar-SA"/>
        </w:rPr>
        <w:t>地下水</w:t>
      </w:r>
      <w:r>
        <w:rPr>
          <w:rFonts w:hint="default" w:ascii="Times New Roman" w:hAnsi="Times New Roman" w:eastAsia="宋体" w:cs="Times New Roman"/>
          <w:b/>
          <w:color w:val="auto"/>
          <w:kern w:val="2"/>
          <w:sz w:val="21"/>
          <w:szCs w:val="24"/>
          <w:highlight w:val="none"/>
          <w:u w:val="none" w:color="auto"/>
          <w:lang w:val="en-US" w:eastAsia="zh-CN" w:bidi="ar-SA"/>
        </w:rPr>
        <w:t>监测点位布设</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5"/>
        <w:gridCol w:w="2781"/>
        <w:gridCol w:w="42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eastAsia="zh-CN"/>
              </w:rPr>
            </w:pPr>
            <w:r>
              <w:rPr>
                <w:rFonts w:hint="default"/>
                <w:color w:val="auto"/>
                <w:sz w:val="21"/>
                <w:szCs w:val="21"/>
                <w:highlight w:val="none"/>
                <w:lang w:val="en-US" w:eastAsia="zh-CN"/>
              </w:rPr>
              <w:t>序号</w:t>
            </w:r>
          </w:p>
        </w:tc>
        <w:tc>
          <w:tcPr>
            <w:tcW w:w="2781"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color w:val="auto"/>
                <w:sz w:val="21"/>
                <w:szCs w:val="21"/>
                <w:highlight w:val="none"/>
                <w:lang w:val="en-US" w:eastAsia="zh-CN"/>
              </w:rPr>
              <w:t>监测点</w:t>
            </w:r>
            <w:r>
              <w:rPr>
                <w:rFonts w:hint="eastAsia"/>
                <w:color w:val="auto"/>
                <w:sz w:val="21"/>
                <w:szCs w:val="21"/>
                <w:highlight w:val="none"/>
                <w:lang w:val="en-US" w:eastAsia="zh-CN"/>
              </w:rPr>
              <w:t>（井）名称</w:t>
            </w:r>
          </w:p>
        </w:tc>
        <w:tc>
          <w:tcPr>
            <w:tcW w:w="4216"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eastAsia"/>
                <w:color w:val="auto"/>
                <w:sz w:val="21"/>
                <w:szCs w:val="21"/>
                <w:highlight w:val="none"/>
                <w:lang w:val="en-US" w:eastAsia="zh-CN"/>
              </w:rPr>
              <w:t>参考坐标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D1</w:t>
            </w:r>
          </w:p>
        </w:tc>
        <w:tc>
          <w:tcPr>
            <w:tcW w:w="2781"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highlight w:val="none"/>
                <w:lang w:val="en-US" w:eastAsia="zh-CN"/>
              </w:rPr>
              <w:t>和平村居民点1</w:t>
            </w:r>
          </w:p>
        </w:tc>
        <w:tc>
          <w:tcPr>
            <w:tcW w:w="4216" w:type="dxa"/>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112°38'19.26"</w:t>
            </w:r>
            <w:r>
              <w:rPr>
                <w:rFonts w:hint="eastAsia"/>
                <w:color w:val="auto"/>
                <w:sz w:val="21"/>
                <w:szCs w:val="21"/>
                <w:highlight w:val="none"/>
                <w:lang w:val="en-US" w:eastAsia="zh-CN"/>
              </w:rPr>
              <w:t>E，26°52'19.96"N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D2</w:t>
            </w:r>
          </w:p>
        </w:tc>
        <w:tc>
          <w:tcPr>
            <w:tcW w:w="2781"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highlight w:val="none"/>
                <w:lang w:val="en-US" w:eastAsia="zh-CN"/>
              </w:rPr>
              <w:t>和平村居民点2</w:t>
            </w:r>
          </w:p>
        </w:tc>
        <w:tc>
          <w:tcPr>
            <w:tcW w:w="4216"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112°38'06.7</w:t>
            </w:r>
            <w:r>
              <w:rPr>
                <w:rFonts w:hint="eastAsia"/>
                <w:color w:val="auto"/>
                <w:sz w:val="21"/>
                <w:szCs w:val="21"/>
                <w:highlight w:val="none"/>
                <w:lang w:val="en-US" w:eastAsia="zh-CN"/>
              </w:rPr>
              <w:t>7</w:t>
            </w:r>
            <w:r>
              <w:rPr>
                <w:rFonts w:hint="default"/>
                <w:color w:val="auto"/>
                <w:sz w:val="21"/>
                <w:szCs w:val="21"/>
                <w:highlight w:val="none"/>
                <w:lang w:val="en-US" w:eastAsia="zh-CN"/>
              </w:rPr>
              <w:t>"</w:t>
            </w:r>
            <w:r>
              <w:rPr>
                <w:rFonts w:hint="eastAsia"/>
                <w:color w:val="auto"/>
                <w:sz w:val="21"/>
                <w:szCs w:val="21"/>
                <w:highlight w:val="none"/>
                <w:lang w:val="en-US" w:eastAsia="zh-CN"/>
              </w:rPr>
              <w:t>E，26°52'17.96"N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D3</w:t>
            </w:r>
          </w:p>
        </w:tc>
        <w:tc>
          <w:tcPr>
            <w:tcW w:w="2781"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highlight w:val="none"/>
                <w:lang w:val="en-US" w:eastAsia="zh-CN"/>
              </w:rPr>
              <w:t>和平村居民点3</w:t>
            </w:r>
          </w:p>
        </w:tc>
        <w:tc>
          <w:tcPr>
            <w:tcW w:w="4216"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112°37'41.8</w:t>
            </w:r>
            <w:r>
              <w:rPr>
                <w:rFonts w:hint="eastAsia"/>
                <w:color w:val="auto"/>
                <w:sz w:val="21"/>
                <w:szCs w:val="21"/>
                <w:highlight w:val="none"/>
                <w:lang w:val="en-US" w:eastAsia="zh-CN"/>
              </w:rPr>
              <w:t>8</w:t>
            </w:r>
            <w:r>
              <w:rPr>
                <w:rFonts w:hint="default"/>
                <w:color w:val="auto"/>
                <w:sz w:val="21"/>
                <w:szCs w:val="21"/>
                <w:highlight w:val="none"/>
                <w:lang w:val="en-US" w:eastAsia="zh-CN"/>
              </w:rPr>
              <w:t>"</w:t>
            </w:r>
            <w:r>
              <w:rPr>
                <w:rFonts w:hint="eastAsia"/>
                <w:color w:val="auto"/>
                <w:sz w:val="21"/>
                <w:szCs w:val="21"/>
                <w:highlight w:val="none"/>
                <w:lang w:val="en-US" w:eastAsia="zh-CN"/>
              </w:rPr>
              <w:t>E，26°52'39.14"N</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3</w:t>
      </w:r>
      <w:r>
        <w:rPr>
          <w:rFonts w:hint="default" w:cs="Times New Roman"/>
          <w:color w:val="auto"/>
          <w:kern w:val="0"/>
          <w:sz w:val="24"/>
          <w:szCs w:val="24"/>
          <w:highlight w:val="none"/>
          <w:lang w:val="en-US" w:eastAsia="zh-CN" w:bidi="ar"/>
        </w:rPr>
        <w:t>）监测</w:t>
      </w:r>
      <w:r>
        <w:rPr>
          <w:rFonts w:hint="eastAsia" w:cs="Times New Roman"/>
          <w:color w:val="auto"/>
          <w:kern w:val="0"/>
          <w:sz w:val="24"/>
          <w:szCs w:val="24"/>
          <w:highlight w:val="none"/>
          <w:lang w:val="en-US" w:eastAsia="zh-CN" w:bidi="ar"/>
        </w:rPr>
        <w:t>时间</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本次环评委托湖南林晟环境检测有限公司于2024年4月18日对项目所在地周边地下水进行了一期监测。</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4</w:t>
      </w:r>
      <w:r>
        <w:rPr>
          <w:rFonts w:hint="default" w:cs="Times New Roman"/>
          <w:color w:val="auto"/>
          <w:kern w:val="0"/>
          <w:sz w:val="24"/>
          <w:szCs w:val="24"/>
          <w:highlight w:val="none"/>
          <w:lang w:val="en-US" w:eastAsia="zh-CN" w:bidi="ar"/>
        </w:rPr>
        <w:t>）监测</w:t>
      </w:r>
      <w:r>
        <w:rPr>
          <w:rFonts w:hint="eastAsia" w:cs="Times New Roman"/>
          <w:color w:val="auto"/>
          <w:kern w:val="0"/>
          <w:sz w:val="24"/>
          <w:szCs w:val="24"/>
          <w:highlight w:val="none"/>
          <w:lang w:val="en-US" w:eastAsia="zh-CN" w:bidi="ar"/>
        </w:rPr>
        <w:t>结果</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地下水环境质量现状监测结果见下表。</w:t>
      </w:r>
    </w:p>
    <w:p>
      <w:pPr>
        <w:pStyle w:val="52"/>
        <w:keepNext w:val="0"/>
        <w:keepLines w:val="0"/>
        <w:pageBreakBefore w:val="0"/>
        <w:widowControl w:val="0"/>
        <w:kinsoku/>
        <w:wordWrap/>
        <w:overflowPunct/>
        <w:topLinePunct w:val="0"/>
        <w:autoSpaceDE/>
        <w:autoSpaceDN/>
        <w:bidi w:val="0"/>
        <w:adjustRightInd/>
        <w:snapToGrid/>
        <w:ind w:right="-391"/>
        <w:jc w:val="center"/>
        <w:textAlignment w:val="auto"/>
        <w:outlineLvl w:val="9"/>
        <w:rPr>
          <w:rFonts w:hint="default" w:ascii="Times New Roman" w:hAnsi="Times New Roman" w:eastAsia="宋体" w:cs="Times New Roman"/>
          <w:b/>
          <w:bCs/>
          <w:color w:val="auto"/>
          <w:kern w:val="2"/>
          <w:sz w:val="24"/>
          <w:szCs w:val="24"/>
          <w:highlight w:val="none"/>
          <w:u w:val="none"/>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表4.</w:t>
      </w:r>
      <w:r>
        <w:rPr>
          <w:rFonts w:hint="default" w:cs="Times New Roman"/>
          <w:b/>
          <w:color w:val="auto"/>
          <w:kern w:val="2"/>
          <w:sz w:val="21"/>
          <w:szCs w:val="24"/>
          <w:highlight w:val="none"/>
          <w:u w:val="none" w:color="auto"/>
          <w:lang w:val="en-US" w:eastAsia="zh-CN" w:bidi="ar-SA"/>
        </w:rPr>
        <w:t>4</w:t>
      </w:r>
      <w:r>
        <w:rPr>
          <w:rFonts w:hint="default" w:ascii="Times New Roman" w:hAnsi="Times New Roman" w:eastAsia="宋体" w:cs="Times New Roman"/>
          <w:b/>
          <w:color w:val="auto"/>
          <w:kern w:val="2"/>
          <w:sz w:val="21"/>
          <w:szCs w:val="24"/>
          <w:highlight w:val="none"/>
          <w:u w:val="none" w:color="auto"/>
          <w:lang w:val="en-US" w:eastAsia="zh-CN" w:bidi="ar-SA"/>
        </w:rPr>
        <w:t>-</w:t>
      </w:r>
      <w:r>
        <w:rPr>
          <w:rFonts w:hint="eastAsia" w:cs="Times New Roman"/>
          <w:b/>
          <w:color w:val="auto"/>
          <w:kern w:val="2"/>
          <w:sz w:val="21"/>
          <w:szCs w:val="24"/>
          <w:highlight w:val="none"/>
          <w:u w:val="none" w:color="auto"/>
          <w:lang w:val="en-US" w:eastAsia="zh-CN" w:bidi="ar-SA"/>
        </w:rPr>
        <w:t>8</w:t>
      </w:r>
      <w:r>
        <w:rPr>
          <w:rFonts w:hint="default" w:ascii="Times New Roman" w:hAnsi="Times New Roman" w:eastAsia="宋体" w:cs="Times New Roman"/>
          <w:b/>
          <w:color w:val="auto"/>
          <w:kern w:val="2"/>
          <w:sz w:val="21"/>
          <w:szCs w:val="24"/>
          <w:highlight w:val="none"/>
          <w:u w:val="none" w:color="auto"/>
          <w:lang w:val="en-US" w:eastAsia="zh-CN" w:bidi="ar-SA"/>
        </w:rPr>
        <w:t xml:space="preserve"> </w:t>
      </w:r>
      <w:r>
        <w:rPr>
          <w:rFonts w:hint="eastAsia" w:cs="Times New Roman"/>
          <w:b/>
          <w:color w:val="auto"/>
          <w:kern w:val="2"/>
          <w:sz w:val="21"/>
          <w:szCs w:val="24"/>
          <w:highlight w:val="none"/>
          <w:u w:val="none" w:color="auto"/>
          <w:lang w:val="en-US" w:eastAsia="zh-CN" w:bidi="ar-SA"/>
        </w:rPr>
        <w:t>地下水</w:t>
      </w:r>
      <w:r>
        <w:rPr>
          <w:rFonts w:hint="default" w:ascii="Times New Roman" w:hAnsi="Times New Roman" w:eastAsia="宋体" w:cs="Times New Roman"/>
          <w:b/>
          <w:color w:val="auto"/>
          <w:kern w:val="2"/>
          <w:sz w:val="21"/>
          <w:szCs w:val="24"/>
          <w:highlight w:val="none"/>
          <w:u w:val="none" w:color="auto"/>
          <w:lang w:val="en-US" w:eastAsia="zh-CN" w:bidi="ar-SA"/>
        </w:rPr>
        <w:t>监测</w:t>
      </w:r>
      <w:r>
        <w:rPr>
          <w:rFonts w:hint="eastAsia" w:cs="Times New Roman"/>
          <w:b/>
          <w:color w:val="auto"/>
          <w:kern w:val="2"/>
          <w:sz w:val="21"/>
          <w:szCs w:val="24"/>
          <w:highlight w:val="none"/>
          <w:u w:val="none" w:color="auto"/>
          <w:lang w:val="en-US" w:eastAsia="zh-CN" w:bidi="ar-SA"/>
        </w:rPr>
        <w:t>结果（mg/L，PH：无量纲，水位m）</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07"/>
        <w:gridCol w:w="1543"/>
        <w:gridCol w:w="1179"/>
        <w:gridCol w:w="1565"/>
        <w:gridCol w:w="1220"/>
        <w:gridCol w:w="16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eastAsia"/>
                <w:color w:val="auto"/>
                <w:sz w:val="21"/>
                <w:szCs w:val="21"/>
                <w:highlight w:val="none"/>
                <w:lang w:val="en-US" w:eastAsia="zh-CN"/>
              </w:rPr>
              <w:t>监测项目</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eastAsia"/>
                <w:color w:val="auto"/>
                <w:sz w:val="21"/>
                <w:szCs w:val="21"/>
                <w:highlight w:val="none"/>
                <w:lang w:val="en-US" w:eastAsia="zh-CN"/>
              </w:rPr>
              <w:t>D1</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eastAsia"/>
                <w:color w:val="auto"/>
                <w:sz w:val="21"/>
                <w:szCs w:val="21"/>
                <w:highlight w:val="none"/>
                <w:lang w:val="en-US" w:eastAsia="zh-CN"/>
              </w:rPr>
              <w:t>D2</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eastAsia"/>
                <w:color w:val="auto"/>
                <w:sz w:val="21"/>
                <w:szCs w:val="21"/>
                <w:highlight w:val="none"/>
                <w:lang w:val="en-US" w:eastAsia="zh-CN"/>
              </w:rPr>
              <w:t>D3</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标准限值</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水位</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6</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5</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8</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default" w:cs="Times New Roman"/>
                <w:color w:val="auto"/>
                <w:kern w:val="0"/>
                <w:sz w:val="21"/>
                <w:szCs w:val="21"/>
                <w:highlight w:val="none"/>
                <w:lang w:val="en-US" w:eastAsia="zh-CN" w:bidi="ar"/>
              </w:rPr>
              <w:t>K</w:t>
            </w:r>
            <w:r>
              <w:rPr>
                <w:rFonts w:hint="default" w:cs="Times New Roman"/>
                <w:color w:val="auto"/>
                <w:kern w:val="0"/>
                <w:sz w:val="21"/>
                <w:szCs w:val="21"/>
                <w:highlight w:val="none"/>
                <w:vertAlign w:val="superscript"/>
                <w:lang w:val="en-US" w:eastAsia="zh-CN" w:bidi="ar"/>
              </w:rPr>
              <w:t>+</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5.9</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2.74</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15.0</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default" w:cs="Times New Roman"/>
                <w:color w:val="auto"/>
                <w:kern w:val="0"/>
                <w:sz w:val="21"/>
                <w:szCs w:val="21"/>
                <w:highlight w:val="none"/>
                <w:lang w:val="en-US" w:eastAsia="zh-CN" w:bidi="ar"/>
              </w:rPr>
              <w:t>Na</w:t>
            </w:r>
            <w:r>
              <w:rPr>
                <w:rFonts w:hint="default" w:cs="Times New Roman"/>
                <w:color w:val="auto"/>
                <w:kern w:val="0"/>
                <w:sz w:val="21"/>
                <w:szCs w:val="21"/>
                <w:highlight w:val="none"/>
                <w:vertAlign w:val="superscript"/>
                <w:lang w:val="en-US" w:eastAsia="zh-CN" w:bidi="ar"/>
              </w:rPr>
              <w:t>+</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3.38</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9.65</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20.8</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200</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default" w:cs="Times New Roman"/>
                <w:color w:val="auto"/>
                <w:kern w:val="0"/>
                <w:sz w:val="21"/>
                <w:szCs w:val="21"/>
                <w:highlight w:val="none"/>
                <w:lang w:val="en-US" w:eastAsia="zh-CN" w:bidi="ar"/>
              </w:rPr>
              <w:t>Ca</w:t>
            </w:r>
            <w:r>
              <w:rPr>
                <w:rFonts w:hint="default" w:cs="Times New Roman"/>
                <w:color w:val="auto"/>
                <w:kern w:val="0"/>
                <w:sz w:val="21"/>
                <w:szCs w:val="21"/>
                <w:highlight w:val="none"/>
                <w:vertAlign w:val="superscript"/>
                <w:lang w:val="en-US" w:eastAsia="zh-CN" w:bidi="ar"/>
              </w:rPr>
              <w:t>2+</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76.4</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62.2</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18.7</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default" w:cs="Times New Roman"/>
                <w:color w:val="auto"/>
                <w:kern w:val="0"/>
                <w:sz w:val="21"/>
                <w:szCs w:val="21"/>
                <w:highlight w:val="none"/>
                <w:lang w:val="en-US" w:eastAsia="zh-CN" w:bidi="ar"/>
              </w:rPr>
              <w:t>Mg</w:t>
            </w:r>
            <w:r>
              <w:rPr>
                <w:rFonts w:hint="default" w:cs="Times New Roman"/>
                <w:color w:val="auto"/>
                <w:kern w:val="0"/>
                <w:sz w:val="21"/>
                <w:szCs w:val="21"/>
                <w:highlight w:val="none"/>
                <w:vertAlign w:val="superscript"/>
                <w:lang w:val="en-US" w:eastAsia="zh-CN" w:bidi="ar"/>
              </w:rPr>
              <w:t>2+</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16.3</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10.8</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6.2</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default" w:cs="Times New Roman"/>
                <w:color w:val="auto"/>
                <w:kern w:val="0"/>
                <w:sz w:val="21"/>
                <w:szCs w:val="21"/>
                <w:highlight w:val="none"/>
                <w:lang w:val="en-US" w:eastAsia="zh-CN" w:bidi="ar"/>
              </w:rPr>
              <w:t>CO</w:t>
            </w:r>
            <w:r>
              <w:rPr>
                <w:rFonts w:hint="default" w:cs="Times New Roman"/>
                <w:color w:val="auto"/>
                <w:kern w:val="0"/>
                <w:sz w:val="21"/>
                <w:szCs w:val="21"/>
                <w:highlight w:val="none"/>
                <w:vertAlign w:val="subscript"/>
                <w:lang w:val="en-US" w:eastAsia="zh-CN" w:bidi="ar"/>
              </w:rPr>
              <w:t>3</w:t>
            </w:r>
            <w:r>
              <w:rPr>
                <w:rFonts w:hint="default" w:cs="Times New Roman"/>
                <w:color w:val="auto"/>
                <w:kern w:val="0"/>
                <w:sz w:val="21"/>
                <w:szCs w:val="21"/>
                <w:highlight w:val="none"/>
                <w:vertAlign w:val="superscript"/>
                <w:lang w:val="en-US" w:eastAsia="zh-CN" w:bidi="ar"/>
              </w:rPr>
              <w:t>2-</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eastAsia"/>
                <w:color w:val="auto"/>
                <w:sz w:val="21"/>
                <w:szCs w:val="21"/>
                <w:highlight w:val="none"/>
                <w:lang w:val="en-US" w:eastAsia="zh-CN"/>
              </w:rPr>
              <w:t>ND</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eastAsia"/>
                <w:color w:val="auto"/>
                <w:sz w:val="21"/>
                <w:szCs w:val="21"/>
                <w:highlight w:val="none"/>
                <w:lang w:val="en-US" w:eastAsia="zh-CN"/>
              </w:rPr>
              <w:t>ND</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default" w:cs="Times New Roman"/>
                <w:color w:val="auto"/>
                <w:kern w:val="0"/>
                <w:sz w:val="21"/>
                <w:szCs w:val="21"/>
                <w:highlight w:val="none"/>
                <w:lang w:val="en-US" w:eastAsia="zh-CN" w:bidi="ar"/>
              </w:rPr>
              <w:t>HCO</w:t>
            </w:r>
            <w:r>
              <w:rPr>
                <w:rFonts w:hint="default" w:cs="Times New Roman"/>
                <w:color w:val="auto"/>
                <w:kern w:val="0"/>
                <w:sz w:val="21"/>
                <w:szCs w:val="21"/>
                <w:highlight w:val="none"/>
                <w:vertAlign w:val="subscript"/>
                <w:lang w:val="en-US" w:eastAsia="zh-CN" w:bidi="ar"/>
              </w:rPr>
              <w:t>3</w:t>
            </w:r>
            <w:r>
              <w:rPr>
                <w:rFonts w:hint="default" w:cs="Times New Roman"/>
                <w:color w:val="auto"/>
                <w:kern w:val="0"/>
                <w:sz w:val="21"/>
                <w:szCs w:val="21"/>
                <w:highlight w:val="none"/>
                <w:vertAlign w:val="superscript"/>
                <w:lang w:val="en-US" w:eastAsia="zh-CN" w:bidi="ar"/>
              </w:rPr>
              <w:t>-</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233</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320</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174</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default" w:cs="Times New Roman"/>
                <w:color w:val="auto"/>
                <w:kern w:val="0"/>
                <w:sz w:val="21"/>
                <w:szCs w:val="21"/>
                <w:highlight w:val="none"/>
                <w:lang w:val="en-US" w:eastAsia="zh-CN" w:bidi="ar"/>
              </w:rPr>
              <w:t>Cl</w:t>
            </w:r>
            <w:r>
              <w:rPr>
                <w:rFonts w:hint="default" w:cs="Times New Roman"/>
                <w:color w:val="auto"/>
                <w:kern w:val="0"/>
                <w:sz w:val="21"/>
                <w:szCs w:val="21"/>
                <w:highlight w:val="none"/>
                <w:vertAlign w:val="superscript"/>
                <w:lang w:val="en-US" w:eastAsia="zh-CN" w:bidi="ar"/>
              </w:rPr>
              <w:t>-</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2.94</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17.5</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1.9</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250</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default" w:cs="Times New Roman"/>
                <w:color w:val="auto"/>
                <w:kern w:val="0"/>
                <w:sz w:val="21"/>
                <w:szCs w:val="21"/>
                <w:highlight w:val="none"/>
                <w:lang w:val="en-US" w:eastAsia="zh-CN" w:bidi="ar"/>
              </w:rPr>
              <w:t>SO</w:t>
            </w:r>
            <w:r>
              <w:rPr>
                <w:rFonts w:hint="default" w:cs="Times New Roman"/>
                <w:color w:val="auto"/>
                <w:kern w:val="0"/>
                <w:sz w:val="21"/>
                <w:szCs w:val="21"/>
                <w:highlight w:val="none"/>
                <w:vertAlign w:val="subscript"/>
                <w:lang w:val="en-US" w:eastAsia="zh-CN" w:bidi="ar"/>
              </w:rPr>
              <w:t>4</w:t>
            </w:r>
            <w:r>
              <w:rPr>
                <w:rFonts w:hint="default" w:cs="Times New Roman"/>
                <w:color w:val="auto"/>
                <w:kern w:val="0"/>
                <w:sz w:val="21"/>
                <w:szCs w:val="21"/>
                <w:highlight w:val="none"/>
                <w:vertAlign w:val="superscript"/>
                <w:lang w:val="en-US" w:eastAsia="zh-CN" w:bidi="ar"/>
              </w:rPr>
              <w:t>2-</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13.9</w:t>
            </w:r>
          </w:p>
        </w:tc>
        <w:tc>
          <w:tcPr>
            <w:tcW w:w="117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39</w:t>
            </w:r>
          </w:p>
        </w:tc>
        <w:tc>
          <w:tcPr>
            <w:tcW w:w="156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13.3</w:t>
            </w:r>
          </w:p>
        </w:tc>
        <w:tc>
          <w:tcPr>
            <w:tcW w:w="122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250</w:t>
            </w:r>
          </w:p>
        </w:tc>
        <w:tc>
          <w:tcPr>
            <w:tcW w:w="160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PH</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7.2</w:t>
            </w:r>
          </w:p>
        </w:tc>
        <w:tc>
          <w:tcPr>
            <w:tcW w:w="1179" w:type="dxa"/>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7.1</w:t>
            </w:r>
          </w:p>
        </w:tc>
        <w:tc>
          <w:tcPr>
            <w:tcW w:w="1565" w:type="dxa"/>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6.9</w:t>
            </w:r>
          </w:p>
        </w:tc>
        <w:tc>
          <w:tcPr>
            <w:tcW w:w="1220" w:type="dxa"/>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6.5~8.5</w:t>
            </w:r>
          </w:p>
        </w:tc>
        <w:tc>
          <w:tcPr>
            <w:tcW w:w="1608" w:type="dxa"/>
            <w:tcBorders>
              <w:top w:val="single" w:color="auto" w:sz="4" w:space="0"/>
              <w:left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氨氮</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0.036</w:t>
            </w:r>
          </w:p>
        </w:tc>
        <w:tc>
          <w:tcPr>
            <w:tcW w:w="117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0.05</w:t>
            </w:r>
          </w:p>
        </w:tc>
        <w:tc>
          <w:tcPr>
            <w:tcW w:w="156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0.054</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0.5</w:t>
            </w:r>
          </w:p>
        </w:tc>
        <w:tc>
          <w:tcPr>
            <w:tcW w:w="1608" w:type="dxa"/>
            <w:tcBorders>
              <w:left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耗氧量</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117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1.1</w:t>
            </w:r>
          </w:p>
        </w:tc>
        <w:tc>
          <w:tcPr>
            <w:tcW w:w="156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0.84</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1000</w:t>
            </w:r>
          </w:p>
        </w:tc>
        <w:tc>
          <w:tcPr>
            <w:tcW w:w="1608" w:type="dxa"/>
            <w:tcBorders>
              <w:left w:val="single" w:color="auto" w:sz="4" w:space="0"/>
              <w:right w:val="single" w:color="auto" w:sz="4" w:space="0"/>
            </w:tcBorders>
            <w:noWrap w:val="0"/>
            <w:vAlign w:val="center"/>
          </w:tcPr>
          <w:p>
            <w:pPr>
              <w:pStyle w:val="53"/>
              <w:spacing w:line="240" w:lineRule="auto"/>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挥发酚类</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179" w:type="dxa"/>
            <w:tcBorders>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56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0.02</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汞</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179" w:type="dxa"/>
            <w:tcBorders>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56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0.001</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砷</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0.0008</w:t>
            </w:r>
          </w:p>
        </w:tc>
        <w:tc>
          <w:tcPr>
            <w:tcW w:w="117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0.0009</w:t>
            </w:r>
          </w:p>
        </w:tc>
        <w:tc>
          <w:tcPr>
            <w:tcW w:w="156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0.0005</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0.01</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六价铬</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179" w:type="dxa"/>
            <w:tcBorders>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56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0.05</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铅</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179" w:type="dxa"/>
            <w:tcBorders>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56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0.01</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镉</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179" w:type="dxa"/>
            <w:tcBorders>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565"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0.005</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铜</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179" w:type="dxa"/>
            <w:tcBorders>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565"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锌</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179" w:type="dxa"/>
            <w:tcBorders>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565"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氟化物</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0.186</w:t>
            </w:r>
          </w:p>
        </w:tc>
        <w:tc>
          <w:tcPr>
            <w:tcW w:w="117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0.123</w:t>
            </w:r>
          </w:p>
        </w:tc>
        <w:tc>
          <w:tcPr>
            <w:tcW w:w="156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0.128</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总大肠菌群</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17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56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ND</w:t>
            </w:r>
          </w:p>
        </w:tc>
        <w:tc>
          <w:tcPr>
            <w:tcW w:w="1220"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1608" w:type="dxa"/>
            <w:tcBorders>
              <w:left w:val="single" w:color="auto" w:sz="4" w:space="0"/>
              <w:right w:val="single" w:color="auto" w:sz="4" w:space="0"/>
            </w:tcBorders>
            <w:noWrap w:val="0"/>
            <w:vAlign w:val="center"/>
          </w:tcPr>
          <w:p>
            <w:pPr>
              <w:pStyle w:val="53"/>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bl>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outlineLvl w:val="9"/>
        <w:rPr>
          <w:rFonts w:hint="default" w:cs="Times New Roman"/>
          <w:b/>
          <w:bCs/>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以上</w:t>
      </w:r>
      <w:r>
        <w:rPr>
          <w:rFonts w:hint="default" w:ascii="Times New Roman" w:hAnsi="Times New Roman" w:eastAsia="宋体" w:cs="Times New Roman"/>
          <w:color w:val="auto"/>
          <w:kern w:val="0"/>
          <w:sz w:val="24"/>
          <w:szCs w:val="24"/>
          <w:highlight w:val="none"/>
          <w:lang w:val="en-US" w:eastAsia="zh-CN" w:bidi="ar"/>
        </w:rPr>
        <w:t>监测结果</w:t>
      </w:r>
      <w:r>
        <w:rPr>
          <w:rFonts w:hint="eastAsia" w:cs="Times New Roman"/>
          <w:color w:val="auto"/>
          <w:kern w:val="0"/>
          <w:sz w:val="24"/>
          <w:szCs w:val="24"/>
          <w:highlight w:val="none"/>
          <w:lang w:val="en-US" w:eastAsia="zh-CN" w:bidi="ar"/>
        </w:rPr>
        <w:t>表明</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上述3个地下水监测点位各水质监测因子均符合</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地下水质量标准</w:t>
      </w:r>
      <w:r>
        <w:rPr>
          <w:rFonts w:hint="default" w:ascii="Times New Roman" w:hAnsi="Times New Roman" w:eastAsia="宋体" w:cs="Times New Roman"/>
          <w:color w:val="auto"/>
          <w:kern w:val="0"/>
          <w:sz w:val="24"/>
          <w:szCs w:val="24"/>
          <w:highlight w:val="none"/>
          <w:lang w:val="en-US" w:eastAsia="zh-CN" w:bidi="ar"/>
        </w:rPr>
        <w:t>》（GB</w:t>
      </w:r>
      <w:r>
        <w:rPr>
          <w:rFonts w:hint="eastAsia" w:cs="Times New Roman"/>
          <w:color w:val="auto"/>
          <w:kern w:val="0"/>
          <w:sz w:val="24"/>
          <w:szCs w:val="24"/>
          <w:highlight w:val="none"/>
          <w:lang w:val="en-US" w:eastAsia="zh-CN" w:bidi="ar"/>
        </w:rPr>
        <w:t>14848-2017</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Ⅲ</w:t>
      </w:r>
      <w:r>
        <w:rPr>
          <w:rFonts w:hint="default" w:ascii="Times New Roman" w:hAnsi="Times New Roman" w:eastAsia="宋体" w:cs="Times New Roman"/>
          <w:color w:val="auto"/>
          <w:kern w:val="0"/>
          <w:sz w:val="24"/>
          <w:szCs w:val="24"/>
          <w:highlight w:val="none"/>
          <w:lang w:val="en-US" w:eastAsia="zh-CN" w:bidi="ar"/>
        </w:rPr>
        <w:t>类标准。</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4.4.</w:t>
      </w:r>
      <w:r>
        <w:rPr>
          <w:rFonts w:hint="eastAsia" w:cs="Times New Roman"/>
          <w:b/>
          <w:bCs/>
          <w:color w:val="auto"/>
          <w:kern w:val="0"/>
          <w:sz w:val="28"/>
          <w:szCs w:val="28"/>
          <w:highlight w:val="none"/>
          <w:lang w:val="en-US" w:eastAsia="zh-CN"/>
        </w:rPr>
        <w:t>4</w:t>
      </w:r>
      <w:r>
        <w:rPr>
          <w:rFonts w:hint="default" w:cs="Times New Roman"/>
          <w:b/>
          <w:bCs/>
          <w:color w:val="auto"/>
          <w:kern w:val="0"/>
          <w:sz w:val="28"/>
          <w:szCs w:val="28"/>
          <w:highlight w:val="none"/>
          <w:lang w:val="en-US" w:eastAsia="zh-CN"/>
        </w:rPr>
        <w:t>声环境现状调查与评价</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（1）监测因子及监测方法</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监测因子：声环境现状监测因子为等效连续 A声级。</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监测方法：按《声环境质量标准》（GB3096-2008）规定的方法和要求进行。</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（2）监测点位及执行标准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为了解本区域内的声环境质量现状，特委托湖南林晟环境检测有限公司于2023年12月30日对周边敏感点进行了噪声现场监测，监测点位分布情况见下表。</w:t>
      </w:r>
    </w:p>
    <w:p>
      <w:pPr>
        <w:pStyle w:val="52"/>
        <w:keepNext w:val="0"/>
        <w:keepLines w:val="0"/>
        <w:pageBreakBefore w:val="0"/>
        <w:widowControl w:val="0"/>
        <w:kinsoku/>
        <w:wordWrap/>
        <w:overflowPunct/>
        <w:topLinePunct w:val="0"/>
        <w:autoSpaceDE/>
        <w:autoSpaceDN/>
        <w:bidi w:val="0"/>
        <w:adjustRightInd/>
        <w:snapToGrid/>
        <w:ind w:right="-391"/>
        <w:jc w:val="center"/>
        <w:textAlignment w:val="auto"/>
        <w:outlineLvl w:val="9"/>
        <w:rPr>
          <w:rFonts w:hint="default" w:ascii="Times New Roman" w:hAnsi="Times New Roman" w:eastAsia="宋体" w:cs="Times New Roman"/>
          <w:b/>
          <w:bCs/>
          <w:color w:val="auto"/>
          <w:kern w:val="2"/>
          <w:sz w:val="24"/>
          <w:szCs w:val="24"/>
          <w:highlight w:val="none"/>
          <w:u w:val="none"/>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表4.</w:t>
      </w:r>
      <w:r>
        <w:rPr>
          <w:rFonts w:hint="default" w:cs="Times New Roman"/>
          <w:b/>
          <w:color w:val="auto"/>
          <w:kern w:val="2"/>
          <w:sz w:val="21"/>
          <w:szCs w:val="24"/>
          <w:highlight w:val="none"/>
          <w:u w:val="none" w:color="auto"/>
          <w:lang w:val="en-US" w:eastAsia="zh-CN" w:bidi="ar-SA"/>
        </w:rPr>
        <w:t>4</w:t>
      </w:r>
      <w:r>
        <w:rPr>
          <w:rFonts w:hint="default" w:ascii="Times New Roman" w:hAnsi="Times New Roman" w:eastAsia="宋体" w:cs="Times New Roman"/>
          <w:b/>
          <w:color w:val="auto"/>
          <w:kern w:val="2"/>
          <w:sz w:val="21"/>
          <w:szCs w:val="24"/>
          <w:highlight w:val="none"/>
          <w:u w:val="none" w:color="auto"/>
          <w:lang w:val="en-US" w:eastAsia="zh-CN" w:bidi="ar-SA"/>
        </w:rPr>
        <w:t>-</w:t>
      </w:r>
      <w:r>
        <w:rPr>
          <w:rFonts w:hint="eastAsia" w:cs="Times New Roman"/>
          <w:b/>
          <w:color w:val="auto"/>
          <w:kern w:val="2"/>
          <w:sz w:val="21"/>
          <w:szCs w:val="24"/>
          <w:highlight w:val="none"/>
          <w:u w:val="none" w:color="auto"/>
          <w:lang w:val="en-US" w:eastAsia="zh-CN" w:bidi="ar-SA"/>
        </w:rPr>
        <w:t>9</w:t>
      </w:r>
      <w:r>
        <w:rPr>
          <w:rFonts w:hint="default" w:ascii="Times New Roman" w:hAnsi="Times New Roman" w:eastAsia="宋体" w:cs="Times New Roman"/>
          <w:b/>
          <w:color w:val="auto"/>
          <w:kern w:val="2"/>
          <w:sz w:val="21"/>
          <w:szCs w:val="24"/>
          <w:highlight w:val="none"/>
          <w:u w:val="none" w:color="auto"/>
          <w:lang w:val="en-US" w:eastAsia="zh-CN" w:bidi="ar-SA"/>
        </w:rPr>
        <w:t xml:space="preserve">  声环境监测点位布设</w:t>
      </w:r>
    </w:p>
    <w:tbl>
      <w:tblPr>
        <w:tblStyle w:val="22"/>
        <w:tblW w:w="462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7"/>
        <w:gridCol w:w="1700"/>
        <w:gridCol w:w="2005"/>
        <w:gridCol w:w="1162"/>
        <w:gridCol w:w="22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eastAsia="zh-CN"/>
              </w:rPr>
            </w:pPr>
            <w:r>
              <w:rPr>
                <w:rFonts w:hint="default"/>
                <w:color w:val="auto"/>
                <w:sz w:val="21"/>
                <w:szCs w:val="21"/>
                <w:highlight w:val="none"/>
                <w:lang w:val="en-US" w:eastAsia="zh-CN"/>
              </w:rPr>
              <w:t>序号</w:t>
            </w:r>
          </w:p>
        </w:tc>
        <w:tc>
          <w:tcPr>
            <w:tcW w:w="170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eastAsia="zh-CN"/>
              </w:rPr>
            </w:pPr>
            <w:r>
              <w:rPr>
                <w:rFonts w:hint="default"/>
                <w:color w:val="auto"/>
                <w:sz w:val="21"/>
                <w:szCs w:val="21"/>
                <w:highlight w:val="none"/>
                <w:lang w:val="en-US" w:eastAsia="zh-CN"/>
              </w:rPr>
              <w:t>监测点</w:t>
            </w:r>
          </w:p>
        </w:tc>
        <w:tc>
          <w:tcPr>
            <w:tcW w:w="20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距项目红线位置/m</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color w:val="auto"/>
                <w:sz w:val="21"/>
                <w:szCs w:val="21"/>
                <w:highlight w:val="none"/>
                <w:lang w:val="en-US" w:eastAsia="zh-CN"/>
              </w:rPr>
              <w:t>标准类别</w:t>
            </w:r>
          </w:p>
        </w:tc>
        <w:tc>
          <w:tcPr>
            <w:tcW w:w="221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N1</w:t>
            </w:r>
          </w:p>
        </w:tc>
        <w:tc>
          <w:tcPr>
            <w:tcW w:w="1700"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default"/>
                <w:color w:val="auto"/>
                <w:highlight w:val="none"/>
                <w:lang w:val="en-US" w:eastAsia="zh-CN"/>
              </w:rPr>
              <w:t>湘水明珠</w:t>
            </w:r>
          </w:p>
        </w:tc>
        <w:tc>
          <w:tcPr>
            <w:tcW w:w="2005" w:type="dxa"/>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52</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4a类</w:t>
            </w:r>
          </w:p>
        </w:tc>
        <w:tc>
          <w:tcPr>
            <w:tcW w:w="221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昼间≤70、夜间≤55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N2</w:t>
            </w:r>
          </w:p>
        </w:tc>
        <w:tc>
          <w:tcPr>
            <w:tcW w:w="1700"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default"/>
                <w:color w:val="auto"/>
                <w:highlight w:val="none"/>
              </w:rPr>
              <w:t>保利阅江台</w:t>
            </w:r>
          </w:p>
        </w:tc>
        <w:tc>
          <w:tcPr>
            <w:tcW w:w="200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40</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4a类</w:t>
            </w:r>
          </w:p>
        </w:tc>
        <w:tc>
          <w:tcPr>
            <w:tcW w:w="221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eastAsia="宋体"/>
                <w:color w:val="auto"/>
                <w:sz w:val="21"/>
                <w:szCs w:val="21"/>
                <w:highlight w:val="none"/>
                <w:lang w:val="en-US" w:eastAsia="zh-CN"/>
              </w:rPr>
              <w:t>昼间≤70、夜间≤55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N3</w:t>
            </w:r>
          </w:p>
        </w:tc>
        <w:tc>
          <w:tcPr>
            <w:tcW w:w="1700"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default"/>
                <w:color w:val="auto"/>
                <w:highlight w:val="none"/>
              </w:rPr>
              <w:t>湖南有色冶金机械厂家属楼</w:t>
            </w:r>
          </w:p>
        </w:tc>
        <w:tc>
          <w:tcPr>
            <w:tcW w:w="200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161</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2类</w:t>
            </w:r>
          </w:p>
        </w:tc>
        <w:tc>
          <w:tcPr>
            <w:tcW w:w="221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昼间≤60、夜间≤50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N4</w:t>
            </w:r>
          </w:p>
        </w:tc>
        <w:tc>
          <w:tcPr>
            <w:tcW w:w="1700" w:type="dxa"/>
            <w:tcBorders>
              <w:top w:val="single" w:color="auto" w:sz="4" w:space="0"/>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default"/>
                <w:color w:val="auto"/>
                <w:highlight w:val="none"/>
              </w:rPr>
              <w:t>和平村湘江</w:t>
            </w:r>
            <w:r>
              <w:rPr>
                <w:rFonts w:hint="default"/>
                <w:color w:val="auto"/>
                <w:highlight w:val="none"/>
                <w:lang w:val="en-US" w:eastAsia="zh-CN"/>
              </w:rPr>
              <w:t>村</w:t>
            </w:r>
            <w:r>
              <w:rPr>
                <w:rFonts w:hint="default"/>
                <w:color w:val="auto"/>
                <w:highlight w:val="none"/>
              </w:rPr>
              <w:t>小组村民</w:t>
            </w:r>
          </w:p>
        </w:tc>
        <w:tc>
          <w:tcPr>
            <w:tcW w:w="2005"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70</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4a类</w:t>
            </w:r>
          </w:p>
        </w:tc>
        <w:tc>
          <w:tcPr>
            <w:tcW w:w="2210"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eastAsia="宋体"/>
                <w:color w:val="auto"/>
                <w:sz w:val="21"/>
                <w:szCs w:val="21"/>
                <w:highlight w:val="none"/>
                <w:lang w:val="en-US" w:eastAsia="zh-CN"/>
              </w:rPr>
              <w:t>昼间≤70、夜间≤55</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（3）监测时间及频次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监测时间为 20</w:t>
      </w:r>
      <w:r>
        <w:rPr>
          <w:rFonts w:hint="default" w:ascii="Times New Roman" w:hAnsi="Times New Roman" w:eastAsia="宋体"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rPr>
        <w:t>月</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日，每个监测点共监测</w:t>
      </w:r>
      <w:r>
        <w:rPr>
          <w:rFonts w:hint="default" w:ascii="Times New Roman" w:hAnsi="Times New Roman" w:eastAsia="宋体" w:cs="Times New Roman"/>
          <w:color w:val="auto"/>
          <w:sz w:val="24"/>
          <w:szCs w:val="24"/>
          <w:highlight w:val="none"/>
          <w:lang w:val="en-US" w:eastAsia="zh-CN"/>
        </w:rPr>
        <w:t>一</w:t>
      </w:r>
      <w:r>
        <w:rPr>
          <w:rFonts w:hint="default" w:ascii="Times New Roman" w:hAnsi="Times New Roman" w:eastAsia="宋体" w:cs="Times New Roman"/>
          <w:color w:val="auto"/>
          <w:sz w:val="24"/>
          <w:szCs w:val="24"/>
          <w:highlight w:val="none"/>
        </w:rPr>
        <w:t>天，昼夜各监测一次</w:t>
      </w:r>
      <w:r>
        <w:rPr>
          <w:rFonts w:hint="default" w:ascii="Times New Roman" w:hAnsi="Times New Roman" w:eastAsia="宋体" w:cs="Times New Roman"/>
          <w:color w:val="auto"/>
          <w:sz w:val="24"/>
          <w:szCs w:val="24"/>
          <w:highlight w:val="none"/>
          <w:lang w:eastAsia="zh-CN"/>
        </w:rPr>
        <w:t>，昼间监测时段在 6：00～22：00 之间， 夜间监测时段在 22：00～06：00 之间</w:t>
      </w:r>
      <w:r>
        <w:rPr>
          <w:rFonts w:hint="default" w:ascii="Times New Roman" w:hAnsi="Times New Roman" w:eastAsia="宋体" w:cs="Times New Roman"/>
          <w:color w:val="auto"/>
          <w:sz w:val="24"/>
          <w:szCs w:val="24"/>
          <w:highlight w:val="none"/>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（4）监测结果</w:t>
      </w:r>
    </w:p>
    <w:p>
      <w:pPr>
        <w:pStyle w:val="52"/>
        <w:keepNext w:val="0"/>
        <w:keepLines w:val="0"/>
        <w:pageBreakBefore w:val="0"/>
        <w:widowControl w:val="0"/>
        <w:kinsoku/>
        <w:wordWrap/>
        <w:overflowPunct/>
        <w:topLinePunct w:val="0"/>
        <w:autoSpaceDE/>
        <w:autoSpaceDN/>
        <w:bidi w:val="0"/>
        <w:adjustRightInd/>
        <w:snapToGrid/>
        <w:ind w:right="-391"/>
        <w:jc w:val="center"/>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表4.</w:t>
      </w:r>
      <w:r>
        <w:rPr>
          <w:rFonts w:hint="default" w:cs="Times New Roman"/>
          <w:b/>
          <w:color w:val="auto"/>
          <w:kern w:val="2"/>
          <w:sz w:val="21"/>
          <w:szCs w:val="24"/>
          <w:highlight w:val="none"/>
          <w:u w:val="none" w:color="auto"/>
          <w:lang w:val="en-US" w:eastAsia="zh-CN" w:bidi="ar-SA"/>
        </w:rPr>
        <w:t>4</w:t>
      </w:r>
      <w:r>
        <w:rPr>
          <w:rFonts w:hint="default" w:ascii="Times New Roman" w:hAnsi="Times New Roman" w:eastAsia="宋体" w:cs="Times New Roman"/>
          <w:b/>
          <w:color w:val="auto"/>
          <w:kern w:val="2"/>
          <w:sz w:val="21"/>
          <w:szCs w:val="24"/>
          <w:highlight w:val="none"/>
          <w:u w:val="none" w:color="auto"/>
          <w:lang w:val="en-US" w:eastAsia="zh-CN" w:bidi="ar-SA"/>
        </w:rPr>
        <w:t>-</w:t>
      </w:r>
      <w:r>
        <w:rPr>
          <w:rFonts w:hint="eastAsia" w:cs="Times New Roman"/>
          <w:b/>
          <w:color w:val="auto"/>
          <w:kern w:val="2"/>
          <w:sz w:val="21"/>
          <w:szCs w:val="24"/>
          <w:highlight w:val="none"/>
          <w:u w:val="none" w:color="auto"/>
          <w:lang w:val="en-US" w:eastAsia="zh-CN" w:bidi="ar-SA"/>
        </w:rPr>
        <w:t>10</w:t>
      </w:r>
      <w:r>
        <w:rPr>
          <w:rFonts w:hint="default" w:ascii="Times New Roman" w:hAnsi="Times New Roman" w:eastAsia="宋体" w:cs="Times New Roman"/>
          <w:b/>
          <w:color w:val="auto"/>
          <w:kern w:val="2"/>
          <w:sz w:val="21"/>
          <w:szCs w:val="24"/>
          <w:highlight w:val="none"/>
          <w:u w:val="none" w:color="auto"/>
          <w:lang w:val="en-US" w:eastAsia="zh-CN" w:bidi="ar-SA"/>
        </w:rPr>
        <w:t xml:space="preserve">  敏感点噪声监测结果 （单位：dB(A）</w:t>
      </w:r>
    </w:p>
    <w:tbl>
      <w:tblPr>
        <w:tblStyle w:val="22"/>
        <w:tblW w:w="462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7"/>
        <w:gridCol w:w="1700"/>
        <w:gridCol w:w="1255"/>
        <w:gridCol w:w="750"/>
        <w:gridCol w:w="1162"/>
        <w:gridCol w:w="1105"/>
        <w:gridCol w:w="110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2507" w:type="dxa"/>
            <w:gridSpan w:val="2"/>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eastAsia="zh-CN"/>
              </w:rPr>
            </w:pPr>
            <w:r>
              <w:rPr>
                <w:rFonts w:hint="default"/>
                <w:color w:val="auto"/>
                <w:sz w:val="21"/>
                <w:szCs w:val="21"/>
                <w:highlight w:val="none"/>
                <w:lang w:val="en-US" w:eastAsia="zh-CN"/>
              </w:rPr>
              <w:t>监测点位</w:t>
            </w:r>
          </w:p>
        </w:tc>
        <w:tc>
          <w:tcPr>
            <w:tcW w:w="2005" w:type="dxa"/>
            <w:gridSpan w:val="2"/>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监测时段</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color w:val="auto"/>
                <w:sz w:val="21"/>
                <w:szCs w:val="21"/>
                <w:highlight w:val="none"/>
                <w:lang w:val="en-US" w:eastAsia="zh-CN"/>
              </w:rPr>
              <w:t>监测结果</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标准值</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restart"/>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N1</w:t>
            </w:r>
          </w:p>
        </w:tc>
        <w:tc>
          <w:tcPr>
            <w:tcW w:w="1700" w:type="dxa"/>
            <w:vMerge w:val="restart"/>
            <w:tcBorders>
              <w:top w:val="single" w:color="auto" w:sz="4" w:space="0"/>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default"/>
                <w:color w:val="auto"/>
                <w:highlight w:val="none"/>
                <w:lang w:val="en-US" w:eastAsia="zh-CN"/>
              </w:rPr>
              <w:t>湘水明珠</w:t>
            </w:r>
          </w:p>
        </w:tc>
        <w:tc>
          <w:tcPr>
            <w:tcW w:w="1255" w:type="dxa"/>
            <w:vMerge w:val="restart"/>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12月29日</w:t>
            </w:r>
          </w:p>
        </w:tc>
        <w:tc>
          <w:tcPr>
            <w:tcW w:w="750" w:type="dxa"/>
            <w:tcBorders>
              <w:top w:val="single" w:color="auto" w:sz="4" w:space="0"/>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eastAsia="宋体"/>
                <w:color w:val="auto"/>
                <w:sz w:val="21"/>
                <w:szCs w:val="21"/>
                <w:highlight w:val="none"/>
                <w:lang w:val="en-US" w:eastAsia="zh-CN"/>
              </w:rPr>
              <w:t>昼间</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Cs w:val="21"/>
                <w:highlight w:val="none"/>
                <w:lang w:val="en-US" w:eastAsia="zh-CN"/>
              </w:rPr>
              <w:t>65.7</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70</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continue"/>
            <w:tcBorders>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p>
        </w:tc>
        <w:tc>
          <w:tcPr>
            <w:tcW w:w="1700" w:type="dxa"/>
            <w:vMerge w:val="continue"/>
            <w:tcBorders>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highlight w:val="none"/>
                <w:lang w:val="en-US" w:eastAsia="zh-CN"/>
              </w:rPr>
            </w:pPr>
          </w:p>
        </w:tc>
        <w:tc>
          <w:tcPr>
            <w:tcW w:w="1255" w:type="dxa"/>
            <w:vMerge w:val="continue"/>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p>
        </w:tc>
        <w:tc>
          <w:tcPr>
            <w:tcW w:w="750" w:type="dxa"/>
            <w:tcBorders>
              <w:top w:val="single" w:color="auto" w:sz="4" w:space="0"/>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eastAsia="宋体"/>
                <w:color w:val="auto"/>
                <w:sz w:val="21"/>
                <w:szCs w:val="21"/>
                <w:highlight w:val="none"/>
                <w:lang w:val="en-US" w:eastAsia="zh-CN"/>
              </w:rPr>
              <w:t>夜间</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eastAsia="宋体"/>
                <w:color w:val="auto"/>
                <w:sz w:val="21"/>
                <w:szCs w:val="21"/>
                <w:highlight w:val="none"/>
                <w:lang w:val="en-US" w:eastAsia="zh-CN"/>
              </w:rPr>
              <w:t>53.5</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55</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restart"/>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N2</w:t>
            </w:r>
          </w:p>
        </w:tc>
        <w:tc>
          <w:tcPr>
            <w:tcW w:w="1700" w:type="dxa"/>
            <w:vMerge w:val="restart"/>
            <w:tcBorders>
              <w:top w:val="single" w:color="auto" w:sz="4" w:space="0"/>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default"/>
                <w:color w:val="auto"/>
                <w:highlight w:val="none"/>
              </w:rPr>
              <w:t>保利阅江台</w:t>
            </w:r>
          </w:p>
        </w:tc>
        <w:tc>
          <w:tcPr>
            <w:tcW w:w="1255" w:type="dxa"/>
            <w:vMerge w:val="restart"/>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12月29日</w:t>
            </w:r>
          </w:p>
        </w:tc>
        <w:tc>
          <w:tcPr>
            <w:tcW w:w="750"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eastAsia="宋体"/>
                <w:color w:val="auto"/>
                <w:sz w:val="21"/>
                <w:szCs w:val="21"/>
                <w:highlight w:val="none"/>
                <w:lang w:val="en-US" w:eastAsia="zh-CN"/>
              </w:rPr>
              <w:t>昼间</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Cs w:val="21"/>
                <w:highlight w:val="none"/>
                <w:lang w:val="en-US" w:eastAsia="zh-CN"/>
              </w:rPr>
              <w:t>66.1</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eastAsia="宋体"/>
                <w:color w:val="auto"/>
                <w:sz w:val="21"/>
                <w:szCs w:val="21"/>
                <w:highlight w:val="none"/>
                <w:lang w:val="en-US" w:eastAsia="zh-CN"/>
              </w:rPr>
              <w:t>70</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continue"/>
            <w:tcBorders>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p>
        </w:tc>
        <w:tc>
          <w:tcPr>
            <w:tcW w:w="1700" w:type="dxa"/>
            <w:vMerge w:val="continue"/>
            <w:tcBorders>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highlight w:val="none"/>
              </w:rPr>
            </w:pPr>
          </w:p>
        </w:tc>
        <w:tc>
          <w:tcPr>
            <w:tcW w:w="1255" w:type="dxa"/>
            <w:vMerge w:val="continue"/>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p>
        </w:tc>
        <w:tc>
          <w:tcPr>
            <w:tcW w:w="750"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eastAsia="宋体"/>
                <w:color w:val="auto"/>
                <w:sz w:val="21"/>
                <w:szCs w:val="21"/>
                <w:highlight w:val="none"/>
                <w:lang w:val="en-US" w:eastAsia="zh-CN"/>
              </w:rPr>
              <w:t>夜间</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Cs w:val="21"/>
                <w:highlight w:val="none"/>
              </w:rPr>
              <w:t>54.3</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55</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restart"/>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N3</w:t>
            </w:r>
          </w:p>
        </w:tc>
        <w:tc>
          <w:tcPr>
            <w:tcW w:w="1700" w:type="dxa"/>
            <w:vMerge w:val="restart"/>
            <w:tcBorders>
              <w:top w:val="single" w:color="auto" w:sz="4" w:space="0"/>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default"/>
                <w:color w:val="auto"/>
                <w:highlight w:val="none"/>
              </w:rPr>
              <w:t>湖南有色冶金机械厂家属楼</w:t>
            </w:r>
          </w:p>
        </w:tc>
        <w:tc>
          <w:tcPr>
            <w:tcW w:w="1255" w:type="dxa"/>
            <w:vMerge w:val="restart"/>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12月29日</w:t>
            </w:r>
          </w:p>
        </w:tc>
        <w:tc>
          <w:tcPr>
            <w:tcW w:w="750"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eastAsia="宋体"/>
                <w:color w:val="auto"/>
                <w:sz w:val="21"/>
                <w:szCs w:val="21"/>
                <w:highlight w:val="none"/>
                <w:lang w:val="en-US" w:eastAsia="zh-CN"/>
              </w:rPr>
              <w:t>昼间</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ascii="Times New Roman" w:hAnsi="Times New Roman" w:eastAsia="宋体" w:cs="Times New Roman"/>
                <w:color w:val="auto"/>
                <w:highlight w:val="none"/>
              </w:rPr>
              <w:t>4</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.5</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60</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continue"/>
            <w:tcBorders>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p>
        </w:tc>
        <w:tc>
          <w:tcPr>
            <w:tcW w:w="1700" w:type="dxa"/>
            <w:vMerge w:val="continue"/>
            <w:tcBorders>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highlight w:val="none"/>
              </w:rPr>
            </w:pPr>
          </w:p>
        </w:tc>
        <w:tc>
          <w:tcPr>
            <w:tcW w:w="1255" w:type="dxa"/>
            <w:vMerge w:val="continue"/>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p>
        </w:tc>
        <w:tc>
          <w:tcPr>
            <w:tcW w:w="750"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eastAsia="宋体"/>
                <w:color w:val="auto"/>
                <w:sz w:val="21"/>
                <w:szCs w:val="21"/>
                <w:highlight w:val="none"/>
                <w:lang w:val="en-US" w:eastAsia="zh-CN"/>
              </w:rPr>
              <w:t>夜间</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ascii="Times New Roman" w:hAnsi="Times New Roman" w:eastAsia="宋体" w:cs="Times New Roman"/>
                <w:color w:val="auto"/>
                <w:highlight w:val="none"/>
              </w:rPr>
              <w:t>4</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.9</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50</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restart"/>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N4</w:t>
            </w:r>
          </w:p>
        </w:tc>
        <w:tc>
          <w:tcPr>
            <w:tcW w:w="1700" w:type="dxa"/>
            <w:vMerge w:val="restart"/>
            <w:tcBorders>
              <w:top w:val="single" w:color="auto" w:sz="4" w:space="0"/>
              <w:left w:val="single" w:color="auto" w:sz="4" w:space="0"/>
              <w:right w:val="single" w:color="auto" w:sz="4" w:space="0"/>
            </w:tcBorders>
            <w:noWrap w:val="0"/>
            <w:vAlign w:val="center"/>
          </w:tcPr>
          <w:p>
            <w:pPr>
              <w:spacing w:beforeLines="10" w:afterLines="10" w:line="240" w:lineRule="auto"/>
              <w:jc w:val="center"/>
              <w:rPr>
                <w:rFonts w:hint="default"/>
                <w:color w:val="auto"/>
                <w:sz w:val="21"/>
                <w:szCs w:val="21"/>
                <w:highlight w:val="none"/>
                <w:lang w:val="en-US" w:eastAsia="zh-CN"/>
              </w:rPr>
            </w:pPr>
            <w:r>
              <w:rPr>
                <w:rFonts w:hint="default"/>
                <w:color w:val="auto"/>
                <w:highlight w:val="none"/>
              </w:rPr>
              <w:t>和平村湘江</w:t>
            </w:r>
            <w:r>
              <w:rPr>
                <w:rFonts w:hint="default"/>
                <w:color w:val="auto"/>
                <w:highlight w:val="none"/>
                <w:lang w:val="en-US" w:eastAsia="zh-CN"/>
              </w:rPr>
              <w:t>村</w:t>
            </w:r>
            <w:r>
              <w:rPr>
                <w:rFonts w:hint="default"/>
                <w:color w:val="auto"/>
                <w:highlight w:val="none"/>
              </w:rPr>
              <w:t>小组村民</w:t>
            </w:r>
          </w:p>
        </w:tc>
        <w:tc>
          <w:tcPr>
            <w:tcW w:w="1255" w:type="dxa"/>
            <w:vMerge w:val="restart"/>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12月29日</w:t>
            </w:r>
          </w:p>
        </w:tc>
        <w:tc>
          <w:tcPr>
            <w:tcW w:w="750"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eastAsia="宋体"/>
                <w:color w:val="auto"/>
                <w:sz w:val="21"/>
                <w:szCs w:val="21"/>
                <w:highlight w:val="none"/>
                <w:lang w:val="en-US" w:eastAsia="zh-CN"/>
              </w:rPr>
              <w:t>昼间</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ascii="Times New Roman" w:hAnsi="Times New Roman" w:eastAsia="宋体" w:cs="Times New Roman"/>
                <w:color w:val="auto"/>
                <w:highlight w:val="none"/>
              </w:rPr>
              <w:t>5</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eastAsia="宋体"/>
                <w:color w:val="auto"/>
                <w:sz w:val="21"/>
                <w:szCs w:val="21"/>
                <w:highlight w:val="none"/>
                <w:lang w:val="en-US" w:eastAsia="zh-CN"/>
              </w:rPr>
              <w:t>70</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continue"/>
            <w:tcBorders>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p>
        </w:tc>
        <w:tc>
          <w:tcPr>
            <w:tcW w:w="1700" w:type="dxa"/>
            <w:vMerge w:val="continue"/>
            <w:tcBorders>
              <w:left w:val="single" w:color="auto" w:sz="4" w:space="0"/>
              <w:bottom w:val="single" w:color="auto" w:sz="4" w:space="0"/>
              <w:right w:val="single" w:color="auto" w:sz="4" w:space="0"/>
            </w:tcBorders>
            <w:noWrap w:val="0"/>
            <w:vAlign w:val="center"/>
          </w:tcPr>
          <w:p>
            <w:pPr>
              <w:spacing w:beforeLines="10" w:afterLines="10" w:line="240" w:lineRule="auto"/>
              <w:jc w:val="center"/>
              <w:rPr>
                <w:rFonts w:hint="default"/>
                <w:color w:val="auto"/>
                <w:highlight w:val="none"/>
              </w:rPr>
            </w:pPr>
          </w:p>
        </w:tc>
        <w:tc>
          <w:tcPr>
            <w:tcW w:w="1255" w:type="dxa"/>
            <w:vMerge w:val="continue"/>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p>
        </w:tc>
        <w:tc>
          <w:tcPr>
            <w:tcW w:w="750" w:type="dxa"/>
            <w:tcBorders>
              <w:left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eastAsia="宋体"/>
                <w:color w:val="auto"/>
                <w:sz w:val="21"/>
                <w:szCs w:val="21"/>
                <w:highlight w:val="none"/>
                <w:lang w:val="en-US" w:eastAsia="zh-CN"/>
              </w:rPr>
              <w:t>夜间</w:t>
            </w:r>
          </w:p>
        </w:tc>
        <w:tc>
          <w:tcPr>
            <w:tcW w:w="1162"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ascii="Times New Roman" w:hAnsi="Times New Roman" w:eastAsia="宋体" w:cs="Times New Roman"/>
                <w:color w:val="auto"/>
                <w:highlight w:val="none"/>
              </w:rPr>
              <w:t>4</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.7</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55</w:t>
            </w:r>
          </w:p>
        </w:tc>
        <w:tc>
          <w:tcPr>
            <w:tcW w:w="110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根据监测结果，项目周边敏感点可达到《 声环境质量标准》（GB3096-2008）中的 4a类、2类标准。</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4.4.</w:t>
      </w:r>
      <w:r>
        <w:rPr>
          <w:rFonts w:hint="eastAsia" w:cs="Times New Roman"/>
          <w:b/>
          <w:bCs/>
          <w:color w:val="auto"/>
          <w:kern w:val="0"/>
          <w:sz w:val="28"/>
          <w:szCs w:val="28"/>
          <w:highlight w:val="none"/>
          <w:lang w:val="en-US" w:eastAsia="zh-CN"/>
        </w:rPr>
        <w:t>5</w:t>
      </w:r>
      <w:r>
        <w:rPr>
          <w:rFonts w:hint="default" w:ascii="Times New Roman" w:hAnsi="Times New Roman" w:eastAsia="宋体" w:cs="Times New Roman"/>
          <w:b/>
          <w:bCs/>
          <w:color w:val="auto"/>
          <w:kern w:val="0"/>
          <w:sz w:val="28"/>
          <w:szCs w:val="28"/>
          <w:highlight w:val="none"/>
          <w:lang w:val="en-US" w:eastAsia="zh-CN"/>
        </w:rPr>
        <w:t>土壤底泥环境现状调查与评价</w:t>
      </w:r>
    </w:p>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cs="Times New Roman"/>
          <w:color w:val="auto"/>
          <w:sz w:val="24"/>
          <w:highlight w:val="none"/>
          <w:lang w:val="en-US" w:eastAsia="zh-CN"/>
        </w:rPr>
        <w:t>本项目涉及涉水工程将扰动河道底泥，为了解项目涉及的河道底泥质量现状，本评价引用</w:t>
      </w:r>
      <w:r>
        <w:rPr>
          <w:rFonts w:hint="default" w:ascii="Times New Roman" w:hAnsi="Times New Roman" w:eastAsia="宋体" w:cs="Times New Roman"/>
          <w:color w:val="auto"/>
          <w:kern w:val="0"/>
          <w:sz w:val="24"/>
          <w:szCs w:val="24"/>
          <w:highlight w:val="none"/>
          <w:lang w:val="en-US" w:eastAsia="zh-CN" w:bidi="ar"/>
        </w:rPr>
        <w:t>《衡阳市综合保税区跟踪环境影响评价报告书》于2023年6月27日的底泥监测数据。引用监测断面距离本项目较近，且监测时间未超过3年。引用项目现状监测的数据可代表本项目土壤底泥环境质量。</w:t>
      </w:r>
    </w:p>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监测断面：铜桥港入湘江河口上游500m、湘江黄茶岭断面</w:t>
      </w:r>
    </w:p>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检测因子：pH值、砷、镉、铅、铜、锌、总铬、汞。</w:t>
      </w:r>
    </w:p>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评价标准：参照执行《土壤环境质量标准 农用地土壤污染风险管控标准（试行）》（GB15618-2018）筛选值要求。</w:t>
      </w:r>
    </w:p>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检测结果：检测断面水质检测及评价结果见下表。</w:t>
      </w:r>
    </w:p>
    <w:p>
      <w:pPr>
        <w:pStyle w:val="52"/>
        <w:keepNext w:val="0"/>
        <w:keepLines w:val="0"/>
        <w:pageBreakBefore w:val="0"/>
        <w:widowControl w:val="0"/>
        <w:kinsoku/>
        <w:wordWrap/>
        <w:overflowPunct/>
        <w:topLinePunct w:val="0"/>
        <w:autoSpaceDE/>
        <w:autoSpaceDN/>
        <w:bidi w:val="0"/>
        <w:adjustRightInd/>
        <w:snapToGrid/>
        <w:ind w:right="-391"/>
        <w:jc w:val="center"/>
        <w:textAlignment w:val="auto"/>
        <w:outlineLvl w:val="9"/>
        <w:rPr>
          <w:rFonts w:hint="default" w:ascii="Times New Roman" w:hAnsi="Times New Roman" w:eastAsia="宋体" w:cs="Times New Roman"/>
          <w:b/>
          <w:bCs/>
          <w:color w:val="auto"/>
          <w:kern w:val="2"/>
          <w:sz w:val="24"/>
          <w:szCs w:val="24"/>
          <w:highlight w:val="none"/>
          <w:u w:val="none"/>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表4.4-</w:t>
      </w:r>
      <w:r>
        <w:rPr>
          <w:rFonts w:hint="eastAsia" w:cs="Times New Roman"/>
          <w:b/>
          <w:color w:val="auto"/>
          <w:kern w:val="2"/>
          <w:sz w:val="21"/>
          <w:szCs w:val="24"/>
          <w:highlight w:val="none"/>
          <w:u w:val="none" w:color="auto"/>
          <w:lang w:val="en-US" w:eastAsia="zh-CN" w:bidi="ar-SA"/>
        </w:rPr>
        <w:t>11</w:t>
      </w:r>
      <w:r>
        <w:rPr>
          <w:rFonts w:hint="default" w:ascii="Times New Roman" w:hAnsi="Times New Roman" w:eastAsia="宋体" w:cs="Times New Roman"/>
          <w:b/>
          <w:color w:val="auto"/>
          <w:kern w:val="2"/>
          <w:sz w:val="21"/>
          <w:szCs w:val="24"/>
          <w:highlight w:val="none"/>
          <w:u w:val="none" w:color="auto"/>
          <w:lang w:val="en-US" w:eastAsia="zh-CN" w:bidi="ar-SA"/>
        </w:rPr>
        <w:t xml:space="preserve">  底泥监测结果（单位：mg/kg，PH为无量纲）</w:t>
      </w:r>
    </w:p>
    <w:tbl>
      <w:tblPr>
        <w:tblStyle w:val="22"/>
        <w:tblW w:w="462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7"/>
        <w:gridCol w:w="2385"/>
        <w:gridCol w:w="2419"/>
        <w:gridCol w:w="1125"/>
        <w:gridCol w:w="11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restart"/>
            <w:tcBorders>
              <w:top w:val="single" w:color="auto" w:sz="4" w:space="0"/>
              <w:left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监测项目</w:t>
            </w:r>
          </w:p>
        </w:tc>
        <w:tc>
          <w:tcPr>
            <w:tcW w:w="4804" w:type="dxa"/>
            <w:gridSpan w:val="2"/>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监测结果</w:t>
            </w:r>
          </w:p>
        </w:tc>
        <w:tc>
          <w:tcPr>
            <w:tcW w:w="1125" w:type="dxa"/>
            <w:vMerge w:val="restart"/>
            <w:tcBorders>
              <w:top w:val="single" w:color="auto" w:sz="4" w:space="0"/>
              <w:left w:val="single" w:color="auto" w:sz="4" w:space="0"/>
              <w:right w:val="single" w:color="auto" w:sz="4" w:space="0"/>
            </w:tcBorders>
            <w:noWrap w:val="0"/>
            <w:vAlign w:val="center"/>
          </w:tcPr>
          <w:p>
            <w:pPr>
              <w:pStyle w:val="53"/>
              <w:spacing w:line="240" w:lineRule="auto"/>
              <w:ind w:firstLine="0" w:firstLineChars="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标准值</w:t>
            </w:r>
          </w:p>
        </w:tc>
        <w:tc>
          <w:tcPr>
            <w:tcW w:w="1148" w:type="dxa"/>
            <w:vMerge w:val="restart"/>
            <w:tcBorders>
              <w:top w:val="single" w:color="auto" w:sz="4" w:space="0"/>
              <w:left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vMerge w:val="continue"/>
            <w:tcBorders>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p>
        </w:tc>
        <w:tc>
          <w:tcPr>
            <w:tcW w:w="238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eastAsia="zh-CN"/>
              </w:rPr>
            </w:pPr>
            <w:r>
              <w:rPr>
                <w:rFonts w:hint="default" w:eastAsia="宋体"/>
                <w:color w:val="auto"/>
                <w:sz w:val="21"/>
                <w:szCs w:val="21"/>
                <w:highlight w:val="none"/>
                <w:lang w:eastAsia="zh-CN"/>
              </w:rPr>
              <w:t>铜桥港入湘江河口上游500m</w:t>
            </w:r>
          </w:p>
        </w:tc>
        <w:tc>
          <w:tcPr>
            <w:tcW w:w="2419"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湘江黄茶岭断面</w:t>
            </w:r>
          </w:p>
        </w:tc>
        <w:tc>
          <w:tcPr>
            <w:tcW w:w="1125" w:type="dxa"/>
            <w:vMerge w:val="continue"/>
            <w:tcBorders>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p>
        </w:tc>
        <w:tc>
          <w:tcPr>
            <w:tcW w:w="1148" w:type="dxa"/>
            <w:vMerge w:val="continue"/>
            <w:tcBorders>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w:t>
            </w:r>
          </w:p>
        </w:tc>
        <w:tc>
          <w:tcPr>
            <w:tcW w:w="238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6.4</w:t>
            </w:r>
          </w:p>
        </w:tc>
        <w:tc>
          <w:tcPr>
            <w:tcW w:w="2419" w:type="dxa"/>
            <w:tcBorders>
              <w:top w:val="single" w:color="auto" w:sz="4" w:space="0"/>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6.4</w:t>
            </w:r>
          </w:p>
        </w:tc>
        <w:tc>
          <w:tcPr>
            <w:tcW w:w="11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color w:val="auto"/>
                <w:sz w:val="21"/>
                <w:szCs w:val="21"/>
                <w:highlight w:val="none"/>
                <w:lang w:val="en-US" w:eastAsia="zh-CN"/>
              </w:rPr>
              <w:t>/</w:t>
            </w:r>
          </w:p>
        </w:tc>
        <w:tc>
          <w:tcPr>
            <w:tcW w:w="114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砷</w:t>
            </w:r>
          </w:p>
        </w:tc>
        <w:tc>
          <w:tcPr>
            <w:tcW w:w="238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6.17</w:t>
            </w:r>
          </w:p>
        </w:tc>
        <w:tc>
          <w:tcPr>
            <w:tcW w:w="241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5.03</w:t>
            </w:r>
          </w:p>
        </w:tc>
        <w:tc>
          <w:tcPr>
            <w:tcW w:w="11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color w:val="auto"/>
                <w:sz w:val="21"/>
                <w:szCs w:val="21"/>
                <w:highlight w:val="none"/>
                <w:lang w:val="en-US" w:eastAsia="zh-CN"/>
              </w:rPr>
              <w:t>40</w:t>
            </w:r>
          </w:p>
        </w:tc>
        <w:tc>
          <w:tcPr>
            <w:tcW w:w="114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ascii="Times New Roman" w:hAnsi="Times New Roman" w:eastAsia="宋体" w:cs="Times New Roman"/>
                <w:color w:val="auto"/>
                <w:kern w:val="28"/>
                <w:sz w:val="21"/>
                <w:szCs w:val="21"/>
                <w:highlight w:val="none"/>
                <w:lang w:val="en-US" w:eastAsia="zh-CN" w:bidi="ar-SA"/>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镉</w:t>
            </w:r>
          </w:p>
        </w:tc>
        <w:tc>
          <w:tcPr>
            <w:tcW w:w="238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0.84</w:t>
            </w:r>
          </w:p>
        </w:tc>
        <w:tc>
          <w:tcPr>
            <w:tcW w:w="241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0.51</w:t>
            </w:r>
          </w:p>
        </w:tc>
        <w:tc>
          <w:tcPr>
            <w:tcW w:w="11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color w:val="auto"/>
                <w:sz w:val="21"/>
                <w:szCs w:val="21"/>
                <w:highlight w:val="none"/>
                <w:lang w:val="en-US" w:eastAsia="zh-CN"/>
              </w:rPr>
              <w:t>0.3</w:t>
            </w:r>
          </w:p>
        </w:tc>
        <w:tc>
          <w:tcPr>
            <w:tcW w:w="114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eastAsia="宋体"/>
                <w:color w:val="auto"/>
                <w:sz w:val="21"/>
                <w:szCs w:val="21"/>
                <w:highlight w:val="none"/>
                <w:lang w:val="en-US" w:eastAsia="zh-CN"/>
              </w:rPr>
            </w:pPr>
            <w:r>
              <w:rPr>
                <w:rFonts w:hint="default" w:ascii="Times New Roman" w:hAnsi="Times New Roman" w:eastAsia="宋体" w:cs="Times New Roman"/>
                <w:color w:val="auto"/>
                <w:kern w:val="28"/>
                <w:sz w:val="21"/>
                <w:szCs w:val="21"/>
                <w:highlight w:val="none"/>
                <w:lang w:val="en-US" w:eastAsia="zh-CN" w:bidi="ar-SA"/>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铅</w:t>
            </w:r>
          </w:p>
        </w:tc>
        <w:tc>
          <w:tcPr>
            <w:tcW w:w="238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37</w:t>
            </w:r>
          </w:p>
        </w:tc>
        <w:tc>
          <w:tcPr>
            <w:tcW w:w="241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55</w:t>
            </w:r>
          </w:p>
        </w:tc>
        <w:tc>
          <w:tcPr>
            <w:tcW w:w="11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color w:val="auto"/>
                <w:sz w:val="21"/>
                <w:szCs w:val="21"/>
                <w:highlight w:val="none"/>
                <w:lang w:val="en-US" w:eastAsia="zh-CN"/>
              </w:rPr>
              <w:t>90</w:t>
            </w:r>
          </w:p>
        </w:tc>
        <w:tc>
          <w:tcPr>
            <w:tcW w:w="114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ascii="Times New Roman" w:hAnsi="Times New Roman" w:eastAsia="宋体" w:cs="Times New Roman"/>
                <w:color w:val="auto"/>
                <w:kern w:val="28"/>
                <w:sz w:val="21"/>
                <w:szCs w:val="21"/>
                <w:highlight w:val="none"/>
                <w:lang w:val="en-US" w:eastAsia="zh-CN" w:bidi="ar-SA"/>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铜</w:t>
            </w:r>
          </w:p>
        </w:tc>
        <w:tc>
          <w:tcPr>
            <w:tcW w:w="238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66</w:t>
            </w:r>
          </w:p>
        </w:tc>
        <w:tc>
          <w:tcPr>
            <w:tcW w:w="241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63</w:t>
            </w:r>
          </w:p>
        </w:tc>
        <w:tc>
          <w:tcPr>
            <w:tcW w:w="11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color w:val="auto"/>
                <w:sz w:val="21"/>
                <w:szCs w:val="21"/>
                <w:highlight w:val="none"/>
                <w:lang w:val="en-US" w:eastAsia="zh-CN"/>
              </w:rPr>
              <w:t>50</w:t>
            </w:r>
          </w:p>
        </w:tc>
        <w:tc>
          <w:tcPr>
            <w:tcW w:w="114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ascii="Times New Roman" w:hAnsi="Times New Roman" w:eastAsia="宋体" w:cs="Times New Roman"/>
                <w:color w:val="auto"/>
                <w:kern w:val="28"/>
                <w:sz w:val="21"/>
                <w:szCs w:val="21"/>
                <w:highlight w:val="none"/>
                <w:lang w:val="en-US" w:eastAsia="zh-CN" w:bidi="ar-SA"/>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锌</w:t>
            </w:r>
          </w:p>
        </w:tc>
        <w:tc>
          <w:tcPr>
            <w:tcW w:w="238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w:t>
            </w:r>
          </w:p>
        </w:tc>
        <w:tc>
          <w:tcPr>
            <w:tcW w:w="241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15</w:t>
            </w:r>
          </w:p>
        </w:tc>
        <w:tc>
          <w:tcPr>
            <w:tcW w:w="11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color w:val="auto"/>
                <w:sz w:val="21"/>
                <w:szCs w:val="21"/>
                <w:highlight w:val="none"/>
                <w:lang w:val="en-US" w:eastAsia="zh-CN"/>
              </w:rPr>
              <w:t>200</w:t>
            </w:r>
          </w:p>
        </w:tc>
        <w:tc>
          <w:tcPr>
            <w:tcW w:w="114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ascii="Times New Roman" w:hAnsi="Times New Roman" w:eastAsia="宋体" w:cs="Times New Roman"/>
                <w:color w:val="auto"/>
                <w:kern w:val="28"/>
                <w:sz w:val="21"/>
                <w:szCs w:val="21"/>
                <w:highlight w:val="none"/>
                <w:lang w:val="en-US" w:eastAsia="zh-CN" w:bidi="ar-SA"/>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总铬</w:t>
            </w:r>
          </w:p>
        </w:tc>
        <w:tc>
          <w:tcPr>
            <w:tcW w:w="238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ND</w:t>
            </w:r>
          </w:p>
        </w:tc>
        <w:tc>
          <w:tcPr>
            <w:tcW w:w="241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w:t>
            </w:r>
          </w:p>
        </w:tc>
        <w:tc>
          <w:tcPr>
            <w:tcW w:w="11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color w:val="auto"/>
                <w:sz w:val="21"/>
                <w:szCs w:val="21"/>
                <w:highlight w:val="none"/>
                <w:lang w:val="en-US" w:eastAsia="zh-CN"/>
              </w:rPr>
              <w:t>150</w:t>
            </w:r>
          </w:p>
        </w:tc>
        <w:tc>
          <w:tcPr>
            <w:tcW w:w="114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ascii="Times New Roman" w:hAnsi="Times New Roman" w:eastAsia="宋体" w:cs="Times New Roman"/>
                <w:color w:val="auto"/>
                <w:kern w:val="28"/>
                <w:sz w:val="21"/>
                <w:szCs w:val="21"/>
                <w:highlight w:val="none"/>
                <w:lang w:val="en-US" w:eastAsia="zh-CN" w:bidi="ar-SA"/>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7"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汞</w:t>
            </w:r>
          </w:p>
        </w:tc>
        <w:tc>
          <w:tcPr>
            <w:tcW w:w="238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0.048</w:t>
            </w:r>
          </w:p>
        </w:tc>
        <w:tc>
          <w:tcPr>
            <w:tcW w:w="2419" w:type="dxa"/>
            <w:tcBorders>
              <w:left w:val="single" w:color="auto" w:sz="4" w:space="0"/>
              <w:right w:val="single" w:color="auto" w:sz="4" w:space="0"/>
            </w:tcBorders>
            <w:noWrap w:val="0"/>
            <w:vAlign w:val="center"/>
          </w:tcPr>
          <w:p>
            <w:pPr>
              <w:pStyle w:val="53"/>
              <w:spacing w:line="240" w:lineRule="auto"/>
              <w:rPr>
                <w:rFonts w:hint="default"/>
                <w:color w:val="auto"/>
                <w:sz w:val="21"/>
                <w:szCs w:val="21"/>
                <w:highlight w:val="none"/>
                <w:lang w:val="en-US" w:eastAsia="zh-CN"/>
              </w:rPr>
            </w:pPr>
            <w:r>
              <w:rPr>
                <w:rFonts w:hint="default"/>
                <w:color w:val="auto"/>
                <w:sz w:val="21"/>
                <w:szCs w:val="21"/>
                <w:highlight w:val="none"/>
                <w:lang w:val="en-US" w:eastAsia="zh-CN"/>
              </w:rPr>
              <w:t>0.043</w:t>
            </w:r>
          </w:p>
        </w:tc>
        <w:tc>
          <w:tcPr>
            <w:tcW w:w="1125"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color w:val="auto"/>
                <w:sz w:val="21"/>
                <w:szCs w:val="21"/>
                <w:highlight w:val="none"/>
                <w:lang w:val="en-US" w:eastAsia="zh-CN"/>
              </w:rPr>
            </w:pPr>
            <w:r>
              <w:rPr>
                <w:rFonts w:hint="default"/>
                <w:color w:val="auto"/>
                <w:sz w:val="21"/>
                <w:szCs w:val="21"/>
                <w:highlight w:val="none"/>
                <w:lang w:val="en-US" w:eastAsia="zh-CN"/>
              </w:rPr>
              <w:t>1.8</w:t>
            </w:r>
          </w:p>
        </w:tc>
        <w:tc>
          <w:tcPr>
            <w:tcW w:w="1148" w:type="dxa"/>
            <w:tcBorders>
              <w:top w:val="single" w:color="auto" w:sz="4" w:space="0"/>
              <w:left w:val="single" w:color="auto" w:sz="4" w:space="0"/>
              <w:bottom w:val="single" w:color="auto" w:sz="4" w:space="0"/>
              <w:right w:val="single" w:color="auto" w:sz="4" w:space="0"/>
            </w:tcBorders>
            <w:noWrap w:val="0"/>
            <w:vAlign w:val="center"/>
          </w:tcPr>
          <w:p>
            <w:pPr>
              <w:pStyle w:val="53"/>
              <w:spacing w:line="240" w:lineRule="auto"/>
              <w:ind w:firstLine="0" w:firstLineChars="0"/>
              <w:rPr>
                <w:rFonts w:hint="default" w:ascii="Times New Roman" w:hAnsi="Times New Roman" w:eastAsia="宋体" w:cs="Times New Roman"/>
                <w:color w:val="auto"/>
                <w:kern w:val="28"/>
                <w:sz w:val="21"/>
                <w:szCs w:val="21"/>
                <w:highlight w:val="none"/>
                <w:lang w:val="en-US" w:eastAsia="zh-CN" w:bidi="ar-SA"/>
              </w:rPr>
            </w:pPr>
            <w:r>
              <w:rPr>
                <w:rFonts w:hint="default" w:ascii="Times New Roman" w:hAnsi="Times New Roman" w:eastAsia="宋体" w:cs="Times New Roman"/>
                <w:color w:val="auto"/>
                <w:kern w:val="28"/>
                <w:sz w:val="21"/>
                <w:szCs w:val="21"/>
                <w:highlight w:val="none"/>
                <w:lang w:val="en-US" w:eastAsia="zh-CN" w:bidi="ar-SA"/>
              </w:rPr>
              <w:t>达标</w:t>
            </w:r>
          </w:p>
        </w:tc>
      </w:tr>
    </w:tbl>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根据上述监测结果，本项目所涉及的河道段底泥各监测因子均满足</w:t>
      </w:r>
      <w:r>
        <w:rPr>
          <w:rFonts w:hint="default" w:ascii="Times New Roman" w:hAnsi="Times New Roman" w:eastAsia="宋体" w:cs="Times New Roman"/>
          <w:color w:val="auto"/>
          <w:kern w:val="0"/>
          <w:sz w:val="24"/>
          <w:szCs w:val="24"/>
          <w:highlight w:val="none"/>
          <w:lang w:val="en-US" w:eastAsia="zh-CN" w:bidi="ar"/>
        </w:rPr>
        <w:t>《土壤环境质量标准 农用地土壤污染风险管控标准（试行）》（GB15618-2018）筛选值要求。</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hint="default" w:ascii="Times New Roman" w:hAnsi="Times New Roman" w:eastAsia="宋体" w:cs="Times New Roman"/>
          <w:b/>
          <w:bCs/>
          <w:color w:val="auto"/>
          <w:kern w:val="0"/>
          <w:sz w:val="30"/>
          <w:szCs w:val="30"/>
          <w:highlight w:val="none"/>
          <w:lang w:val="en-US" w:eastAsia="zh-CN"/>
        </w:rPr>
      </w:pPr>
      <w:bookmarkStart w:id="87" w:name="_Toc30700"/>
      <w:r>
        <w:rPr>
          <w:rFonts w:hint="default" w:ascii="Times New Roman" w:hAnsi="Times New Roman" w:eastAsia="宋体" w:cs="Times New Roman"/>
          <w:b/>
          <w:bCs/>
          <w:color w:val="auto"/>
          <w:kern w:val="0"/>
          <w:sz w:val="30"/>
          <w:szCs w:val="30"/>
          <w:highlight w:val="none"/>
          <w:lang w:val="en-US" w:eastAsia="zh-CN"/>
        </w:rPr>
        <w:t>生态环境现状调查与评价</w:t>
      </w:r>
      <w:bookmarkEnd w:id="87"/>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4.5.1土地利用现状</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价范围内土地利用现状调查是在卫片解译的基础上，参考《土地利用现状分类》（GB/T21010-2017）中有关分类标准，结合国土三调数据、现有资料，运用景观生态法（即以植被作为主导因素），并结合土壤、地貌等因子进行综合分析。将评价区内土地利用格局的拼块类型分为林地、草地、耕地、水域及水利设施用地、交通运输用地、住宅用地、公共管理与公共服务用地、商服用地、特殊用地</w:t>
      </w:r>
      <w:r>
        <w:rPr>
          <w:rFonts w:hint="default" w:ascii="Times New Roman" w:hAnsi="Times New Roman" w:cs="Times New Roman"/>
          <w:color w:val="auto"/>
          <w:sz w:val="24"/>
          <w:highlight w:val="none"/>
          <w:lang w:val="en-US" w:eastAsia="zh-CN"/>
        </w:rPr>
        <w:t>和</w:t>
      </w:r>
      <w:r>
        <w:rPr>
          <w:rFonts w:hint="default" w:ascii="Times New Roman" w:hAnsi="Times New Roman" w:cs="Times New Roman"/>
          <w:color w:val="auto"/>
          <w:sz w:val="24"/>
          <w:highlight w:val="none"/>
        </w:rPr>
        <w:t>工矿仓储用地</w:t>
      </w:r>
      <w:r>
        <w:rPr>
          <w:rFonts w:hint="default"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rPr>
        <w:t>种类型。</w:t>
      </w:r>
    </w:p>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4.5-1</w:t>
      </w:r>
      <w:r>
        <w:rPr>
          <w:rFonts w:hint="default" w:ascii="Times New Roman" w:hAnsi="Times New Roman" w:cs="Times New Roman"/>
          <w:b/>
          <w:color w:val="auto"/>
          <w:highlight w:val="none"/>
        </w:rPr>
        <w:t xml:space="preserve"> 评价区土地利用情况表</w:t>
      </w:r>
    </w:p>
    <w:tbl>
      <w:tblPr>
        <w:tblStyle w:val="22"/>
        <w:tblW w:w="852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168"/>
        <w:gridCol w:w="2400"/>
        <w:gridCol w:w="1215"/>
        <w:gridCol w:w="1215"/>
        <w:gridCol w:w="1215"/>
        <w:gridCol w:w="121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jc w:val="center"/>
        </w:trPr>
        <w:tc>
          <w:tcPr>
            <w:tcW w:w="116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3"/>
                <w:rFonts w:hint="default" w:ascii="Times New Roman" w:hAnsi="Times New Roman" w:eastAsia="宋体" w:cs="Times New Roman"/>
                <w:b/>
                <w:bCs/>
                <w:color w:val="auto"/>
                <w:sz w:val="21"/>
                <w:szCs w:val="21"/>
                <w:lang w:val="en-US" w:eastAsia="zh-CN" w:bidi="ar"/>
              </w:rPr>
              <w:t>一级类</w:t>
            </w:r>
          </w:p>
        </w:tc>
        <w:tc>
          <w:tcPr>
            <w:tcW w:w="24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3"/>
                <w:rFonts w:hint="default" w:ascii="Times New Roman" w:hAnsi="Times New Roman" w:eastAsia="宋体" w:cs="Times New Roman"/>
                <w:b/>
                <w:bCs/>
                <w:color w:val="auto"/>
                <w:sz w:val="21"/>
                <w:szCs w:val="21"/>
                <w:lang w:val="en-US" w:eastAsia="zh-CN" w:bidi="ar"/>
              </w:rPr>
              <w:t>二级类</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Style w:val="64"/>
                <w:rFonts w:hint="default" w:ascii="Times New Roman" w:hAnsi="Times New Roman" w:eastAsia="宋体" w:cs="Times New Roman"/>
                <w:b/>
                <w:bCs/>
                <w:color w:val="auto"/>
                <w:sz w:val="21"/>
                <w:szCs w:val="21"/>
                <w:lang w:val="en-US" w:eastAsia="zh-CN" w:bidi="ar"/>
              </w:rPr>
            </w:pPr>
            <w:r>
              <w:rPr>
                <w:rStyle w:val="64"/>
                <w:rFonts w:hint="default" w:ascii="Times New Roman" w:hAnsi="Times New Roman" w:eastAsia="宋体" w:cs="Times New Roman"/>
                <w:b/>
                <w:bCs/>
                <w:color w:val="auto"/>
                <w:sz w:val="21"/>
                <w:szCs w:val="21"/>
                <w:lang w:val="en-US" w:eastAsia="zh-CN" w:bidi="ar"/>
              </w:rPr>
              <w:t>面积</w:t>
            </w:r>
          </w:p>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（hm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面积占比（</w:t>
            </w:r>
            <w:r>
              <w:rPr>
                <w:rStyle w:val="56"/>
                <w:rFonts w:hint="default" w:ascii="Times New Roman" w:hAnsi="Times New Roman" w:eastAsia="宋体" w:cs="Times New Roman"/>
                <w:b/>
                <w:bCs/>
                <w:color w:val="auto"/>
                <w:sz w:val="21"/>
                <w:szCs w:val="21"/>
                <w:lang w:val="en-US" w:eastAsia="zh-CN" w:bidi="ar"/>
              </w:rPr>
              <w:t>%</w:t>
            </w:r>
            <w:r>
              <w:rPr>
                <w:rStyle w:val="64"/>
                <w:rFonts w:hint="default" w:ascii="Times New Roman" w:hAnsi="Times New Roman" w:eastAsia="宋体" w:cs="Times New Roman"/>
                <w:b/>
                <w:bCs/>
                <w:color w:val="auto"/>
                <w:sz w:val="21"/>
                <w:szCs w:val="21"/>
                <w:lang w:val="en-US" w:eastAsia="zh-CN" w:bidi="ar"/>
              </w:rPr>
              <w:t>）</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斑块数</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斑块占比（</w:t>
            </w:r>
            <w:r>
              <w:rPr>
                <w:rStyle w:val="56"/>
                <w:rFonts w:hint="default" w:ascii="Times New Roman" w:hAnsi="Times New Roman" w:eastAsia="宋体" w:cs="Times New Roman"/>
                <w:b/>
                <w:bCs/>
                <w:color w:val="auto"/>
                <w:sz w:val="21"/>
                <w:szCs w:val="21"/>
                <w:lang w:val="en-US" w:eastAsia="zh-CN" w:bidi="ar"/>
              </w:rPr>
              <w:t>%</w:t>
            </w:r>
            <w:r>
              <w:rPr>
                <w:rStyle w:val="64"/>
                <w:rFonts w:hint="default" w:ascii="Times New Roman" w:hAnsi="Times New Roman" w:eastAsia="宋体" w:cs="Times New Roman"/>
                <w:b/>
                <w:bCs/>
                <w:color w:val="auto"/>
                <w:sz w:val="21"/>
                <w:szCs w:val="21"/>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林地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其他林地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1.51</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5.67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灌木林地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2.58</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0.35</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13.65</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1.86</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18</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7.29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草地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其他草地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4.17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0.57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8</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耕地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旱地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0.24</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0.24</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9</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水域及水利设施用地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坑塘水面</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11.49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8.91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河流水面</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190.52</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25.98</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水工建筑用地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7.69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209.70</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28.59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29</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11.74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交通运输用地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公路用地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23.38</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14.17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交通服务场站用地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0.58</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城镇村道路用地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41.25</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5.62</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港口码头用地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73.99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10.09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49</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19.84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住宅用地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城镇住宅用地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219.40</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29.92</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67</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27.13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农村宅基地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22.68</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242.08</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33.01</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88</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35.63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公共管理与公共服务用地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公用设施用地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35.40</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4.83</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3"/>
                <w:rFonts w:hint="default" w:ascii="Times New Roman" w:hAnsi="Times New Roman" w:eastAsia="宋体" w:cs="Times New Roman"/>
                <w:color w:val="auto"/>
                <w:sz w:val="21"/>
                <w:szCs w:val="21"/>
                <w:lang w:val="en-US" w:eastAsia="zh-CN" w:bidi="ar"/>
              </w:rPr>
              <w:t>公园与绿地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47.53</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6.48</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科教文卫用地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1.78</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机关团体新闻出版用地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29.64</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4.04</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125.66</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17.13</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8.10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商服用地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商业服务业设施用地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3.86</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0.53</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3.86</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0.53</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特殊用地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特殊用地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0.79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0.11</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0.79</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0.11</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0.81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工矿仓储用地</w:t>
            </w: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工业用地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57.41</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7.83</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7.29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Style w:val="64"/>
                <w:rFonts w:hint="default" w:ascii="Times New Roman" w:hAnsi="Times New Roman" w:eastAsia="宋体" w:cs="Times New Roman"/>
                <w:color w:val="auto"/>
                <w:sz w:val="21"/>
                <w:szCs w:val="21"/>
                <w:lang w:val="en-US" w:eastAsia="zh-CN" w:bidi="ar"/>
              </w:rPr>
              <w:t>采矿用地</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0.33</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1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u w:val="none"/>
              </w:rPr>
            </w:pPr>
          </w:p>
        </w:tc>
        <w:tc>
          <w:tcPr>
            <w:tcW w:w="2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小计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57.74</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7.87</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19</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3568"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Style w:val="64"/>
                <w:rFonts w:hint="default" w:ascii="Times New Roman" w:hAnsi="Times New Roman" w:eastAsia="宋体" w:cs="Times New Roman"/>
                <w:b/>
                <w:bCs/>
                <w:color w:val="auto"/>
                <w:sz w:val="21"/>
                <w:szCs w:val="21"/>
                <w:lang w:val="en-US" w:eastAsia="zh-CN" w:bidi="ar"/>
              </w:rPr>
              <w:t>总计</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733.41</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100</w:t>
            </w:r>
          </w:p>
        </w:tc>
        <w:tc>
          <w:tcPr>
            <w:tcW w:w="121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247</w:t>
            </w:r>
          </w:p>
        </w:tc>
        <w:tc>
          <w:tcPr>
            <w:tcW w:w="121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100</w:t>
            </w:r>
          </w:p>
        </w:tc>
      </w:tr>
    </w:tbl>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由上表可知：评价区土地利用类型以住宅用地为主，面积为242.08hm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，占评价区总面积的33.01%；其次为水域及水利设施用地和公共管理与公共服务用地，面积分别为209.70hm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和125.66hm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，各占评价区总面积的28.59%和17.13%；林地、草地面积较小，说明评价区城镇化程度较高。</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4.5.2生态系统现状</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参考《全国生态状况评估技术规范--生态系统遥感解译与野外核查》（HJ1166-2021）中有关分类标准，根据评价区土地类型，结合遥感影像数据，将评价区内生态系统划分为森林生态系统、灌丛生态系统、草地生态系统、湿地生态系统、农田生态系统和城镇生态系统</w:t>
      </w:r>
      <w:r>
        <w:rPr>
          <w:rFonts w:hint="default" w:ascii="Times New Roman" w:hAnsi="Times New Roman" w:cs="Times New Roman"/>
          <w:color w:val="auto"/>
          <w:sz w:val="24"/>
          <w:highlight w:val="none"/>
          <w:lang w:val="en-US" w:eastAsia="zh-CN"/>
        </w:rPr>
        <w:t>6种类型</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4.5-2</w:t>
      </w:r>
      <w:r>
        <w:rPr>
          <w:rFonts w:hint="default" w:ascii="Times New Roman" w:hAnsi="Times New Roman" w:cs="Times New Roman"/>
          <w:b/>
          <w:color w:val="auto"/>
          <w:highlight w:val="none"/>
          <w:lang w:val="en-US" w:eastAsia="zh-CN"/>
        </w:rPr>
        <w:t xml:space="preserve"> 评价区生态系统面积统计表</w:t>
      </w:r>
    </w:p>
    <w:tbl>
      <w:tblPr>
        <w:tblStyle w:val="22"/>
        <w:tblW w:w="8522" w:type="dxa"/>
        <w:tblInd w:w="9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079"/>
        <w:gridCol w:w="2079"/>
        <w:gridCol w:w="2079"/>
        <w:gridCol w:w="208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atLeast"/>
        </w:trPr>
        <w:tc>
          <w:tcPr>
            <w:tcW w:w="2079"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I级分类</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bottom"/>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II级分类</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面积（hm</w:t>
            </w:r>
            <w:r>
              <w:rPr>
                <w:rFonts w:hint="default" w:ascii="Times New Roman" w:hAnsi="Times New Roman" w:eastAsia="宋体" w:cs="Times New Roman"/>
                <w:b/>
                <w:bCs/>
                <w:i w:val="0"/>
                <w:iCs w:val="0"/>
                <w:color w:val="auto"/>
                <w:kern w:val="0"/>
                <w:sz w:val="21"/>
                <w:szCs w:val="21"/>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面积占比（</w:t>
            </w:r>
            <w:r>
              <w:rPr>
                <w:rStyle w:val="69"/>
                <w:rFonts w:hint="default" w:ascii="Times New Roman" w:hAnsi="Times New Roman" w:eastAsia="宋体" w:cs="Times New Roman"/>
                <w:color w:val="auto"/>
                <w:sz w:val="21"/>
                <w:szCs w:val="21"/>
                <w:lang w:val="en-US" w:eastAsia="zh-CN" w:bidi="ar"/>
              </w:rPr>
              <w:t>%</w:t>
            </w:r>
            <w:r>
              <w:rPr>
                <w:rFonts w:hint="default" w:ascii="Times New Roman" w:hAnsi="Times New Roman" w:eastAsia="宋体" w:cs="Times New Roman"/>
                <w:b/>
                <w:bCs/>
                <w:i w:val="0"/>
                <w:iCs w:val="0"/>
                <w:color w:val="auto"/>
                <w:kern w:val="0"/>
                <w:sz w:val="21"/>
                <w:szCs w:val="21"/>
                <w:u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atLeast"/>
        </w:trPr>
        <w:tc>
          <w:tcPr>
            <w:tcW w:w="207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森林生态系统</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稀疏林</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11.07</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11.07</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灌丛生态系统</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阔叶灌丛</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2.58</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2.58</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草地生态系统</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草丛</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4.17</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4.17</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湿地生态系统</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河流</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190.52</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25.98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湖泊</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11.49</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202.01</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27.54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农田生态系统</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耕地</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1.77</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城镇生态系统</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城市绿地</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47.53</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6.48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atLeast"/>
        </w:trPr>
        <w:tc>
          <w:tcPr>
            <w:tcW w:w="207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工矿交通</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222.2</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207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居住地</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242.08</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atLeast"/>
        </w:trPr>
        <w:tc>
          <w:tcPr>
            <w:tcW w:w="207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511.81</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69.78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4158"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总计</w:t>
            </w:r>
          </w:p>
        </w:tc>
        <w:tc>
          <w:tcPr>
            <w:tcW w:w="207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733.41</w:t>
            </w:r>
          </w:p>
        </w:tc>
        <w:tc>
          <w:tcPr>
            <w:tcW w:w="208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100</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482" w:firstLineChars="200"/>
        <w:textAlignment w:val="auto"/>
        <w:outlineLvl w:val="9"/>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4.</w:t>
      </w:r>
      <w:r>
        <w:rPr>
          <w:rFonts w:hint="eastAsia" w:cs="Times New Roman"/>
          <w:b/>
          <w:bCs/>
          <w:color w:val="auto"/>
          <w:kern w:val="0"/>
          <w:sz w:val="24"/>
          <w:szCs w:val="24"/>
          <w:highlight w:val="none"/>
          <w:lang w:val="en-US" w:eastAsia="zh-CN"/>
        </w:rPr>
        <w:t>5</w:t>
      </w:r>
      <w:r>
        <w:rPr>
          <w:rFonts w:hint="default" w:ascii="Times New Roman" w:hAnsi="Times New Roman" w:eastAsia="宋体" w:cs="Times New Roman"/>
          <w:b/>
          <w:bCs/>
          <w:color w:val="auto"/>
          <w:kern w:val="0"/>
          <w:sz w:val="24"/>
          <w:szCs w:val="24"/>
          <w:highlight w:val="none"/>
          <w:lang w:val="en-US" w:eastAsia="zh-CN"/>
        </w:rPr>
        <w:t>.2.</w:t>
      </w:r>
      <w:r>
        <w:rPr>
          <w:rFonts w:hint="eastAsia" w:cs="Times New Roman"/>
          <w:b/>
          <w:bCs/>
          <w:color w:val="auto"/>
          <w:kern w:val="0"/>
          <w:sz w:val="24"/>
          <w:szCs w:val="24"/>
          <w:highlight w:val="none"/>
          <w:lang w:val="en-US" w:eastAsia="zh-CN"/>
        </w:rPr>
        <w:t>1</w:t>
      </w:r>
      <w:r>
        <w:rPr>
          <w:rFonts w:hint="default" w:ascii="Times New Roman" w:hAnsi="Times New Roman" w:eastAsia="宋体" w:cs="Times New Roman"/>
          <w:b/>
          <w:bCs/>
          <w:color w:val="auto"/>
          <w:kern w:val="0"/>
          <w:sz w:val="24"/>
          <w:szCs w:val="24"/>
          <w:highlight w:val="none"/>
          <w:lang w:val="en-US" w:eastAsia="zh-CN"/>
        </w:rPr>
        <w:t>森林生态系统</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森林生态系统是森林群落与其环境在功能流的作用下形成一定结构、功能和自调控的自然综合体，是陆地生态系统中面积最大、重要的自然生态系统之一。生态系统有四个主要的组成成分，即非生物环境、生产者、消费者和分解者。评价区内森林生态系统</w:t>
      </w:r>
      <w:r>
        <w:rPr>
          <w:rFonts w:hint="default" w:ascii="Times New Roman" w:hAnsi="Times New Roman" w:cs="Times New Roman"/>
          <w:color w:val="auto"/>
          <w:sz w:val="24"/>
          <w:szCs w:val="24"/>
          <w:highlight w:val="none"/>
          <w:lang w:val="en-US" w:eastAsia="zh-CN"/>
        </w:rPr>
        <w:t>为人工种植的稀疏林，主要分布于湘江两岸和道路两侧</w:t>
      </w:r>
      <w:r>
        <w:rPr>
          <w:rFonts w:hint="default" w:ascii="Times New Roman" w:hAnsi="Times New Roman" w:cs="Times New Roman"/>
          <w:color w:val="auto"/>
          <w:sz w:val="24"/>
          <w:szCs w:val="24"/>
          <w:highlight w:val="none"/>
        </w:rPr>
        <w:t>，总面积为</w:t>
      </w:r>
      <w:r>
        <w:rPr>
          <w:rFonts w:hint="default" w:cs="Times New Roman"/>
          <w:color w:val="auto"/>
          <w:sz w:val="24"/>
          <w:szCs w:val="24"/>
          <w:highlight w:val="none"/>
          <w:lang w:val="en-US" w:eastAsia="zh-CN"/>
        </w:rPr>
        <w:t>11.07</w:t>
      </w:r>
      <w:r>
        <w:rPr>
          <w:rFonts w:hint="default" w:ascii="Times New Roman" w:hAnsi="Times New Roman" w:cs="Times New Roman"/>
          <w:color w:val="auto"/>
          <w:sz w:val="24"/>
          <w:szCs w:val="24"/>
          <w:highlight w:val="none"/>
        </w:rPr>
        <w:t>hm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，占评价区总面积的</w:t>
      </w:r>
      <w:r>
        <w:rPr>
          <w:rFonts w:hint="default" w:ascii="Times New Roman" w:hAnsi="Times New Roman" w:cs="Times New Roman"/>
          <w:color w:val="auto"/>
          <w:sz w:val="24"/>
          <w:szCs w:val="24"/>
          <w:highlight w:val="none"/>
          <w:lang w:val="en-US" w:eastAsia="zh-CN"/>
        </w:rPr>
        <w:t>1.</w:t>
      </w:r>
      <w:r>
        <w:rPr>
          <w:rFonts w:hint="default" w:cs="Times New Roman"/>
          <w:color w:val="auto"/>
          <w:sz w:val="24"/>
          <w:szCs w:val="24"/>
          <w:highlight w:val="none"/>
          <w:lang w:val="en-US" w:eastAsia="zh-CN"/>
        </w:rPr>
        <w:t>51</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占比极小。</w:t>
      </w:r>
    </w:p>
    <w:p>
      <w:p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、生态系统结构</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pacing w:val="-6"/>
          <w:kern w:val="0"/>
          <w:sz w:val="24"/>
          <w:szCs w:val="24"/>
          <w:highlight w:val="none"/>
        </w:rPr>
        <w:t>评价区森林生态系统由次生植被以及人工</w:t>
      </w:r>
      <w:r>
        <w:rPr>
          <w:rFonts w:hint="default" w:ascii="Times New Roman" w:hAnsi="Times New Roman" w:cs="Times New Roman"/>
          <w:color w:val="auto"/>
          <w:spacing w:val="-6"/>
          <w:kern w:val="0"/>
          <w:sz w:val="24"/>
          <w:szCs w:val="24"/>
          <w:highlight w:val="none"/>
          <w:lang w:val="en-US" w:eastAsia="zh-CN"/>
        </w:rPr>
        <w:t>绿化</w:t>
      </w:r>
      <w:r>
        <w:rPr>
          <w:rFonts w:hint="default" w:ascii="Times New Roman" w:hAnsi="Times New Roman" w:cs="Times New Roman"/>
          <w:color w:val="auto"/>
          <w:spacing w:val="-6"/>
          <w:kern w:val="0"/>
          <w:sz w:val="24"/>
          <w:szCs w:val="24"/>
          <w:highlight w:val="none"/>
        </w:rPr>
        <w:t>林</w:t>
      </w:r>
      <w:r>
        <w:rPr>
          <w:rFonts w:hint="default" w:ascii="Times New Roman" w:hAnsi="Times New Roman" w:cs="Times New Roman"/>
          <w:color w:val="auto"/>
          <w:spacing w:val="-6"/>
          <w:kern w:val="0"/>
          <w:sz w:val="24"/>
          <w:szCs w:val="24"/>
          <w:highlight w:val="none"/>
          <w:lang w:eastAsia="zh-CN"/>
        </w:rPr>
        <w:t>、</w:t>
      </w:r>
      <w:r>
        <w:rPr>
          <w:rFonts w:hint="default" w:ascii="Times New Roman" w:hAnsi="Times New Roman" w:cs="Times New Roman"/>
          <w:color w:val="auto"/>
          <w:spacing w:val="-6"/>
          <w:kern w:val="0"/>
          <w:sz w:val="24"/>
          <w:szCs w:val="24"/>
          <w:highlight w:val="none"/>
          <w:lang w:val="en-US" w:eastAsia="zh-CN"/>
        </w:rPr>
        <w:t>防护林</w:t>
      </w:r>
      <w:r>
        <w:rPr>
          <w:rFonts w:hint="default" w:ascii="Times New Roman" w:hAnsi="Times New Roman" w:cs="Times New Roman"/>
          <w:color w:val="auto"/>
          <w:spacing w:val="-6"/>
          <w:kern w:val="0"/>
          <w:sz w:val="24"/>
          <w:szCs w:val="24"/>
          <w:highlight w:val="none"/>
        </w:rPr>
        <w:t>组成，包括</w:t>
      </w:r>
      <w:r>
        <w:rPr>
          <w:rFonts w:hint="default" w:ascii="Times New Roman" w:hAnsi="Times New Roman" w:cs="Times New Roman"/>
          <w:color w:val="auto"/>
          <w:spacing w:val="-6"/>
          <w:kern w:val="0"/>
          <w:sz w:val="24"/>
          <w:szCs w:val="24"/>
          <w:highlight w:val="none"/>
          <w:lang w:val="en-US" w:eastAsia="zh-CN"/>
        </w:rPr>
        <w:t>主要以垂柳（</w:t>
      </w:r>
      <w:r>
        <w:rPr>
          <w:rFonts w:hint="default" w:ascii="Times New Roman" w:hAnsi="Times New Roman" w:cs="Times New Roman"/>
          <w:i/>
          <w:iCs/>
          <w:color w:val="auto"/>
          <w:spacing w:val="-6"/>
          <w:kern w:val="0"/>
          <w:sz w:val="24"/>
          <w:szCs w:val="24"/>
          <w:highlight w:val="none"/>
          <w:lang w:val="en-US" w:eastAsia="zh-CN"/>
        </w:rPr>
        <w:t>Salix babylonica</w:t>
      </w:r>
      <w:r>
        <w:rPr>
          <w:rFonts w:hint="default" w:ascii="Times New Roman" w:hAnsi="Times New Roman" w:cs="Times New Roman"/>
          <w:color w:val="auto"/>
          <w:spacing w:val="-6"/>
          <w:kern w:val="0"/>
          <w:sz w:val="24"/>
          <w:szCs w:val="24"/>
          <w:highlight w:val="none"/>
          <w:lang w:val="en-US" w:eastAsia="zh-CN"/>
        </w:rPr>
        <w:t>）、木犀（</w:t>
      </w:r>
      <w:r>
        <w:rPr>
          <w:rFonts w:hint="default" w:ascii="Times New Roman" w:hAnsi="Times New Roman" w:cs="Times New Roman"/>
          <w:i/>
          <w:iCs/>
          <w:color w:val="auto"/>
          <w:spacing w:val="-6"/>
          <w:kern w:val="0"/>
          <w:sz w:val="24"/>
          <w:szCs w:val="24"/>
          <w:highlight w:val="none"/>
          <w:lang w:val="en-US" w:eastAsia="zh-CN"/>
        </w:rPr>
        <w:t>Osmanthus fragrans</w:t>
      </w:r>
      <w:r>
        <w:rPr>
          <w:rFonts w:hint="default" w:ascii="Times New Roman" w:hAnsi="Times New Roman" w:cs="Times New Roman"/>
          <w:color w:val="auto"/>
          <w:spacing w:val="-6"/>
          <w:kern w:val="0"/>
          <w:sz w:val="24"/>
          <w:szCs w:val="24"/>
          <w:highlight w:val="none"/>
          <w:lang w:val="en-US" w:eastAsia="zh-CN"/>
        </w:rPr>
        <w:t>）、女贞</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Ligustrum lucidum</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pacing w:val="-6"/>
          <w:kern w:val="0"/>
          <w:sz w:val="24"/>
          <w:szCs w:val="24"/>
          <w:highlight w:val="none"/>
          <w:lang w:val="en-US" w:eastAsia="zh-CN"/>
        </w:rPr>
        <w:t>、大叶黄杨（</w:t>
      </w:r>
      <w:r>
        <w:rPr>
          <w:rFonts w:hint="default" w:ascii="Times New Roman" w:hAnsi="Times New Roman" w:cs="Times New Roman"/>
          <w:i/>
          <w:iCs/>
          <w:color w:val="auto"/>
          <w:spacing w:val="-6"/>
          <w:kern w:val="0"/>
          <w:sz w:val="24"/>
          <w:szCs w:val="24"/>
          <w:highlight w:val="none"/>
          <w:lang w:val="en-US" w:eastAsia="zh-CN"/>
        </w:rPr>
        <w:t>Dicliptera chinensis</w:t>
      </w:r>
      <w:r>
        <w:rPr>
          <w:rFonts w:hint="default" w:ascii="Times New Roman" w:hAnsi="Times New Roman" w:cs="Times New Roman"/>
          <w:color w:val="auto"/>
          <w:spacing w:val="-6"/>
          <w:kern w:val="0"/>
          <w:sz w:val="24"/>
          <w:szCs w:val="24"/>
          <w:highlight w:val="none"/>
          <w:lang w:val="en-US" w:eastAsia="zh-CN"/>
        </w:rPr>
        <w:t>）等植被为</w:t>
      </w:r>
      <w:r>
        <w:rPr>
          <w:rFonts w:hint="default" w:ascii="Times New Roman" w:hAnsi="Times New Roman" w:cs="Times New Roman"/>
          <w:color w:val="auto"/>
          <w:spacing w:val="-6"/>
          <w:kern w:val="0"/>
          <w:sz w:val="24"/>
          <w:szCs w:val="24"/>
          <w:highlight w:val="none"/>
        </w:rPr>
        <w:t>主。</w:t>
      </w:r>
      <w:r>
        <w:rPr>
          <w:rFonts w:hint="default" w:ascii="Times New Roman" w:hAnsi="Times New Roman" w:cs="Times New Roman"/>
          <w:color w:val="auto"/>
          <w:spacing w:val="-6"/>
          <w:kern w:val="0"/>
          <w:sz w:val="24"/>
          <w:szCs w:val="24"/>
          <w:highlight w:val="none"/>
          <w:lang w:val="en-US" w:eastAsia="zh-CN"/>
        </w:rPr>
        <w:t>森林</w:t>
      </w:r>
      <w:r>
        <w:rPr>
          <w:rFonts w:hint="default" w:ascii="Times New Roman" w:hAnsi="Times New Roman" w:cs="Times New Roman"/>
          <w:color w:val="auto"/>
          <w:sz w:val="24"/>
          <w:szCs w:val="24"/>
          <w:highlight w:val="none"/>
        </w:rPr>
        <w:t>生态系统内</w:t>
      </w:r>
      <w:r>
        <w:rPr>
          <w:rFonts w:hint="default" w:ascii="Times New Roman" w:hAnsi="Times New Roman" w:cs="Times New Roman"/>
          <w:color w:val="auto"/>
          <w:sz w:val="24"/>
          <w:szCs w:val="24"/>
          <w:highlight w:val="none"/>
          <w:lang w:val="en-US" w:eastAsia="zh-CN"/>
        </w:rPr>
        <w:t>动物种类较少，主要为</w:t>
      </w:r>
      <w:r>
        <w:rPr>
          <w:rFonts w:hint="default" w:ascii="Times New Roman" w:hAnsi="Times New Roman" w:eastAsia="宋体" w:cs="Times New Roman"/>
          <w:color w:val="auto"/>
          <w:sz w:val="24"/>
          <w:szCs w:val="24"/>
          <w:highlight w:val="none"/>
        </w:rPr>
        <w:t>珠颈斑鸠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i/>
          <w:iCs/>
          <w:color w:val="auto"/>
          <w:sz w:val="24"/>
          <w:szCs w:val="24"/>
          <w:highlight w:val="none"/>
        </w:rPr>
        <w:t>Spilopelia chinensis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戴胜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i/>
          <w:iCs/>
          <w:color w:val="auto"/>
          <w:sz w:val="24"/>
          <w:szCs w:val="24"/>
          <w:highlight w:val="none"/>
        </w:rPr>
        <w:t>Upupa epops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黄臀鹎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i/>
          <w:iCs/>
          <w:color w:val="auto"/>
          <w:sz w:val="24"/>
          <w:szCs w:val="24"/>
          <w:highlight w:val="none"/>
        </w:rPr>
        <w:t>Pycnonotus xanthorrhous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白头鹎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i/>
          <w:iCs/>
          <w:color w:val="auto"/>
          <w:sz w:val="24"/>
          <w:szCs w:val="24"/>
          <w:highlight w:val="none"/>
        </w:rPr>
        <w:t>Pycnonotus sinensis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白喉红臀鹎</w:t>
      </w:r>
      <w:r>
        <w:rPr>
          <w:rFonts w:hint="default" w:ascii="Times New Roman" w:hAnsi="Times New Roman" w:eastAsia="宋体" w:cs="Times New Roman"/>
          <w:i/>
          <w:iCs/>
          <w:color w:val="auto"/>
          <w:sz w:val="24"/>
          <w:szCs w:val="24"/>
          <w:highlight w:val="none"/>
          <w:lang w:eastAsia="zh-CN"/>
        </w:rPr>
        <w:t>（</w:t>
      </w:r>
      <w:r>
        <w:rPr>
          <w:rFonts w:hint="default" w:ascii="Times New Roman" w:hAnsi="Times New Roman" w:eastAsia="宋体" w:cs="Times New Roman"/>
          <w:i/>
          <w:iCs/>
          <w:color w:val="auto"/>
          <w:sz w:val="24"/>
          <w:szCs w:val="24"/>
          <w:highlight w:val="none"/>
        </w:rPr>
        <w:t>Pycnonotus aurigaster</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红头长尾山雀</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i/>
          <w:iCs/>
          <w:color w:val="auto"/>
          <w:sz w:val="24"/>
          <w:szCs w:val="24"/>
          <w:highlight w:val="none"/>
        </w:rPr>
        <w:t>Aegithalos concinnus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等常见鸟类。</w:t>
      </w:r>
    </w:p>
    <w:p>
      <w:p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、生态系统功能</w:t>
      </w:r>
    </w:p>
    <w:p>
      <w:pPr>
        <w:spacing w:line="360" w:lineRule="auto"/>
        <w:ind w:firstLine="456"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pacing w:val="-6"/>
          <w:kern w:val="0"/>
          <w:sz w:val="24"/>
          <w:szCs w:val="24"/>
          <w:highlight w:val="none"/>
        </w:rPr>
        <w:t>评价区森林生态系统</w:t>
      </w:r>
      <w:r>
        <w:rPr>
          <w:rFonts w:hint="default" w:ascii="Times New Roman" w:hAnsi="Times New Roman" w:cs="Times New Roman"/>
          <w:color w:val="auto"/>
          <w:spacing w:val="-6"/>
          <w:kern w:val="0"/>
          <w:sz w:val="24"/>
          <w:szCs w:val="24"/>
          <w:highlight w:val="none"/>
          <w:lang w:val="en-US" w:eastAsia="zh-CN"/>
        </w:rPr>
        <w:t>结构和功能较单一，主要功能为固碳释氧，</w:t>
      </w:r>
      <w:r>
        <w:rPr>
          <w:rFonts w:hint="default" w:ascii="Times New Roman" w:hAnsi="Times New Roman" w:cs="Times New Roman"/>
          <w:color w:val="auto"/>
          <w:sz w:val="24"/>
          <w:szCs w:val="24"/>
          <w:highlight w:val="none"/>
        </w:rPr>
        <w:t>降低</w:t>
      </w:r>
      <w:r>
        <w:rPr>
          <w:rFonts w:hint="default" w:ascii="Times New Roman" w:hAnsi="Times New Roman" w:cs="Times New Roman"/>
          <w:color w:val="auto"/>
          <w:sz w:val="24"/>
          <w:szCs w:val="24"/>
          <w:highlight w:val="none"/>
          <w:lang w:val="en-US" w:eastAsia="zh-CN"/>
        </w:rPr>
        <w:t>强风</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降雨</w:t>
      </w:r>
      <w:r>
        <w:rPr>
          <w:rFonts w:hint="default" w:ascii="Times New Roman" w:hAnsi="Times New Roman" w:cs="Times New Roman"/>
          <w:color w:val="auto"/>
          <w:sz w:val="24"/>
          <w:szCs w:val="24"/>
          <w:highlight w:val="none"/>
        </w:rPr>
        <w:t>、霜冻等自然灾害危害的功能。</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482" w:firstLineChars="200"/>
        <w:textAlignment w:val="auto"/>
        <w:outlineLvl w:val="9"/>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4.</w:t>
      </w:r>
      <w:r>
        <w:rPr>
          <w:rFonts w:hint="eastAsia" w:cs="Times New Roman"/>
          <w:b/>
          <w:bCs/>
          <w:color w:val="auto"/>
          <w:kern w:val="0"/>
          <w:sz w:val="24"/>
          <w:szCs w:val="24"/>
          <w:highlight w:val="none"/>
          <w:lang w:val="en-US" w:eastAsia="zh-CN"/>
        </w:rPr>
        <w:t>5</w:t>
      </w:r>
      <w:r>
        <w:rPr>
          <w:rFonts w:hint="default" w:ascii="Times New Roman" w:hAnsi="Times New Roman" w:eastAsia="宋体" w:cs="Times New Roman"/>
          <w:b/>
          <w:bCs/>
          <w:color w:val="auto"/>
          <w:kern w:val="0"/>
          <w:sz w:val="24"/>
          <w:szCs w:val="24"/>
          <w:highlight w:val="none"/>
          <w:lang w:val="en-US" w:eastAsia="zh-CN"/>
        </w:rPr>
        <w:t>.2.2灌丛生态系统</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根据卫片解译</w:t>
      </w:r>
      <w:r>
        <w:rPr>
          <w:rFonts w:hint="default" w:ascii="Times New Roman" w:hAnsi="Times New Roman" w:cs="Times New Roman"/>
          <w:color w:val="auto"/>
          <w:sz w:val="24"/>
          <w:szCs w:val="24"/>
          <w:highlight w:val="none"/>
          <w:lang w:val="en-US" w:eastAsia="zh-CN"/>
        </w:rPr>
        <w:t>和现场调查</w:t>
      </w:r>
      <w:r>
        <w:rPr>
          <w:rFonts w:hint="default" w:ascii="Times New Roman" w:hAnsi="Times New Roman" w:cs="Times New Roman"/>
          <w:color w:val="auto"/>
          <w:sz w:val="24"/>
          <w:szCs w:val="24"/>
          <w:highlight w:val="none"/>
        </w:rPr>
        <w:t>，评价区灌丛生态系统面积为</w:t>
      </w:r>
      <w:r>
        <w:rPr>
          <w:rFonts w:hint="default" w:cs="Times New Roman"/>
          <w:color w:val="auto"/>
          <w:sz w:val="24"/>
          <w:szCs w:val="24"/>
          <w:highlight w:val="none"/>
          <w:lang w:val="en-US" w:eastAsia="zh-CN"/>
        </w:rPr>
        <w:t>2.58</w:t>
      </w:r>
      <w:r>
        <w:rPr>
          <w:rFonts w:hint="default" w:ascii="Times New Roman" w:hAnsi="Times New Roman" w:cs="Times New Roman"/>
          <w:color w:val="auto"/>
          <w:sz w:val="24"/>
          <w:szCs w:val="24"/>
          <w:highlight w:val="none"/>
        </w:rPr>
        <w:t>hm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，占评价区生态系统总面积的0.</w:t>
      </w:r>
      <w:r>
        <w:rPr>
          <w:rFonts w:hint="default" w:cs="Times New Roman"/>
          <w:color w:val="auto"/>
          <w:sz w:val="24"/>
          <w:szCs w:val="24"/>
          <w:highlight w:val="none"/>
          <w:lang w:val="en-US" w:eastAsia="zh-CN"/>
        </w:rPr>
        <w:t>35</w:t>
      </w:r>
      <w:r>
        <w:rPr>
          <w:rFonts w:hint="default" w:ascii="Times New Roman" w:hAnsi="Times New Roman" w:cs="Times New Roman"/>
          <w:color w:val="auto"/>
          <w:sz w:val="24"/>
          <w:szCs w:val="24"/>
          <w:highlight w:val="none"/>
        </w:rPr>
        <w:t>%，占比</w:t>
      </w:r>
      <w:r>
        <w:rPr>
          <w:rFonts w:hint="default" w:ascii="Times New Roman" w:hAnsi="Times New Roman" w:cs="Times New Roman"/>
          <w:color w:val="auto"/>
          <w:sz w:val="24"/>
          <w:szCs w:val="24"/>
          <w:highlight w:val="none"/>
          <w:lang w:val="en-US" w:eastAsia="zh-CN"/>
        </w:rPr>
        <w:t>极</w:t>
      </w:r>
      <w:r>
        <w:rPr>
          <w:rFonts w:hint="default" w:ascii="Times New Roman" w:hAnsi="Times New Roman" w:cs="Times New Roman"/>
          <w:color w:val="auto"/>
          <w:sz w:val="24"/>
          <w:szCs w:val="24"/>
          <w:highlight w:val="none"/>
        </w:rPr>
        <w:t>小。根据现场调查，评价区灌丛生态系统主要分布在湘江东岸沿江风光带整治区。</w:t>
      </w:r>
    </w:p>
    <w:p>
      <w:p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、生态系统结构</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灌丛多是森林遭到毁坏后次生演替形成。评价区灌丛生态系统内植被以灌丛组成。评价区内常见的灌丛群系有野蔷薇灌丛（Form. </w:t>
      </w:r>
      <w:r>
        <w:rPr>
          <w:rFonts w:hint="default" w:ascii="Times New Roman" w:hAnsi="Times New Roman" w:cs="Times New Roman"/>
          <w:i/>
          <w:iCs/>
          <w:color w:val="auto"/>
          <w:sz w:val="24"/>
          <w:szCs w:val="24"/>
          <w:highlight w:val="none"/>
        </w:rPr>
        <w:t>Rosa multiflora</w:t>
      </w:r>
      <w:r>
        <w:rPr>
          <w:rFonts w:hint="default" w:ascii="Times New Roman" w:hAnsi="Times New Roman" w:cs="Times New Roman"/>
          <w:color w:val="auto"/>
          <w:sz w:val="24"/>
          <w:szCs w:val="24"/>
          <w:highlight w:val="none"/>
        </w:rPr>
        <w:t xml:space="preserve">）、苎麻灌丛（Form. </w:t>
      </w:r>
      <w:r>
        <w:rPr>
          <w:rFonts w:hint="default" w:ascii="Times New Roman" w:hAnsi="Times New Roman" w:cs="Times New Roman"/>
          <w:i/>
          <w:iCs/>
          <w:color w:val="auto"/>
          <w:sz w:val="24"/>
          <w:szCs w:val="24"/>
          <w:highlight w:val="none"/>
        </w:rPr>
        <w:t>Boehmeria nivea</w:t>
      </w:r>
      <w:r>
        <w:rPr>
          <w:rFonts w:hint="default" w:ascii="Times New Roman" w:hAnsi="Times New Roman" w:cs="Times New Roman"/>
          <w:color w:val="auto"/>
          <w:sz w:val="24"/>
          <w:szCs w:val="24"/>
          <w:highlight w:val="none"/>
        </w:rPr>
        <w:t>）等。灌丛生态系统为小型动物提供食物和栖息的场所，其中爬行类主要为北草蜥（</w:t>
      </w:r>
      <w:r>
        <w:rPr>
          <w:rFonts w:hint="default" w:ascii="Times New Roman" w:hAnsi="Times New Roman" w:cs="Times New Roman"/>
          <w:i/>
          <w:color w:val="auto"/>
          <w:sz w:val="24"/>
          <w:szCs w:val="24"/>
          <w:highlight w:val="none"/>
        </w:rPr>
        <w:t>Takydromus septentrionalis</w:t>
      </w:r>
      <w:r>
        <w:rPr>
          <w:rFonts w:hint="default" w:ascii="Times New Roman" w:hAnsi="Times New Roman" w:cs="Times New Roman"/>
          <w:color w:val="auto"/>
          <w:sz w:val="24"/>
          <w:szCs w:val="24"/>
          <w:highlight w:val="none"/>
        </w:rPr>
        <w:t>）、中国石龙子（</w:t>
      </w:r>
      <w:r>
        <w:rPr>
          <w:rFonts w:hint="default" w:ascii="Times New Roman" w:hAnsi="Times New Roman" w:cs="Times New Roman"/>
          <w:i/>
          <w:color w:val="auto"/>
          <w:sz w:val="24"/>
          <w:szCs w:val="24"/>
          <w:highlight w:val="none"/>
        </w:rPr>
        <w:t>Plestiodon chinensis</w:t>
      </w:r>
      <w:r>
        <w:rPr>
          <w:rFonts w:hint="default" w:ascii="Times New Roman" w:hAnsi="Times New Roman" w:cs="Times New Roman"/>
          <w:color w:val="auto"/>
          <w:sz w:val="24"/>
          <w:szCs w:val="24"/>
          <w:highlight w:val="none"/>
        </w:rPr>
        <w:t>）等灌丛石隙型种类；鸟类主要为棕头鸦雀（</w:t>
      </w:r>
      <w:r>
        <w:rPr>
          <w:rFonts w:hint="default" w:ascii="Times New Roman" w:hAnsi="Times New Roman" w:cs="Times New Roman"/>
          <w:i/>
          <w:iCs/>
          <w:color w:val="auto"/>
          <w:sz w:val="24"/>
          <w:szCs w:val="24"/>
          <w:highlight w:val="none"/>
        </w:rPr>
        <w:t>Sinosuthora webbiana</w:t>
      </w:r>
      <w:r>
        <w:rPr>
          <w:rFonts w:hint="default" w:ascii="Times New Roman" w:hAnsi="Times New Roman" w:cs="Times New Roman"/>
          <w:color w:val="auto"/>
          <w:sz w:val="24"/>
          <w:szCs w:val="24"/>
          <w:highlight w:val="none"/>
        </w:rPr>
        <w:t>）、白颊噪鹛（</w:t>
      </w:r>
      <w:r>
        <w:rPr>
          <w:rFonts w:hint="default" w:ascii="Times New Roman" w:hAnsi="Times New Roman" w:cs="Times New Roman"/>
          <w:i/>
          <w:iCs/>
          <w:color w:val="auto"/>
          <w:sz w:val="24"/>
          <w:szCs w:val="24"/>
          <w:highlight w:val="none"/>
        </w:rPr>
        <w:t>Pterorhinus sannio</w:t>
      </w:r>
      <w:r>
        <w:rPr>
          <w:rFonts w:hint="default" w:ascii="Times New Roman" w:hAnsi="Times New Roman" w:cs="Times New Roman"/>
          <w:color w:val="auto"/>
          <w:sz w:val="24"/>
          <w:szCs w:val="24"/>
          <w:highlight w:val="none"/>
        </w:rPr>
        <w:t>）、八哥（</w:t>
      </w:r>
      <w:r>
        <w:rPr>
          <w:rFonts w:hint="default" w:ascii="Times New Roman" w:hAnsi="Times New Roman" w:cs="Times New Roman"/>
          <w:i/>
          <w:iCs/>
          <w:color w:val="auto"/>
          <w:sz w:val="24"/>
          <w:szCs w:val="24"/>
          <w:highlight w:val="none"/>
        </w:rPr>
        <w:t>Acridotheres cristatellus</w:t>
      </w:r>
      <w:r>
        <w:rPr>
          <w:rFonts w:hint="default" w:ascii="Times New Roman" w:hAnsi="Times New Roman" w:cs="Times New Roman"/>
          <w:color w:val="auto"/>
          <w:sz w:val="24"/>
          <w:szCs w:val="24"/>
          <w:highlight w:val="none"/>
        </w:rPr>
        <w:t>）、斑文鸟（</w:t>
      </w:r>
      <w:r>
        <w:rPr>
          <w:rFonts w:hint="default" w:ascii="Times New Roman" w:hAnsi="Times New Roman" w:cs="Times New Roman"/>
          <w:i/>
          <w:iCs/>
          <w:color w:val="auto"/>
          <w:sz w:val="24"/>
          <w:szCs w:val="24"/>
          <w:highlight w:val="none"/>
        </w:rPr>
        <w:t>Lonchura punctulata</w:t>
      </w:r>
      <w:r>
        <w:rPr>
          <w:rFonts w:hint="default" w:ascii="Times New Roman" w:hAnsi="Times New Roman" w:cs="Times New Roman"/>
          <w:color w:val="auto"/>
          <w:sz w:val="24"/>
          <w:szCs w:val="24"/>
          <w:highlight w:val="none"/>
        </w:rPr>
        <w:t>）等</w:t>
      </w:r>
      <w:r>
        <w:rPr>
          <w:rFonts w:hint="default" w:ascii="Times New Roman" w:hAnsi="Times New Roman" w:cs="Times New Roman"/>
          <w:color w:val="auto"/>
          <w:sz w:val="24"/>
          <w:szCs w:val="24"/>
          <w:highlight w:val="none"/>
          <w:lang w:val="en-US" w:eastAsia="zh-CN"/>
        </w:rPr>
        <w:t>小型</w:t>
      </w:r>
      <w:r>
        <w:rPr>
          <w:rFonts w:hint="default" w:ascii="Times New Roman" w:hAnsi="Times New Roman" w:cs="Times New Roman"/>
          <w:color w:val="auto"/>
          <w:sz w:val="24"/>
          <w:szCs w:val="24"/>
          <w:highlight w:val="none"/>
        </w:rPr>
        <w:t>鸣禽；</w:t>
      </w:r>
      <w:r>
        <w:rPr>
          <w:rFonts w:hint="default" w:ascii="Times New Roman" w:hAnsi="Times New Roman" w:cs="Times New Roman"/>
          <w:color w:val="auto"/>
          <w:sz w:val="24"/>
          <w:szCs w:val="24"/>
          <w:highlight w:val="none"/>
          <w:lang w:eastAsia="zh-CN"/>
        </w:rPr>
        <w:t>哺乳类</w:t>
      </w:r>
      <w:r>
        <w:rPr>
          <w:rFonts w:hint="default" w:ascii="Times New Roman" w:hAnsi="Times New Roman" w:cs="Times New Roman"/>
          <w:color w:val="auto"/>
          <w:sz w:val="24"/>
          <w:szCs w:val="24"/>
          <w:highlight w:val="none"/>
        </w:rPr>
        <w:t>主要为黄鼬（</w:t>
      </w:r>
      <w:r>
        <w:rPr>
          <w:rFonts w:hint="default" w:ascii="Times New Roman" w:hAnsi="Times New Roman" w:cs="Times New Roman"/>
          <w:i/>
          <w:iCs/>
          <w:color w:val="auto"/>
          <w:sz w:val="24"/>
          <w:szCs w:val="24"/>
          <w:highlight w:val="none"/>
        </w:rPr>
        <w:t>Mustela</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iCs/>
          <w:color w:val="auto"/>
          <w:sz w:val="24"/>
          <w:szCs w:val="24"/>
          <w:highlight w:val="none"/>
        </w:rPr>
        <w:t>sibirica</w:t>
      </w:r>
      <w:r>
        <w:rPr>
          <w:rFonts w:hint="default" w:ascii="Times New Roman" w:hAnsi="Times New Roman" w:cs="Times New Roman"/>
          <w:color w:val="auto"/>
          <w:sz w:val="24"/>
          <w:szCs w:val="24"/>
          <w:highlight w:val="none"/>
        </w:rPr>
        <w:t>）、黑线姬鼠（</w:t>
      </w:r>
      <w:r>
        <w:rPr>
          <w:rFonts w:hint="default" w:ascii="Times New Roman" w:hAnsi="Times New Roman" w:cs="Times New Roman"/>
          <w:i/>
          <w:iCs/>
          <w:color w:val="auto"/>
          <w:sz w:val="24"/>
          <w:szCs w:val="24"/>
          <w:highlight w:val="none"/>
        </w:rPr>
        <w:t>Apodemus agrarius</w:t>
      </w:r>
      <w:r>
        <w:rPr>
          <w:rFonts w:hint="default" w:ascii="Times New Roman" w:hAnsi="Times New Roman" w:cs="Times New Roman"/>
          <w:color w:val="auto"/>
          <w:sz w:val="24"/>
          <w:szCs w:val="24"/>
          <w:highlight w:val="none"/>
        </w:rPr>
        <w:t>）等半地下生活型种类。</w:t>
      </w:r>
    </w:p>
    <w:p>
      <w:p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、生态系统功能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评价区内</w:t>
      </w:r>
      <w:r>
        <w:rPr>
          <w:rFonts w:hint="default" w:ascii="Times New Roman" w:hAnsi="Times New Roman" w:cs="Times New Roman"/>
          <w:color w:val="auto"/>
          <w:sz w:val="24"/>
          <w:szCs w:val="24"/>
          <w:highlight w:val="none"/>
        </w:rPr>
        <w:t>灌丛生态系统形态结构及营养结构相对简单，适应性强。其生态服务功能</w:t>
      </w:r>
      <w:r>
        <w:rPr>
          <w:rFonts w:hint="eastAsia" w:cs="Times New Roman"/>
          <w:color w:val="auto"/>
          <w:sz w:val="24"/>
          <w:szCs w:val="24"/>
          <w:highlight w:val="none"/>
          <w:lang w:eastAsia="zh-CN"/>
        </w:rPr>
        <w:t>主要</w:t>
      </w:r>
      <w:r>
        <w:rPr>
          <w:rFonts w:hint="default" w:ascii="Times New Roman" w:hAnsi="Times New Roman" w:cs="Times New Roman"/>
          <w:color w:val="auto"/>
          <w:sz w:val="24"/>
          <w:szCs w:val="24"/>
          <w:highlight w:val="none"/>
          <w:lang w:val="en-US" w:eastAsia="zh-CN"/>
        </w:rPr>
        <w:t>为</w:t>
      </w:r>
      <w:r>
        <w:rPr>
          <w:rFonts w:hint="default" w:ascii="Times New Roman" w:hAnsi="Times New Roman" w:cs="Times New Roman"/>
          <w:color w:val="auto"/>
          <w:sz w:val="24"/>
          <w:szCs w:val="24"/>
          <w:highlight w:val="none"/>
        </w:rPr>
        <w:t>涵养水源、保持水土、防风固沙等方面。</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482" w:firstLineChars="200"/>
        <w:textAlignment w:val="auto"/>
        <w:outlineLvl w:val="9"/>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4.</w:t>
      </w:r>
      <w:r>
        <w:rPr>
          <w:rFonts w:hint="eastAsia" w:cs="Times New Roman"/>
          <w:b/>
          <w:bCs/>
          <w:color w:val="auto"/>
          <w:kern w:val="0"/>
          <w:sz w:val="24"/>
          <w:szCs w:val="24"/>
          <w:highlight w:val="none"/>
          <w:lang w:val="en-US" w:eastAsia="zh-CN"/>
        </w:rPr>
        <w:t>5</w:t>
      </w:r>
      <w:r>
        <w:rPr>
          <w:rFonts w:hint="default" w:ascii="Times New Roman" w:hAnsi="Times New Roman" w:eastAsia="宋体" w:cs="Times New Roman"/>
          <w:b/>
          <w:bCs/>
          <w:color w:val="auto"/>
          <w:kern w:val="0"/>
          <w:sz w:val="24"/>
          <w:szCs w:val="24"/>
          <w:highlight w:val="none"/>
          <w:lang w:val="en-US" w:eastAsia="zh-CN"/>
        </w:rPr>
        <w:t>.2.3草地生态系统</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草地生态系统是灌丛群落与其环境在功能流的作用下形成一定结构、功能和自调控的自然综合体，是评价区所属区域特殊的气候条件所形成的一种生态系统。根据现场踏勘结合遥感图片解译，评价区内草地生态系统面积为4.17hm</w:t>
      </w:r>
      <w:r>
        <w:rPr>
          <w:rFonts w:hint="default" w:ascii="Times New Roman" w:hAnsi="Times New Roman" w:cs="Times New Roman"/>
          <w:color w:val="auto"/>
          <w:kern w:val="0"/>
          <w:sz w:val="24"/>
          <w:szCs w:val="24"/>
          <w:highlight w:val="none"/>
          <w:vertAlign w:val="superscript"/>
        </w:rPr>
        <w:t>2</w:t>
      </w:r>
      <w:r>
        <w:rPr>
          <w:rFonts w:hint="default" w:ascii="Times New Roman" w:hAnsi="Times New Roman" w:cs="Times New Roman"/>
          <w:color w:val="auto"/>
          <w:kern w:val="0"/>
          <w:sz w:val="24"/>
          <w:szCs w:val="24"/>
          <w:highlight w:val="none"/>
        </w:rPr>
        <w:t>，占评价区总面积的0.</w:t>
      </w:r>
      <w:r>
        <w:rPr>
          <w:rFonts w:hint="eastAsia"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7%，占比</w:t>
      </w:r>
      <w:r>
        <w:rPr>
          <w:rFonts w:hint="default" w:ascii="Times New Roman" w:hAnsi="Times New Roman" w:cs="Times New Roman"/>
          <w:color w:val="auto"/>
          <w:kern w:val="0"/>
          <w:sz w:val="24"/>
          <w:szCs w:val="24"/>
          <w:highlight w:val="none"/>
          <w:lang w:val="en-US" w:eastAsia="zh-CN"/>
        </w:rPr>
        <w:t>极</w:t>
      </w:r>
      <w:r>
        <w:rPr>
          <w:rFonts w:hint="default" w:ascii="Times New Roman" w:hAnsi="Times New Roman" w:cs="Times New Roman"/>
          <w:color w:val="auto"/>
          <w:kern w:val="0"/>
          <w:sz w:val="24"/>
          <w:szCs w:val="24"/>
          <w:highlight w:val="none"/>
        </w:rPr>
        <w:t>小。</w:t>
      </w:r>
    </w:p>
    <w:p>
      <w:pPr>
        <w:widowControl/>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、生态系统结构</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（1）植被现状</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评价区内草地生态系统主要分布于湘江东岸沿江风光带整治区和东洲岛附近。植被主要为草丛，常见的群系有白茅灌草丛（</w:t>
      </w:r>
      <w:r>
        <w:rPr>
          <w:rFonts w:hint="default" w:ascii="Times New Roman" w:hAnsi="Times New Roman" w:cs="Times New Roman"/>
          <w:color w:val="auto"/>
          <w:spacing w:val="-6"/>
          <w:kern w:val="0"/>
          <w:sz w:val="24"/>
          <w:szCs w:val="24"/>
          <w:highlight w:val="none"/>
        </w:rPr>
        <w:t>Form.</w:t>
      </w:r>
      <w:r>
        <w:rPr>
          <w:rFonts w:hint="default" w:ascii="Times New Roman" w:hAnsi="Times New Roman" w:cs="Times New Roman"/>
          <w:color w:val="auto"/>
          <w:highlight w:val="none"/>
        </w:rPr>
        <w:t xml:space="preserve"> </w:t>
      </w:r>
      <w:r>
        <w:rPr>
          <w:rFonts w:hint="default" w:ascii="Times New Roman" w:hAnsi="Times New Roman" w:cs="Times New Roman"/>
          <w:i/>
          <w:iCs/>
          <w:color w:val="auto"/>
          <w:sz w:val="24"/>
          <w:szCs w:val="24"/>
          <w:highlight w:val="none"/>
        </w:rPr>
        <w:t>Imperata</w:t>
      </w:r>
      <w:r>
        <w:rPr>
          <w:rFonts w:hint="default" w:ascii="Times New Roman" w:hAnsi="Times New Roman" w:cs="Times New Roman"/>
          <w:color w:val="auto"/>
          <w:spacing w:val="-6"/>
          <w:kern w:val="0"/>
          <w:sz w:val="24"/>
          <w:szCs w:val="24"/>
          <w:highlight w:val="none"/>
        </w:rPr>
        <w:t xml:space="preserve"> </w:t>
      </w:r>
      <w:r>
        <w:rPr>
          <w:rFonts w:hint="default" w:ascii="Times New Roman" w:hAnsi="Times New Roman" w:cs="Times New Roman"/>
          <w:i/>
          <w:iCs/>
          <w:color w:val="auto"/>
          <w:sz w:val="24"/>
          <w:szCs w:val="24"/>
          <w:highlight w:val="none"/>
        </w:rPr>
        <w:t>cylindrica</w:t>
      </w:r>
      <w:r>
        <w:rPr>
          <w:rFonts w:hint="default" w:ascii="Times New Roman" w:hAnsi="Times New Roman" w:cs="Times New Roman"/>
          <w:color w:val="auto"/>
          <w:sz w:val="24"/>
          <w:szCs w:val="24"/>
          <w:highlight w:val="none"/>
        </w:rPr>
        <w:t>）、五节芒灌草丛（Form.</w:t>
      </w:r>
      <w:r>
        <w:rPr>
          <w:rFonts w:hint="default" w:ascii="Times New Roman" w:hAnsi="Times New Roman" w:cs="Times New Roman"/>
          <w:i/>
          <w:iCs/>
          <w:color w:val="auto"/>
          <w:sz w:val="24"/>
          <w:szCs w:val="24"/>
          <w:highlight w:val="none"/>
        </w:rPr>
        <w:t xml:space="preserve"> Miscanthus floridulus</w:t>
      </w:r>
      <w:r>
        <w:rPr>
          <w:rFonts w:hint="default" w:ascii="Times New Roman" w:hAnsi="Times New Roman" w:cs="Times New Roman"/>
          <w:color w:val="auto"/>
          <w:sz w:val="24"/>
          <w:szCs w:val="24"/>
          <w:highlight w:val="none"/>
        </w:rPr>
        <w:t>）、稗灌草丛（Form.</w:t>
      </w:r>
      <w:r>
        <w:rPr>
          <w:rFonts w:hint="default" w:ascii="Times New Roman" w:hAnsi="Times New Roman" w:cs="Times New Roman"/>
          <w:i/>
          <w:iCs/>
          <w:color w:val="auto"/>
          <w:sz w:val="24"/>
          <w:szCs w:val="24"/>
          <w:highlight w:val="none"/>
        </w:rPr>
        <w:t xml:space="preserve"> Echinochloa crus-galli</w:t>
      </w:r>
      <w:r>
        <w:rPr>
          <w:rFonts w:hint="default" w:ascii="Times New Roman" w:hAnsi="Times New Roman" w:cs="Times New Roman"/>
          <w:color w:val="auto"/>
          <w:sz w:val="24"/>
          <w:szCs w:val="24"/>
          <w:highlight w:val="none"/>
        </w:rPr>
        <w:t xml:space="preserve">）、苍耳灌草丛（Form. </w:t>
      </w:r>
      <w:r>
        <w:rPr>
          <w:rFonts w:hint="default" w:ascii="Times New Roman" w:hAnsi="Times New Roman" w:cs="Times New Roman"/>
          <w:i/>
          <w:iCs/>
          <w:color w:val="auto"/>
          <w:sz w:val="24"/>
          <w:szCs w:val="24"/>
          <w:highlight w:val="none"/>
        </w:rPr>
        <w:t>Xanthium strumarium</w:t>
      </w:r>
      <w:r>
        <w:rPr>
          <w:rFonts w:hint="default" w:ascii="Times New Roman" w:hAnsi="Times New Roman" w:cs="Times New Roman"/>
          <w:color w:val="auto"/>
          <w:sz w:val="24"/>
          <w:szCs w:val="24"/>
          <w:highlight w:val="none"/>
        </w:rPr>
        <w:t xml:space="preserve">）、狗牙根灌草丛（Form. </w:t>
      </w:r>
      <w:r>
        <w:rPr>
          <w:rFonts w:hint="default" w:ascii="Times New Roman" w:hAnsi="Times New Roman" w:cs="Times New Roman"/>
          <w:i/>
          <w:iCs/>
          <w:color w:val="auto"/>
          <w:sz w:val="24"/>
          <w:szCs w:val="24"/>
          <w:highlight w:val="none"/>
        </w:rPr>
        <w:t>Cynodon dactylon</w:t>
      </w:r>
      <w:r>
        <w:rPr>
          <w:rFonts w:hint="default" w:ascii="Times New Roman" w:hAnsi="Times New Roman" w:cs="Times New Roman"/>
          <w:color w:val="auto"/>
          <w:sz w:val="24"/>
          <w:szCs w:val="24"/>
          <w:highlight w:val="none"/>
        </w:rPr>
        <w:t xml:space="preserve">）、窃衣灌草丛（Form. </w:t>
      </w:r>
      <w:r>
        <w:rPr>
          <w:rFonts w:hint="default" w:ascii="Times New Roman" w:hAnsi="Times New Roman" w:cs="Times New Roman"/>
          <w:i/>
          <w:iCs/>
          <w:color w:val="auto"/>
          <w:sz w:val="24"/>
          <w:szCs w:val="24"/>
          <w:highlight w:val="none"/>
        </w:rPr>
        <w:t>Torilis scabra</w:t>
      </w:r>
      <w:r>
        <w:rPr>
          <w:rFonts w:hint="default" w:ascii="Times New Roman" w:hAnsi="Times New Roman" w:cs="Times New Roman"/>
          <w:color w:val="auto"/>
          <w:sz w:val="24"/>
          <w:szCs w:val="24"/>
          <w:highlight w:val="none"/>
        </w:rPr>
        <w:t xml:space="preserve">）、芦竹灌草丛（Form. </w:t>
      </w:r>
      <w:r>
        <w:rPr>
          <w:rFonts w:hint="default" w:ascii="Times New Roman" w:hAnsi="Times New Roman" w:cs="Times New Roman"/>
          <w:i/>
          <w:iCs/>
          <w:color w:val="auto"/>
          <w:sz w:val="24"/>
          <w:szCs w:val="24"/>
          <w:highlight w:val="none"/>
        </w:rPr>
        <w:t>Arundo donax</w:t>
      </w:r>
      <w:r>
        <w:rPr>
          <w:rFonts w:hint="default" w:ascii="Times New Roman" w:hAnsi="Times New Roman" w:cs="Times New Roman"/>
          <w:color w:val="auto"/>
          <w:sz w:val="24"/>
          <w:szCs w:val="24"/>
          <w:highlight w:val="none"/>
        </w:rPr>
        <w:t xml:space="preserve">）、南苜蓿灌草丛（Form. </w:t>
      </w:r>
      <w:r>
        <w:rPr>
          <w:rFonts w:hint="default" w:ascii="Times New Roman" w:hAnsi="Times New Roman" w:cs="Times New Roman"/>
          <w:i/>
          <w:iCs/>
          <w:color w:val="auto"/>
          <w:sz w:val="24"/>
          <w:szCs w:val="24"/>
          <w:highlight w:val="none"/>
        </w:rPr>
        <w:t>Medicago polymorph</w:t>
      </w:r>
      <w:r>
        <w:rPr>
          <w:rFonts w:hint="default" w:ascii="Times New Roman" w:hAnsi="Times New Roman" w:cs="Times New Roman"/>
          <w:color w:val="auto"/>
          <w:sz w:val="24"/>
          <w:szCs w:val="24"/>
          <w:highlight w:val="none"/>
        </w:rPr>
        <w:t xml:space="preserve">）、白车轴草灌草丛（Form. </w:t>
      </w:r>
      <w:r>
        <w:rPr>
          <w:rFonts w:hint="default" w:ascii="Times New Roman" w:hAnsi="Times New Roman" w:cs="Times New Roman"/>
          <w:i/>
          <w:iCs/>
          <w:color w:val="auto"/>
          <w:sz w:val="24"/>
          <w:szCs w:val="24"/>
          <w:highlight w:val="none"/>
        </w:rPr>
        <w:t>Trifolium repens</w:t>
      </w:r>
      <w:r>
        <w:rPr>
          <w:rFonts w:hint="default" w:ascii="Times New Roman" w:hAnsi="Times New Roman" w:cs="Times New Roman"/>
          <w:color w:val="auto"/>
          <w:sz w:val="24"/>
          <w:szCs w:val="24"/>
          <w:highlight w:val="none"/>
        </w:rPr>
        <w:t>）等。</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（2）动物现状</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评价区内的草地生态系统由于</w:t>
      </w:r>
      <w:r>
        <w:rPr>
          <w:rFonts w:hint="default" w:ascii="Times New Roman" w:hAnsi="Times New Roman" w:cs="Times New Roman"/>
          <w:color w:val="auto"/>
          <w:sz w:val="24"/>
          <w:szCs w:val="24"/>
          <w:highlight w:val="none"/>
          <w:lang w:val="en-US" w:eastAsia="zh-CN"/>
        </w:rPr>
        <w:t>面积小</w:t>
      </w:r>
      <w:r>
        <w:rPr>
          <w:rFonts w:hint="default" w:ascii="Times New Roman" w:hAnsi="Times New Roman" w:cs="Times New Roman"/>
          <w:color w:val="auto"/>
          <w:sz w:val="24"/>
          <w:szCs w:val="24"/>
          <w:highlight w:val="none"/>
        </w:rPr>
        <w:t>，陆生动物多样性较低。两栖类主要为中华蟾蜍（</w:t>
      </w:r>
      <w:r>
        <w:rPr>
          <w:rFonts w:hint="default" w:ascii="Times New Roman" w:hAnsi="Times New Roman" w:cs="Times New Roman"/>
          <w:i/>
          <w:iCs/>
          <w:color w:val="auto"/>
          <w:sz w:val="24"/>
          <w:szCs w:val="24"/>
          <w:highlight w:val="none"/>
        </w:rPr>
        <w:t>Bufo</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iCs/>
          <w:color w:val="auto"/>
          <w:sz w:val="24"/>
          <w:szCs w:val="24"/>
          <w:highlight w:val="none"/>
        </w:rPr>
        <w:t>gargarizans</w:t>
      </w:r>
      <w:r>
        <w:rPr>
          <w:rFonts w:hint="default" w:ascii="Times New Roman" w:hAnsi="Times New Roman" w:cs="Times New Roman"/>
          <w:color w:val="auto"/>
          <w:sz w:val="24"/>
          <w:szCs w:val="24"/>
          <w:highlight w:val="none"/>
        </w:rPr>
        <w:t>）、黑眶蟾蜍（</w:t>
      </w:r>
      <w:r>
        <w:rPr>
          <w:rFonts w:hint="default" w:ascii="Times New Roman" w:hAnsi="Times New Roman" w:cs="Times New Roman"/>
          <w:i/>
          <w:iCs/>
          <w:color w:val="auto"/>
          <w:sz w:val="24"/>
          <w:szCs w:val="24"/>
          <w:highlight w:val="none"/>
        </w:rPr>
        <w:t>Duttaphrynus melanostictus</w:t>
      </w:r>
      <w:r>
        <w:rPr>
          <w:rFonts w:hint="default" w:ascii="Times New Roman" w:hAnsi="Times New Roman" w:cs="Times New Roman"/>
          <w:color w:val="auto"/>
          <w:sz w:val="24"/>
          <w:szCs w:val="24"/>
          <w:highlight w:val="none"/>
        </w:rPr>
        <w:t>）等陆栖型种类；鸟类主要为黄腹山鹪莺（</w:t>
      </w:r>
      <w:r>
        <w:rPr>
          <w:rFonts w:hint="default" w:ascii="Times New Roman" w:hAnsi="Times New Roman" w:cs="Times New Roman"/>
          <w:i/>
          <w:iCs/>
          <w:color w:val="auto"/>
          <w:sz w:val="24"/>
          <w:szCs w:val="24"/>
          <w:highlight w:val="none"/>
        </w:rPr>
        <w:t>Prinia flaviventris</w:t>
      </w:r>
      <w:r>
        <w:rPr>
          <w:rFonts w:hint="default" w:ascii="Times New Roman" w:hAnsi="Times New Roman" w:cs="Times New Roman"/>
          <w:color w:val="auto"/>
          <w:sz w:val="24"/>
          <w:szCs w:val="24"/>
          <w:highlight w:val="none"/>
        </w:rPr>
        <w:t>）、纯色山鹪莺（</w:t>
      </w:r>
      <w:r>
        <w:rPr>
          <w:rFonts w:hint="default" w:ascii="Times New Roman" w:hAnsi="Times New Roman" w:cs="Times New Roman"/>
          <w:i/>
          <w:iCs/>
          <w:color w:val="auto"/>
          <w:sz w:val="24"/>
          <w:szCs w:val="24"/>
          <w:highlight w:val="none"/>
        </w:rPr>
        <w:t>Prinia inornata</w:t>
      </w:r>
      <w:r>
        <w:rPr>
          <w:rFonts w:hint="default" w:ascii="Times New Roman" w:hAnsi="Times New Roman" w:cs="Times New Roman"/>
          <w:color w:val="auto"/>
          <w:sz w:val="24"/>
          <w:szCs w:val="24"/>
          <w:highlight w:val="none"/>
        </w:rPr>
        <w:t>）、小鹀（</w:t>
      </w:r>
      <w:r>
        <w:rPr>
          <w:rFonts w:hint="default" w:ascii="Times New Roman" w:hAnsi="Times New Roman" w:cs="Times New Roman"/>
          <w:i/>
          <w:iCs/>
          <w:color w:val="auto"/>
          <w:sz w:val="24"/>
          <w:szCs w:val="24"/>
          <w:highlight w:val="none"/>
        </w:rPr>
        <w:t>Emberiza</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iCs/>
          <w:color w:val="auto"/>
          <w:sz w:val="24"/>
          <w:szCs w:val="24"/>
          <w:highlight w:val="none"/>
        </w:rPr>
        <w:t>pusilla</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、黄喉鹀（</w:t>
      </w:r>
      <w:r>
        <w:rPr>
          <w:rFonts w:hint="default" w:ascii="Times New Roman" w:hAnsi="Times New Roman" w:cs="Times New Roman"/>
          <w:i/>
          <w:iCs/>
          <w:color w:val="auto"/>
          <w:sz w:val="24"/>
          <w:szCs w:val="24"/>
          <w:highlight w:val="none"/>
          <w:lang w:eastAsia="zh-CN"/>
        </w:rPr>
        <w:t>Emberiza elegans</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等鸣禽；</w:t>
      </w:r>
      <w:r>
        <w:rPr>
          <w:rFonts w:hint="default" w:ascii="Times New Roman" w:hAnsi="Times New Roman" w:cs="Times New Roman"/>
          <w:color w:val="auto"/>
          <w:sz w:val="24"/>
          <w:szCs w:val="24"/>
          <w:highlight w:val="none"/>
          <w:lang w:eastAsia="zh-CN"/>
        </w:rPr>
        <w:t>哺乳类</w:t>
      </w:r>
      <w:r>
        <w:rPr>
          <w:rFonts w:hint="default" w:ascii="Times New Roman" w:hAnsi="Times New Roman" w:cs="Times New Roman"/>
          <w:color w:val="auto"/>
          <w:sz w:val="24"/>
          <w:szCs w:val="24"/>
          <w:highlight w:val="none"/>
        </w:rPr>
        <w:t>主要为小家鼠（</w:t>
      </w:r>
      <w:r>
        <w:rPr>
          <w:rFonts w:hint="default" w:ascii="Times New Roman" w:hAnsi="Times New Roman" w:cs="Times New Roman"/>
          <w:i/>
          <w:iCs/>
          <w:color w:val="auto"/>
          <w:sz w:val="24"/>
          <w:szCs w:val="24"/>
          <w:highlight w:val="none"/>
        </w:rPr>
        <w:t>Mus musculus</w:t>
      </w:r>
      <w:r>
        <w:rPr>
          <w:rFonts w:hint="default" w:ascii="Times New Roman" w:hAnsi="Times New Roman" w:cs="Times New Roman"/>
          <w:color w:val="auto"/>
          <w:sz w:val="24"/>
          <w:szCs w:val="24"/>
          <w:highlight w:val="none"/>
        </w:rPr>
        <w:t>）、黄胸鼠</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i/>
          <w:iCs/>
          <w:color w:val="auto"/>
          <w:sz w:val="24"/>
          <w:szCs w:val="24"/>
          <w:highlight w:val="none"/>
          <w:lang w:eastAsia="zh-CN"/>
        </w:rPr>
        <w:t>Rattus tanezumi</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等半地下生活型种类。</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rPr>
        <w:t>、生态系统功能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草地生态系统在植被组成上来看，以草丛为主，为次生类型，属隐域植被，可出现在不同生物气候地带。</w:t>
      </w:r>
      <w:r>
        <w:rPr>
          <w:rFonts w:hint="default" w:ascii="Times New Roman" w:hAnsi="Times New Roman" w:cs="Times New Roman"/>
          <w:color w:val="auto"/>
          <w:kern w:val="0"/>
          <w:sz w:val="24"/>
          <w:szCs w:val="24"/>
          <w:highlight w:val="none"/>
          <w:lang w:val="en-US" w:eastAsia="zh-CN"/>
        </w:rPr>
        <w:t>评价区内</w:t>
      </w:r>
      <w:r>
        <w:rPr>
          <w:rFonts w:hint="default" w:ascii="Times New Roman" w:hAnsi="Times New Roman" w:cs="Times New Roman"/>
          <w:color w:val="auto"/>
          <w:kern w:val="0"/>
          <w:sz w:val="24"/>
          <w:szCs w:val="24"/>
          <w:highlight w:val="none"/>
        </w:rPr>
        <w:t>草地生态系统空间结构和营养链式结构简单，其生态服务功能主要有生产经营、涵养水域、保育土壤、固氮释氧、控制污染等几个方面。</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482" w:firstLineChars="200"/>
        <w:textAlignment w:val="auto"/>
        <w:outlineLvl w:val="9"/>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4.</w:t>
      </w:r>
      <w:r>
        <w:rPr>
          <w:rFonts w:hint="eastAsia" w:cs="Times New Roman"/>
          <w:b/>
          <w:bCs/>
          <w:color w:val="auto"/>
          <w:kern w:val="0"/>
          <w:sz w:val="24"/>
          <w:szCs w:val="24"/>
          <w:highlight w:val="none"/>
          <w:lang w:val="en-US" w:eastAsia="zh-CN"/>
        </w:rPr>
        <w:t>5</w:t>
      </w:r>
      <w:r>
        <w:rPr>
          <w:rFonts w:hint="default" w:ascii="Times New Roman" w:hAnsi="Times New Roman" w:eastAsia="宋体" w:cs="Times New Roman"/>
          <w:b/>
          <w:bCs/>
          <w:color w:val="auto"/>
          <w:kern w:val="0"/>
          <w:sz w:val="24"/>
          <w:szCs w:val="24"/>
          <w:highlight w:val="none"/>
          <w:lang w:val="en-US" w:eastAsia="zh-CN"/>
        </w:rPr>
        <w:t>.2.4湿地生态系统</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据现场踏勘结合遥感图片解译，评价区湿地生态系统面积为202.01hm</w:t>
      </w:r>
      <w:r>
        <w:rPr>
          <w:rFonts w:hint="default" w:ascii="Times New Roman" w:hAnsi="Times New Roman" w:cs="Times New Roman"/>
          <w:color w:val="auto"/>
          <w:kern w:val="0"/>
          <w:sz w:val="24"/>
          <w:szCs w:val="24"/>
          <w:highlight w:val="none"/>
          <w:vertAlign w:val="superscript"/>
        </w:rPr>
        <w:t>2</w:t>
      </w:r>
      <w:r>
        <w:rPr>
          <w:rFonts w:hint="default" w:ascii="Times New Roman" w:hAnsi="Times New Roman" w:cs="Times New Roman"/>
          <w:color w:val="auto"/>
          <w:kern w:val="0"/>
          <w:sz w:val="24"/>
          <w:szCs w:val="24"/>
          <w:highlight w:val="none"/>
        </w:rPr>
        <w:t>，占评价区总面积的</w:t>
      </w:r>
      <w:r>
        <w:rPr>
          <w:rFonts w:hint="default" w:cs="Times New Roman"/>
          <w:color w:val="auto"/>
          <w:kern w:val="0"/>
          <w:sz w:val="24"/>
          <w:szCs w:val="24"/>
          <w:highlight w:val="none"/>
          <w:lang w:val="en-US" w:eastAsia="zh-CN"/>
        </w:rPr>
        <w:t>27.54</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占比较大，包含河流和湖泊两种类型，以河流为主</w:t>
      </w:r>
      <w:r>
        <w:rPr>
          <w:rFonts w:hint="default" w:ascii="Times New Roman" w:hAnsi="Times New Roman" w:cs="Times New Roman"/>
          <w:color w:val="auto"/>
          <w:kern w:val="0"/>
          <w:sz w:val="24"/>
          <w:szCs w:val="24"/>
          <w:highlight w:val="none"/>
        </w:rPr>
        <w:t>。结合评价区水系图以及现场调查，区域湿地主要为湘江水域和</w:t>
      </w:r>
      <w:r>
        <w:rPr>
          <w:rFonts w:hint="default" w:ascii="Times New Roman" w:hAnsi="Times New Roman" w:cs="Times New Roman"/>
          <w:color w:val="auto"/>
          <w:kern w:val="0"/>
          <w:sz w:val="24"/>
          <w:szCs w:val="24"/>
          <w:highlight w:val="none"/>
          <w:lang w:val="en-US" w:eastAsia="zh-CN"/>
        </w:rPr>
        <w:t>养殖坑塘</w:t>
      </w:r>
      <w:r>
        <w:rPr>
          <w:rFonts w:hint="default" w:ascii="Times New Roman" w:hAnsi="Times New Roman" w:cs="Times New Roman"/>
          <w:color w:val="auto"/>
          <w:kern w:val="0"/>
          <w:sz w:val="24"/>
          <w:szCs w:val="24"/>
          <w:highlight w:val="none"/>
        </w:rPr>
        <w:t>。</w:t>
      </w:r>
    </w:p>
    <w:p>
      <w:pPr>
        <w:widowControl/>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、生态系统结构</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（1）植被现状</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评价区湿地为湘江水域和</w:t>
      </w:r>
      <w:r>
        <w:rPr>
          <w:rFonts w:hint="default" w:ascii="Times New Roman" w:hAnsi="Times New Roman" w:cs="Times New Roman"/>
          <w:color w:val="auto"/>
          <w:kern w:val="0"/>
          <w:sz w:val="24"/>
          <w:szCs w:val="24"/>
          <w:highlight w:val="none"/>
          <w:lang w:val="en-US" w:eastAsia="zh-CN"/>
        </w:rPr>
        <w:t>养殖坑塘</w:t>
      </w:r>
      <w:r>
        <w:rPr>
          <w:rFonts w:hint="default" w:ascii="Times New Roman" w:hAnsi="Times New Roman" w:cs="Times New Roman"/>
          <w:color w:val="auto"/>
          <w:kern w:val="0"/>
          <w:sz w:val="24"/>
          <w:szCs w:val="24"/>
          <w:highlight w:val="none"/>
        </w:rPr>
        <w:t>等，湿地生态系统植被类型较为简单，植物种类较少。湿地植物常见有香附子（</w:t>
      </w:r>
      <w:r>
        <w:rPr>
          <w:rFonts w:hint="default" w:ascii="Times New Roman" w:hAnsi="Times New Roman" w:cs="Times New Roman"/>
          <w:i/>
          <w:iCs/>
          <w:color w:val="auto"/>
          <w:kern w:val="0"/>
          <w:sz w:val="24"/>
          <w:szCs w:val="24"/>
          <w:highlight w:val="none"/>
        </w:rPr>
        <w:t>Cyperus rotundus</w:t>
      </w:r>
      <w:r>
        <w:rPr>
          <w:rFonts w:hint="default" w:ascii="Times New Roman" w:hAnsi="Times New Roman" w:cs="Times New Roman"/>
          <w:color w:val="auto"/>
          <w:kern w:val="0"/>
          <w:sz w:val="24"/>
          <w:szCs w:val="24"/>
          <w:highlight w:val="none"/>
        </w:rPr>
        <w:t>）、碎米莎草（</w:t>
      </w:r>
      <w:r>
        <w:rPr>
          <w:rFonts w:hint="default" w:ascii="Times New Roman" w:hAnsi="Times New Roman" w:cs="Times New Roman"/>
          <w:i/>
          <w:iCs/>
          <w:color w:val="auto"/>
          <w:spacing w:val="-6"/>
          <w:kern w:val="0"/>
          <w:sz w:val="24"/>
          <w:szCs w:val="24"/>
          <w:highlight w:val="none"/>
        </w:rPr>
        <w:t>Cyperus iria</w:t>
      </w:r>
      <w:r>
        <w:rPr>
          <w:rFonts w:hint="default" w:ascii="Times New Roman" w:hAnsi="Times New Roman" w:cs="Times New Roman"/>
          <w:color w:val="auto"/>
          <w:kern w:val="0"/>
          <w:sz w:val="24"/>
          <w:szCs w:val="24"/>
          <w:highlight w:val="none"/>
        </w:rPr>
        <w:t>）、酸模叶蓼（</w:t>
      </w:r>
      <w:r>
        <w:rPr>
          <w:rFonts w:hint="default" w:ascii="Times New Roman" w:hAnsi="Times New Roman" w:cs="Times New Roman"/>
          <w:i/>
          <w:color w:val="auto"/>
          <w:spacing w:val="-6"/>
          <w:kern w:val="0"/>
          <w:sz w:val="24"/>
          <w:szCs w:val="24"/>
          <w:highlight w:val="none"/>
        </w:rPr>
        <w:t>Polygonum</w:t>
      </w:r>
      <w:r>
        <w:rPr>
          <w:rFonts w:hint="default" w:ascii="Times New Roman" w:hAnsi="Times New Roman" w:cs="Times New Roman"/>
          <w:color w:val="auto"/>
          <w:kern w:val="0"/>
          <w:sz w:val="24"/>
          <w:szCs w:val="24"/>
          <w:highlight w:val="none"/>
        </w:rPr>
        <w:t xml:space="preserve"> </w:t>
      </w:r>
      <w:r>
        <w:rPr>
          <w:rFonts w:hint="default" w:ascii="Times New Roman" w:hAnsi="Times New Roman" w:cs="Times New Roman"/>
          <w:i/>
          <w:color w:val="auto"/>
          <w:spacing w:val="-6"/>
          <w:kern w:val="0"/>
          <w:sz w:val="24"/>
          <w:szCs w:val="24"/>
          <w:highlight w:val="none"/>
        </w:rPr>
        <w:t>lapathifolium</w:t>
      </w:r>
      <w:r>
        <w:rPr>
          <w:rFonts w:hint="default" w:ascii="Times New Roman" w:hAnsi="Times New Roman" w:cs="Times New Roman"/>
          <w:color w:val="auto"/>
          <w:kern w:val="0"/>
          <w:sz w:val="24"/>
          <w:szCs w:val="24"/>
          <w:highlight w:val="none"/>
        </w:rPr>
        <w:t>）、凤眼莲（</w:t>
      </w:r>
      <w:r>
        <w:rPr>
          <w:rFonts w:hint="default" w:ascii="Times New Roman" w:hAnsi="Times New Roman" w:cs="Times New Roman"/>
          <w:i/>
          <w:color w:val="auto"/>
          <w:spacing w:val="-6"/>
          <w:kern w:val="0"/>
          <w:sz w:val="24"/>
          <w:szCs w:val="24"/>
          <w:highlight w:val="none"/>
        </w:rPr>
        <w:t>Pontederia crassipes</w:t>
      </w:r>
      <w:r>
        <w:rPr>
          <w:rFonts w:hint="default" w:ascii="Times New Roman" w:hAnsi="Times New Roman" w:cs="Times New Roman"/>
          <w:color w:val="auto"/>
          <w:kern w:val="0"/>
          <w:sz w:val="24"/>
          <w:szCs w:val="24"/>
          <w:highlight w:val="none"/>
        </w:rPr>
        <w:t>）等。</w:t>
      </w:r>
    </w:p>
    <w:p>
      <w:pPr>
        <w:spacing w:line="360" w:lineRule="auto"/>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（2）动物现状</w:t>
      </w:r>
    </w:p>
    <w:p>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评价区内湿地生态系统中，两栖动物种类丰富、数量较多，常见种类为沼水蛙（</w:t>
      </w:r>
      <w:r>
        <w:rPr>
          <w:rFonts w:hint="default" w:ascii="Times New Roman" w:hAnsi="Times New Roman" w:cs="Times New Roman"/>
          <w:bCs/>
          <w:i/>
          <w:color w:val="auto"/>
          <w:sz w:val="24"/>
          <w:szCs w:val="24"/>
          <w:highlight w:val="none"/>
        </w:rPr>
        <w:t>Hylarana guentheri</w:t>
      </w:r>
      <w:r>
        <w:rPr>
          <w:rFonts w:hint="default" w:ascii="Times New Roman" w:hAnsi="Times New Roman" w:cs="Times New Roman"/>
          <w:bCs/>
          <w:color w:val="auto"/>
          <w:sz w:val="24"/>
          <w:szCs w:val="24"/>
          <w:highlight w:val="none"/>
        </w:rPr>
        <w:t>）、黑斑侧褶蛙（</w:t>
      </w:r>
      <w:r>
        <w:rPr>
          <w:rFonts w:hint="default" w:ascii="Times New Roman" w:hAnsi="Times New Roman" w:cs="Times New Roman"/>
          <w:bCs/>
          <w:i/>
          <w:color w:val="auto"/>
          <w:sz w:val="24"/>
          <w:szCs w:val="24"/>
          <w:highlight w:val="none"/>
        </w:rPr>
        <w:t>Pelophylax nigromaculatus</w:t>
      </w:r>
      <w:r>
        <w:rPr>
          <w:rFonts w:hint="default" w:ascii="Times New Roman" w:hAnsi="Times New Roman" w:cs="Times New Roman"/>
          <w:bCs/>
          <w:color w:val="auto"/>
          <w:sz w:val="24"/>
          <w:szCs w:val="24"/>
          <w:highlight w:val="none"/>
        </w:rPr>
        <w:t>）等静水型种类；爬行类主要为中华鳖（</w:t>
      </w:r>
      <w:r>
        <w:rPr>
          <w:rFonts w:hint="default" w:ascii="Times New Roman" w:hAnsi="Times New Roman" w:cs="Times New Roman"/>
          <w:bCs/>
          <w:i/>
          <w:color w:val="auto"/>
          <w:sz w:val="24"/>
          <w:szCs w:val="24"/>
          <w:highlight w:val="none"/>
        </w:rPr>
        <w:t>Pelodiscus sinensis</w:t>
      </w:r>
      <w:r>
        <w:rPr>
          <w:rFonts w:hint="default" w:ascii="Times New Roman" w:hAnsi="Times New Roman" w:cs="Times New Roman"/>
          <w:bCs/>
          <w:color w:val="auto"/>
          <w:sz w:val="24"/>
          <w:szCs w:val="24"/>
          <w:highlight w:val="none"/>
        </w:rPr>
        <w:t>）、乌龟（</w:t>
      </w:r>
      <w:r>
        <w:rPr>
          <w:rFonts w:hint="default" w:ascii="Times New Roman" w:hAnsi="Times New Roman" w:cs="Times New Roman"/>
          <w:bCs/>
          <w:i/>
          <w:color w:val="auto"/>
          <w:sz w:val="24"/>
          <w:szCs w:val="24"/>
          <w:highlight w:val="none"/>
        </w:rPr>
        <w:t>Mauremys reevesii</w:t>
      </w:r>
      <w:r>
        <w:rPr>
          <w:rFonts w:hint="default" w:ascii="Times New Roman" w:hAnsi="Times New Roman" w:cs="Times New Roman"/>
          <w:bCs/>
          <w:color w:val="auto"/>
          <w:sz w:val="24"/>
          <w:szCs w:val="24"/>
          <w:highlight w:val="none"/>
        </w:rPr>
        <w:t>）等水栖型种类；鸟类主要为小䴙䴘（</w:t>
      </w:r>
      <w:r>
        <w:rPr>
          <w:rFonts w:hint="default" w:ascii="Times New Roman" w:hAnsi="Times New Roman" w:cs="Times New Roman"/>
          <w:bCs/>
          <w:i/>
          <w:color w:val="auto"/>
          <w:sz w:val="24"/>
          <w:szCs w:val="24"/>
          <w:highlight w:val="none"/>
        </w:rPr>
        <w:t>Tachybaptus</w:t>
      </w:r>
      <w:r>
        <w:rPr>
          <w:rFonts w:hint="default" w:ascii="Times New Roman" w:hAnsi="Times New Roman" w:cs="Times New Roman"/>
          <w:bCs/>
          <w:color w:val="auto"/>
          <w:sz w:val="24"/>
          <w:szCs w:val="24"/>
          <w:highlight w:val="none"/>
        </w:rPr>
        <w:t xml:space="preserve"> </w:t>
      </w:r>
      <w:r>
        <w:rPr>
          <w:rFonts w:hint="default" w:ascii="Times New Roman" w:hAnsi="Times New Roman" w:cs="Times New Roman"/>
          <w:bCs/>
          <w:i/>
          <w:color w:val="auto"/>
          <w:sz w:val="24"/>
          <w:szCs w:val="24"/>
          <w:highlight w:val="none"/>
        </w:rPr>
        <w:t>ruficollis</w:t>
      </w:r>
      <w:r>
        <w:rPr>
          <w:rFonts w:hint="default" w:ascii="Times New Roman" w:hAnsi="Times New Roman" w:cs="Times New Roman"/>
          <w:bCs/>
          <w:color w:val="auto"/>
          <w:sz w:val="24"/>
          <w:szCs w:val="24"/>
          <w:highlight w:val="none"/>
        </w:rPr>
        <w:t>）、黑水鸡（</w:t>
      </w:r>
      <w:r>
        <w:rPr>
          <w:rFonts w:hint="default" w:ascii="Times New Roman" w:hAnsi="Times New Roman" w:cs="Times New Roman"/>
          <w:bCs/>
          <w:i/>
          <w:color w:val="auto"/>
          <w:sz w:val="24"/>
          <w:szCs w:val="24"/>
          <w:highlight w:val="none"/>
        </w:rPr>
        <w:t>Gallinula chloropus</w:t>
      </w:r>
      <w:r>
        <w:rPr>
          <w:rFonts w:hint="default" w:ascii="Times New Roman" w:hAnsi="Times New Roman" w:cs="Times New Roman"/>
          <w:bCs/>
          <w:color w:val="auto"/>
          <w:sz w:val="24"/>
          <w:szCs w:val="24"/>
          <w:highlight w:val="none"/>
        </w:rPr>
        <w:t>）、池鹭（</w:t>
      </w:r>
      <w:r>
        <w:rPr>
          <w:rFonts w:hint="default" w:ascii="Times New Roman" w:hAnsi="Times New Roman" w:cs="Times New Roman"/>
          <w:bCs/>
          <w:i/>
          <w:color w:val="auto"/>
          <w:sz w:val="24"/>
          <w:szCs w:val="24"/>
          <w:highlight w:val="none"/>
        </w:rPr>
        <w:t>Ardeola</w:t>
      </w:r>
      <w:r>
        <w:rPr>
          <w:rFonts w:hint="default" w:ascii="Times New Roman" w:hAnsi="Times New Roman" w:cs="Times New Roman"/>
          <w:bCs/>
          <w:color w:val="auto"/>
          <w:sz w:val="24"/>
          <w:szCs w:val="24"/>
          <w:highlight w:val="none"/>
        </w:rPr>
        <w:t xml:space="preserve"> </w:t>
      </w:r>
      <w:r>
        <w:rPr>
          <w:rFonts w:hint="default" w:ascii="Times New Roman" w:hAnsi="Times New Roman" w:cs="Times New Roman"/>
          <w:bCs/>
          <w:i/>
          <w:color w:val="auto"/>
          <w:sz w:val="24"/>
          <w:szCs w:val="24"/>
          <w:highlight w:val="none"/>
        </w:rPr>
        <w:t>bacchus</w:t>
      </w:r>
      <w:r>
        <w:rPr>
          <w:rFonts w:hint="default" w:ascii="Times New Roman" w:hAnsi="Times New Roman" w:cs="Times New Roman"/>
          <w:bCs/>
          <w:color w:val="auto"/>
          <w:sz w:val="24"/>
          <w:szCs w:val="24"/>
          <w:highlight w:val="none"/>
        </w:rPr>
        <w:t>）、白鹭（</w:t>
      </w:r>
      <w:r>
        <w:rPr>
          <w:rFonts w:hint="default" w:ascii="Times New Roman" w:hAnsi="Times New Roman" w:cs="Times New Roman"/>
          <w:bCs/>
          <w:i/>
          <w:color w:val="auto"/>
          <w:sz w:val="24"/>
          <w:szCs w:val="24"/>
          <w:highlight w:val="none"/>
        </w:rPr>
        <w:t>Egretta</w:t>
      </w:r>
      <w:r>
        <w:rPr>
          <w:rFonts w:hint="default" w:ascii="Times New Roman" w:hAnsi="Times New Roman" w:cs="Times New Roman"/>
          <w:bCs/>
          <w:color w:val="auto"/>
          <w:sz w:val="24"/>
          <w:szCs w:val="24"/>
          <w:highlight w:val="none"/>
        </w:rPr>
        <w:t xml:space="preserve"> </w:t>
      </w:r>
      <w:r>
        <w:rPr>
          <w:rFonts w:hint="default" w:ascii="Times New Roman" w:hAnsi="Times New Roman" w:cs="Times New Roman"/>
          <w:bCs/>
          <w:i/>
          <w:color w:val="auto"/>
          <w:sz w:val="24"/>
          <w:szCs w:val="24"/>
          <w:highlight w:val="none"/>
        </w:rPr>
        <w:t>garzetta</w:t>
      </w:r>
      <w:r>
        <w:rPr>
          <w:rFonts w:hint="default" w:ascii="Times New Roman" w:hAnsi="Times New Roman" w:cs="Times New Roman"/>
          <w:bCs/>
          <w:color w:val="auto"/>
          <w:sz w:val="24"/>
          <w:szCs w:val="24"/>
          <w:highlight w:val="none"/>
        </w:rPr>
        <w:t>）等游禽和涉禽，以及红尾水鸲（</w:t>
      </w:r>
      <w:r>
        <w:rPr>
          <w:rFonts w:hint="default" w:ascii="Times New Roman" w:hAnsi="Times New Roman" w:cs="Times New Roman"/>
          <w:bCs/>
          <w:i/>
          <w:color w:val="auto"/>
          <w:sz w:val="24"/>
          <w:szCs w:val="24"/>
          <w:highlight w:val="none"/>
        </w:rPr>
        <w:t>Phoenicurus fuliginosa</w:t>
      </w:r>
      <w:r>
        <w:rPr>
          <w:rFonts w:hint="default" w:ascii="Times New Roman" w:hAnsi="Times New Roman" w:cs="Times New Roman"/>
          <w:bCs/>
          <w:color w:val="auto"/>
          <w:sz w:val="24"/>
          <w:szCs w:val="24"/>
          <w:highlight w:val="none"/>
        </w:rPr>
        <w:t>）、白鹡鸰（</w:t>
      </w:r>
      <w:r>
        <w:rPr>
          <w:rFonts w:hint="default" w:ascii="Times New Roman" w:hAnsi="Times New Roman" w:cs="Times New Roman"/>
          <w:bCs/>
          <w:i/>
          <w:color w:val="auto"/>
          <w:sz w:val="24"/>
          <w:szCs w:val="24"/>
          <w:highlight w:val="none"/>
        </w:rPr>
        <w:t>Motacilla alba</w:t>
      </w:r>
      <w:r>
        <w:rPr>
          <w:rFonts w:hint="default" w:ascii="Times New Roman" w:hAnsi="Times New Roman" w:cs="Times New Roman"/>
          <w:bCs/>
          <w:color w:val="auto"/>
          <w:sz w:val="24"/>
          <w:szCs w:val="24"/>
          <w:highlight w:val="none"/>
        </w:rPr>
        <w:t>）等亲水性鸣禽；</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主要以中小型</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为主，如黑线姬鼠等。</w:t>
      </w:r>
    </w:p>
    <w:p>
      <w:pPr>
        <w:spacing w:line="360" w:lineRule="auto"/>
        <w:ind w:firstLine="480" w:firstLineChars="200"/>
        <w:rPr>
          <w:rFonts w:hint="default" w:ascii="Times New Roman" w:hAnsi="Times New Roman" w:cs="Times New Roman"/>
          <w:color w:val="auto"/>
          <w:sz w:val="24"/>
          <w:highlight w:val="none"/>
        </w:rPr>
      </w:pPr>
      <w:r>
        <w:rPr>
          <w:rFonts w:hint="default" w:cs="Times New Roman"/>
          <w:color w:val="auto"/>
          <w:sz w:val="24"/>
          <w:highlight w:val="none"/>
          <w:lang w:val="en-US" w:eastAsia="zh-CN"/>
        </w:rPr>
        <w:t>2</w:t>
      </w:r>
      <w:r>
        <w:rPr>
          <w:rFonts w:hint="default" w:ascii="Times New Roman" w:hAnsi="Times New Roman" w:cs="Times New Roman"/>
          <w:color w:val="auto"/>
          <w:sz w:val="24"/>
          <w:highlight w:val="none"/>
        </w:rPr>
        <w:t>、生态系统功能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湿地生态系统服务功能不仅包括提供大量资源产品，而且具有大的环境调节功能和环境效益，主要有以下生态功能：①提供水源：湿地常常作为居民生活用水、工业生产用水和农业灌溉用水的水源。河流、池塘中都有可以直接利用的水。②补充地下水：我们平时所用的水有很多是从地下开采出来的，而湿地可以为地下蓄水层补充水源。</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482" w:firstLineChars="200"/>
        <w:textAlignment w:val="auto"/>
        <w:outlineLvl w:val="9"/>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4.</w:t>
      </w:r>
      <w:r>
        <w:rPr>
          <w:rFonts w:hint="eastAsia" w:cs="Times New Roman"/>
          <w:b/>
          <w:bCs/>
          <w:color w:val="auto"/>
          <w:kern w:val="0"/>
          <w:sz w:val="24"/>
          <w:szCs w:val="24"/>
          <w:highlight w:val="none"/>
          <w:lang w:val="en-US" w:eastAsia="zh-CN"/>
        </w:rPr>
        <w:t>5</w:t>
      </w:r>
      <w:r>
        <w:rPr>
          <w:rFonts w:hint="default" w:ascii="Times New Roman" w:hAnsi="Times New Roman" w:eastAsia="宋体" w:cs="Times New Roman"/>
          <w:b/>
          <w:bCs/>
          <w:color w:val="auto"/>
          <w:kern w:val="0"/>
          <w:sz w:val="24"/>
          <w:szCs w:val="24"/>
          <w:highlight w:val="none"/>
          <w:lang w:val="en-US" w:eastAsia="zh-CN"/>
        </w:rPr>
        <w:t>.2.5农田生态系统</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农田生态系统是以种植经济型作物为目的的生态系统，也就是作物群落与其周围环境之间能量流动和物质循环的综合体系，与各种自然生态系统和城镇生态系统之间有着极其密切的联系。根据现场踏勘结合遥感图片解译，评价区农田生态系统面积为1.77h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，占评价区总面积的比例为</w:t>
      </w:r>
      <w:r>
        <w:rPr>
          <w:rFonts w:hint="default" w:cs="Times New Roman"/>
          <w:color w:val="auto"/>
          <w:sz w:val="24"/>
          <w:szCs w:val="24"/>
          <w:highlight w:val="none"/>
          <w:lang w:val="en-US" w:eastAsia="zh-CN"/>
        </w:rPr>
        <w:t>0.24</w:t>
      </w:r>
      <w:r>
        <w:rPr>
          <w:rFonts w:hint="default" w:ascii="Times New Roman" w:hAnsi="Times New Roman" w:cs="Times New Roman"/>
          <w:color w:val="auto"/>
          <w:sz w:val="24"/>
          <w:szCs w:val="24"/>
          <w:highlight w:val="none"/>
        </w:rPr>
        <w:t>%，占比较</w:t>
      </w:r>
      <w:r>
        <w:rPr>
          <w:rFonts w:hint="default" w:ascii="Times New Roman" w:hAnsi="Times New Roman" w:cs="Times New Roman"/>
          <w:color w:val="auto"/>
          <w:sz w:val="24"/>
          <w:szCs w:val="24"/>
          <w:highlight w:val="none"/>
          <w:lang w:val="en-US" w:eastAsia="zh-CN"/>
        </w:rPr>
        <w:t>小</w:t>
      </w:r>
      <w:r>
        <w:rPr>
          <w:rFonts w:hint="default" w:ascii="Times New Roman" w:hAnsi="Times New Roman" w:cs="Times New Roman"/>
          <w:color w:val="auto"/>
          <w:sz w:val="24"/>
          <w:szCs w:val="24"/>
          <w:highlight w:val="none"/>
        </w:rPr>
        <w:t>。主要分布于评价区村落附近。</w:t>
      </w:r>
    </w:p>
    <w:p>
      <w:pPr>
        <w:spacing w:line="360" w:lineRule="auto"/>
        <w:ind w:firstLine="480" w:firstLineChars="200"/>
        <w:jc w:val="both"/>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、生态系统结构</w:t>
      </w:r>
    </w:p>
    <w:p>
      <w:pPr>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（1）植被现状</w:t>
      </w:r>
    </w:p>
    <w:p>
      <w:pPr>
        <w:widowControl/>
        <w:spacing w:line="360" w:lineRule="auto"/>
        <w:ind w:firstLine="480" w:firstLineChars="200"/>
        <w:jc w:val="both"/>
        <w:textAlignment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评价区农田生态系统内植被以农作物和经济作物为主，常见的农作物有玉蜀黍（</w:t>
      </w:r>
      <w:r>
        <w:rPr>
          <w:rFonts w:hint="default" w:ascii="Times New Roman" w:hAnsi="Times New Roman" w:cs="Times New Roman"/>
          <w:i/>
          <w:iCs/>
          <w:color w:val="auto"/>
          <w:sz w:val="24"/>
          <w:szCs w:val="24"/>
          <w:highlight w:val="none"/>
        </w:rPr>
        <w:t>Zea mays</w:t>
      </w:r>
      <w:r>
        <w:rPr>
          <w:rFonts w:hint="default" w:ascii="Times New Roman" w:hAnsi="Times New Roman" w:cs="Times New Roman"/>
          <w:color w:val="auto"/>
          <w:sz w:val="24"/>
          <w:szCs w:val="24"/>
          <w:highlight w:val="none"/>
        </w:rPr>
        <w:t>）、马铃薯（</w:t>
      </w:r>
      <w:r>
        <w:rPr>
          <w:rFonts w:hint="default" w:ascii="Times New Roman" w:hAnsi="Times New Roman" w:cs="Times New Roman"/>
          <w:i/>
          <w:iCs/>
          <w:color w:val="auto"/>
          <w:sz w:val="24"/>
          <w:szCs w:val="24"/>
          <w:highlight w:val="none"/>
        </w:rPr>
        <w:t>Solanum tuberosum</w:t>
      </w:r>
      <w:r>
        <w:rPr>
          <w:rFonts w:hint="default" w:ascii="Times New Roman" w:hAnsi="Times New Roman" w:cs="Times New Roman"/>
          <w:color w:val="auto"/>
          <w:sz w:val="24"/>
          <w:szCs w:val="24"/>
          <w:highlight w:val="none"/>
        </w:rPr>
        <w:t>）等，常见的经济作物有南瓜（</w:t>
      </w:r>
      <w:r>
        <w:rPr>
          <w:rFonts w:hint="default" w:ascii="Times New Roman" w:hAnsi="Times New Roman" w:cs="Times New Roman"/>
          <w:i/>
          <w:iCs/>
          <w:color w:val="auto"/>
          <w:sz w:val="24"/>
          <w:szCs w:val="24"/>
          <w:highlight w:val="none"/>
        </w:rPr>
        <w:t>Cucurbita moschata</w:t>
      </w:r>
      <w:r>
        <w:rPr>
          <w:rFonts w:hint="default" w:ascii="Times New Roman" w:hAnsi="Times New Roman" w:cs="Times New Roman"/>
          <w:color w:val="auto"/>
          <w:sz w:val="24"/>
          <w:szCs w:val="24"/>
          <w:highlight w:val="none"/>
        </w:rPr>
        <w:t>）、丝瓜（</w:t>
      </w:r>
      <w:r>
        <w:rPr>
          <w:rFonts w:hint="default" w:ascii="Times New Roman" w:hAnsi="Times New Roman" w:cs="Times New Roman"/>
          <w:i/>
          <w:iCs/>
          <w:color w:val="auto"/>
          <w:sz w:val="24"/>
          <w:szCs w:val="24"/>
          <w:highlight w:val="none"/>
        </w:rPr>
        <w:t>Luffa aegyptiaca</w:t>
      </w:r>
      <w:r>
        <w:rPr>
          <w:rFonts w:hint="default" w:ascii="Times New Roman" w:hAnsi="Times New Roman" w:cs="Times New Roman"/>
          <w:color w:val="auto"/>
          <w:sz w:val="24"/>
          <w:szCs w:val="24"/>
          <w:highlight w:val="none"/>
        </w:rPr>
        <w:t>）、苦瓜（</w:t>
      </w:r>
      <w:r>
        <w:rPr>
          <w:rFonts w:hint="default" w:ascii="Times New Roman" w:hAnsi="Times New Roman" w:cs="Times New Roman"/>
          <w:i/>
          <w:iCs/>
          <w:color w:val="auto"/>
          <w:sz w:val="24"/>
          <w:szCs w:val="24"/>
          <w:highlight w:val="none"/>
        </w:rPr>
        <w:t>Momordica charantia</w:t>
      </w:r>
      <w:r>
        <w:rPr>
          <w:rFonts w:hint="default" w:ascii="Times New Roman" w:hAnsi="Times New Roman" w:cs="Times New Roman"/>
          <w:color w:val="auto"/>
          <w:sz w:val="24"/>
          <w:szCs w:val="24"/>
          <w:highlight w:val="none"/>
        </w:rPr>
        <w:t>）等蔬菜，以及</w:t>
      </w:r>
      <w:r>
        <w:rPr>
          <w:rFonts w:hint="default" w:ascii="Times New Roman" w:hAnsi="Times New Roman" w:cs="Times New Roman"/>
          <w:color w:val="auto"/>
          <w:kern w:val="0"/>
          <w:sz w:val="24"/>
          <w:szCs w:val="24"/>
          <w:highlight w:val="none"/>
        </w:rPr>
        <w:t>柑橘</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Citrus reticulata</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葡萄</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Vitis vinifera</w:t>
      </w:r>
      <w:r>
        <w:rPr>
          <w:rFonts w:hint="default" w:ascii="Times New Roman" w:hAnsi="Times New Roman" w:cs="Times New Roman"/>
          <w:color w:val="auto"/>
          <w:sz w:val="24"/>
          <w:szCs w:val="24"/>
          <w:highlight w:val="none"/>
        </w:rPr>
        <w:t>）等果树等。常见的田间杂草有马唐（</w:t>
      </w:r>
      <w:r>
        <w:rPr>
          <w:rFonts w:hint="default" w:ascii="Times New Roman" w:hAnsi="Times New Roman" w:cs="Times New Roman"/>
          <w:i/>
          <w:iCs/>
          <w:color w:val="auto"/>
          <w:sz w:val="24"/>
          <w:szCs w:val="24"/>
          <w:highlight w:val="none"/>
        </w:rPr>
        <w:t>Digitaria sanguinalis</w:t>
      </w:r>
      <w:r>
        <w:rPr>
          <w:rFonts w:hint="default" w:ascii="Times New Roman" w:hAnsi="Times New Roman" w:cs="Times New Roman"/>
          <w:color w:val="auto"/>
          <w:sz w:val="24"/>
          <w:szCs w:val="24"/>
          <w:highlight w:val="none"/>
        </w:rPr>
        <w:t>）、野艾蒿（</w:t>
      </w:r>
      <w:r>
        <w:rPr>
          <w:rFonts w:hint="default" w:ascii="Times New Roman" w:hAnsi="Times New Roman" w:cs="Times New Roman"/>
          <w:i/>
          <w:color w:val="auto"/>
          <w:spacing w:val="-6"/>
          <w:kern w:val="0"/>
          <w:sz w:val="24"/>
          <w:szCs w:val="24"/>
          <w:highlight w:val="none"/>
        </w:rPr>
        <w:t>Artemisia</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color w:val="auto"/>
          <w:spacing w:val="-6"/>
          <w:kern w:val="0"/>
          <w:sz w:val="24"/>
          <w:szCs w:val="24"/>
          <w:highlight w:val="none"/>
        </w:rPr>
        <w:t>lavandulaefolia</w:t>
      </w:r>
      <w:r>
        <w:rPr>
          <w:rFonts w:hint="default" w:ascii="Times New Roman" w:hAnsi="Times New Roman" w:cs="Times New Roman"/>
          <w:color w:val="auto"/>
          <w:sz w:val="24"/>
          <w:szCs w:val="24"/>
          <w:highlight w:val="none"/>
        </w:rPr>
        <w:t>）、看麦娘（</w:t>
      </w:r>
      <w:r>
        <w:rPr>
          <w:rFonts w:hint="default" w:ascii="Times New Roman" w:hAnsi="Times New Roman" w:cs="Times New Roman"/>
          <w:i/>
          <w:color w:val="auto"/>
          <w:spacing w:val="-6"/>
          <w:kern w:val="0"/>
          <w:sz w:val="24"/>
          <w:szCs w:val="24"/>
          <w:highlight w:val="none"/>
        </w:rPr>
        <w:t>Alopecurus</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color w:val="auto"/>
          <w:spacing w:val="-6"/>
          <w:kern w:val="0"/>
          <w:sz w:val="24"/>
          <w:szCs w:val="24"/>
          <w:highlight w:val="none"/>
        </w:rPr>
        <w:t>aequalis</w:t>
      </w:r>
      <w:r>
        <w:rPr>
          <w:rFonts w:hint="default" w:ascii="Times New Roman" w:hAnsi="Times New Roman" w:cs="Times New Roman"/>
          <w:color w:val="auto"/>
          <w:sz w:val="24"/>
          <w:szCs w:val="24"/>
          <w:highlight w:val="none"/>
        </w:rPr>
        <w:t>）、小蓬草（</w:t>
      </w:r>
      <w:r>
        <w:rPr>
          <w:rFonts w:hint="default" w:ascii="Times New Roman" w:hAnsi="Times New Roman" w:cs="Times New Roman"/>
          <w:i/>
          <w:color w:val="auto"/>
          <w:sz w:val="24"/>
          <w:szCs w:val="24"/>
          <w:highlight w:val="none"/>
        </w:rPr>
        <w:t>Conyza canadensis</w:t>
      </w:r>
      <w:r>
        <w:rPr>
          <w:rFonts w:hint="default" w:ascii="Times New Roman" w:hAnsi="Times New Roman" w:cs="Times New Roman"/>
          <w:color w:val="auto"/>
          <w:sz w:val="24"/>
          <w:szCs w:val="24"/>
          <w:highlight w:val="none"/>
        </w:rPr>
        <w:t>）、狗牙根（</w:t>
      </w:r>
      <w:r>
        <w:rPr>
          <w:rFonts w:hint="default" w:ascii="Times New Roman" w:hAnsi="Times New Roman" w:cs="Times New Roman"/>
          <w:i/>
          <w:color w:val="auto"/>
          <w:sz w:val="24"/>
          <w:szCs w:val="24"/>
          <w:highlight w:val="none"/>
        </w:rPr>
        <w:t>Cynodon dactylon</w:t>
      </w:r>
      <w:r>
        <w:rPr>
          <w:rFonts w:hint="default" w:ascii="Times New Roman" w:hAnsi="Times New Roman" w:cs="Times New Roman"/>
          <w:color w:val="auto"/>
          <w:sz w:val="24"/>
          <w:szCs w:val="24"/>
          <w:highlight w:val="none"/>
        </w:rPr>
        <w:t>）、苍耳（</w:t>
      </w:r>
      <w:r>
        <w:rPr>
          <w:rFonts w:hint="default" w:ascii="Times New Roman" w:hAnsi="Times New Roman" w:cs="Times New Roman"/>
          <w:i/>
          <w:color w:val="auto"/>
          <w:spacing w:val="-6"/>
          <w:kern w:val="0"/>
          <w:sz w:val="24"/>
          <w:szCs w:val="24"/>
          <w:highlight w:val="none"/>
        </w:rPr>
        <w:t>Xanthium</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color w:val="auto"/>
          <w:spacing w:val="-6"/>
          <w:kern w:val="0"/>
          <w:sz w:val="24"/>
          <w:szCs w:val="24"/>
          <w:highlight w:val="none"/>
        </w:rPr>
        <w:t>sibiricum</w:t>
      </w:r>
      <w:r>
        <w:rPr>
          <w:rFonts w:hint="default" w:ascii="Times New Roman" w:hAnsi="Times New Roman" w:cs="Times New Roman"/>
          <w:color w:val="auto"/>
          <w:sz w:val="24"/>
          <w:szCs w:val="24"/>
          <w:highlight w:val="none"/>
        </w:rPr>
        <w:t>）、牛筋草（</w:t>
      </w:r>
      <w:r>
        <w:rPr>
          <w:rFonts w:hint="default" w:ascii="Times New Roman" w:hAnsi="Times New Roman" w:cs="Times New Roman"/>
          <w:i/>
          <w:color w:val="auto"/>
          <w:spacing w:val="-6"/>
          <w:kern w:val="0"/>
          <w:sz w:val="24"/>
          <w:szCs w:val="24"/>
          <w:highlight w:val="none"/>
        </w:rPr>
        <w:t>Eleusine</w:t>
      </w:r>
      <w:r>
        <w:rPr>
          <w:rFonts w:hint="default" w:ascii="Times New Roman" w:hAnsi="Times New Roman" w:cs="Times New Roman"/>
          <w:i/>
          <w:iCs/>
          <w:color w:val="auto"/>
          <w:sz w:val="24"/>
          <w:szCs w:val="24"/>
          <w:highlight w:val="none"/>
        </w:rPr>
        <w:t xml:space="preserve"> </w:t>
      </w:r>
      <w:r>
        <w:rPr>
          <w:rFonts w:hint="default" w:ascii="Times New Roman" w:hAnsi="Times New Roman" w:cs="Times New Roman"/>
          <w:i/>
          <w:color w:val="auto"/>
          <w:spacing w:val="-6"/>
          <w:kern w:val="0"/>
          <w:sz w:val="24"/>
          <w:szCs w:val="24"/>
          <w:highlight w:val="none"/>
        </w:rPr>
        <w:t>indica</w:t>
      </w:r>
      <w:r>
        <w:rPr>
          <w:rFonts w:hint="default" w:ascii="Times New Roman" w:hAnsi="Times New Roman" w:cs="Times New Roman"/>
          <w:color w:val="auto"/>
          <w:sz w:val="24"/>
          <w:szCs w:val="24"/>
          <w:highlight w:val="none"/>
        </w:rPr>
        <w:t>）、碎米莎草（</w:t>
      </w:r>
      <w:r>
        <w:rPr>
          <w:rFonts w:hint="default" w:ascii="Times New Roman" w:hAnsi="Times New Roman" w:cs="Times New Roman"/>
          <w:i/>
          <w:iCs/>
          <w:color w:val="auto"/>
          <w:sz w:val="24"/>
          <w:szCs w:val="24"/>
          <w:highlight w:val="none"/>
        </w:rPr>
        <w:t>Cyperus iria</w:t>
      </w:r>
      <w:r>
        <w:rPr>
          <w:rFonts w:hint="default" w:ascii="Times New Roman" w:hAnsi="Times New Roman" w:cs="Times New Roman"/>
          <w:color w:val="auto"/>
          <w:sz w:val="24"/>
          <w:szCs w:val="24"/>
          <w:highlight w:val="none"/>
        </w:rPr>
        <w:t>）等。</w:t>
      </w:r>
    </w:p>
    <w:p>
      <w:pPr>
        <w:spacing w:line="360" w:lineRule="auto"/>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（2）动物现状</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4"/>
          <w:highlight w:val="none"/>
        </w:rPr>
        <w:t>农田生态系统植被均为人工植被，生境相对简单，陆生动物多样性相对单一。评价区内，两栖动物偶见</w:t>
      </w:r>
      <w:r>
        <w:rPr>
          <w:rFonts w:hint="default" w:ascii="Times New Roman" w:hAnsi="Times New Roman" w:cs="Times New Roman"/>
          <w:color w:val="auto"/>
          <w:sz w:val="24"/>
          <w:szCs w:val="24"/>
          <w:highlight w:val="none"/>
        </w:rPr>
        <w:t>中华蟾蜍、川村陆蛙（</w:t>
      </w:r>
      <w:r>
        <w:rPr>
          <w:rFonts w:hint="default" w:ascii="Times New Roman" w:hAnsi="Times New Roman" w:cs="Times New Roman"/>
          <w:i/>
          <w:color w:val="auto"/>
          <w:sz w:val="24"/>
          <w:szCs w:val="24"/>
          <w:highlight w:val="none"/>
        </w:rPr>
        <w:t>Fejervarya kawamurai</w:t>
      </w:r>
      <w:r>
        <w:rPr>
          <w:rFonts w:hint="default" w:ascii="Times New Roman" w:hAnsi="Times New Roman" w:cs="Times New Roman"/>
          <w:color w:val="auto"/>
          <w:sz w:val="24"/>
          <w:szCs w:val="24"/>
          <w:highlight w:val="none"/>
        </w:rPr>
        <w:t>）等陆栖型</w:t>
      </w:r>
      <w:r>
        <w:rPr>
          <w:rFonts w:hint="default" w:ascii="Times New Roman" w:hAnsi="Times New Roman" w:cs="Times New Roman"/>
          <w:color w:val="auto"/>
          <w:sz w:val="24"/>
          <w:szCs w:val="24"/>
          <w:highlight w:val="none"/>
          <w:lang w:val="en-US" w:eastAsia="zh-CN"/>
        </w:rPr>
        <w:t>种类</w:t>
      </w:r>
      <w:r>
        <w:rPr>
          <w:rFonts w:hint="default" w:ascii="Times New Roman" w:hAnsi="Times New Roman" w:cs="Times New Roman"/>
          <w:bCs/>
          <w:color w:val="auto"/>
          <w:sz w:val="24"/>
          <w:szCs w:val="24"/>
          <w:highlight w:val="none"/>
        </w:rPr>
        <w:t>；爬行动物常见蜥蜴类，如中国石龙子、北草蜥等；鸟类主要为雀形目鸟类，如</w:t>
      </w:r>
      <w:r>
        <w:rPr>
          <w:rFonts w:hint="default" w:ascii="Times New Roman" w:hAnsi="Times New Roman" w:cs="Times New Roman"/>
          <w:color w:val="auto"/>
          <w:sz w:val="24"/>
          <w:szCs w:val="24"/>
          <w:highlight w:val="none"/>
        </w:rPr>
        <w:t>黑卷尾（</w:t>
      </w:r>
      <w:r>
        <w:rPr>
          <w:rFonts w:hint="default" w:ascii="Times New Roman" w:hAnsi="Times New Roman" w:cs="Times New Roman"/>
          <w:i/>
          <w:color w:val="auto"/>
          <w:sz w:val="24"/>
          <w:szCs w:val="24"/>
          <w:highlight w:val="none"/>
        </w:rPr>
        <w:t>Dicrurus</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color w:val="auto"/>
          <w:sz w:val="24"/>
          <w:szCs w:val="24"/>
          <w:highlight w:val="none"/>
        </w:rPr>
        <w:t>macrocercus</w:t>
      </w:r>
      <w:r>
        <w:rPr>
          <w:rFonts w:hint="default" w:ascii="Times New Roman" w:hAnsi="Times New Roman" w:cs="Times New Roman"/>
          <w:color w:val="auto"/>
          <w:sz w:val="24"/>
          <w:szCs w:val="24"/>
          <w:highlight w:val="none"/>
        </w:rPr>
        <w:t>）</w:t>
      </w:r>
      <w:r>
        <w:rPr>
          <w:rFonts w:hint="default" w:ascii="Times New Roman" w:hAnsi="Times New Roman" w:cs="Times New Roman"/>
          <w:bCs/>
          <w:color w:val="auto"/>
          <w:sz w:val="24"/>
          <w:szCs w:val="24"/>
          <w:highlight w:val="none"/>
        </w:rPr>
        <w:t>、麻雀（</w:t>
      </w:r>
      <w:r>
        <w:rPr>
          <w:rFonts w:hint="default" w:ascii="Times New Roman" w:hAnsi="Times New Roman" w:cs="Times New Roman"/>
          <w:bCs/>
          <w:i/>
          <w:color w:val="auto"/>
          <w:sz w:val="24"/>
          <w:szCs w:val="24"/>
          <w:highlight w:val="none"/>
        </w:rPr>
        <w:t>Passer montanus</w:t>
      </w:r>
      <w:r>
        <w:rPr>
          <w:rFonts w:hint="default" w:ascii="Times New Roman" w:hAnsi="Times New Roman" w:cs="Times New Roman"/>
          <w:bCs/>
          <w:color w:val="auto"/>
          <w:sz w:val="24"/>
          <w:szCs w:val="24"/>
          <w:highlight w:val="none"/>
        </w:rPr>
        <w:t>）、喜鹊（</w:t>
      </w:r>
      <w:r>
        <w:rPr>
          <w:rFonts w:hint="default" w:ascii="Times New Roman" w:hAnsi="Times New Roman" w:cs="Times New Roman"/>
          <w:bCs/>
          <w:i/>
          <w:iCs/>
          <w:color w:val="auto"/>
          <w:sz w:val="24"/>
          <w:szCs w:val="24"/>
          <w:highlight w:val="none"/>
        </w:rPr>
        <w:t>Pica serica</w:t>
      </w:r>
      <w:r>
        <w:rPr>
          <w:rFonts w:hint="default" w:ascii="Times New Roman" w:hAnsi="Times New Roman" w:cs="Times New Roman"/>
          <w:bCs/>
          <w:color w:val="auto"/>
          <w:sz w:val="24"/>
          <w:szCs w:val="24"/>
          <w:highlight w:val="none"/>
        </w:rPr>
        <w:t>）等；</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以小型啮齿目为主，如褐家鼠</w:t>
      </w:r>
      <w:r>
        <w:rPr>
          <w:rFonts w:hint="default" w:ascii="Times New Roman" w:hAnsi="Times New Roman" w:cs="Times New Roman"/>
          <w:color w:val="auto"/>
          <w:sz w:val="24"/>
          <w:szCs w:val="24"/>
          <w:highlight w:val="none"/>
        </w:rPr>
        <w:t>（</w:t>
      </w:r>
      <w:r>
        <w:rPr>
          <w:rFonts w:hint="default" w:ascii="Times New Roman" w:hAnsi="Times New Roman" w:cs="Times New Roman"/>
          <w:i/>
          <w:color w:val="auto"/>
          <w:sz w:val="24"/>
          <w:szCs w:val="24"/>
          <w:highlight w:val="none"/>
        </w:rPr>
        <w:t>Rattus</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color w:val="auto"/>
          <w:sz w:val="24"/>
          <w:szCs w:val="24"/>
          <w:highlight w:val="none"/>
        </w:rPr>
        <w:t>norvegicus</w:t>
      </w:r>
      <w:r>
        <w:rPr>
          <w:rFonts w:hint="default" w:ascii="Times New Roman" w:hAnsi="Times New Roman" w:cs="Times New Roman"/>
          <w:color w:val="auto"/>
          <w:sz w:val="24"/>
          <w:szCs w:val="24"/>
          <w:highlight w:val="none"/>
        </w:rPr>
        <w:t>）、大足鼠（</w:t>
      </w:r>
      <w:r>
        <w:rPr>
          <w:rFonts w:hint="default" w:ascii="Times New Roman" w:hAnsi="Times New Roman" w:cs="Times New Roman"/>
          <w:i/>
          <w:color w:val="auto"/>
          <w:sz w:val="24"/>
          <w:szCs w:val="24"/>
          <w:highlight w:val="none"/>
        </w:rPr>
        <w:t>Rattus nitidus</w:t>
      </w:r>
      <w:r>
        <w:rPr>
          <w:rFonts w:hint="default" w:ascii="Times New Roman" w:hAnsi="Times New Roman" w:cs="Times New Roman"/>
          <w:color w:val="auto"/>
          <w:sz w:val="24"/>
          <w:szCs w:val="24"/>
          <w:highlight w:val="none"/>
        </w:rPr>
        <w:t>）</w:t>
      </w:r>
      <w:r>
        <w:rPr>
          <w:rFonts w:hint="default" w:ascii="Times New Roman" w:hAnsi="Times New Roman" w:cs="Times New Roman"/>
          <w:bCs/>
          <w:color w:val="auto"/>
          <w:sz w:val="24"/>
          <w:szCs w:val="24"/>
          <w:highlight w:val="none"/>
        </w:rPr>
        <w:t>等，可偶见黄鼬</w:t>
      </w:r>
      <w:r>
        <w:rPr>
          <w:rFonts w:hint="default" w:ascii="Times New Roman" w:hAnsi="Times New Roman" w:cs="Times New Roman"/>
          <w:bCs/>
          <w:color w:val="auto"/>
          <w:sz w:val="24"/>
          <w:szCs w:val="24"/>
          <w:highlight w:val="none"/>
          <w:lang w:eastAsia="zh-CN"/>
        </w:rPr>
        <w:t>、华南兔（</w:t>
      </w:r>
      <w:r>
        <w:rPr>
          <w:rFonts w:hint="default" w:ascii="Times New Roman" w:hAnsi="Times New Roman" w:cs="Times New Roman"/>
          <w:bCs/>
          <w:i/>
          <w:iCs/>
          <w:color w:val="auto"/>
          <w:sz w:val="24"/>
          <w:szCs w:val="24"/>
          <w:highlight w:val="none"/>
          <w:lang w:eastAsia="zh-CN"/>
        </w:rPr>
        <w:t>Lepus sinensis</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等小型动物。</w:t>
      </w:r>
    </w:p>
    <w:p>
      <w:p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、生态系统功能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农田生态系统是随着人类的发展而出现的，它的主要功能就是满足人们对粮食的需求，为人们提供充足的食物供给。农田生态系统是以作物为中心的农田中，以生物群落与其生态环境之间的能量和物质的交换和相互作用构成的生态系统，是自然生态系统中重要的组成部分，是关系人类生存的重要因素。</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482" w:firstLineChars="200"/>
        <w:textAlignment w:val="auto"/>
        <w:outlineLvl w:val="9"/>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4.</w:t>
      </w:r>
      <w:r>
        <w:rPr>
          <w:rFonts w:hint="eastAsia" w:cs="Times New Roman"/>
          <w:b/>
          <w:bCs/>
          <w:color w:val="auto"/>
          <w:kern w:val="0"/>
          <w:sz w:val="24"/>
          <w:szCs w:val="24"/>
          <w:highlight w:val="none"/>
          <w:lang w:val="en-US" w:eastAsia="zh-CN"/>
        </w:rPr>
        <w:t>5</w:t>
      </w:r>
      <w:r>
        <w:rPr>
          <w:rFonts w:hint="default" w:ascii="Times New Roman" w:hAnsi="Times New Roman" w:eastAsia="宋体" w:cs="Times New Roman"/>
          <w:b/>
          <w:bCs/>
          <w:color w:val="auto"/>
          <w:kern w:val="0"/>
          <w:sz w:val="24"/>
          <w:szCs w:val="24"/>
          <w:highlight w:val="none"/>
          <w:lang w:val="en-US" w:eastAsia="zh-CN"/>
        </w:rPr>
        <w:t>.2.6城镇生态系统</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城镇生态系统是一个高度复合的人工化生态系统，与自然生态系统在结构和功能上都存在明显差别。城镇生态系统面积为511.81hm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，占评价区总面积的</w:t>
      </w:r>
      <w:r>
        <w:rPr>
          <w:rFonts w:hint="default" w:cs="Times New Roman"/>
          <w:color w:val="auto"/>
          <w:sz w:val="24"/>
          <w:szCs w:val="24"/>
          <w:highlight w:val="none"/>
          <w:lang w:val="en-US" w:eastAsia="zh-CN"/>
        </w:rPr>
        <w:t>69.78</w:t>
      </w:r>
      <w:r>
        <w:rPr>
          <w:rFonts w:hint="default" w:ascii="Times New Roman" w:hAnsi="Times New Roman" w:cs="Times New Roman"/>
          <w:color w:val="auto"/>
          <w:sz w:val="24"/>
          <w:szCs w:val="24"/>
          <w:highlight w:val="none"/>
        </w:rPr>
        <w:t>%，占比</w:t>
      </w:r>
      <w:r>
        <w:rPr>
          <w:rFonts w:hint="default" w:ascii="Times New Roman" w:hAnsi="Times New Roman" w:cs="Times New Roman"/>
          <w:color w:val="auto"/>
          <w:sz w:val="24"/>
          <w:szCs w:val="24"/>
          <w:highlight w:val="none"/>
          <w:lang w:val="en-US" w:eastAsia="zh-CN"/>
        </w:rPr>
        <w:t>最大，评价区内广泛分布，包括城市绿地、工矿交通、居住地3种类型</w:t>
      </w:r>
      <w:r>
        <w:rPr>
          <w:rFonts w:hint="default" w:ascii="Times New Roman" w:hAnsi="Times New Roman" w:cs="Times New Roman"/>
          <w:color w:val="auto"/>
          <w:sz w:val="24"/>
          <w:szCs w:val="24"/>
          <w:highlight w:val="none"/>
        </w:rPr>
        <w:t>。</w:t>
      </w:r>
    </w:p>
    <w:p>
      <w:p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、生态系统结构</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（1）植被现状</w:t>
      </w:r>
    </w:p>
    <w:p>
      <w:pPr>
        <w:widowControl/>
        <w:spacing w:line="360" w:lineRule="auto"/>
        <w:ind w:firstLine="480" w:firstLineChars="200"/>
        <w:jc w:val="left"/>
        <w:textAlignment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评价区城镇生态系统内植物多分布在住宅附近和公园区域，以城市行道树、城市公园植被为主，常见的植物有</w:t>
      </w:r>
      <w:r>
        <w:rPr>
          <w:rFonts w:hint="default" w:ascii="Times New Roman" w:hAnsi="Times New Roman" w:cs="Times New Roman"/>
          <w:color w:val="auto"/>
          <w:kern w:val="0"/>
          <w:sz w:val="24"/>
          <w:szCs w:val="24"/>
          <w:highlight w:val="none"/>
        </w:rPr>
        <w:t>池杉</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Taxodium distichum var. imbricatum</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刚竹</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 xml:space="preserve">Phyllostachys sulphurea </w:t>
      </w:r>
      <w:r>
        <w:rPr>
          <w:rFonts w:hint="default" w:ascii="Times New Roman" w:hAnsi="Times New Roman" w:cs="Times New Roman"/>
          <w:color w:val="auto"/>
          <w:kern w:val="0"/>
          <w:sz w:val="24"/>
          <w:szCs w:val="24"/>
          <w:highlight w:val="none"/>
        </w:rPr>
        <w:t>var.</w:t>
      </w:r>
      <w:r>
        <w:rPr>
          <w:rFonts w:hint="default" w:ascii="Times New Roman" w:hAnsi="Times New Roman" w:cs="Times New Roman"/>
          <w:i/>
          <w:iCs/>
          <w:color w:val="auto"/>
          <w:kern w:val="0"/>
          <w:sz w:val="24"/>
          <w:szCs w:val="24"/>
          <w:highlight w:val="none"/>
        </w:rPr>
        <w:t xml:space="preserve"> viridis</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红花檵木</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Loropetalum</w:t>
      </w:r>
      <w:r>
        <w:rPr>
          <w:rStyle w:val="57"/>
          <w:rFonts w:hint="default" w:ascii="Times New Roman" w:hAnsi="Times New Roman" w:cs="Times New Roman"/>
          <w:color w:val="auto"/>
          <w:sz w:val="24"/>
          <w:szCs w:val="24"/>
          <w:highlight w:val="none"/>
        </w:rPr>
        <w:t xml:space="preserve"> </w:t>
      </w:r>
      <w:r>
        <w:rPr>
          <w:rStyle w:val="58"/>
          <w:rFonts w:hint="default" w:ascii="Times New Roman" w:hAnsi="Times New Roman" w:cs="Times New Roman"/>
          <w:color w:val="auto"/>
          <w:highlight w:val="none"/>
        </w:rPr>
        <w:t>chinense</w:t>
      </w:r>
      <w:r>
        <w:rPr>
          <w:rStyle w:val="57"/>
          <w:rFonts w:hint="default" w:ascii="Times New Roman" w:hAnsi="Times New Roman" w:cs="Times New Roman"/>
          <w:color w:val="auto"/>
          <w:sz w:val="24"/>
          <w:szCs w:val="24"/>
          <w:highlight w:val="none"/>
        </w:rPr>
        <w:t xml:space="preserve"> var. </w:t>
      </w:r>
      <w:r>
        <w:rPr>
          <w:rStyle w:val="58"/>
          <w:rFonts w:hint="default" w:ascii="Times New Roman" w:hAnsi="Times New Roman" w:cs="Times New Roman"/>
          <w:color w:val="auto"/>
          <w:highlight w:val="none"/>
        </w:rPr>
        <w:t>rubrum</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二球悬铃木</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Platanus × acerifolia</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红叶石楠</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Photinia</w:t>
      </w:r>
      <w:r>
        <w:rPr>
          <w:rStyle w:val="57"/>
          <w:rFonts w:hint="default" w:ascii="Times New Roman" w:hAnsi="Times New Roman" w:cs="Times New Roman"/>
          <w:color w:val="auto"/>
          <w:sz w:val="24"/>
          <w:szCs w:val="24"/>
          <w:highlight w:val="none"/>
        </w:rPr>
        <w:t xml:space="preserve"> </w:t>
      </w:r>
      <w:r>
        <w:rPr>
          <w:rStyle w:val="58"/>
          <w:rFonts w:hint="default" w:ascii="Times New Roman" w:hAnsi="Times New Roman" w:cs="Times New Roman"/>
          <w:color w:val="auto"/>
          <w:highlight w:val="none"/>
        </w:rPr>
        <w:t>× fraseri</w:t>
      </w:r>
      <w:r>
        <w:rPr>
          <w:rStyle w:val="57"/>
          <w:rFonts w:hint="default" w:ascii="Times New Roman" w:hAnsi="Times New Roman" w:cs="Times New Roman"/>
          <w:color w:val="auto"/>
          <w:sz w:val="24"/>
          <w:szCs w:val="24"/>
          <w:highlight w:val="none"/>
        </w:rPr>
        <w:t xml:space="preserve"> </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桂樱</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Prunus laurocerasus</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木瓜</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Pseudocydonia sinensis</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黄杨</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Buxus sinica</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大叶黄杨</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Buxus megistophylla</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杜英</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Elaeocarpus decipiens</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木芙蓉</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Hibiscus mutabilis</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凤仙花</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Impatiens balsamina</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女贞</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小叶女贞</w:t>
      </w:r>
      <w:r>
        <w:rPr>
          <w:rFonts w:hint="default" w:ascii="Times New Roman" w:hAnsi="Times New Roman" w:cs="Times New Roman"/>
          <w:color w:val="auto"/>
          <w:sz w:val="24"/>
          <w:szCs w:val="24"/>
          <w:highlight w:val="none"/>
        </w:rPr>
        <w:t>（</w:t>
      </w:r>
      <w:r>
        <w:rPr>
          <w:rFonts w:hint="default" w:ascii="Times New Roman" w:hAnsi="Times New Roman" w:cs="Times New Roman"/>
          <w:i/>
          <w:iCs/>
          <w:color w:val="auto"/>
          <w:kern w:val="0"/>
          <w:sz w:val="24"/>
          <w:szCs w:val="24"/>
          <w:highlight w:val="none"/>
        </w:rPr>
        <w:t>Ligustrum quihoui</w:t>
      </w:r>
      <w:r>
        <w:rPr>
          <w:rFonts w:hint="default" w:ascii="Times New Roman" w:hAnsi="Times New Roman" w:cs="Times New Roman"/>
          <w:color w:val="auto"/>
          <w:sz w:val="24"/>
          <w:szCs w:val="24"/>
          <w:highlight w:val="none"/>
        </w:rPr>
        <w:t>）、樟（</w:t>
      </w:r>
      <w:r>
        <w:rPr>
          <w:rFonts w:hint="default" w:ascii="Times New Roman" w:hAnsi="Times New Roman" w:cs="Times New Roman"/>
          <w:i/>
          <w:iCs/>
          <w:color w:val="auto"/>
          <w:sz w:val="24"/>
          <w:szCs w:val="24"/>
          <w:highlight w:val="none"/>
        </w:rPr>
        <w:t>Cinnamomum camphora</w:t>
      </w:r>
      <w:r>
        <w:rPr>
          <w:rFonts w:hint="default" w:ascii="Times New Roman" w:hAnsi="Times New Roman" w:cs="Times New Roman"/>
          <w:color w:val="auto"/>
          <w:sz w:val="24"/>
          <w:szCs w:val="24"/>
          <w:highlight w:val="none"/>
        </w:rPr>
        <w:t>）。</w:t>
      </w:r>
    </w:p>
    <w:p>
      <w:pPr>
        <w:spacing w:line="360" w:lineRule="auto"/>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（2）动物现状</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城镇生态系统的植被主要为人工种植，人为活动频繁，在此类生态系统下的陆生动物主要为喜与人伴居的种类。评价范围内的城镇生态系统中，两栖动物种类较为单一，主要有中华蟾蜍、川村陆蛙等；爬行动物以壁虎科种类为主，如多疣壁虎（</w:t>
      </w:r>
      <w:r>
        <w:rPr>
          <w:rFonts w:hint="default" w:ascii="Times New Roman" w:hAnsi="Times New Roman" w:cs="Times New Roman"/>
          <w:i/>
          <w:color w:val="auto"/>
          <w:sz w:val="24"/>
          <w:szCs w:val="24"/>
          <w:highlight w:val="none"/>
        </w:rPr>
        <w:t>Gekko</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color w:val="auto"/>
          <w:sz w:val="24"/>
          <w:szCs w:val="24"/>
          <w:highlight w:val="none"/>
        </w:rPr>
        <w:t>japonicus</w:t>
      </w:r>
      <w:r>
        <w:rPr>
          <w:rFonts w:hint="default" w:ascii="Times New Roman" w:hAnsi="Times New Roman" w:cs="Times New Roman"/>
          <w:color w:val="auto"/>
          <w:sz w:val="24"/>
          <w:szCs w:val="24"/>
          <w:highlight w:val="none"/>
        </w:rPr>
        <w:t>）；鸟类以麻雀、喜鹊、家燕（</w:t>
      </w:r>
      <w:r>
        <w:rPr>
          <w:rFonts w:hint="default" w:ascii="Times New Roman" w:hAnsi="Times New Roman" w:cs="Times New Roman"/>
          <w:i/>
          <w:color w:val="auto"/>
          <w:sz w:val="24"/>
          <w:szCs w:val="24"/>
          <w:highlight w:val="none"/>
        </w:rPr>
        <w:t>Hirundo rustica</w:t>
      </w:r>
      <w:r>
        <w:rPr>
          <w:rFonts w:hint="default" w:ascii="Times New Roman" w:hAnsi="Times New Roman" w:cs="Times New Roman"/>
          <w:color w:val="auto"/>
          <w:sz w:val="24"/>
          <w:szCs w:val="24"/>
          <w:highlight w:val="none"/>
        </w:rPr>
        <w:t>）、金腰燕（</w:t>
      </w:r>
      <w:r>
        <w:rPr>
          <w:rFonts w:hint="default" w:ascii="Times New Roman" w:hAnsi="Times New Roman" w:cs="Times New Roman"/>
          <w:i/>
          <w:iCs/>
          <w:color w:val="auto"/>
          <w:sz w:val="24"/>
          <w:szCs w:val="24"/>
          <w:highlight w:val="none"/>
        </w:rPr>
        <w:t>Cecropis daurica</w:t>
      </w:r>
      <w:r>
        <w:rPr>
          <w:rFonts w:hint="default" w:ascii="Times New Roman" w:hAnsi="Times New Roman" w:cs="Times New Roman"/>
          <w:color w:val="auto"/>
          <w:sz w:val="24"/>
          <w:szCs w:val="24"/>
          <w:highlight w:val="none"/>
        </w:rPr>
        <w:t>）、白头鹎、八哥等为优势种；</w:t>
      </w:r>
      <w:r>
        <w:rPr>
          <w:rFonts w:hint="default" w:ascii="Times New Roman" w:hAnsi="Times New Roman" w:cs="Times New Roman"/>
          <w:color w:val="auto"/>
          <w:sz w:val="24"/>
          <w:szCs w:val="24"/>
          <w:highlight w:val="none"/>
          <w:lang w:eastAsia="zh-CN"/>
        </w:rPr>
        <w:t>哺乳类</w:t>
      </w:r>
      <w:r>
        <w:rPr>
          <w:rFonts w:hint="default" w:ascii="Times New Roman" w:hAnsi="Times New Roman" w:cs="Times New Roman"/>
          <w:color w:val="auto"/>
          <w:sz w:val="24"/>
          <w:szCs w:val="24"/>
          <w:highlight w:val="none"/>
        </w:rPr>
        <w:t>主要为啮齿目鼠科种类为优势种，如小家鼠、黄胸鼠等，偶见普通伏翼（</w:t>
      </w:r>
      <w:r>
        <w:rPr>
          <w:rFonts w:hint="default" w:ascii="Times New Roman" w:hAnsi="Times New Roman" w:cs="Times New Roman"/>
          <w:i/>
          <w:color w:val="auto"/>
          <w:sz w:val="24"/>
          <w:szCs w:val="24"/>
          <w:highlight w:val="none"/>
        </w:rPr>
        <w:t>Pipistrellus</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color w:val="auto"/>
          <w:sz w:val="24"/>
          <w:szCs w:val="24"/>
          <w:highlight w:val="none"/>
        </w:rPr>
        <w:t>pipistrellus</w:t>
      </w:r>
      <w:r>
        <w:rPr>
          <w:rFonts w:hint="default" w:ascii="Times New Roman" w:hAnsi="Times New Roman" w:cs="Times New Roman"/>
          <w:color w:val="auto"/>
          <w:sz w:val="24"/>
          <w:szCs w:val="24"/>
          <w:highlight w:val="none"/>
        </w:rPr>
        <w:t>）等。</w:t>
      </w:r>
    </w:p>
    <w:p>
      <w:p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、生态系统功能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城镇是一个高度复合的人工化生态系统，与自然生态系统在结构和功能上都存在明显差别。城镇生态系统的服务功能主要包括三大类：①提供生活和生产物质的功能，包括食物生产、原材料生产；②与人类日常生活和身心健康相关的生命支持的功能，包括：气候调节、水源涵养、土壤形成与保护、净化空气、生物多样性保护、减轻噪声；③满足人类精神生活需求的功能，包括娱乐文化。</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4.5.3陆生生态现状</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4.5.3.1陆生植物现状</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（1）陆生植物调查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2023年8月、11月，植物技术人员在文旅综合项目评价范围内，重点对项目红线范围内等区域布设工程调查点位，根据区域地形地势、坡度坡向、海拔等地形情况及环境状况、植被类型、群系组成及结构等设置了43个样方进行了详细调查（样方点位一览表见表3.3-1），调查范围包括了受工程施工和运行影响的整个评价区，植被类型涵盖了灌丛、灌草丛、城市公园、城市行道树等评价区常见且具有典型性的植被类型。因此，样方调查点位设置兼具合理性和代表性，样方设置基本合理，各群落样方数量均不少于3个，调查时间中的8月为植物生长旺盛季节，基本满足陆生生态二级评价要求。</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4.5-3</w:t>
      </w:r>
      <w:r>
        <w:rPr>
          <w:rFonts w:hint="default" w:ascii="Times New Roman" w:hAnsi="Times New Roman" w:cs="Times New Roman"/>
          <w:b/>
          <w:color w:val="auto"/>
          <w:highlight w:val="none"/>
          <w:lang w:val="en-US" w:eastAsia="zh-CN"/>
        </w:rPr>
        <w:t>植物样方设置一览表</w:t>
      </w:r>
    </w:p>
    <w:tbl>
      <w:tblPr>
        <w:tblStyle w:val="22"/>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62"/>
        <w:gridCol w:w="1024"/>
        <w:gridCol w:w="1126"/>
        <w:gridCol w:w="910"/>
        <w:gridCol w:w="1721"/>
        <w:gridCol w:w="1708"/>
        <w:gridCol w:w="127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2" w:hRule="atLeast"/>
          <w:tblHeader/>
          <w:jc w:val="center"/>
        </w:trPr>
        <w:tc>
          <w:tcPr>
            <w:tcW w:w="72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color w:val="auto"/>
                <w:sz w:val="21"/>
                <w:szCs w:val="21"/>
                <w:highlight w:val="none"/>
                <w:lang w:val="en-US" w:eastAsia="zh-CN" w:bidi="ar"/>
              </w:rPr>
              <w:t>序号</w:t>
            </w:r>
          </w:p>
        </w:tc>
        <w:tc>
          <w:tcPr>
            <w:tcW w:w="97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color w:val="auto"/>
                <w:sz w:val="21"/>
                <w:szCs w:val="21"/>
                <w:highlight w:val="none"/>
                <w:lang w:val="en-US" w:eastAsia="zh-CN" w:bidi="ar"/>
              </w:rPr>
              <w:t>名称</w:t>
            </w:r>
          </w:p>
        </w:tc>
        <w:tc>
          <w:tcPr>
            <w:tcW w:w="106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color w:val="auto"/>
                <w:sz w:val="21"/>
                <w:szCs w:val="21"/>
                <w:highlight w:val="none"/>
                <w:lang w:val="en-US" w:eastAsia="zh-CN" w:bidi="ar"/>
              </w:rPr>
              <w:t>植被类型</w:t>
            </w:r>
          </w:p>
        </w:tc>
        <w:tc>
          <w:tcPr>
            <w:tcW w:w="86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color w:val="auto"/>
                <w:sz w:val="21"/>
                <w:szCs w:val="21"/>
                <w:highlight w:val="none"/>
                <w:lang w:val="en-US" w:eastAsia="zh-CN" w:bidi="ar"/>
              </w:rPr>
              <w:t>样方数</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color w:val="auto"/>
                <w:sz w:val="21"/>
                <w:szCs w:val="21"/>
                <w:highlight w:val="none"/>
                <w:lang w:val="en-US" w:eastAsia="zh-CN" w:bidi="ar"/>
              </w:rPr>
              <w:t>经度</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color w:val="auto"/>
                <w:sz w:val="21"/>
                <w:szCs w:val="21"/>
                <w:highlight w:val="none"/>
                <w:lang w:val="en-US" w:eastAsia="zh-CN" w:bidi="ar"/>
              </w:rPr>
              <w:t>纬度</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color w:val="auto"/>
                <w:sz w:val="21"/>
                <w:szCs w:val="21"/>
                <w:highlight w:val="none"/>
                <w:lang w:val="en-US" w:eastAsia="zh-CN" w:bidi="ar"/>
              </w:rPr>
              <w:t>海拔（m）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野蔷薇灌丛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112°37'12.2197"</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26°52'37.0360"</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112°37'14.6241"</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26°52'34.2024"</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112°38'22.9206"</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26°52'20.5850"</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苎麻灌丛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112°37'31.7344"</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26°52'34.8397"</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112°37'45.7742"</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26°52'20.9037"</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112°38'04.9606"</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26°52'25.2534"</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白茅灌草丛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112°37'27.2251"</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26°52'37.1308"</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112°37'23.9710"</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26°52'38.0782"</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112°38'21.9647"</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26°52'20.4817"</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稗灌草丛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112°37'30.4309"</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26°52'35.6838"</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112°37'23.6427"</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26°52'38.4571"</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112°37'30.8171"</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26°52'27.5789"</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112°38'02.6045"</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26°52'19.2327"</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苍耳灌草丛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112°37'27.1768"</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26°52'29.6461"</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112°37'12.5674"</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26°52'37.3805"</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112°37'10.7134"</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26°52'38.1643"</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狗牙根灌草丛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112°37'27.7079"</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26°52'36.9241"</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112°37'23.7296"</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26°52'40.0764"</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112°37'25.1877"</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26°52'38.2849"</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112°37'26.7133"</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26°52'29.9906"</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窃衣灌草丛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112°37'29.1370"</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26°52'36.2178"</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112°37'24.6952"</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26°52'39.1634"</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112°37'23.8938"</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26°52'39.8783"</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112°37'25.1298"</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26°52'38.4916"</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白车轴草灌草丛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112°37'27.6017"</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26°52'29.4910"</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112°37'12.7412"</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26°52'36.4503"</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112°38'04.5647"</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26°52'17.9580"</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芦竹灌草丛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112°37'24.1931"</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26°52'37.9059"</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112°37'12.1135"</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26°52'37.7337"</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112°37'43.9975"</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26°52'30.2059"</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南苜蓿灌草丛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112°37'34.2933"</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26°52'34.3229"</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112°37'11.3507"</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26°52'38.3452"</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112°38'10.8700"</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26°52'14.4523"</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五节芒灌草丛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112°37'25.8636"</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26°52'37.6217"</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112°37'24.0193"</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26°52'31.3773"</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112°38'11.0631"</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26°52'15.2534"</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野艾蒿灌草丛</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灌草丛</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112°37'30.8750"</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26°52'27.8459"</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112°37'13.6874"</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26°52'35.3909"</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112°38'06.4669"</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26°52'17.0794"</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971"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刚竹林</w:t>
            </w:r>
          </w:p>
        </w:tc>
        <w:tc>
          <w:tcPr>
            <w:tcW w:w="1068"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bidi="ar"/>
              </w:rPr>
              <w:t>城市公园</w:t>
            </w:r>
          </w:p>
        </w:tc>
        <w:tc>
          <w:tcPr>
            <w:tcW w:w="86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112°37'12.6929"</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26°52'36.1144"</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112°37'12.1618"</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26°52'37.7251"</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112°37'51.1719"</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26°52'20.3697"</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7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1"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68"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86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112°37'56.2412"</w:t>
            </w:r>
          </w:p>
        </w:tc>
        <w:tc>
          <w:tcPr>
            <w:tcW w:w="162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26°52'20.1458"</w:t>
            </w:r>
          </w:p>
        </w:tc>
        <w:tc>
          <w:tcPr>
            <w:tcW w:w="120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2762" w:type="dxa"/>
            <w:gridSpan w:val="3"/>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r>
              <w:rPr>
                <w:rStyle w:val="59"/>
                <w:rFonts w:hint="default" w:ascii="Times New Roman" w:hAnsi="Times New Roman" w:eastAsia="宋体" w:cs="Times New Roman"/>
                <w:color w:val="auto"/>
                <w:sz w:val="21"/>
                <w:szCs w:val="21"/>
                <w:highlight w:val="none"/>
                <w:lang w:val="en-US" w:eastAsia="zh-CN" w:bidi="ar"/>
              </w:rPr>
              <w:t>总计</w:t>
            </w:r>
          </w:p>
        </w:tc>
        <w:tc>
          <w:tcPr>
            <w:tcW w:w="86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1632" w:type="dxa"/>
            <w:tcBorders>
              <w:tl2br w:val="nil"/>
              <w:tr2bl w:val="nil"/>
            </w:tcBorders>
            <w:shd w:val="clear" w:color="auto" w:fill="auto"/>
            <w:noWrap/>
            <w:vAlign w:val="center"/>
          </w:tcPr>
          <w:p>
            <w:pPr>
              <w:rPr>
                <w:rFonts w:hint="default" w:ascii="Times New Roman" w:hAnsi="Times New Roman" w:eastAsia="宋体" w:cs="Times New Roman"/>
                <w:i w:val="0"/>
                <w:iCs w:val="0"/>
                <w:color w:val="auto"/>
                <w:sz w:val="21"/>
                <w:szCs w:val="21"/>
                <w:highlight w:val="none"/>
                <w:u w:val="none"/>
              </w:rPr>
            </w:pPr>
          </w:p>
        </w:tc>
        <w:tc>
          <w:tcPr>
            <w:tcW w:w="1620" w:type="dxa"/>
            <w:tcBorders>
              <w:tl2br w:val="nil"/>
              <w:tr2bl w:val="nil"/>
            </w:tcBorders>
            <w:shd w:val="clear" w:color="auto" w:fill="auto"/>
            <w:noWrap/>
            <w:vAlign w:val="center"/>
          </w:tcPr>
          <w:p>
            <w:pPr>
              <w:rPr>
                <w:rFonts w:hint="default" w:ascii="Times New Roman" w:hAnsi="Times New Roman" w:eastAsia="宋体" w:cs="Times New Roman"/>
                <w:i w:val="0"/>
                <w:iCs w:val="0"/>
                <w:color w:val="auto"/>
                <w:sz w:val="21"/>
                <w:szCs w:val="21"/>
                <w:highlight w:val="none"/>
                <w:u w:val="none"/>
              </w:rPr>
            </w:pPr>
          </w:p>
        </w:tc>
        <w:tc>
          <w:tcPr>
            <w:tcW w:w="1205" w:type="dxa"/>
            <w:tcBorders>
              <w:tl2br w:val="nil"/>
              <w:tr2bl w:val="nil"/>
            </w:tcBorders>
            <w:shd w:val="clear" w:color="auto" w:fill="auto"/>
            <w:noWrap/>
            <w:vAlign w:val="center"/>
          </w:tcPr>
          <w:p>
            <w:pPr>
              <w:rPr>
                <w:rFonts w:hint="default" w:ascii="Times New Roman" w:hAnsi="Times New Roman" w:eastAsia="宋体" w:cs="Times New Roman"/>
                <w:i w:val="0"/>
                <w:iCs w:val="0"/>
                <w:color w:val="auto"/>
                <w:sz w:val="21"/>
                <w:szCs w:val="21"/>
                <w:highlight w:val="none"/>
                <w:u w:val="none"/>
              </w:rPr>
            </w:pPr>
          </w:p>
        </w:tc>
      </w:tr>
    </w:tbl>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（2）植物多样性及区系分析</w:t>
      </w:r>
    </w:p>
    <w:p>
      <w:pPr>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根据现场调查及</w:t>
      </w:r>
      <w:r>
        <w:rPr>
          <w:rFonts w:hint="default" w:ascii="Times New Roman" w:hAnsi="Times New Roman" w:cs="Times New Roman"/>
          <w:color w:val="auto"/>
          <w:sz w:val="24"/>
          <w:szCs w:val="24"/>
          <w:highlight w:val="none"/>
        </w:rPr>
        <w:t>查阅并参考《中国植物志》</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吴征镒等，2004</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、《湖南植物志》</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刘克明，2000</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、《湖南植物名录》</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祁承经等，1987</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等专著和已经正式发表的相关论文如《湖南植物区系与植被概况》</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万邵滨等，1980</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等</w:t>
      </w:r>
      <w:r>
        <w:rPr>
          <w:rFonts w:hint="default" w:ascii="Times New Roman" w:hAnsi="Times New Roman" w:cs="Times New Roman"/>
          <w:color w:val="auto"/>
          <w:sz w:val="24"/>
          <w:szCs w:val="24"/>
          <w:highlight w:val="none"/>
          <w:lang w:val="en-US" w:eastAsia="zh-CN"/>
        </w:rPr>
        <w:t>资料</w:t>
      </w:r>
      <w:r>
        <w:rPr>
          <w:rFonts w:hint="default" w:ascii="Times New Roman" w:hAnsi="Times New Roman" w:cs="Times New Roman"/>
          <w:color w:val="auto"/>
          <w:sz w:val="24"/>
          <w:szCs w:val="24"/>
          <w:highlight w:val="none"/>
        </w:rPr>
        <w:t>，对评价区的植物资源现状得出综合结论。</w:t>
      </w:r>
    </w:p>
    <w:p>
      <w:pPr>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中国种子植物区系地理》（吴征镒等，2011年），评价区属于东亚植物区—中国-日本植物亚区—华东地区——赣南-湘东丘陵亚地区。本亚地区境内为低山丘陵，间有许多大小不同的盆地。气候温暖湿润，是典型的中亚热带气候。</w:t>
      </w:r>
    </w:p>
    <w:p>
      <w:pPr>
        <w:pStyle w:val="60"/>
        <w:pageBreakBefore w:val="0"/>
        <w:widowControl w:val="0"/>
        <w:kinsoku/>
        <w:wordWrap/>
        <w:overflowPunct/>
        <w:topLinePunct w:val="0"/>
        <w:autoSpaceDE/>
        <w:autoSpaceDN/>
        <w:bidi w:val="0"/>
        <w:spacing w:before="0" w:line="360" w:lineRule="auto"/>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多样性分析</w:t>
      </w:r>
    </w:p>
    <w:p>
      <w:pPr>
        <w:pageBreakBefore w:val="0"/>
        <w:widowControl w:val="0"/>
        <w:kinsoku/>
        <w:wordWrap/>
        <w:overflowPunct/>
        <w:topLinePunct w:val="0"/>
        <w:autoSpaceDE/>
        <w:autoSpaceDN/>
        <w:bidi w:val="0"/>
        <w:spacing w:line="360" w:lineRule="auto"/>
        <w:ind w:firstLine="480"/>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1）样方数据统计</w:t>
      </w:r>
    </w:p>
    <w:p>
      <w:pPr>
        <w:pageBreakBefore w:val="0"/>
        <w:widowControl w:val="0"/>
        <w:kinsoku/>
        <w:wordWrap/>
        <w:overflowPunct/>
        <w:topLinePunct w:val="0"/>
        <w:autoSpaceDE/>
        <w:autoSpaceDN/>
        <w:bidi w:val="0"/>
        <w:spacing w:line="360" w:lineRule="auto"/>
        <w:ind w:firstLine="48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工程施工布置情况及评价区内植被分布自然特征，依据不同的海拔段、坡位、坡向等，针对不同生境、不同群落类型，对线路周边的植被进行了样地群落学调查。样方面积依据最小面积测定，灌丛采用5m×5m的样方，草丛采用1m×1m的样方，本次调查，设置了43个样方，其中，主要群系样方数量不低于3个，满足陆生生态二级评价要求。</w:t>
      </w:r>
    </w:p>
    <w:p>
      <w:pPr>
        <w:pageBreakBefore w:val="0"/>
        <w:widowControl w:val="0"/>
        <w:kinsoku/>
        <w:wordWrap/>
        <w:overflowPunct/>
        <w:topLinePunct w:val="0"/>
        <w:autoSpaceDE/>
        <w:autoSpaceDN/>
        <w:bidi w:val="0"/>
        <w:spacing w:line="360" w:lineRule="auto"/>
        <w:ind w:firstLine="480"/>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2）多样性指数计算</w:t>
      </w:r>
    </w:p>
    <w:p>
      <w:pPr>
        <w:pageBreakBefore w:val="0"/>
        <w:widowControl w:val="0"/>
        <w:kinsoku/>
        <w:wordWrap/>
        <w:overflowPunct/>
        <w:topLinePunct w:val="0"/>
        <w:autoSpaceDE/>
        <w:autoSpaceDN/>
        <w:bidi w:val="0"/>
        <w:adjustRightInd w:val="0"/>
        <w:snapToGrid w:val="0"/>
        <w:spacing w:line="360" w:lineRule="auto"/>
        <w:ind w:firstLine="56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通过现场样方调查成果计算丰富度指数、香农-威纳多样性指数、辛普森多样性指数等来进行评测，生物多样性指数见下表。</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4.5-4</w:t>
      </w:r>
      <w:r>
        <w:rPr>
          <w:rFonts w:hint="default" w:ascii="Times New Roman" w:hAnsi="Times New Roman" w:cs="Times New Roman"/>
          <w:b/>
          <w:color w:val="auto"/>
          <w:highlight w:val="none"/>
          <w:lang w:val="en-US" w:eastAsia="zh-CN"/>
        </w:rPr>
        <w:t>评价区内植被不同层次群落物种多样性指数</w:t>
      </w:r>
    </w:p>
    <w:tbl>
      <w:tblPr>
        <w:tblStyle w:val="22"/>
        <w:tblW w:w="5000"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20" w:hRule="atLeast"/>
        </w:trPr>
        <w:tc>
          <w:tcPr>
            <w:tcW w:w="1250" w:type="pct"/>
            <w:tcBorders>
              <w:tl2br w:val="nil"/>
              <w:tr2bl w:val="nil"/>
            </w:tcBorders>
            <w:noWrap/>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层次</w:t>
            </w:r>
          </w:p>
        </w:tc>
        <w:tc>
          <w:tcPr>
            <w:tcW w:w="1250" w:type="pct"/>
            <w:tcBorders>
              <w:tl2br w:val="nil"/>
              <w:tr2bl w:val="nil"/>
            </w:tcBorders>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香农-威纳</w:t>
            </w:r>
          </w:p>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多样性指数（H）</w:t>
            </w:r>
          </w:p>
        </w:tc>
        <w:tc>
          <w:tcPr>
            <w:tcW w:w="1250" w:type="pct"/>
            <w:tcBorders>
              <w:tl2br w:val="nil"/>
              <w:tr2bl w:val="nil"/>
            </w:tcBorders>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均匀度指数（E）</w:t>
            </w:r>
          </w:p>
        </w:tc>
        <w:tc>
          <w:tcPr>
            <w:tcW w:w="1250" w:type="pct"/>
            <w:tcBorders>
              <w:tl2br w:val="nil"/>
              <w:tr2bl w:val="nil"/>
            </w:tcBorders>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 xml:space="preserve">Simpson </w:t>
            </w:r>
          </w:p>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优势度指数（C）</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50" w:type="pct"/>
            <w:tcBorders>
              <w:tl2br w:val="nil"/>
              <w:tr2bl w:val="nil"/>
            </w:tcBorders>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乔木层</w:t>
            </w:r>
          </w:p>
        </w:tc>
        <w:tc>
          <w:tcPr>
            <w:tcW w:w="2130"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0.022</w:t>
            </w:r>
          </w:p>
        </w:tc>
        <w:tc>
          <w:tcPr>
            <w:tcW w:w="2131"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0.032</w:t>
            </w:r>
          </w:p>
        </w:tc>
        <w:tc>
          <w:tcPr>
            <w:tcW w:w="2131"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0.993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0" w:type="pct"/>
            <w:tcBorders>
              <w:tl2br w:val="nil"/>
              <w:tr2bl w:val="nil"/>
            </w:tcBorders>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灌木层</w:t>
            </w:r>
          </w:p>
        </w:tc>
        <w:tc>
          <w:tcPr>
            <w:tcW w:w="2130"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1.458</w:t>
            </w:r>
          </w:p>
        </w:tc>
        <w:tc>
          <w:tcPr>
            <w:tcW w:w="2131"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0.664</w:t>
            </w:r>
          </w:p>
        </w:tc>
        <w:tc>
          <w:tcPr>
            <w:tcW w:w="2131"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0.281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0" w:type="pct"/>
            <w:tcBorders>
              <w:tl2br w:val="nil"/>
              <w:tr2bl w:val="nil"/>
            </w:tcBorders>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草本层</w:t>
            </w:r>
          </w:p>
        </w:tc>
        <w:tc>
          <w:tcPr>
            <w:tcW w:w="2130"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2.656</w:t>
            </w:r>
          </w:p>
        </w:tc>
        <w:tc>
          <w:tcPr>
            <w:tcW w:w="2131"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0.760</w:t>
            </w:r>
          </w:p>
        </w:tc>
        <w:tc>
          <w:tcPr>
            <w:tcW w:w="2131"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0.095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0" w:type="pct"/>
            <w:tcBorders>
              <w:tl2br w:val="nil"/>
              <w:tr2bl w:val="nil"/>
            </w:tcBorders>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总群落</w:t>
            </w:r>
          </w:p>
        </w:tc>
        <w:tc>
          <w:tcPr>
            <w:tcW w:w="2130"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2.914</w:t>
            </w:r>
          </w:p>
        </w:tc>
        <w:tc>
          <w:tcPr>
            <w:tcW w:w="2131"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0.770</w:t>
            </w:r>
          </w:p>
        </w:tc>
        <w:tc>
          <w:tcPr>
            <w:tcW w:w="2131" w:type="dxa"/>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0.074</w:t>
            </w:r>
          </w:p>
        </w:tc>
      </w:tr>
    </w:tbl>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过对比香农威纳多样性指数，评价区植物多样性指数为2.914，表明评价区植物生物多样性一般。评价区植物多样性与人类息息相关，评价区城市化发展明显，受人类干扰严重，自然植被主要次生灌丛和草本为主，人工植被以农业植被和城市行道树及公园为主，植物种类相对较少，植被群落结构简单，因此评价区植被各层次结构呈现本层&gt;灌木丛&gt;乔木层。</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过对比均匀度指数，评价区植物均匀度指数为0.770，乔木层均匀度指数为0.032，灌木层均匀度指数为0.664，草本层均匀度指数为0.760，由此可见草本层全部物种个体数目的分配状况较为均匀，其次是灌木层，最后为乔木层。</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过对比Simpson优势度指数，评价区植物Simpson优势度为0.074，乔木层Simpson优势度为0.993，灌木层Simpson优势度为0.281，草本层Simpson优势度为0.095，评价区群落各层呈现乔木层&gt;灌木层&gt;草本层，此结果与物种均匀度指数相吻合。</w:t>
      </w:r>
    </w:p>
    <w:p>
      <w:pPr>
        <w:pStyle w:val="60"/>
        <w:pageBreakBefore w:val="0"/>
        <w:widowControl w:val="0"/>
        <w:kinsoku/>
        <w:wordWrap/>
        <w:overflowPunct/>
        <w:topLinePunct w:val="0"/>
        <w:autoSpaceDE/>
        <w:autoSpaceDN/>
        <w:bidi w:val="0"/>
        <w:spacing w:before="0" w:line="360" w:lineRule="auto"/>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区系组成</w:t>
      </w:r>
    </w:p>
    <w:p>
      <w:pPr>
        <w:pageBreakBefore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过对评价区所涉及的植物资源的实地调查，参照的分类系统包括：蕨类植物分类系统参照秦仁昌系统，裸子植物分类系统参照郑万钧系统，被子植物分类系统参照恩格勒系统，并结合当地植物区系资料的系统整理，得出评价区有维管束植物69科151属186种（含种下等级，下同），其中蕨类植物5科5属5种；裸子植物1科1属1种；被子植物63科145属180种，评价区维管植物科、属、种数量分别占湖南省维管植物总科数、总属数和总种数的26.85%、11.28%和3.40%，占全国维管植物总科数、总属数和总种数的16.43%、4.38%、0.59%</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 xml:space="preserve">4.5-5 </w:t>
      </w:r>
      <w:r>
        <w:rPr>
          <w:rFonts w:hint="default" w:ascii="Times New Roman" w:hAnsi="Times New Roman" w:cs="Times New Roman"/>
          <w:b/>
          <w:color w:val="auto"/>
          <w:highlight w:val="none"/>
          <w:lang w:val="en-US" w:eastAsia="zh-CN"/>
        </w:rPr>
        <w:t>评价区维管植物统计表</w:t>
      </w:r>
    </w:p>
    <w:tbl>
      <w:tblPr>
        <w:tblStyle w:val="22"/>
        <w:tblW w:w="5635" w:type="pct"/>
        <w:jc w:val="center"/>
        <w:tblLayout w:type="autofit"/>
        <w:tblCellMar>
          <w:top w:w="0" w:type="dxa"/>
          <w:left w:w="0" w:type="dxa"/>
          <w:bottom w:w="0" w:type="dxa"/>
          <w:right w:w="0" w:type="dxa"/>
        </w:tblCellMar>
      </w:tblPr>
      <w:tblGrid>
        <w:gridCol w:w="2064"/>
        <w:gridCol w:w="608"/>
        <w:gridCol w:w="602"/>
        <w:gridCol w:w="565"/>
        <w:gridCol w:w="604"/>
        <w:gridCol w:w="604"/>
        <w:gridCol w:w="610"/>
        <w:gridCol w:w="604"/>
        <w:gridCol w:w="604"/>
        <w:gridCol w:w="655"/>
        <w:gridCol w:w="604"/>
        <w:gridCol w:w="604"/>
        <w:gridCol w:w="651"/>
      </w:tblGrid>
      <w:tr>
        <w:tblPrEx>
          <w:tblCellMar>
            <w:top w:w="0" w:type="dxa"/>
            <w:left w:w="0" w:type="dxa"/>
            <w:bottom w:w="0" w:type="dxa"/>
            <w:right w:w="0" w:type="dxa"/>
          </w:tblCellMar>
        </w:tblPrEx>
        <w:trPr>
          <w:trHeight w:val="20" w:hRule="atLeast"/>
          <w:jc w:val="center"/>
        </w:trPr>
        <w:tc>
          <w:tcPr>
            <w:tcW w:w="1101" w:type="pct"/>
            <w:vMerge w:val="restar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w:t>
            </w:r>
          </w:p>
        </w:tc>
        <w:tc>
          <w:tcPr>
            <w:tcW w:w="946" w:type="pct"/>
            <w:gridSpan w:val="3"/>
            <w:vMerge w:val="restar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蕨类植物</w:t>
            </w:r>
          </w:p>
        </w:tc>
        <w:tc>
          <w:tcPr>
            <w:tcW w:w="1962" w:type="pct"/>
            <w:gridSpan w:val="6"/>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种子植物</w:t>
            </w:r>
          </w:p>
        </w:tc>
        <w:tc>
          <w:tcPr>
            <w:tcW w:w="992" w:type="pct"/>
            <w:gridSpan w:val="3"/>
            <w:vMerge w:val="restar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维管束植物</w:t>
            </w:r>
          </w:p>
        </w:tc>
      </w:tr>
      <w:tr>
        <w:tblPrEx>
          <w:tblCellMar>
            <w:top w:w="0" w:type="dxa"/>
            <w:left w:w="0" w:type="dxa"/>
            <w:bottom w:w="0" w:type="dxa"/>
            <w:right w:w="0" w:type="dxa"/>
          </w:tblCellMar>
        </w:tblPrEx>
        <w:trPr>
          <w:trHeight w:val="20" w:hRule="atLeast"/>
          <w:jc w:val="center"/>
        </w:trPr>
        <w:tc>
          <w:tcPr>
            <w:tcW w:w="1101" w:type="pct"/>
            <w:vMerge w:val="continue"/>
            <w:tcBorders>
              <w:top w:val="single" w:color="auto" w:sz="6" w:space="0"/>
              <w:left w:val="single" w:color="auto" w:sz="6" w:space="0"/>
              <w:bottom w:val="single" w:color="auto" w:sz="6" w:space="0"/>
              <w:right w:val="single" w:color="auto" w:sz="6" w:space="0"/>
            </w:tcBorders>
            <w:vAlign w:val="center"/>
          </w:tcPr>
          <w:p>
            <w:pPr>
              <w:pageBreakBefore w:val="0"/>
              <w:widowControl/>
              <w:kinsoku/>
              <w:wordWrap/>
              <w:overflowPunct/>
              <w:topLinePunct w:val="0"/>
              <w:autoSpaceDE/>
              <w:autoSpaceDN/>
              <w:bidi w:val="0"/>
              <w:adjustRightInd/>
              <w:snapToGrid/>
              <w:jc w:val="left"/>
              <w:textAlignment w:val="auto"/>
              <w:outlineLvl w:val="9"/>
              <w:rPr>
                <w:rFonts w:hint="default" w:ascii="Times New Roman" w:hAnsi="Times New Roman" w:cs="Times New Roman"/>
                <w:b/>
                <w:bCs/>
                <w:color w:val="auto"/>
                <w:kern w:val="0"/>
                <w:szCs w:val="21"/>
                <w:highlight w:val="none"/>
              </w:rPr>
            </w:pPr>
          </w:p>
        </w:tc>
        <w:tc>
          <w:tcPr>
            <w:tcW w:w="946" w:type="pct"/>
            <w:gridSpan w:val="3"/>
            <w:vMerge w:val="continue"/>
            <w:tcBorders>
              <w:top w:val="single" w:color="auto" w:sz="6" w:space="0"/>
              <w:left w:val="single" w:color="auto" w:sz="6" w:space="0"/>
              <w:bottom w:val="single" w:color="auto" w:sz="6" w:space="0"/>
              <w:right w:val="single" w:color="auto" w:sz="6" w:space="0"/>
            </w:tcBorders>
            <w:vAlign w:val="center"/>
          </w:tcPr>
          <w:p>
            <w:pPr>
              <w:pageBreakBefore w:val="0"/>
              <w:widowControl/>
              <w:kinsoku/>
              <w:wordWrap/>
              <w:overflowPunct/>
              <w:topLinePunct w:val="0"/>
              <w:autoSpaceDE/>
              <w:autoSpaceDN/>
              <w:bidi w:val="0"/>
              <w:adjustRightInd/>
              <w:snapToGrid/>
              <w:jc w:val="left"/>
              <w:textAlignment w:val="auto"/>
              <w:outlineLvl w:val="9"/>
              <w:rPr>
                <w:rFonts w:hint="default" w:ascii="Times New Roman" w:hAnsi="Times New Roman" w:cs="Times New Roman"/>
                <w:b/>
                <w:bCs/>
                <w:color w:val="auto"/>
                <w:kern w:val="0"/>
                <w:szCs w:val="21"/>
                <w:highlight w:val="none"/>
              </w:rPr>
            </w:pPr>
          </w:p>
        </w:tc>
        <w:tc>
          <w:tcPr>
            <w:tcW w:w="969" w:type="pct"/>
            <w:gridSpan w:val="3"/>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裸子植物</w:t>
            </w:r>
          </w:p>
        </w:tc>
        <w:tc>
          <w:tcPr>
            <w:tcW w:w="993" w:type="pct"/>
            <w:gridSpan w:val="3"/>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 xml:space="preserve">被子植物 </w:t>
            </w:r>
          </w:p>
        </w:tc>
        <w:tc>
          <w:tcPr>
            <w:tcW w:w="992" w:type="pct"/>
            <w:gridSpan w:val="3"/>
            <w:vMerge w:val="continue"/>
            <w:tcBorders>
              <w:top w:val="single" w:color="auto" w:sz="6" w:space="0"/>
              <w:left w:val="single" w:color="auto" w:sz="6" w:space="0"/>
              <w:bottom w:val="single" w:color="auto" w:sz="6" w:space="0"/>
              <w:right w:val="single" w:color="auto" w:sz="6" w:space="0"/>
            </w:tcBorders>
            <w:vAlign w:val="center"/>
          </w:tcPr>
          <w:p>
            <w:pPr>
              <w:pageBreakBefore w:val="0"/>
              <w:widowControl/>
              <w:kinsoku/>
              <w:wordWrap/>
              <w:overflowPunct/>
              <w:topLinePunct w:val="0"/>
              <w:autoSpaceDE/>
              <w:autoSpaceDN/>
              <w:bidi w:val="0"/>
              <w:adjustRightInd/>
              <w:snapToGrid/>
              <w:jc w:val="left"/>
              <w:textAlignment w:val="auto"/>
              <w:outlineLvl w:val="9"/>
              <w:rPr>
                <w:rFonts w:hint="default" w:ascii="Times New Roman" w:hAnsi="Times New Roman" w:cs="Times New Roman"/>
                <w:b/>
                <w:bCs/>
                <w:color w:val="auto"/>
                <w:kern w:val="0"/>
                <w:szCs w:val="21"/>
                <w:highlight w:val="none"/>
              </w:rPr>
            </w:pPr>
          </w:p>
        </w:tc>
      </w:tr>
      <w:tr>
        <w:tblPrEx>
          <w:tblCellMar>
            <w:top w:w="0" w:type="dxa"/>
            <w:left w:w="0" w:type="dxa"/>
            <w:bottom w:w="0" w:type="dxa"/>
            <w:right w:w="0" w:type="dxa"/>
          </w:tblCellMar>
        </w:tblPrEx>
        <w:trPr>
          <w:trHeight w:val="20" w:hRule="atLeast"/>
          <w:jc w:val="center"/>
        </w:trPr>
        <w:tc>
          <w:tcPr>
            <w:tcW w:w="1101" w:type="pct"/>
            <w:vMerge w:val="continue"/>
            <w:tcBorders>
              <w:top w:val="single" w:color="auto" w:sz="6" w:space="0"/>
              <w:left w:val="single" w:color="auto" w:sz="6" w:space="0"/>
              <w:bottom w:val="single" w:color="auto" w:sz="6" w:space="0"/>
              <w:right w:val="single" w:color="auto" w:sz="6" w:space="0"/>
            </w:tcBorders>
            <w:vAlign w:val="center"/>
          </w:tcPr>
          <w:p>
            <w:pPr>
              <w:pageBreakBefore w:val="0"/>
              <w:widowControl/>
              <w:kinsoku/>
              <w:wordWrap/>
              <w:overflowPunct/>
              <w:topLinePunct w:val="0"/>
              <w:autoSpaceDE/>
              <w:autoSpaceDN/>
              <w:bidi w:val="0"/>
              <w:adjustRightInd/>
              <w:snapToGrid/>
              <w:jc w:val="left"/>
              <w:textAlignment w:val="auto"/>
              <w:outlineLvl w:val="9"/>
              <w:rPr>
                <w:rFonts w:hint="default" w:ascii="Times New Roman" w:hAnsi="Times New Roman" w:cs="Times New Roman"/>
                <w:b/>
                <w:bCs/>
                <w:color w:val="auto"/>
                <w:kern w:val="0"/>
                <w:szCs w:val="21"/>
                <w:highlight w:val="none"/>
              </w:rPr>
            </w:pPr>
          </w:p>
        </w:tc>
        <w:tc>
          <w:tcPr>
            <w:tcW w:w="324"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科</w:t>
            </w:r>
          </w:p>
        </w:tc>
        <w:tc>
          <w:tcPr>
            <w:tcW w:w="321"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属</w:t>
            </w:r>
          </w:p>
        </w:tc>
        <w:tc>
          <w:tcPr>
            <w:tcW w:w="301"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种</w:t>
            </w:r>
          </w:p>
        </w:tc>
        <w:tc>
          <w:tcPr>
            <w:tcW w:w="322"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科</w:t>
            </w:r>
          </w:p>
        </w:tc>
        <w:tc>
          <w:tcPr>
            <w:tcW w:w="322"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属</w:t>
            </w:r>
          </w:p>
        </w:tc>
        <w:tc>
          <w:tcPr>
            <w:tcW w:w="324"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种</w:t>
            </w:r>
          </w:p>
        </w:tc>
        <w:tc>
          <w:tcPr>
            <w:tcW w:w="322"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科</w:t>
            </w:r>
          </w:p>
        </w:tc>
        <w:tc>
          <w:tcPr>
            <w:tcW w:w="322"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属</w:t>
            </w:r>
          </w:p>
        </w:tc>
        <w:tc>
          <w:tcPr>
            <w:tcW w:w="348"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种</w:t>
            </w:r>
          </w:p>
        </w:tc>
        <w:tc>
          <w:tcPr>
            <w:tcW w:w="322"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科</w:t>
            </w:r>
          </w:p>
        </w:tc>
        <w:tc>
          <w:tcPr>
            <w:tcW w:w="322"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属</w:t>
            </w:r>
          </w:p>
        </w:tc>
        <w:tc>
          <w:tcPr>
            <w:tcW w:w="347"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种</w:t>
            </w:r>
          </w:p>
        </w:tc>
      </w:tr>
      <w:tr>
        <w:tblPrEx>
          <w:tblCellMar>
            <w:top w:w="0" w:type="dxa"/>
            <w:left w:w="0" w:type="dxa"/>
            <w:bottom w:w="0" w:type="dxa"/>
            <w:right w:w="0" w:type="dxa"/>
          </w:tblCellMar>
        </w:tblPrEx>
        <w:trPr>
          <w:trHeight w:val="20" w:hRule="atLeast"/>
          <w:jc w:val="center"/>
        </w:trPr>
        <w:tc>
          <w:tcPr>
            <w:tcW w:w="1101"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评价区</w:t>
            </w:r>
          </w:p>
        </w:tc>
        <w:tc>
          <w:tcPr>
            <w:tcW w:w="608"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5</w:t>
            </w:r>
          </w:p>
        </w:tc>
        <w:tc>
          <w:tcPr>
            <w:tcW w:w="602"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5</w:t>
            </w:r>
          </w:p>
        </w:tc>
        <w:tc>
          <w:tcPr>
            <w:tcW w:w="56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5</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w:t>
            </w:r>
          </w:p>
        </w:tc>
        <w:tc>
          <w:tcPr>
            <w:tcW w:w="610"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63</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145</w:t>
            </w:r>
          </w:p>
        </w:tc>
        <w:tc>
          <w:tcPr>
            <w:tcW w:w="65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180</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69</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151</w:t>
            </w:r>
          </w:p>
        </w:tc>
        <w:tc>
          <w:tcPr>
            <w:tcW w:w="651"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186</w:t>
            </w:r>
          </w:p>
        </w:tc>
      </w:tr>
      <w:tr>
        <w:tblPrEx>
          <w:tblCellMar>
            <w:top w:w="0" w:type="dxa"/>
            <w:left w:w="0" w:type="dxa"/>
            <w:bottom w:w="0" w:type="dxa"/>
            <w:right w:w="0" w:type="dxa"/>
          </w:tblCellMar>
        </w:tblPrEx>
        <w:trPr>
          <w:trHeight w:val="20" w:hRule="atLeast"/>
          <w:jc w:val="center"/>
        </w:trPr>
        <w:tc>
          <w:tcPr>
            <w:tcW w:w="1101"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湖南省</w:t>
            </w:r>
          </w:p>
        </w:tc>
        <w:tc>
          <w:tcPr>
            <w:tcW w:w="608"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53</w:t>
            </w:r>
          </w:p>
        </w:tc>
        <w:tc>
          <w:tcPr>
            <w:tcW w:w="602"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149</w:t>
            </w:r>
          </w:p>
        </w:tc>
        <w:tc>
          <w:tcPr>
            <w:tcW w:w="56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718</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23</w:t>
            </w:r>
          </w:p>
        </w:tc>
        <w:tc>
          <w:tcPr>
            <w:tcW w:w="610"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37</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196</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1167</w:t>
            </w:r>
          </w:p>
        </w:tc>
        <w:tc>
          <w:tcPr>
            <w:tcW w:w="65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4715</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257</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1339</w:t>
            </w:r>
          </w:p>
        </w:tc>
        <w:tc>
          <w:tcPr>
            <w:tcW w:w="651"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5470</w:t>
            </w:r>
          </w:p>
        </w:tc>
      </w:tr>
      <w:tr>
        <w:tblPrEx>
          <w:tblCellMar>
            <w:top w:w="0" w:type="dxa"/>
            <w:left w:w="0" w:type="dxa"/>
            <w:bottom w:w="0" w:type="dxa"/>
            <w:right w:w="0" w:type="dxa"/>
          </w:tblCellMar>
        </w:tblPrEx>
        <w:trPr>
          <w:trHeight w:val="20" w:hRule="atLeast"/>
          <w:jc w:val="center"/>
        </w:trPr>
        <w:tc>
          <w:tcPr>
            <w:tcW w:w="1101"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全国</w:t>
            </w:r>
          </w:p>
        </w:tc>
        <w:tc>
          <w:tcPr>
            <w:tcW w:w="608"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63</w:t>
            </w:r>
          </w:p>
        </w:tc>
        <w:tc>
          <w:tcPr>
            <w:tcW w:w="602"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224</w:t>
            </w:r>
          </w:p>
        </w:tc>
        <w:tc>
          <w:tcPr>
            <w:tcW w:w="56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2600</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11</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36</w:t>
            </w:r>
          </w:p>
        </w:tc>
        <w:tc>
          <w:tcPr>
            <w:tcW w:w="610"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190</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346</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3184</w:t>
            </w:r>
          </w:p>
        </w:tc>
        <w:tc>
          <w:tcPr>
            <w:tcW w:w="65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28500</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420</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3444</w:t>
            </w:r>
          </w:p>
        </w:tc>
        <w:tc>
          <w:tcPr>
            <w:tcW w:w="651"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31290</w:t>
            </w:r>
          </w:p>
        </w:tc>
      </w:tr>
      <w:tr>
        <w:tblPrEx>
          <w:tblCellMar>
            <w:top w:w="0" w:type="dxa"/>
            <w:left w:w="0" w:type="dxa"/>
            <w:bottom w:w="0" w:type="dxa"/>
            <w:right w:w="0" w:type="dxa"/>
          </w:tblCellMar>
        </w:tblPrEx>
        <w:trPr>
          <w:trHeight w:val="20" w:hRule="atLeast"/>
          <w:jc w:val="center"/>
        </w:trPr>
        <w:tc>
          <w:tcPr>
            <w:tcW w:w="1101"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评价区占湖南省（%）</w:t>
            </w:r>
          </w:p>
        </w:tc>
        <w:tc>
          <w:tcPr>
            <w:tcW w:w="608"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9.43</w:t>
            </w:r>
          </w:p>
        </w:tc>
        <w:tc>
          <w:tcPr>
            <w:tcW w:w="602"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3.36</w:t>
            </w:r>
          </w:p>
        </w:tc>
        <w:tc>
          <w:tcPr>
            <w:tcW w:w="56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0.70</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12.50</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4.35</w:t>
            </w:r>
          </w:p>
        </w:tc>
        <w:tc>
          <w:tcPr>
            <w:tcW w:w="610"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2.70</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32.14</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12.43</w:t>
            </w:r>
          </w:p>
        </w:tc>
        <w:tc>
          <w:tcPr>
            <w:tcW w:w="65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3.82</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26.85</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11.28</w:t>
            </w:r>
          </w:p>
        </w:tc>
        <w:tc>
          <w:tcPr>
            <w:tcW w:w="651"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3.40</w:t>
            </w:r>
          </w:p>
        </w:tc>
      </w:tr>
      <w:tr>
        <w:tblPrEx>
          <w:tblCellMar>
            <w:top w:w="0" w:type="dxa"/>
            <w:left w:w="0" w:type="dxa"/>
            <w:bottom w:w="0" w:type="dxa"/>
            <w:right w:w="0" w:type="dxa"/>
          </w:tblCellMar>
        </w:tblPrEx>
        <w:trPr>
          <w:trHeight w:val="20" w:hRule="atLeast"/>
          <w:jc w:val="center"/>
        </w:trPr>
        <w:tc>
          <w:tcPr>
            <w:tcW w:w="1101" w:type="pct"/>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评价区占全国（%）</w:t>
            </w:r>
          </w:p>
        </w:tc>
        <w:tc>
          <w:tcPr>
            <w:tcW w:w="608"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7.94</w:t>
            </w:r>
          </w:p>
        </w:tc>
        <w:tc>
          <w:tcPr>
            <w:tcW w:w="602"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2.23</w:t>
            </w:r>
          </w:p>
        </w:tc>
        <w:tc>
          <w:tcPr>
            <w:tcW w:w="56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0.19</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9.09</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2.78</w:t>
            </w:r>
          </w:p>
        </w:tc>
        <w:tc>
          <w:tcPr>
            <w:tcW w:w="610"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0.53</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18.21</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4.55</w:t>
            </w:r>
          </w:p>
        </w:tc>
        <w:tc>
          <w:tcPr>
            <w:tcW w:w="655"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0.63</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16.43</w:t>
            </w:r>
          </w:p>
        </w:tc>
        <w:tc>
          <w:tcPr>
            <w:tcW w:w="604"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4.38</w:t>
            </w:r>
          </w:p>
        </w:tc>
        <w:tc>
          <w:tcPr>
            <w:tcW w:w="651" w:type="dxa"/>
            <w:tcBorders>
              <w:top w:val="single" w:color="auto" w:sz="6" w:space="0"/>
              <w:left w:val="single" w:color="auto" w:sz="6" w:space="0"/>
              <w:bottom w:val="single" w:color="auto" w:sz="6" w:space="0"/>
              <w:right w:val="single" w:color="auto" w:sz="6" w:space="0"/>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0.59</w:t>
            </w:r>
          </w:p>
        </w:tc>
      </w:tr>
    </w:tbl>
    <w:p>
      <w:pPr>
        <w:pageBreakBefore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注：数据来源，中国蕨类植物（吴兆洪，1991），中国种子植物（吴征镒，2011）</w:t>
      </w:r>
      <w:r>
        <w:rPr>
          <w:rFonts w:hint="default" w:ascii="Times New Roman" w:hAnsi="Times New Roman" w:cs="Times New Roman"/>
          <w:color w:val="auto"/>
          <w:szCs w:val="21"/>
          <w:highlight w:val="none"/>
          <w:lang w:eastAsia="zh-CN"/>
        </w:rPr>
        <w:t>。</w:t>
      </w:r>
    </w:p>
    <w:p>
      <w:pPr>
        <w:pageBreakBefore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由表可知，评价区植物区系组成以被子植物为主，蕨类植物种类组成较</w:t>
      </w:r>
      <w:r>
        <w:rPr>
          <w:rFonts w:hint="default" w:cs="Times New Roman"/>
          <w:color w:val="auto"/>
          <w:sz w:val="24"/>
          <w:szCs w:val="24"/>
          <w:highlight w:val="none"/>
          <w:lang w:val="en-US" w:eastAsia="zh-CN"/>
        </w:rPr>
        <w:t>多</w:t>
      </w:r>
      <w:r>
        <w:rPr>
          <w:rFonts w:hint="default" w:ascii="Times New Roman" w:hAnsi="Times New Roman" w:cs="Times New Roman"/>
          <w:color w:val="auto"/>
          <w:sz w:val="24"/>
          <w:szCs w:val="24"/>
          <w:highlight w:val="none"/>
        </w:rPr>
        <w:t>，其中被子植物主要以灌木、草本种类为主。</w:t>
      </w:r>
    </w:p>
    <w:p>
      <w:pPr>
        <w:pStyle w:val="60"/>
        <w:keepNext/>
        <w:keepLines/>
        <w:pageBreakBefore w:val="0"/>
        <w:widowControl w:val="0"/>
        <w:kinsoku/>
        <w:wordWrap/>
        <w:overflowPunct/>
        <w:topLinePunct w:val="0"/>
        <w:autoSpaceDE/>
        <w:autoSpaceDN/>
        <w:bidi w:val="0"/>
        <w:adjustRightInd/>
        <w:snapToGrid/>
        <w:spacing w:before="0" w:line="360" w:lineRule="auto"/>
        <w:ind w:firstLine="482" w:firstLineChars="200"/>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sz w:val="24"/>
          <w:szCs w:val="24"/>
          <w:highlight w:val="none"/>
        </w:rPr>
        <w:t>植物区系地理成分</w:t>
      </w:r>
      <w:r>
        <w:rPr>
          <w:rFonts w:hint="default" w:ascii="Times New Roman" w:hAnsi="Times New Roman" w:cs="Times New Roman"/>
          <w:b/>
          <w:color w:val="auto"/>
          <w:highlight w:val="none"/>
        </w:rPr>
        <w:tab/>
      </w:r>
    </w:p>
    <w:p>
      <w:pPr>
        <w:pageBreakBefore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植物分布区是指某一植物分类单位——科、属或种分布的区域，它是由于植物物种的发生历史对环境的长期适应，以及许多自然因素对它们影响的结果。从植物地理学观点看，属比科能够更具体地反映植物的系统发育、进化分异情况及地理特征，更能反映物种在不同水平上的亲缘关系，属的分类学特征也相对稳定，占有比较稳定的分布区，同时在其进化过程中，随着地理环境的变化发生分异，而有比较明显的地区性差异。因此，属往往在植物区系研究中作为划分植物区系地区的标志或依据。属的分布区指某一属在地表分布的区域，统计分析评价区野生维管束植物属的地理成分具有重要意义。</w:t>
      </w:r>
    </w:p>
    <w:p>
      <w:pPr>
        <w:pageBreakBefore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中国种子植物区系地理》（吴征镒等，2011年），评价区属于东亚植物区—中国-日本植物亚区—华东地区——赣南-湘东丘陵亚地区。评价区有维管束植物69科151属186种，其中，野生植物60科129属154种。根据吴征缢（1991）关于中国种子植物分布区类型的划分将评价区129属野生植物分为15个分布区类型，见表3.3-</w:t>
      </w:r>
      <w:r>
        <w:rPr>
          <w:rFonts w:hint="default"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。将评价区维管束植物的分布区类型归并为世界分布（第1类）、热带分布（第2~7类）、温带分布（第8~14类）和中国特有分布（第15类）4个大类。</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4.5-6</w:t>
      </w:r>
      <w:r>
        <w:rPr>
          <w:rFonts w:hint="default" w:ascii="Times New Roman" w:hAnsi="Times New Roman" w:cs="Times New Roman"/>
          <w:b/>
          <w:color w:val="auto"/>
          <w:highlight w:val="none"/>
          <w:lang w:val="en-US" w:eastAsia="zh-CN"/>
        </w:rPr>
        <w:t>评价区野生维管植物属的分布区类型</w:t>
      </w:r>
    </w:p>
    <w:tbl>
      <w:tblPr>
        <w:tblStyle w:val="22"/>
        <w:tblW w:w="833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114"/>
        <w:gridCol w:w="1362"/>
        <w:gridCol w:w="385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bCs/>
                <w:caps/>
                <w:color w:val="auto"/>
                <w:szCs w:val="21"/>
                <w:highlight w:val="none"/>
              </w:rPr>
            </w:pPr>
            <w:r>
              <w:rPr>
                <w:rFonts w:hint="default" w:ascii="Times New Roman" w:hAnsi="Times New Roman" w:cs="Times New Roman"/>
                <w:b/>
                <w:bCs/>
                <w:caps/>
                <w:color w:val="auto"/>
                <w:szCs w:val="21"/>
                <w:highlight w:val="none"/>
              </w:rPr>
              <w:t>属的分布区类型</w:t>
            </w:r>
          </w:p>
        </w:tc>
        <w:tc>
          <w:tcPr>
            <w:tcW w:w="1362" w:type="dxa"/>
            <w:tcBorders>
              <w:tl2br w:val="nil"/>
              <w:tr2bl w:val="nil"/>
            </w:tcBorders>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bCs/>
                <w:caps/>
                <w:color w:val="auto"/>
                <w:szCs w:val="21"/>
                <w:highlight w:val="none"/>
              </w:rPr>
            </w:pPr>
            <w:r>
              <w:rPr>
                <w:rFonts w:hint="default" w:ascii="Times New Roman" w:hAnsi="Times New Roman" w:cs="Times New Roman"/>
                <w:b/>
                <w:bCs/>
                <w:caps/>
                <w:color w:val="auto"/>
                <w:szCs w:val="21"/>
                <w:highlight w:val="none"/>
              </w:rPr>
              <w:t>属数</w:t>
            </w:r>
          </w:p>
        </w:tc>
        <w:tc>
          <w:tcPr>
            <w:tcW w:w="3858" w:type="dxa"/>
            <w:tcBorders>
              <w:tl2br w:val="nil"/>
              <w:tr2bl w:val="nil"/>
            </w:tcBorders>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bCs/>
                <w:caps/>
                <w:color w:val="auto"/>
                <w:szCs w:val="21"/>
                <w:highlight w:val="none"/>
              </w:rPr>
            </w:pPr>
            <w:r>
              <w:rPr>
                <w:rFonts w:hint="default" w:ascii="Times New Roman" w:hAnsi="Times New Roman" w:cs="Times New Roman"/>
                <w:b/>
                <w:bCs/>
                <w:caps/>
                <w:color w:val="auto"/>
                <w:szCs w:val="21"/>
                <w:highlight w:val="none"/>
              </w:rPr>
              <w:t>占评价区非世界分布总属数比例（%）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bookmarkStart w:id="88" w:name="_Hlk316247921"/>
            <w:r>
              <w:rPr>
                <w:rFonts w:hint="default" w:ascii="Times New Roman" w:hAnsi="Times New Roman" w:cs="Times New Roman"/>
                <w:color w:val="auto"/>
                <w:szCs w:val="21"/>
                <w:highlight w:val="none"/>
              </w:rPr>
              <w:t>1.世界分布</w:t>
            </w:r>
          </w:p>
        </w:tc>
        <w:tc>
          <w:tcPr>
            <w:tcW w:w="1362" w:type="dxa"/>
            <w:tcBorders>
              <w:tl2br w:val="nil"/>
              <w:tr2bl w:val="nil"/>
            </w:tcBorders>
            <w:shd w:val="clear" w:color="auto" w:fill="auto"/>
            <w:vAlign w:val="center"/>
          </w:tcPr>
          <w:p>
            <w:pPr>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11</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w:t>
            </w:r>
          </w:p>
          <w:bookmarkEnd w:id="88"/>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2.泛热带分布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17</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14.41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3.热带亚洲和热带美洲间断分布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3.39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4.旧世界热带分布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5.热带亚洲至热带大洋洲分布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5.93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6.热带亚洲至热带非洲分布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7.热带亚洲分布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13</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11.02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第2-7项热带分布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bCs/>
                <w:color w:val="auto"/>
                <w:szCs w:val="21"/>
                <w:highlight w:val="none"/>
              </w:rPr>
              <w:t>53</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44.92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bookmarkStart w:id="89" w:name="_Hlk316282281"/>
            <w:r>
              <w:rPr>
                <w:rFonts w:hint="default" w:ascii="Times New Roman" w:hAnsi="Times New Roman" w:cs="Times New Roman"/>
                <w:color w:val="auto"/>
                <w:szCs w:val="21"/>
                <w:highlight w:val="none"/>
              </w:rPr>
              <w:t>8.北温带分布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17</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14.41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9.东亚和北美洲间断分布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10.旧世界温带分布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5.93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11.温带亚洲分布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2.54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12.地中海、西亚至中亚分布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13.中亚分布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14.东亚分布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12.71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第8-14项温带分布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bCs/>
                <w:color w:val="auto"/>
                <w:szCs w:val="21"/>
                <w:highlight w:val="none"/>
              </w:rPr>
              <w:t>64</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54.24</w:t>
            </w:r>
          </w:p>
          <w:bookmarkEnd w:id="89"/>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15.中国特有分布</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1</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114" w:type="dxa"/>
            <w:tcBorders>
              <w:tl2br w:val="nil"/>
              <w:tr2bl w:val="nil"/>
            </w:tcBorders>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合计</w:t>
            </w:r>
          </w:p>
        </w:tc>
        <w:tc>
          <w:tcPr>
            <w:tcW w:w="1362"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bCs/>
                <w:color w:val="auto"/>
                <w:szCs w:val="21"/>
                <w:highlight w:val="none"/>
              </w:rPr>
              <w:t>129</w:t>
            </w:r>
          </w:p>
        </w:tc>
        <w:tc>
          <w:tcPr>
            <w:tcW w:w="3858" w:type="dxa"/>
            <w:tcBorders>
              <w:tl2br w:val="nil"/>
              <w:tr2bl w:val="nil"/>
            </w:tcBorders>
            <w:shd w:val="clear" w:color="auto" w:fill="auto"/>
            <w:vAlign w:val="center"/>
          </w:tcPr>
          <w:p>
            <w:pPr>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bCs/>
                <w:color w:val="auto"/>
                <w:szCs w:val="21"/>
                <w:highlight w:val="none"/>
              </w:rPr>
              <w:t>100</w:t>
            </w:r>
          </w:p>
        </w:tc>
      </w:tr>
    </w:tbl>
    <w:p>
      <w:pPr>
        <w:pStyle w:val="60"/>
        <w:keepNext/>
        <w:keepLines/>
        <w:pageBreakBefore w:val="0"/>
        <w:widowControl w:val="0"/>
        <w:kinsoku/>
        <w:wordWrap/>
        <w:overflowPunct/>
        <w:topLinePunct w:val="0"/>
        <w:autoSpaceDE/>
        <w:autoSpaceDN/>
        <w:bidi w:val="0"/>
        <w:adjustRightInd/>
        <w:snapToGrid/>
        <w:spacing w:before="0" w:line="360" w:lineRule="auto"/>
        <w:ind w:firstLine="482" w:firstLineChars="200"/>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rPr>
        <w:t>植物区系主要特征</w:t>
      </w:r>
    </w:p>
    <w:p>
      <w:pPr>
        <w:pageBreakBefore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cs="Times New Roman"/>
          <w:color w:val="auto"/>
          <w:sz w:val="24"/>
          <w:szCs w:val="24"/>
          <w:highlight w:val="none"/>
        </w:rPr>
      </w:pPr>
      <w:bookmarkStart w:id="90" w:name="_Toc606"/>
      <w:bookmarkStart w:id="91" w:name="_Toc116917260"/>
      <w:r>
        <w:rPr>
          <w:rFonts w:hint="default" w:ascii="Times New Roman" w:hAnsi="Times New Roman" w:cs="Times New Roman"/>
          <w:color w:val="auto"/>
          <w:sz w:val="24"/>
          <w:szCs w:val="24"/>
          <w:highlight w:val="none"/>
        </w:rPr>
        <w:t>（1）植物区系组成成分较复杂</w:t>
      </w:r>
    </w:p>
    <w:p>
      <w:pPr>
        <w:pageBreakBefore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有野生维管束植物60科129属154种（含种下等级，下同），其中蕨类植物5科5属5种，被子植物55科124属149种，无裸子植物；15个主要分布区类型的属均有代表，且各分布区类型的属所占比例差异明显。表明评价区植物区系成分复杂，在湖南省的植物区系中占有重要的地位。</w:t>
      </w:r>
    </w:p>
    <w:p>
      <w:pPr>
        <w:pageBreakBefore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（2）植物区系地理成分以温带性质为主，并含有较丰富的热带成分</w:t>
      </w:r>
    </w:p>
    <w:p>
      <w:pPr>
        <w:pageBreakBefore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调查区野生维管束植物属的15个分布区类型中，温带性质的属共有64属，占评价区非世界分布属总属数的54.24%；其中又以北温带分布属最多有17属，其属数占评价区非世界分布属总属数的14.41%；东亚和北美洲间断分布属次之有14属，占评价区非世界分布属总属数的11.86%。热带性质的属有53属，占评价区非世界分布属总属数的44.92%；并以泛热带分布属为主有17属，占评价区非世界分布属总属数的14.41%。说明评价区内植物在植物区系上有着明显的温带起源，同时也间杂了较为丰富的热带起源类型，具有亚热带向暖温带过渡的特点。</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bookmarkStart w:id="92" w:name="_Toc132313657"/>
      <w:r>
        <w:rPr>
          <w:rFonts w:hint="default" w:ascii="Times New Roman" w:hAnsi="Times New Roman" w:eastAsia="宋体" w:cs="Times New Roman"/>
          <w:b/>
          <w:bCs/>
          <w:color w:val="auto"/>
          <w:kern w:val="0"/>
          <w:sz w:val="24"/>
          <w:szCs w:val="24"/>
          <w:highlight w:val="none"/>
          <w:lang w:val="en-US" w:eastAsia="zh-CN" w:bidi="ar"/>
        </w:rPr>
        <w:t>（3）植被</w:t>
      </w:r>
      <w:bookmarkEnd w:id="90"/>
      <w:bookmarkEnd w:id="91"/>
      <w:bookmarkEnd w:id="92"/>
    </w:p>
    <w:p>
      <w:pPr>
        <w:pStyle w:val="60"/>
        <w:keepNext/>
        <w:keepLines/>
        <w:pageBreakBefore w:val="0"/>
        <w:widowControl w:val="0"/>
        <w:numPr>
          <w:ilvl w:val="0"/>
          <w:numId w:val="8"/>
        </w:numPr>
        <w:kinsoku/>
        <w:wordWrap/>
        <w:overflowPunct/>
        <w:topLinePunct w:val="0"/>
        <w:autoSpaceDE/>
        <w:autoSpaceDN/>
        <w:bidi w:val="0"/>
        <w:adjustRightInd/>
        <w:snapToGrid/>
        <w:spacing w:before="0" w:line="360" w:lineRule="auto"/>
        <w:ind w:firstLine="420"/>
        <w:jc w:val="left"/>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rPr>
        <w:t>植被区划</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工程位于湖南省衡阳市。参考《中国植被》（中国植被编辑委员会，1980年），评价区植被属湿润、半湿润森林带——亚热带东部湿润常绿阔叶林区域——中亚热带常绿阔叶林地带——湘、赣、鄂山地栲类、栽培植物区。评价区人为活动对区域植被存在严重干扰，现状植被以次生性灌丛、灌草丛、城市公园植被为主。</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依据《中国植被》（中国植被编辑委员会，1980年）和《湖南植被》（祁承经等，1990年）中采用的植被分类系统，遵循群落学－生态学的分类原则，结合评价区域内植物群落的种类组成、群落结构、群落外貌、动态和生态地理分布等对评价区内现状植被进行合理的分类。本报告采用4个主级分类单位，即植被型组、植被型、植被亚型、群系。</w:t>
      </w:r>
    </w:p>
    <w:p>
      <w:pPr>
        <w:spacing w:line="360" w:lineRule="auto"/>
        <w:ind w:firstLine="480" w:firstLineChars="200"/>
        <w:rPr>
          <w:rFonts w:hint="default" w:ascii="Times New Roman" w:hAnsi="Times New Roman" w:cs="Times New Roman"/>
          <w:color w:val="auto"/>
          <w:sz w:val="24"/>
          <w:szCs w:val="24"/>
          <w:highlight w:val="none"/>
        </w:rPr>
        <w:sectPr>
          <w:footerReference r:id="rId1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4"/>
          <w:szCs w:val="24"/>
          <w:highlight w:val="none"/>
        </w:rPr>
        <w:t>结合对评价区内现状植被中群落组成的建群种与优势种的外貌，以及群落的环境生态与地理分布特征等分析，将评价区自然植被划分为2个植被型组，2个植被型，2个植被亚型，12个群系。评价范围内自然植被植物群落调查结果统计情况见表</w:t>
      </w:r>
      <w:r>
        <w:rPr>
          <w:rFonts w:hint="default" w:cs="Times New Roman"/>
          <w:color w:val="auto"/>
          <w:sz w:val="24"/>
          <w:szCs w:val="24"/>
          <w:highlight w:val="none"/>
          <w:lang w:val="en-US" w:eastAsia="zh-CN"/>
        </w:rPr>
        <w:t>4.3-7</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 xml:space="preserve">4.5-7  </w:t>
      </w:r>
      <w:r>
        <w:rPr>
          <w:rFonts w:hint="default" w:ascii="Times New Roman" w:hAnsi="Times New Roman" w:cs="Times New Roman"/>
          <w:b/>
          <w:color w:val="auto"/>
          <w:highlight w:val="none"/>
          <w:lang w:val="en-US" w:eastAsia="zh-CN"/>
        </w:rPr>
        <w:t>评价区主要植被类型及分布</w:t>
      </w:r>
    </w:p>
    <w:tbl>
      <w:tblPr>
        <w:tblStyle w:val="22"/>
        <w:tblW w:w="1413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358"/>
        <w:gridCol w:w="1104"/>
        <w:gridCol w:w="1221"/>
        <w:gridCol w:w="1768"/>
        <w:gridCol w:w="2743"/>
        <w:gridCol w:w="2580"/>
        <w:gridCol w:w="2132"/>
        <w:gridCol w:w="12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tcBorders>
              <w:tl2br w:val="nil"/>
              <w:tr2bl w:val="nil"/>
            </w:tcBorders>
            <w:shd w:val="clear" w:color="auto" w:fill="auto"/>
            <w:vAlign w:val="center"/>
          </w:tcPr>
          <w:p>
            <w:pPr>
              <w:widowControl/>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植被型组</w:t>
            </w:r>
          </w:p>
        </w:tc>
        <w:tc>
          <w:tcPr>
            <w:tcW w:w="1104" w:type="dxa"/>
            <w:tcBorders>
              <w:tl2br w:val="nil"/>
              <w:tr2bl w:val="nil"/>
            </w:tcBorders>
            <w:shd w:val="clear" w:color="auto" w:fill="auto"/>
            <w:vAlign w:val="center"/>
          </w:tcPr>
          <w:p>
            <w:pPr>
              <w:widowControl/>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植被型</w:t>
            </w:r>
          </w:p>
        </w:tc>
        <w:tc>
          <w:tcPr>
            <w:tcW w:w="1221" w:type="dxa"/>
            <w:tcBorders>
              <w:tl2br w:val="nil"/>
              <w:tr2bl w:val="nil"/>
            </w:tcBorders>
            <w:shd w:val="clear" w:color="auto" w:fill="auto"/>
            <w:vAlign w:val="center"/>
          </w:tcPr>
          <w:p>
            <w:pPr>
              <w:widowControl/>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植被亚型</w:t>
            </w:r>
          </w:p>
        </w:tc>
        <w:tc>
          <w:tcPr>
            <w:tcW w:w="1768" w:type="dxa"/>
            <w:tcBorders>
              <w:tl2br w:val="nil"/>
              <w:tr2bl w:val="nil"/>
            </w:tcBorders>
            <w:shd w:val="clear" w:color="auto" w:fill="auto"/>
            <w:vAlign w:val="center"/>
          </w:tcPr>
          <w:p>
            <w:pPr>
              <w:widowControl/>
              <w:jc w:val="left"/>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群系中文名</w:t>
            </w:r>
          </w:p>
        </w:tc>
        <w:tc>
          <w:tcPr>
            <w:tcW w:w="2743" w:type="dxa"/>
            <w:tcBorders>
              <w:tl2br w:val="nil"/>
              <w:tr2bl w:val="nil"/>
            </w:tcBorders>
            <w:shd w:val="clear" w:color="auto" w:fill="auto"/>
            <w:vAlign w:val="center"/>
          </w:tcPr>
          <w:p>
            <w:pPr>
              <w:widowControl/>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群系拉丁名</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分布</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样方表编号</w:t>
            </w:r>
          </w:p>
        </w:tc>
        <w:tc>
          <w:tcPr>
            <w:tcW w:w="1224" w:type="dxa"/>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工程占用情况（hm</w:t>
            </w:r>
            <w:r>
              <w:rPr>
                <w:rFonts w:hint="default" w:ascii="Times New Roman" w:hAnsi="Times New Roman" w:cs="Times New Roman"/>
                <w:b/>
                <w:bCs/>
                <w:color w:val="auto"/>
                <w:kern w:val="0"/>
                <w:sz w:val="21"/>
                <w:szCs w:val="21"/>
                <w:highlight w:val="none"/>
                <w:vertAlign w:val="superscript"/>
              </w:rPr>
              <w:t>2</w:t>
            </w:r>
            <w:r>
              <w:rPr>
                <w:rFonts w:hint="default" w:ascii="Times New Roman" w:hAnsi="Times New Roman" w:cs="Times New Roman"/>
                <w:b/>
                <w:bCs/>
                <w:color w:val="auto"/>
                <w:kern w:val="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130" w:type="dxa"/>
            <w:gridSpan w:val="8"/>
            <w:tcBorders>
              <w:tl2br w:val="nil"/>
              <w:tr2bl w:val="nil"/>
            </w:tcBorders>
            <w:shd w:val="clear" w:color="auto" w:fill="auto"/>
            <w:vAlign w:val="center"/>
          </w:tcPr>
          <w:p>
            <w:pPr>
              <w:widowControl/>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自然植被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restart"/>
            <w:tcBorders>
              <w:tl2br w:val="nil"/>
              <w:tr2bl w:val="nil"/>
            </w:tcBorders>
            <w:shd w:val="clear" w:color="auto" w:fill="auto"/>
            <w:vAlign w:val="center"/>
          </w:tcPr>
          <w:p>
            <w:pPr>
              <w:pStyle w:val="55"/>
              <w:widowControl/>
              <w:numPr>
                <w:ilvl w:val="0"/>
                <w:numId w:val="9"/>
              </w:numPr>
              <w:ind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灌丛</w:t>
            </w:r>
          </w:p>
        </w:tc>
        <w:tc>
          <w:tcPr>
            <w:tcW w:w="1104" w:type="dxa"/>
            <w:vMerge w:val="restart"/>
            <w:tcBorders>
              <w:tl2br w:val="nil"/>
              <w:tr2bl w:val="nil"/>
            </w:tcBorders>
            <w:shd w:val="clear" w:color="auto" w:fill="auto"/>
            <w:vAlign w:val="center"/>
          </w:tcPr>
          <w:p>
            <w:pPr>
              <w:pStyle w:val="55"/>
              <w:widowControl/>
              <w:numPr>
                <w:ilvl w:val="0"/>
                <w:numId w:val="10"/>
              </w:numPr>
              <w:ind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落叶阔叶灌丛</w:t>
            </w:r>
          </w:p>
        </w:tc>
        <w:tc>
          <w:tcPr>
            <w:tcW w:w="1221" w:type="dxa"/>
            <w:vMerge w:val="restart"/>
            <w:tcBorders>
              <w:tl2br w:val="nil"/>
              <w:tr2bl w:val="nil"/>
            </w:tcBorders>
            <w:shd w:val="clear" w:color="auto" w:fill="auto"/>
            <w:vAlign w:val="center"/>
          </w:tcPr>
          <w:p>
            <w:pPr>
              <w:pStyle w:val="55"/>
              <w:widowControl/>
              <w:numPr>
                <w:ilvl w:val="0"/>
                <w:numId w:val="11"/>
              </w:numPr>
              <w:ind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温性落叶阔叶灌丛</w:t>
            </w: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野蔷薇灌丛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Rosa multiflora</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江边零散分布</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204、205、206</w:t>
            </w:r>
          </w:p>
        </w:tc>
        <w:tc>
          <w:tcPr>
            <w:tcW w:w="1224"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不占用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pStyle w:val="55"/>
              <w:widowControl/>
              <w:numPr>
                <w:ilvl w:val="0"/>
                <w:numId w:val="9"/>
              </w:numPr>
              <w:ind w:firstLineChars="0"/>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pStyle w:val="55"/>
              <w:widowControl/>
              <w:numPr>
                <w:ilvl w:val="0"/>
                <w:numId w:val="10"/>
              </w:numPr>
              <w:ind w:firstLineChars="0"/>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pStyle w:val="55"/>
              <w:widowControl/>
              <w:numPr>
                <w:ilvl w:val="0"/>
                <w:numId w:val="11"/>
              </w:numPr>
              <w:ind w:firstLineChars="0"/>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苎麻灌丛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Boehmeria nivea</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江边分布较为广泛</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201、202、203</w:t>
            </w:r>
          </w:p>
        </w:tc>
        <w:tc>
          <w:tcPr>
            <w:tcW w:w="1224"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不占用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restart"/>
            <w:tcBorders>
              <w:tl2br w:val="nil"/>
              <w:tr2bl w:val="nil"/>
            </w:tcBorders>
            <w:shd w:val="clear" w:color="auto" w:fill="auto"/>
            <w:vAlign w:val="center"/>
          </w:tcPr>
          <w:p>
            <w:pPr>
              <w:pStyle w:val="55"/>
              <w:widowControl/>
              <w:numPr>
                <w:ilvl w:val="0"/>
                <w:numId w:val="9"/>
              </w:numPr>
              <w:ind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草地</w:t>
            </w:r>
          </w:p>
        </w:tc>
        <w:tc>
          <w:tcPr>
            <w:tcW w:w="1104" w:type="dxa"/>
            <w:vMerge w:val="restart"/>
            <w:tcBorders>
              <w:tl2br w:val="nil"/>
              <w:tr2bl w:val="nil"/>
            </w:tcBorders>
            <w:shd w:val="clear" w:color="auto" w:fill="auto"/>
            <w:vAlign w:val="center"/>
          </w:tcPr>
          <w:p>
            <w:pPr>
              <w:pStyle w:val="55"/>
              <w:widowControl/>
              <w:numPr>
                <w:ilvl w:val="0"/>
                <w:numId w:val="10"/>
              </w:numPr>
              <w:ind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灌草丛</w:t>
            </w:r>
          </w:p>
        </w:tc>
        <w:tc>
          <w:tcPr>
            <w:tcW w:w="1221" w:type="dxa"/>
            <w:vMerge w:val="restart"/>
            <w:tcBorders>
              <w:tl2br w:val="nil"/>
              <w:tr2bl w:val="nil"/>
            </w:tcBorders>
            <w:shd w:val="clear" w:color="auto" w:fill="auto"/>
            <w:vAlign w:val="center"/>
          </w:tcPr>
          <w:p>
            <w:pPr>
              <w:pStyle w:val="55"/>
              <w:widowControl/>
              <w:numPr>
                <w:ilvl w:val="0"/>
                <w:numId w:val="11"/>
              </w:numPr>
              <w:ind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温性灌草丛</w:t>
            </w: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白茅灌草丛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Imperata cylindrica</w:t>
            </w:r>
          </w:p>
        </w:tc>
        <w:tc>
          <w:tcPr>
            <w:tcW w:w="2580" w:type="dxa"/>
            <w:tcBorders>
              <w:tl2br w:val="nil"/>
              <w:tr2bl w:val="nil"/>
            </w:tcBorders>
            <w:shd w:val="clear" w:color="auto" w:fill="auto"/>
            <w:vAlign w:val="center"/>
          </w:tcPr>
          <w:p>
            <w:pP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江东岸沿江风光带附近荒地广泛分布</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304、305、306</w:t>
            </w:r>
          </w:p>
        </w:tc>
        <w:tc>
          <w:tcPr>
            <w:tcW w:w="1224" w:type="dxa"/>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占用0.02hm</w:t>
            </w:r>
            <w:r>
              <w:rPr>
                <w:rFonts w:hint="default" w:ascii="Times New Roman" w:hAnsi="Times New Roman" w:cs="Times New Roman"/>
                <w:color w:val="auto"/>
                <w:kern w:val="0"/>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稗灌草丛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Echinochloa crus-galli</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江边分布较为广泛</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307、308、309、310</w:t>
            </w:r>
          </w:p>
        </w:tc>
        <w:tc>
          <w:tcPr>
            <w:tcW w:w="1224" w:type="dxa"/>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占用0.04hm</w:t>
            </w:r>
            <w:r>
              <w:rPr>
                <w:rFonts w:hint="default" w:ascii="Times New Roman" w:hAnsi="Times New Roman" w:cs="Times New Roman"/>
                <w:color w:val="auto"/>
                <w:kern w:val="0"/>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苍耳灌草丛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Xanthium strumarium</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荒地附近零散分布</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301、302、303</w:t>
            </w:r>
          </w:p>
        </w:tc>
        <w:tc>
          <w:tcPr>
            <w:tcW w:w="1224" w:type="dxa"/>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占用0.01hm</w:t>
            </w:r>
            <w:r>
              <w:rPr>
                <w:rFonts w:hint="default" w:ascii="Times New Roman" w:hAnsi="Times New Roman" w:cs="Times New Roman"/>
                <w:color w:val="auto"/>
                <w:kern w:val="0"/>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狗牙根灌草丛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Cynodon dactylon</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江边分布较为广泛</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311、312、313、314</w:t>
            </w:r>
          </w:p>
        </w:tc>
        <w:tc>
          <w:tcPr>
            <w:tcW w:w="1224" w:type="dxa"/>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占用0.30hm</w:t>
            </w:r>
            <w:r>
              <w:rPr>
                <w:rFonts w:hint="default" w:ascii="Times New Roman" w:hAnsi="Times New Roman" w:cs="Times New Roman"/>
                <w:color w:val="auto"/>
                <w:kern w:val="0"/>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窃衣灌草丛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Torilis scabra</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江边分布较为广泛</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318、319、320、321</w:t>
            </w:r>
          </w:p>
        </w:tc>
        <w:tc>
          <w:tcPr>
            <w:tcW w:w="1224" w:type="dxa"/>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占用0.01hm</w:t>
            </w:r>
            <w:r>
              <w:rPr>
                <w:rFonts w:hint="default" w:ascii="Times New Roman" w:hAnsi="Times New Roman" w:cs="Times New Roman"/>
                <w:color w:val="auto"/>
                <w:kern w:val="0"/>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白车轴草灌草丛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Trifolium repens</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道路、荒地附近零散分布</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322、323、324</w:t>
            </w:r>
          </w:p>
        </w:tc>
        <w:tc>
          <w:tcPr>
            <w:tcW w:w="1224"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不占用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芦竹灌草丛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Arundo donax</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江边零散分布</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325、326、327</w:t>
            </w:r>
          </w:p>
        </w:tc>
        <w:tc>
          <w:tcPr>
            <w:tcW w:w="1224"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不占用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南苜蓿灌草丛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Medicago polymorpha</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道路、荒地附近零散分布</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328、329、330</w:t>
            </w:r>
          </w:p>
        </w:tc>
        <w:tc>
          <w:tcPr>
            <w:tcW w:w="1224" w:type="dxa"/>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占用0.03hm</w:t>
            </w:r>
            <w:r>
              <w:rPr>
                <w:rFonts w:hint="default" w:ascii="Times New Roman" w:hAnsi="Times New Roman" w:cs="Times New Roman"/>
                <w:color w:val="auto"/>
                <w:kern w:val="0"/>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五节芒灌草丛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Miscanthus floridulus</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荒地附近零散分布</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315、316、317</w:t>
            </w:r>
          </w:p>
        </w:tc>
        <w:tc>
          <w:tcPr>
            <w:tcW w:w="1224" w:type="dxa"/>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占用0.12hm</w:t>
            </w:r>
            <w:r>
              <w:rPr>
                <w:rFonts w:hint="default" w:ascii="Times New Roman" w:hAnsi="Times New Roman" w:cs="Times New Roman"/>
                <w:color w:val="auto"/>
                <w:kern w:val="0"/>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104"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221" w:type="dxa"/>
            <w:vMerge w:val="continue"/>
            <w:tcBorders>
              <w:tl2br w:val="nil"/>
              <w:tr2bl w:val="nil"/>
            </w:tcBorders>
            <w:vAlign w:val="center"/>
          </w:tcPr>
          <w:p>
            <w:pPr>
              <w:widowControl/>
              <w:jc w:val="left"/>
              <w:rPr>
                <w:rFonts w:hint="default" w:ascii="Times New Roman" w:hAnsi="Times New Roman" w:cs="Times New Roman"/>
                <w:color w:val="auto"/>
                <w:kern w:val="0"/>
                <w:sz w:val="21"/>
                <w:szCs w:val="21"/>
                <w:highlight w:val="none"/>
              </w:rPr>
            </w:pPr>
          </w:p>
        </w:tc>
        <w:tc>
          <w:tcPr>
            <w:tcW w:w="1768" w:type="dxa"/>
            <w:tcBorders>
              <w:tl2br w:val="nil"/>
              <w:tr2bl w:val="nil"/>
            </w:tcBorders>
            <w:shd w:val="clear" w:color="auto" w:fill="auto"/>
            <w:vAlign w:val="center"/>
          </w:tcPr>
          <w:p>
            <w:pPr>
              <w:pStyle w:val="55"/>
              <w:widowControl/>
              <w:numPr>
                <w:ilvl w:val="0"/>
                <w:numId w:val="12"/>
              </w:numPr>
              <w:ind w:firstLineChars="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野艾蒿灌草丛</w:t>
            </w:r>
          </w:p>
        </w:tc>
        <w:tc>
          <w:tcPr>
            <w:tcW w:w="2743"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Form.</w:t>
            </w:r>
            <w:r>
              <w:rPr>
                <w:rFonts w:hint="default" w:ascii="Times New Roman" w:hAnsi="Times New Roman" w:cs="Times New Roman"/>
                <w:i/>
                <w:iCs/>
                <w:color w:val="auto"/>
                <w:kern w:val="0"/>
                <w:sz w:val="21"/>
                <w:szCs w:val="21"/>
                <w:highlight w:val="none"/>
              </w:rPr>
              <w:t xml:space="preserve"> Artemisia lavandulifolia</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荒地附近零散分布</w:t>
            </w:r>
          </w:p>
        </w:tc>
        <w:tc>
          <w:tcPr>
            <w:tcW w:w="2132"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331、332、333</w:t>
            </w:r>
          </w:p>
        </w:tc>
        <w:tc>
          <w:tcPr>
            <w:tcW w:w="1224" w:type="dxa"/>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占用0.08hm</w:t>
            </w:r>
            <w:r>
              <w:rPr>
                <w:rFonts w:hint="default" w:ascii="Times New Roman" w:hAnsi="Times New Roman" w:cs="Times New Roman"/>
                <w:color w:val="auto"/>
                <w:kern w:val="0"/>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130" w:type="dxa"/>
            <w:gridSpan w:val="8"/>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栽培植物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粮食作物</w:t>
            </w:r>
          </w:p>
        </w:tc>
        <w:tc>
          <w:tcPr>
            <w:tcW w:w="6836" w:type="dxa"/>
            <w:gridSpan w:val="4"/>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玉米、马铃薯等</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评价区农田区域</w:t>
            </w:r>
          </w:p>
        </w:tc>
        <w:tc>
          <w:tcPr>
            <w:tcW w:w="2132"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p>
        </w:tc>
        <w:tc>
          <w:tcPr>
            <w:tcW w:w="1224"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不占用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菜园</w:t>
            </w:r>
          </w:p>
        </w:tc>
        <w:tc>
          <w:tcPr>
            <w:tcW w:w="6836" w:type="dxa"/>
            <w:gridSpan w:val="4"/>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南瓜、苦瓜、蚕豆等</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评价区农田区域</w:t>
            </w:r>
          </w:p>
        </w:tc>
        <w:tc>
          <w:tcPr>
            <w:tcW w:w="2132"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p>
        </w:tc>
        <w:tc>
          <w:tcPr>
            <w:tcW w:w="1224"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不占用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果园</w:t>
            </w:r>
          </w:p>
        </w:tc>
        <w:tc>
          <w:tcPr>
            <w:tcW w:w="6836" w:type="dxa"/>
            <w:gridSpan w:val="4"/>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柑橘、葡萄等</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评价区农田、居民区附近</w:t>
            </w:r>
          </w:p>
        </w:tc>
        <w:tc>
          <w:tcPr>
            <w:tcW w:w="2132"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p>
        </w:tc>
        <w:tc>
          <w:tcPr>
            <w:tcW w:w="1224"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不占用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城市公园植被</w:t>
            </w:r>
          </w:p>
        </w:tc>
        <w:tc>
          <w:tcPr>
            <w:tcW w:w="6836" w:type="dxa"/>
            <w:gridSpan w:val="4"/>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刚竹林、</w:t>
            </w:r>
            <w:r>
              <w:rPr>
                <w:rFonts w:hint="default" w:ascii="Times New Roman" w:hAnsi="Times New Roman" w:cs="Times New Roman"/>
                <w:color w:val="auto"/>
                <w:kern w:val="0"/>
                <w:sz w:val="21"/>
                <w:szCs w:val="21"/>
                <w:highlight w:val="none"/>
                <w:lang w:val="en-US" w:eastAsia="zh-CN"/>
              </w:rPr>
              <w:t>木犀</w:t>
            </w:r>
            <w:r>
              <w:rPr>
                <w:rFonts w:hint="default" w:ascii="Times New Roman" w:hAnsi="Times New Roman" w:cs="Times New Roman"/>
                <w:color w:val="auto"/>
                <w:kern w:val="0"/>
                <w:sz w:val="21"/>
                <w:szCs w:val="21"/>
                <w:highlight w:val="none"/>
              </w:rPr>
              <w:t>、女贞、大叶黄杨、红檵木、红叶石楠、垂柳等</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评价区道路、公园内广泛</w:t>
            </w:r>
          </w:p>
        </w:tc>
        <w:tc>
          <w:tcPr>
            <w:tcW w:w="2132" w:type="dxa"/>
            <w:tcBorders>
              <w:tl2br w:val="nil"/>
              <w:tr2bl w:val="nil"/>
            </w:tcBorders>
            <w:shd w:val="clear" w:color="auto" w:fill="auto"/>
            <w:vAlign w:val="center"/>
          </w:tcPr>
          <w:p>
            <w:pPr>
              <w:widowControl/>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101、102、103、104</w:t>
            </w:r>
          </w:p>
        </w:tc>
        <w:tc>
          <w:tcPr>
            <w:tcW w:w="1224"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不占用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5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城市行道树</w:t>
            </w:r>
          </w:p>
        </w:tc>
        <w:tc>
          <w:tcPr>
            <w:tcW w:w="6836" w:type="dxa"/>
            <w:gridSpan w:val="4"/>
            <w:tcBorders>
              <w:tl2br w:val="nil"/>
              <w:tr2bl w:val="nil"/>
            </w:tcBorders>
            <w:shd w:val="clear" w:color="auto" w:fill="auto"/>
            <w:noWrap/>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樟树、杜英等</w:t>
            </w:r>
          </w:p>
        </w:tc>
        <w:tc>
          <w:tcPr>
            <w:tcW w:w="2580"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评价区道路、公园内广泛</w:t>
            </w:r>
          </w:p>
        </w:tc>
        <w:tc>
          <w:tcPr>
            <w:tcW w:w="213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 w:val="21"/>
                <w:szCs w:val="21"/>
                <w:highlight w:val="none"/>
              </w:rPr>
            </w:pPr>
          </w:p>
        </w:tc>
        <w:tc>
          <w:tcPr>
            <w:tcW w:w="1224" w:type="dxa"/>
            <w:tcBorders>
              <w:tl2br w:val="nil"/>
              <w:tr2bl w:val="nil"/>
            </w:tcBorders>
            <w:shd w:val="clear" w:color="auto" w:fill="auto"/>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不占用</w:t>
            </w:r>
          </w:p>
        </w:tc>
      </w:tr>
    </w:tbl>
    <w:p>
      <w:pPr>
        <w:rPr>
          <w:rFonts w:hint="default" w:ascii="Times New Roman" w:hAnsi="Times New Roman" w:cs="Times New Roman"/>
          <w:color w:val="auto"/>
          <w:sz w:val="18"/>
          <w:highlight w:val="none"/>
          <w:lang w:val="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18"/>
          <w:highlight w:val="none"/>
          <w:lang w:val="zh-CN"/>
        </w:rPr>
        <w:t>注：植被分类系统参照《中国植被分类系统修订方案》（郭柯等，2020）中植被型组、植被型、植被亚型、群系四级分类单元。</w:t>
      </w:r>
    </w:p>
    <w:p>
      <w:pPr>
        <w:pStyle w:val="60"/>
        <w:keepNext/>
        <w:keepLines/>
        <w:pageBreakBefore w:val="0"/>
        <w:widowControl w:val="0"/>
        <w:numPr>
          <w:ilvl w:val="0"/>
          <w:numId w:val="8"/>
        </w:numPr>
        <w:kinsoku/>
        <w:wordWrap/>
        <w:overflowPunct/>
        <w:topLinePunct w:val="0"/>
        <w:autoSpaceDE/>
        <w:autoSpaceDN/>
        <w:bidi w:val="0"/>
        <w:adjustRightInd/>
        <w:snapToGrid/>
        <w:spacing w:before="0" w:line="360" w:lineRule="auto"/>
        <w:ind w:firstLine="420"/>
        <w:jc w:val="left"/>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rPr>
        <w:t>主要植被类型描述</w:t>
      </w:r>
    </w:p>
    <w:p>
      <w:pPr>
        <w:pageBreakBefore w:val="0"/>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根据现场对评价区内植被的实地调查，利用典型样方法，参照《中国植被</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湖南植被》的分类原则对评价区植被中主要植物群落的分布及特征进行简要的描述。</w:t>
      </w:r>
    </w:p>
    <w:p>
      <w:pPr>
        <w:pageBreakBefore w:val="0"/>
        <w:numPr>
          <w:ilvl w:val="0"/>
          <w:numId w:val="13"/>
        </w:numPr>
        <w:kinsoku/>
        <w:wordWrap/>
        <w:overflowPunct/>
        <w:topLinePunct w:val="0"/>
        <w:autoSpaceDE/>
        <w:autoSpaceDN/>
        <w:bidi w:val="0"/>
        <w:adjustRightInd w:val="0"/>
        <w:snapToGrid w:val="0"/>
        <w:spacing w:line="360" w:lineRule="auto"/>
        <w:jc w:val="both"/>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自然植被</w:t>
      </w:r>
    </w:p>
    <w:p>
      <w:pPr>
        <w:pageBreakBefore w:val="0"/>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依据植被分类原则中的分类单位，对</w:t>
      </w:r>
      <w:r>
        <w:rPr>
          <w:rFonts w:hint="default" w:ascii="Times New Roman" w:hAnsi="Times New Roman" w:cs="Times New Roman"/>
          <w:color w:val="auto"/>
          <w:sz w:val="24"/>
          <w:highlight w:val="none"/>
        </w:rPr>
        <w:t>评价区</w:t>
      </w:r>
      <w:r>
        <w:rPr>
          <w:rFonts w:hint="default" w:ascii="Times New Roman" w:hAnsi="Times New Roman" w:cs="Times New Roman"/>
          <w:color w:val="auto"/>
          <w:sz w:val="24"/>
          <w:szCs w:val="24"/>
          <w:highlight w:val="none"/>
        </w:rPr>
        <w:t>内的自然植被按群系进行逐一描述，应包含群落外貌特征、分布、生境等，结合样方表介绍各层的盖度、层高、优势种、主要伴生种、物种组成和层间植物等。</w:t>
      </w:r>
    </w:p>
    <w:p>
      <w:pPr>
        <w:pageBreakBefore w:val="0"/>
        <w:numPr>
          <w:ilvl w:val="1"/>
          <w:numId w:val="14"/>
        </w:numPr>
        <w:kinsoku/>
        <w:wordWrap/>
        <w:overflowPunct/>
        <w:topLinePunct w:val="0"/>
        <w:autoSpaceDE/>
        <w:autoSpaceDN/>
        <w:bidi w:val="0"/>
        <w:spacing w:line="360" w:lineRule="auto"/>
        <w:ind w:firstLine="482" w:firstLineChars="200"/>
        <w:jc w:val="both"/>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灌丛</w:t>
      </w:r>
    </w:p>
    <w:p>
      <w:pPr>
        <w:pageBreakBefore w:val="0"/>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灌丛是指以灌木植物占优势的植被类型，群落高度常小于5m。建群种多为中生或簇生的灌木生活型。灌丛组成种类众多，类型复杂，分布广泛。评价区分布的灌丛植被主要为落叶阔叶灌丛。</w:t>
      </w:r>
    </w:p>
    <w:p>
      <w:pPr>
        <w:pageBreakBefore w:val="0"/>
        <w:numPr>
          <w:ilvl w:val="2"/>
          <w:numId w:val="15"/>
        </w:numPr>
        <w:tabs>
          <w:tab w:val="left" w:pos="7425"/>
        </w:tabs>
        <w:kinsoku/>
        <w:wordWrap/>
        <w:overflowPunct/>
        <w:topLinePunct w:val="0"/>
        <w:autoSpaceDE/>
        <w:autoSpaceDN/>
        <w:bidi w:val="0"/>
        <w:spacing w:line="360" w:lineRule="auto"/>
        <w:ind w:firstLine="482" w:firstLineChars="200"/>
        <w:jc w:val="both"/>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落叶阔叶灌丛</w:t>
      </w:r>
    </w:p>
    <w:p>
      <w:pPr>
        <w:pageBreakBefore w:val="0"/>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落叶阔叶灌丛是指由落叶阔叶灌木或落叶阔叶灌木占优势所组成的植物群落。其主要特征是植株无明显的主干，建群种多干簇生，高度在5m以下，盖度大于30%</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40%。落叶阔叶灌丛在项目施工占地区广泛分布，评价区常见落叶阔叶灌丛包括插田泡灌丛和苎麻灌丛等，群落结构一般由灌木层、草本层构成，有些灌丛还有层间植物。</w:t>
      </w:r>
    </w:p>
    <w:p>
      <w:pPr>
        <w:pageBreakBefore w:val="0"/>
        <w:numPr>
          <w:ilvl w:val="2"/>
          <w:numId w:val="16"/>
        </w:numPr>
        <w:tabs>
          <w:tab w:val="left" w:pos="7425"/>
        </w:tabs>
        <w:kinsoku/>
        <w:wordWrap/>
        <w:overflowPunct/>
        <w:topLinePunct w:val="0"/>
        <w:autoSpaceDE/>
        <w:autoSpaceDN/>
        <w:bidi w:val="0"/>
        <w:spacing w:line="360" w:lineRule="auto"/>
        <w:ind w:firstLine="482" w:firstLineChars="200"/>
        <w:jc w:val="both"/>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野蔷薇灌丛（Form. </w:t>
      </w:r>
      <w:r>
        <w:rPr>
          <w:rFonts w:hint="default" w:ascii="Times New Roman" w:hAnsi="Times New Roman" w:cs="Times New Roman"/>
          <w:b/>
          <w:i/>
          <w:iCs/>
          <w:color w:val="auto"/>
          <w:sz w:val="24"/>
          <w:szCs w:val="24"/>
          <w:highlight w:val="none"/>
        </w:rPr>
        <w:t>Rosa multiflora</w:t>
      </w:r>
      <w:r>
        <w:rPr>
          <w:rFonts w:hint="default" w:ascii="Times New Roman" w:hAnsi="Times New Roman" w:cs="Times New Roman"/>
          <w:b/>
          <w:color w:val="auto"/>
          <w:sz w:val="24"/>
          <w:szCs w:val="24"/>
          <w:highlight w:val="none"/>
        </w:rPr>
        <w:t>）</w:t>
      </w:r>
    </w:p>
    <w:p>
      <w:pPr>
        <w:pageBreakBefore w:val="0"/>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野蔷薇（</w:t>
      </w:r>
      <w:r>
        <w:rPr>
          <w:rFonts w:hint="default" w:ascii="Times New Roman" w:hAnsi="Times New Roman" w:cs="Times New Roman"/>
          <w:i/>
          <w:iCs/>
          <w:color w:val="auto"/>
          <w:sz w:val="24"/>
          <w:szCs w:val="24"/>
          <w:highlight w:val="none"/>
        </w:rPr>
        <w:t>Rosa multiflora</w:t>
      </w:r>
      <w:r>
        <w:rPr>
          <w:rFonts w:hint="default" w:ascii="Times New Roman" w:hAnsi="Times New Roman" w:cs="Times New Roman"/>
          <w:color w:val="auto"/>
          <w:sz w:val="24"/>
          <w:szCs w:val="24"/>
          <w:highlight w:val="none"/>
        </w:rPr>
        <w:t>）属蔷薇科蔷薇属攀援灌木，小枝圆柱形，通常无毛；小叶5-9，小叶片倒卵形、长圆形或卵形；小叶柄和叶轴有柔毛或无毛，有散生腺毛；托叶篦齿状，大部贴生于叶柄，边缘有或无腺毛。花多朵，排成圆锥状花序，花瓣白色，宽倒卵形，先端微凹，基部楔形；花柱结合成束，无毛。果近球形，红褐色或紫褐色。野蔷薇灌丛在评价区主要零散分布于江边荒地。</w:t>
      </w:r>
    </w:p>
    <w:p>
      <w:pPr>
        <w:pageBreakBefore w:val="0"/>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野蔷薇灌丛灌木层层高1.5m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1.8m，盖度55%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68%，优势种为野蔷薇，高1.6m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1.8m，盖度55%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65%。伴生种以白背叶（</w:t>
      </w:r>
      <w:r>
        <w:rPr>
          <w:rFonts w:hint="default" w:ascii="Times New Roman" w:hAnsi="Times New Roman" w:cs="Times New Roman"/>
          <w:i/>
          <w:iCs/>
          <w:color w:val="auto"/>
          <w:sz w:val="24"/>
          <w:szCs w:val="24"/>
          <w:highlight w:val="none"/>
        </w:rPr>
        <w:t>Mallotus apelta</w:t>
      </w:r>
      <w:r>
        <w:rPr>
          <w:rFonts w:hint="default" w:ascii="Times New Roman" w:hAnsi="Times New Roman" w:cs="Times New Roman"/>
          <w:color w:val="auto"/>
          <w:sz w:val="24"/>
          <w:szCs w:val="24"/>
          <w:highlight w:val="none"/>
        </w:rPr>
        <w:t>）、盐肤木（</w:t>
      </w:r>
      <w:r>
        <w:rPr>
          <w:rFonts w:hint="default" w:ascii="Times New Roman" w:hAnsi="Times New Roman" w:cs="Times New Roman"/>
          <w:i/>
          <w:iCs/>
          <w:color w:val="auto"/>
          <w:sz w:val="24"/>
          <w:szCs w:val="24"/>
          <w:highlight w:val="none"/>
        </w:rPr>
        <w:t>Rhus chinensis</w:t>
      </w:r>
      <w:r>
        <w:rPr>
          <w:rFonts w:hint="default" w:ascii="Times New Roman" w:hAnsi="Times New Roman" w:cs="Times New Roman"/>
          <w:color w:val="auto"/>
          <w:sz w:val="24"/>
          <w:szCs w:val="24"/>
          <w:highlight w:val="none"/>
        </w:rPr>
        <w:t>）等为主。</w:t>
      </w:r>
    </w:p>
    <w:p>
      <w:pPr>
        <w:keepNext w:val="0"/>
        <w:keepLines w:val="0"/>
        <w:pageBreakBefore w:val="0"/>
        <w:kinsoku/>
        <w:wordWrap/>
        <w:overflowPunct/>
        <w:topLinePunct w:val="0"/>
        <w:autoSpaceDE/>
        <w:autoSpaceDN/>
        <w:bidi w:val="0"/>
        <w:spacing w:line="360" w:lineRule="auto"/>
        <w:ind w:firstLine="480" w:firstLineChars="20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草本层层高0.3m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0.6m，盖度2%</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6%，无明显优势种。常见伴生种有野菊（</w:t>
      </w:r>
      <w:r>
        <w:rPr>
          <w:rFonts w:hint="default" w:ascii="Times New Roman" w:hAnsi="Times New Roman" w:cs="Times New Roman"/>
          <w:i/>
          <w:iCs/>
          <w:color w:val="auto"/>
          <w:sz w:val="24"/>
          <w:szCs w:val="24"/>
          <w:highlight w:val="none"/>
        </w:rPr>
        <w:t>Chrysanthemum indicum</w:t>
      </w:r>
      <w:r>
        <w:rPr>
          <w:rFonts w:hint="default" w:ascii="Times New Roman" w:hAnsi="Times New Roman" w:cs="Times New Roman"/>
          <w:color w:val="auto"/>
          <w:sz w:val="24"/>
          <w:szCs w:val="24"/>
          <w:highlight w:val="none"/>
        </w:rPr>
        <w:t>）、荩草（</w:t>
      </w:r>
      <w:r>
        <w:rPr>
          <w:rFonts w:hint="default" w:ascii="Times New Roman" w:hAnsi="Times New Roman" w:cs="Times New Roman"/>
          <w:i/>
          <w:iCs/>
          <w:color w:val="auto"/>
          <w:sz w:val="24"/>
          <w:szCs w:val="24"/>
          <w:highlight w:val="none"/>
        </w:rPr>
        <w:t>Arthraxon hispidus</w:t>
      </w:r>
      <w:r>
        <w:rPr>
          <w:rFonts w:hint="default" w:ascii="Times New Roman" w:hAnsi="Times New Roman" w:cs="Times New Roman"/>
          <w:color w:val="auto"/>
          <w:sz w:val="24"/>
          <w:szCs w:val="24"/>
          <w:highlight w:val="none"/>
        </w:rPr>
        <w:t>）、苦荬菜（</w:t>
      </w:r>
      <w:r>
        <w:rPr>
          <w:rFonts w:hint="default" w:ascii="Times New Roman" w:hAnsi="Times New Roman" w:cs="Times New Roman"/>
          <w:i/>
          <w:iCs/>
          <w:color w:val="auto"/>
          <w:sz w:val="24"/>
          <w:szCs w:val="24"/>
          <w:highlight w:val="none"/>
        </w:rPr>
        <w:t>Ixeris polycephala</w:t>
      </w:r>
      <w:r>
        <w:rPr>
          <w:rFonts w:hint="default" w:ascii="Times New Roman" w:hAnsi="Times New Roman" w:cs="Times New Roman"/>
          <w:color w:val="auto"/>
          <w:sz w:val="24"/>
          <w:szCs w:val="24"/>
          <w:highlight w:val="none"/>
        </w:rPr>
        <w:t>）、小蓬草（</w:t>
      </w:r>
      <w:r>
        <w:rPr>
          <w:rFonts w:hint="default" w:ascii="Times New Roman" w:hAnsi="Times New Roman" w:cs="Times New Roman"/>
          <w:i/>
          <w:iCs/>
          <w:color w:val="auto"/>
          <w:sz w:val="24"/>
          <w:szCs w:val="24"/>
          <w:highlight w:val="none"/>
        </w:rPr>
        <w:t>Erigeron canadensis</w:t>
      </w:r>
      <w:r>
        <w:rPr>
          <w:rFonts w:hint="default" w:ascii="Times New Roman" w:hAnsi="Times New Roman" w:cs="Times New Roman"/>
          <w:color w:val="auto"/>
          <w:sz w:val="24"/>
          <w:szCs w:val="24"/>
          <w:highlight w:val="none"/>
        </w:rPr>
        <w:t>）、狗肝菜（</w:t>
      </w:r>
      <w:r>
        <w:rPr>
          <w:rFonts w:hint="default" w:ascii="Times New Roman" w:hAnsi="Times New Roman" w:cs="Times New Roman"/>
          <w:i/>
          <w:iCs/>
          <w:color w:val="auto"/>
          <w:sz w:val="24"/>
          <w:szCs w:val="24"/>
          <w:highlight w:val="none"/>
        </w:rPr>
        <w:t>Dicliptera chinensis</w:t>
      </w:r>
      <w:r>
        <w:rPr>
          <w:rFonts w:hint="default" w:ascii="Times New Roman" w:hAnsi="Times New Roman" w:cs="Times New Roman"/>
          <w:color w:val="auto"/>
          <w:sz w:val="24"/>
          <w:szCs w:val="24"/>
          <w:highlight w:val="none"/>
        </w:rPr>
        <w:t>）、井栏边草（</w:t>
      </w:r>
      <w:r>
        <w:rPr>
          <w:rFonts w:hint="default" w:ascii="Times New Roman" w:hAnsi="Times New Roman" w:cs="Times New Roman"/>
          <w:i/>
          <w:iCs/>
          <w:color w:val="auto"/>
          <w:sz w:val="24"/>
          <w:szCs w:val="24"/>
          <w:highlight w:val="none"/>
        </w:rPr>
        <w:t>Pteris multifida</w:t>
      </w:r>
      <w:r>
        <w:rPr>
          <w:rFonts w:hint="default" w:ascii="Times New Roman" w:hAnsi="Times New Roman" w:cs="Times New Roman"/>
          <w:color w:val="auto"/>
          <w:sz w:val="24"/>
          <w:szCs w:val="24"/>
          <w:highlight w:val="none"/>
        </w:rPr>
        <w:t>）等。</w:t>
      </w:r>
    </w:p>
    <w:p>
      <w:pPr>
        <w:keepNext w:val="0"/>
        <w:keepLines w:val="0"/>
        <w:pageBreakBefore w:val="0"/>
        <w:kinsoku/>
        <w:wordWrap/>
        <w:overflowPunct/>
        <w:topLinePunct w:val="0"/>
        <w:autoSpaceDE/>
        <w:autoSpaceDN/>
        <w:bidi w:val="0"/>
        <w:spacing w:line="360" w:lineRule="auto"/>
        <w:ind w:firstLine="480" w:firstLineChars="20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层间植物较少，以葎草（</w:t>
      </w:r>
      <w:r>
        <w:rPr>
          <w:rFonts w:hint="default" w:ascii="Times New Roman" w:hAnsi="Times New Roman" w:cs="Times New Roman"/>
          <w:i/>
          <w:iCs/>
          <w:color w:val="auto"/>
          <w:sz w:val="24"/>
          <w:szCs w:val="24"/>
          <w:highlight w:val="none"/>
        </w:rPr>
        <w:t>Humulus scandens</w:t>
      </w:r>
      <w:r>
        <w:rPr>
          <w:rFonts w:hint="default" w:ascii="Times New Roman" w:hAnsi="Times New Roman" w:cs="Times New Roman"/>
          <w:color w:val="auto"/>
          <w:sz w:val="24"/>
          <w:szCs w:val="24"/>
          <w:highlight w:val="none"/>
        </w:rPr>
        <w:t>）等为主。</w:t>
      </w:r>
    </w:p>
    <w:tbl>
      <w:tblPr>
        <w:tblStyle w:val="2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60288" behindDoc="0" locked="0" layoutInCell="1" allowOverlap="1">
                  <wp:simplePos x="0" y="0"/>
                  <wp:positionH relativeFrom="column">
                    <wp:posOffset>-66675</wp:posOffset>
                  </wp:positionH>
                  <wp:positionV relativeFrom="paragraph">
                    <wp:posOffset>1270</wp:posOffset>
                  </wp:positionV>
                  <wp:extent cx="2591435" cy="1943735"/>
                  <wp:effectExtent l="0" t="0" r="18415" b="18415"/>
                  <wp:wrapTopAndBottom/>
                  <wp:docPr id="371551715" name="图片 1"/>
                  <wp:cNvGraphicFramePr/>
                  <a:graphic xmlns:a="http://schemas.openxmlformats.org/drawingml/2006/main">
                    <a:graphicData uri="http://schemas.openxmlformats.org/drawingml/2006/picture">
                      <pic:pic xmlns:pic="http://schemas.openxmlformats.org/drawingml/2006/picture">
                        <pic:nvPicPr>
                          <pic:cNvPr id="371551715" name="图片 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91435" cy="1943735"/>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112°37'12.2197"E,26°52'37.0360"N;H:51m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97152" behindDoc="0" locked="0" layoutInCell="1" allowOverlap="1">
                  <wp:simplePos x="0" y="0"/>
                  <wp:positionH relativeFrom="column">
                    <wp:posOffset>-635</wp:posOffset>
                  </wp:positionH>
                  <wp:positionV relativeFrom="paragraph">
                    <wp:posOffset>-1732280</wp:posOffset>
                  </wp:positionV>
                  <wp:extent cx="2592070" cy="1943735"/>
                  <wp:effectExtent l="0" t="0" r="17780" b="18415"/>
                  <wp:wrapTopAndBottom/>
                  <wp:docPr id="592723351" name="图片 1"/>
                  <wp:cNvGraphicFramePr/>
                  <a:graphic xmlns:a="http://schemas.openxmlformats.org/drawingml/2006/main">
                    <a:graphicData uri="http://schemas.openxmlformats.org/drawingml/2006/picture">
                      <pic:pic xmlns:pic="http://schemas.openxmlformats.org/drawingml/2006/picture">
                        <pic:nvPicPr>
                          <pic:cNvPr id="592723351" name="图片 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112°37'14.6241"E,26°52'34.2024"N;H:57m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96128" behindDoc="0" locked="0" layoutInCell="1" allowOverlap="1">
                  <wp:simplePos x="0" y="0"/>
                  <wp:positionH relativeFrom="column">
                    <wp:posOffset>0</wp:posOffset>
                  </wp:positionH>
                  <wp:positionV relativeFrom="paragraph">
                    <wp:posOffset>-1729740</wp:posOffset>
                  </wp:positionV>
                  <wp:extent cx="2592070" cy="1943735"/>
                  <wp:effectExtent l="0" t="0" r="17780" b="18415"/>
                  <wp:wrapTopAndBottom/>
                  <wp:docPr id="578592365" name="图片 1"/>
                  <wp:cNvGraphicFramePr/>
                  <a:graphic xmlns:a="http://schemas.openxmlformats.org/drawingml/2006/main">
                    <a:graphicData uri="http://schemas.openxmlformats.org/drawingml/2006/picture">
                      <pic:pic xmlns:pic="http://schemas.openxmlformats.org/drawingml/2006/picture">
                        <pic:nvPicPr>
                          <pic:cNvPr id="578592365" name="图片 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112°38'22.9206"E,26°52'20.5850"N;H:51m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-1 野蔷薇灌丛</w:t>
      </w:r>
    </w:p>
    <w:p>
      <w:pPr>
        <w:keepNext w:val="0"/>
        <w:keepLines w:val="0"/>
        <w:pageBreakBefore w:val="0"/>
        <w:numPr>
          <w:ilvl w:val="2"/>
          <w:numId w:val="16"/>
        </w:numPr>
        <w:tabs>
          <w:tab w:val="left" w:pos="7425"/>
        </w:tabs>
        <w:kinsoku/>
        <w:wordWrap/>
        <w:overflowPunct/>
        <w:topLinePunct w:val="0"/>
        <w:autoSpaceDE/>
        <w:autoSpaceDN/>
        <w:bidi w:val="0"/>
        <w:spacing w:line="360" w:lineRule="auto"/>
        <w:ind w:firstLine="482" w:firstLineChars="200"/>
        <w:jc w:val="both"/>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苎麻灌丛（Form. </w:t>
      </w:r>
      <w:r>
        <w:rPr>
          <w:rFonts w:hint="default" w:ascii="Times New Roman" w:hAnsi="Times New Roman" w:cs="Times New Roman"/>
          <w:b/>
          <w:i/>
          <w:iCs/>
          <w:color w:val="auto"/>
          <w:sz w:val="24"/>
          <w:szCs w:val="24"/>
          <w:highlight w:val="none"/>
        </w:rPr>
        <w:t>Boehmeria nivea</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苎麻（</w:t>
      </w:r>
      <w:r>
        <w:rPr>
          <w:rFonts w:hint="default" w:ascii="Times New Roman" w:hAnsi="Times New Roman" w:cs="Times New Roman"/>
          <w:i/>
          <w:iCs/>
          <w:color w:val="auto"/>
          <w:sz w:val="24"/>
          <w:szCs w:val="24"/>
          <w:highlight w:val="none"/>
        </w:rPr>
        <w:t>Boehmeria nivea</w:t>
      </w:r>
      <w:r>
        <w:rPr>
          <w:rFonts w:hint="default" w:ascii="Times New Roman" w:hAnsi="Times New Roman" w:cs="Times New Roman"/>
          <w:color w:val="auto"/>
          <w:sz w:val="24"/>
          <w:szCs w:val="24"/>
          <w:highlight w:val="none"/>
        </w:rPr>
        <w:t>）属荨麻科苎麻属亚灌木或灌木，茎上部与叶柄均密被开展的长硬毛和近开展和贴伏的短糙毛；叶互生，叶片草质，通常圆卵形或宽卵形，少数卵形，上面稍粗糙，疏被短伏毛，下面密被雪白色毡毛；圆锥花序腋生，或植株上部的为雌性，其下的为雄性，或同一植株的全为雌性，；瘦果近球形。苎麻在我国主要分布于云南、贵州、广西、广东、福建、江西、台湾、浙江、湖北、四川、甘肃、陕西、河南等省份，常生于山谷林边或草坡。苎麻灌丛在江边分布较为广泛。</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野蔷薇灌丛灌木层层高1.2m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1.5m，盖度约55%，优势种为苎麻，高1.2m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1.5m，盖度约55%。无明显伴生种。</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草本层层高0.6m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1.3m，盖度6%</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21%，优势种为金丝草（</w:t>
      </w:r>
      <w:r>
        <w:rPr>
          <w:rFonts w:hint="default" w:ascii="Times New Roman" w:hAnsi="Times New Roman" w:cs="Times New Roman"/>
          <w:i/>
          <w:iCs/>
          <w:color w:val="auto"/>
          <w:sz w:val="24"/>
          <w:szCs w:val="24"/>
          <w:highlight w:val="none"/>
        </w:rPr>
        <w:t>Pogonatherum crinitum</w:t>
      </w:r>
      <w:r>
        <w:rPr>
          <w:rFonts w:hint="default" w:ascii="Times New Roman" w:hAnsi="Times New Roman" w:cs="Times New Roman"/>
          <w:color w:val="auto"/>
          <w:sz w:val="24"/>
          <w:szCs w:val="24"/>
          <w:highlight w:val="none"/>
        </w:rPr>
        <w:t>），高约0.7m，盖度约15%，常见伴生种有野艾蒿（</w:t>
      </w:r>
      <w:r>
        <w:rPr>
          <w:rFonts w:hint="default" w:ascii="Times New Roman" w:hAnsi="Times New Roman" w:cs="Times New Roman"/>
          <w:i/>
          <w:iCs/>
          <w:color w:val="auto"/>
          <w:sz w:val="24"/>
          <w:szCs w:val="24"/>
          <w:highlight w:val="none"/>
        </w:rPr>
        <w:t>Artemisia lavandulifolia</w:t>
      </w:r>
      <w:r>
        <w:rPr>
          <w:rFonts w:hint="default" w:ascii="Times New Roman" w:hAnsi="Times New Roman" w:cs="Times New Roman"/>
          <w:color w:val="auto"/>
          <w:sz w:val="24"/>
          <w:szCs w:val="24"/>
          <w:highlight w:val="none"/>
        </w:rPr>
        <w:t>）、五节芒（</w:t>
      </w:r>
      <w:r>
        <w:rPr>
          <w:rFonts w:hint="default" w:ascii="Times New Roman" w:hAnsi="Times New Roman" w:cs="Times New Roman"/>
          <w:i/>
          <w:iCs/>
          <w:color w:val="auto"/>
          <w:sz w:val="24"/>
          <w:szCs w:val="24"/>
          <w:highlight w:val="none"/>
        </w:rPr>
        <w:t>Miscanthus floridulus</w:t>
      </w:r>
      <w:r>
        <w:rPr>
          <w:rFonts w:hint="default" w:ascii="Times New Roman" w:hAnsi="Times New Roman" w:cs="Times New Roman"/>
          <w:color w:val="auto"/>
          <w:sz w:val="24"/>
          <w:szCs w:val="24"/>
          <w:highlight w:val="none"/>
        </w:rPr>
        <w:t>）等。</w:t>
      </w:r>
    </w:p>
    <w:tbl>
      <w:tblPr>
        <w:tblStyle w:val="23"/>
        <w:tblW w:w="86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4300"/>
        <w:gridCol w:w="43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trPr>
        <w:tc>
          <w:tcPr>
            <w:tcW w:w="4300"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95104" behindDoc="0" locked="0" layoutInCell="1" allowOverlap="1">
                  <wp:simplePos x="0" y="0"/>
                  <wp:positionH relativeFrom="column">
                    <wp:posOffset>0</wp:posOffset>
                  </wp:positionH>
                  <wp:positionV relativeFrom="paragraph">
                    <wp:posOffset>-1728470</wp:posOffset>
                  </wp:positionV>
                  <wp:extent cx="2592070" cy="1943735"/>
                  <wp:effectExtent l="0" t="0" r="17780" b="18415"/>
                  <wp:wrapTopAndBottom/>
                  <wp:docPr id="1733118088" name="图片 1"/>
                  <wp:cNvGraphicFramePr/>
                  <a:graphic xmlns:a="http://schemas.openxmlformats.org/drawingml/2006/main">
                    <a:graphicData uri="http://schemas.openxmlformats.org/drawingml/2006/picture">
                      <pic:pic xmlns:pic="http://schemas.openxmlformats.org/drawingml/2006/picture">
                        <pic:nvPicPr>
                          <pic:cNvPr id="1733118088" name="图片 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112°37'31.7344"E,26°52'34.8397"N;H:51m</w:t>
            </w:r>
          </w:p>
        </w:tc>
        <w:tc>
          <w:tcPr>
            <w:tcW w:w="4300"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94080" behindDoc="0" locked="0" layoutInCell="1" allowOverlap="1">
                  <wp:simplePos x="0" y="0"/>
                  <wp:positionH relativeFrom="column">
                    <wp:posOffset>-635</wp:posOffset>
                  </wp:positionH>
                  <wp:positionV relativeFrom="paragraph">
                    <wp:posOffset>-1728470</wp:posOffset>
                  </wp:positionV>
                  <wp:extent cx="2592070" cy="1943735"/>
                  <wp:effectExtent l="0" t="0" r="17780" b="18415"/>
                  <wp:wrapTopAndBottom/>
                  <wp:docPr id="1857238051" name="图片 1"/>
                  <wp:cNvGraphicFramePr/>
                  <a:graphic xmlns:a="http://schemas.openxmlformats.org/drawingml/2006/main">
                    <a:graphicData uri="http://schemas.openxmlformats.org/drawingml/2006/picture">
                      <pic:pic xmlns:pic="http://schemas.openxmlformats.org/drawingml/2006/picture">
                        <pic:nvPicPr>
                          <pic:cNvPr id="1857238051" name="图片 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112°37'45.7742"E,26°52'20.9037"N;H:52m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trPr>
        <w:tc>
          <w:tcPr>
            <w:tcW w:w="4300"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93056" behindDoc="0" locked="0" layoutInCell="1" allowOverlap="1">
                  <wp:simplePos x="0" y="0"/>
                  <wp:positionH relativeFrom="column">
                    <wp:posOffset>0</wp:posOffset>
                  </wp:positionH>
                  <wp:positionV relativeFrom="paragraph">
                    <wp:posOffset>-1729740</wp:posOffset>
                  </wp:positionV>
                  <wp:extent cx="2592070" cy="1943735"/>
                  <wp:effectExtent l="0" t="0" r="17780" b="18415"/>
                  <wp:wrapTopAndBottom/>
                  <wp:docPr id="749364148" name="图片 1"/>
                  <wp:cNvGraphicFramePr/>
                  <a:graphic xmlns:a="http://schemas.openxmlformats.org/drawingml/2006/main">
                    <a:graphicData uri="http://schemas.openxmlformats.org/drawingml/2006/picture">
                      <pic:pic xmlns:pic="http://schemas.openxmlformats.org/drawingml/2006/picture">
                        <pic:nvPicPr>
                          <pic:cNvPr id="749364148" name="图片 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112°38'04.9606"E,26°52'25.2534"N;H:50m</w:t>
            </w:r>
          </w:p>
        </w:tc>
        <w:tc>
          <w:tcPr>
            <w:tcW w:w="4300"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-2 苎麻灌丛</w:t>
      </w:r>
    </w:p>
    <w:p>
      <w:pPr>
        <w:keepNext w:val="0"/>
        <w:keepLines w:val="0"/>
        <w:pageBreakBefore w:val="0"/>
        <w:numPr>
          <w:ilvl w:val="1"/>
          <w:numId w:val="14"/>
        </w:numPr>
        <w:kinsoku/>
        <w:wordWrap/>
        <w:overflowPunct/>
        <w:topLinePunct w:val="0"/>
        <w:autoSpaceDE/>
        <w:autoSpaceDN/>
        <w:bidi w:val="0"/>
        <w:spacing w:line="360" w:lineRule="auto"/>
        <w:ind w:firstLine="482" w:firstLineChars="200"/>
        <w:jc w:val="both"/>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草地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草地是生长草本和灌木植物为主并</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"https://baike.so.com/doc/4878255-5096072.html" \t "https://baike.so.com/doc/_blank"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szCs w:val="24"/>
          <w:highlight w:val="none"/>
        </w:rPr>
        <w:t>适宜</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发展畜牧业生产的土地。它具有特有的生态系统，是一种可持续的自然资源。评价区分布的草地植被为灌草丛植被型，属于温性灌草丛植被亚型。</w:t>
      </w:r>
    </w:p>
    <w:p>
      <w:pPr>
        <w:keepNext w:val="0"/>
        <w:keepLines w:val="0"/>
        <w:pageBreakBefore w:val="0"/>
        <w:widowControl w:val="0"/>
        <w:numPr>
          <w:ilvl w:val="2"/>
          <w:numId w:val="15"/>
        </w:numPr>
        <w:tabs>
          <w:tab w:val="left" w:pos="7425"/>
        </w:tabs>
        <w:kinsoku/>
        <w:wordWrap/>
        <w:overflowPunct/>
        <w:topLinePunct w:val="0"/>
        <w:autoSpaceDE/>
        <w:autoSpaceDN/>
        <w:bidi w:val="0"/>
        <w:adjustRightInd/>
        <w:snapToGrid/>
        <w:spacing w:line="360" w:lineRule="auto"/>
        <w:ind w:firstLine="482" w:firstLineChars="200"/>
        <w:jc w:val="both"/>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灌草丛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灌草丛是在森林植被反复遭到破坏之后，所形成的以中生型或旱中生型多年生草本植物为主，混生一定数量灌木和丛生乔木的次生植被类型。其广泛分布于世界各地的森林地带，群落成分复杂，种类多样。按照其所在地区的热量和大气湿度条件，可分为</w:t>
      </w:r>
      <w:bookmarkStart w:id="93" w:name="_Hlk112291513"/>
      <w:r>
        <w:rPr>
          <w:rFonts w:hint="default" w:ascii="Times New Roman" w:hAnsi="Times New Roman" w:cs="Times New Roman"/>
          <w:color w:val="auto"/>
          <w:sz w:val="24"/>
          <w:szCs w:val="24"/>
          <w:highlight w:val="none"/>
        </w:rPr>
        <w:t>温性灌草丛</w:t>
      </w:r>
      <w:bookmarkEnd w:id="93"/>
      <w:r>
        <w:rPr>
          <w:rFonts w:hint="default" w:ascii="Times New Roman" w:hAnsi="Times New Roman" w:cs="Times New Roman"/>
          <w:color w:val="auto"/>
          <w:sz w:val="24"/>
          <w:szCs w:val="24"/>
          <w:highlight w:val="none"/>
        </w:rPr>
        <w:t>、暖热性灌草丛、热性灌草丛、热性稀树灌草丛四类。评价区分布的灌草丛植被有白茅灌草丛、稗灌草丛、苍耳灌草丛、狗牙根灌草丛、窃衣灌草丛、白车轴草灌草丛、芦竹灌草丛、南苜蓿灌草丛、五节芒灌草丛、野艾蒿灌草丛，均在评价区广泛分布。</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jc w:val="both"/>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白茅灌草丛（Form. </w:t>
      </w:r>
      <w:r>
        <w:rPr>
          <w:rFonts w:hint="default" w:ascii="Times New Roman" w:hAnsi="Times New Roman" w:cs="Times New Roman"/>
          <w:b/>
          <w:i/>
          <w:iCs/>
          <w:color w:val="auto"/>
          <w:sz w:val="24"/>
          <w:szCs w:val="24"/>
          <w:highlight w:val="none"/>
        </w:rPr>
        <w:t>Imperata cylindrica</w:t>
      </w:r>
      <w:r>
        <w:rPr>
          <w:rFonts w:hint="default" w:ascii="Times New Roman" w:hAnsi="Times New Roman" w:cs="Times New Roman"/>
          <w:b/>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白茅（</w:t>
      </w:r>
      <w:r>
        <w:rPr>
          <w:rFonts w:hint="default" w:ascii="Times New Roman" w:hAnsi="Times New Roman" w:cs="Times New Roman"/>
          <w:i/>
          <w:iCs/>
          <w:color w:val="auto"/>
          <w:sz w:val="24"/>
          <w:szCs w:val="24"/>
          <w:highlight w:val="none"/>
        </w:rPr>
        <w:t>Imperata cylindrica</w:t>
      </w:r>
      <w:r>
        <w:rPr>
          <w:rFonts w:hint="default" w:ascii="Times New Roman" w:hAnsi="Times New Roman" w:cs="Times New Roman"/>
          <w:color w:val="auto"/>
          <w:sz w:val="24"/>
          <w:szCs w:val="24"/>
          <w:highlight w:val="none"/>
        </w:rPr>
        <w:t>）属禾本科白茅属多年生草本，具粗壮的长根状茎，秆直立，叶鞘聚集于秆基，甚长于其节间，质地较厚，老后破碎呈纤维状；叶舌膜质，秆生叶片窄线形，通常内卷，顶端渐尖呈刺状，下部渐窄，或具柄，质硬，被有白粉，基部上面具柔毛。圆锥花序稠密；颖果椭圆形。白茅常生于低山带平原河岸草地、沙质草甸、荒漠与海滨。白茅灌草丛在评价区龙家坪附近荒地广泛分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草本层层高0.6m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0.7m，盖度75%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86%，优势种为白茅，高0.7m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0.8m，盖度75%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85%，常见伴生种有龙牙草（</w:t>
      </w:r>
      <w:r>
        <w:rPr>
          <w:rFonts w:hint="default" w:ascii="Times New Roman" w:hAnsi="Times New Roman" w:cs="Times New Roman"/>
          <w:i/>
          <w:iCs/>
          <w:color w:val="auto"/>
          <w:sz w:val="24"/>
          <w:szCs w:val="24"/>
          <w:highlight w:val="none"/>
        </w:rPr>
        <w:t>Agrimonia pilosa</w:t>
      </w:r>
      <w:r>
        <w:rPr>
          <w:rFonts w:hint="default" w:ascii="Times New Roman" w:hAnsi="Times New Roman" w:cs="Times New Roman"/>
          <w:color w:val="auto"/>
          <w:sz w:val="24"/>
          <w:szCs w:val="24"/>
          <w:highlight w:val="none"/>
        </w:rPr>
        <w:t>）、小苜蓿（</w:t>
      </w:r>
      <w:r>
        <w:rPr>
          <w:rFonts w:hint="default" w:ascii="Times New Roman" w:hAnsi="Times New Roman" w:cs="Times New Roman"/>
          <w:i/>
          <w:iCs/>
          <w:color w:val="auto"/>
          <w:sz w:val="24"/>
          <w:szCs w:val="24"/>
          <w:highlight w:val="none"/>
        </w:rPr>
        <w:t>Medicago minima</w:t>
      </w:r>
      <w:r>
        <w:rPr>
          <w:rFonts w:hint="default" w:ascii="Times New Roman" w:hAnsi="Times New Roman" w:cs="Times New Roman"/>
          <w:color w:val="auto"/>
          <w:sz w:val="24"/>
          <w:szCs w:val="24"/>
          <w:highlight w:val="none"/>
        </w:rPr>
        <w:t>）、车前（</w:t>
      </w:r>
      <w:r>
        <w:rPr>
          <w:rFonts w:hint="default" w:ascii="Times New Roman" w:hAnsi="Times New Roman" w:cs="Times New Roman"/>
          <w:i/>
          <w:iCs/>
          <w:color w:val="auto"/>
          <w:sz w:val="24"/>
          <w:szCs w:val="24"/>
          <w:highlight w:val="none"/>
        </w:rPr>
        <w:t>Plantago asiatica</w:t>
      </w:r>
      <w:r>
        <w:rPr>
          <w:rFonts w:hint="default" w:ascii="Times New Roman" w:hAnsi="Times New Roman" w:cs="Times New Roman"/>
          <w:color w:val="auto"/>
          <w:sz w:val="24"/>
          <w:szCs w:val="24"/>
          <w:highlight w:val="none"/>
        </w:rPr>
        <w:t>）、黄花蒿（</w:t>
      </w:r>
      <w:r>
        <w:rPr>
          <w:rFonts w:hint="default" w:ascii="Times New Roman" w:hAnsi="Times New Roman" w:cs="Times New Roman"/>
          <w:i/>
          <w:iCs/>
          <w:color w:val="auto"/>
          <w:sz w:val="24"/>
          <w:szCs w:val="24"/>
          <w:highlight w:val="none"/>
        </w:rPr>
        <w:t>Artemisia annua</w:t>
      </w:r>
      <w:r>
        <w:rPr>
          <w:rFonts w:hint="default" w:ascii="Times New Roman" w:hAnsi="Times New Roman" w:cs="Times New Roman"/>
          <w:color w:val="auto"/>
          <w:sz w:val="24"/>
          <w:szCs w:val="24"/>
          <w:highlight w:val="none"/>
        </w:rPr>
        <w:t>）等。</w:t>
      </w:r>
    </w:p>
    <w:tbl>
      <w:tblPr>
        <w:tblStyle w:val="23"/>
        <w:tblW w:w="895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76"/>
        <w:gridCol w:w="44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4476"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92032" behindDoc="0" locked="0" layoutInCell="1" allowOverlap="1">
                  <wp:simplePos x="0" y="0"/>
                  <wp:positionH relativeFrom="column">
                    <wp:posOffset>0</wp:posOffset>
                  </wp:positionH>
                  <wp:positionV relativeFrom="paragraph">
                    <wp:posOffset>-1729105</wp:posOffset>
                  </wp:positionV>
                  <wp:extent cx="2592070" cy="1943735"/>
                  <wp:effectExtent l="0" t="0" r="17780" b="18415"/>
                  <wp:wrapTopAndBottom/>
                  <wp:docPr id="1888335719" name="图片 1"/>
                  <wp:cNvGraphicFramePr/>
                  <a:graphic xmlns:a="http://schemas.openxmlformats.org/drawingml/2006/main">
                    <a:graphicData uri="http://schemas.openxmlformats.org/drawingml/2006/picture">
                      <pic:pic xmlns:pic="http://schemas.openxmlformats.org/drawingml/2006/picture">
                        <pic:nvPicPr>
                          <pic:cNvPr id="1888335719" name="图片 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112°37'27.2251"E,26°52'37.1308"N;H:58m</w:t>
            </w:r>
          </w:p>
        </w:tc>
        <w:tc>
          <w:tcPr>
            <w:tcW w:w="4476"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91008" behindDoc="0" locked="0" layoutInCell="1" allowOverlap="1">
                  <wp:simplePos x="0" y="0"/>
                  <wp:positionH relativeFrom="column">
                    <wp:posOffset>-635</wp:posOffset>
                  </wp:positionH>
                  <wp:positionV relativeFrom="paragraph">
                    <wp:posOffset>-1729105</wp:posOffset>
                  </wp:positionV>
                  <wp:extent cx="2592070" cy="1943735"/>
                  <wp:effectExtent l="0" t="0" r="17780" b="18415"/>
                  <wp:wrapTopAndBottom/>
                  <wp:docPr id="459439320" name="图片 1"/>
                  <wp:cNvGraphicFramePr/>
                  <a:graphic xmlns:a="http://schemas.openxmlformats.org/drawingml/2006/main">
                    <a:graphicData uri="http://schemas.openxmlformats.org/drawingml/2006/picture">
                      <pic:pic xmlns:pic="http://schemas.openxmlformats.org/drawingml/2006/picture">
                        <pic:nvPicPr>
                          <pic:cNvPr id="459439320" name="图片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112°37'23.9710"E,26°52'38.0782"N;H:51m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4476"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89984" behindDoc="0" locked="0" layoutInCell="1" allowOverlap="1">
                  <wp:simplePos x="0" y="0"/>
                  <wp:positionH relativeFrom="column">
                    <wp:posOffset>0</wp:posOffset>
                  </wp:positionH>
                  <wp:positionV relativeFrom="paragraph">
                    <wp:posOffset>-1731010</wp:posOffset>
                  </wp:positionV>
                  <wp:extent cx="2592070" cy="1943735"/>
                  <wp:effectExtent l="0" t="0" r="17780" b="18415"/>
                  <wp:wrapTopAndBottom/>
                  <wp:docPr id="1047914543" name="图片 1"/>
                  <wp:cNvGraphicFramePr/>
                  <a:graphic xmlns:a="http://schemas.openxmlformats.org/drawingml/2006/main">
                    <a:graphicData uri="http://schemas.openxmlformats.org/drawingml/2006/picture">
                      <pic:pic xmlns:pic="http://schemas.openxmlformats.org/drawingml/2006/picture">
                        <pic:nvPicPr>
                          <pic:cNvPr id="1047914543" name="图片 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112°38'21.9647"E,26°52'20.4817"N;H:53m</w:t>
            </w:r>
          </w:p>
        </w:tc>
        <w:tc>
          <w:tcPr>
            <w:tcW w:w="4476"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-3 白茅灌草丛</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稗灌草丛（Form. </w:t>
      </w:r>
      <w:r>
        <w:rPr>
          <w:rFonts w:hint="default" w:ascii="Times New Roman" w:hAnsi="Times New Roman" w:cs="Times New Roman"/>
          <w:b/>
          <w:i/>
          <w:iCs/>
          <w:color w:val="auto"/>
          <w:sz w:val="24"/>
          <w:szCs w:val="24"/>
          <w:highlight w:val="none"/>
        </w:rPr>
        <w:t>Echinochloa crus-galli</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稗（</w:t>
      </w:r>
      <w:r>
        <w:rPr>
          <w:rFonts w:hint="default" w:ascii="Times New Roman" w:hAnsi="Times New Roman" w:cs="Times New Roman"/>
          <w:i/>
          <w:iCs/>
          <w:color w:val="auto"/>
          <w:sz w:val="24"/>
          <w:szCs w:val="24"/>
          <w:highlight w:val="none"/>
        </w:rPr>
        <w:t>Echinochloa crus-galli</w:t>
      </w:r>
      <w:r>
        <w:rPr>
          <w:rFonts w:hint="default" w:ascii="Times New Roman" w:hAnsi="Times New Roman" w:cs="Times New Roman"/>
          <w:color w:val="auto"/>
          <w:sz w:val="24"/>
          <w:szCs w:val="24"/>
          <w:highlight w:val="none"/>
        </w:rPr>
        <w:t>）属禾本科稗属一年生草本。秆光滑无毛，基部倾斜或膝曲；叶鞘疏松裹秆，平滑无毛，下部者长于而上部者短于节间；叶片扁平，线形，无毛，边缘粗糙。圆锥花序直立，近尖塔形。稗分布遍及全国，多生于沼泽地、沟边及水稻田中。稗灌草丛在评价区江边分布广泛。</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草本层层高0.4m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0.5m，盖度45%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60%，优势种为稗，高0.3m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0.5m，盖度约55%，常见伴生种有窃衣（</w:t>
      </w:r>
      <w:r>
        <w:rPr>
          <w:rFonts w:hint="default" w:ascii="Times New Roman" w:hAnsi="Times New Roman" w:cs="Times New Roman"/>
          <w:i/>
          <w:iCs/>
          <w:color w:val="auto"/>
          <w:sz w:val="24"/>
          <w:szCs w:val="24"/>
          <w:highlight w:val="none"/>
        </w:rPr>
        <w:t>Torilis scabra</w:t>
      </w:r>
      <w:r>
        <w:rPr>
          <w:rFonts w:hint="default" w:ascii="Times New Roman" w:hAnsi="Times New Roman" w:cs="Times New Roman"/>
          <w:color w:val="auto"/>
          <w:sz w:val="24"/>
          <w:szCs w:val="24"/>
          <w:highlight w:val="none"/>
        </w:rPr>
        <w:t>）、车前、黄花蒿等。</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87936" behindDoc="0" locked="0" layoutInCell="1" allowOverlap="1">
                  <wp:simplePos x="0" y="0"/>
                  <wp:positionH relativeFrom="column">
                    <wp:posOffset>0</wp:posOffset>
                  </wp:positionH>
                  <wp:positionV relativeFrom="paragraph">
                    <wp:posOffset>-1730375</wp:posOffset>
                  </wp:positionV>
                  <wp:extent cx="2592070" cy="1943735"/>
                  <wp:effectExtent l="0" t="0" r="17780" b="18415"/>
                  <wp:wrapTopAndBottom/>
                  <wp:docPr id="1157533406" name="图片 1"/>
                  <wp:cNvGraphicFramePr/>
                  <a:graphic xmlns:a="http://schemas.openxmlformats.org/drawingml/2006/main">
                    <a:graphicData uri="http://schemas.openxmlformats.org/drawingml/2006/picture">
                      <pic:pic xmlns:pic="http://schemas.openxmlformats.org/drawingml/2006/picture">
                        <pic:nvPicPr>
                          <pic:cNvPr id="1157533406" name="图片 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112°37'30.4309"E,26°52'35.6838"N;H:52m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86912" behindDoc="0" locked="0" layoutInCell="1" allowOverlap="1">
                  <wp:simplePos x="0" y="0"/>
                  <wp:positionH relativeFrom="column">
                    <wp:posOffset>635</wp:posOffset>
                  </wp:positionH>
                  <wp:positionV relativeFrom="paragraph">
                    <wp:posOffset>-1730375</wp:posOffset>
                  </wp:positionV>
                  <wp:extent cx="2592070" cy="1943735"/>
                  <wp:effectExtent l="0" t="0" r="17780" b="18415"/>
                  <wp:wrapTopAndBottom/>
                  <wp:docPr id="1077494780" name="图片 1"/>
                  <wp:cNvGraphicFramePr/>
                  <a:graphic xmlns:a="http://schemas.openxmlformats.org/drawingml/2006/main">
                    <a:graphicData uri="http://schemas.openxmlformats.org/drawingml/2006/picture">
                      <pic:pic xmlns:pic="http://schemas.openxmlformats.org/drawingml/2006/picture">
                        <pic:nvPicPr>
                          <pic:cNvPr id="1077494780" name="图片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112°37'23.6427"E,26°52'38.4571"N;H:52m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88960" behindDoc="0" locked="0" layoutInCell="1" allowOverlap="1">
                  <wp:simplePos x="0" y="0"/>
                  <wp:positionH relativeFrom="column">
                    <wp:posOffset>0</wp:posOffset>
                  </wp:positionH>
                  <wp:positionV relativeFrom="paragraph">
                    <wp:posOffset>-1730375</wp:posOffset>
                  </wp:positionV>
                  <wp:extent cx="2592070" cy="1943735"/>
                  <wp:effectExtent l="0" t="0" r="17780" b="18415"/>
                  <wp:wrapTopAndBottom/>
                  <wp:docPr id="283009586" name="图片 1"/>
                  <wp:cNvGraphicFramePr/>
                  <a:graphic xmlns:a="http://schemas.openxmlformats.org/drawingml/2006/main">
                    <a:graphicData uri="http://schemas.openxmlformats.org/drawingml/2006/picture">
                      <pic:pic xmlns:pic="http://schemas.openxmlformats.org/drawingml/2006/picture">
                        <pic:nvPicPr>
                          <pic:cNvPr id="283009586" name="图片 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112°37'30.8171"E,26°52'27.5789"N;H:51m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98176" behindDoc="0" locked="0" layoutInCell="1" allowOverlap="1">
                  <wp:simplePos x="0" y="0"/>
                  <wp:positionH relativeFrom="column">
                    <wp:posOffset>-13970</wp:posOffset>
                  </wp:positionH>
                  <wp:positionV relativeFrom="paragraph">
                    <wp:posOffset>-6985</wp:posOffset>
                  </wp:positionV>
                  <wp:extent cx="2591435" cy="1943735"/>
                  <wp:effectExtent l="0" t="0" r="18415" b="18415"/>
                  <wp:wrapTopAndBottom/>
                  <wp:docPr id="434018039" name="图片 1"/>
                  <wp:cNvGraphicFramePr/>
                  <a:graphic xmlns:a="http://schemas.openxmlformats.org/drawingml/2006/main">
                    <a:graphicData uri="http://schemas.openxmlformats.org/drawingml/2006/picture">
                      <pic:pic xmlns:pic="http://schemas.openxmlformats.org/drawingml/2006/picture">
                        <pic:nvPicPr>
                          <pic:cNvPr id="434018039" name="图片 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91435" cy="1943735"/>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112°38'02.6045"E,26°52'19.2327"N;H:54m</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-4 稗灌草丛</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苍耳灌草丛（Form. </w:t>
      </w:r>
      <w:r>
        <w:rPr>
          <w:rFonts w:hint="default" w:ascii="Times New Roman" w:hAnsi="Times New Roman" w:cs="Times New Roman"/>
          <w:b/>
          <w:i/>
          <w:iCs/>
          <w:color w:val="auto"/>
          <w:sz w:val="24"/>
          <w:szCs w:val="24"/>
          <w:highlight w:val="none"/>
        </w:rPr>
        <w:t>Xanthium strumarium</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苍耳（</w:t>
      </w:r>
      <w:r>
        <w:rPr>
          <w:rFonts w:hint="default" w:ascii="Times New Roman" w:hAnsi="Times New Roman" w:cs="Times New Roman"/>
          <w:i/>
          <w:iCs/>
          <w:color w:val="auto"/>
          <w:sz w:val="24"/>
          <w:szCs w:val="24"/>
          <w:highlight w:val="none"/>
        </w:rPr>
        <w:t>Xanthium strumarium</w:t>
      </w:r>
      <w:r>
        <w:rPr>
          <w:rFonts w:hint="default" w:ascii="Times New Roman" w:hAnsi="Times New Roman" w:cs="Times New Roman"/>
          <w:color w:val="auto"/>
          <w:sz w:val="24"/>
          <w:szCs w:val="24"/>
          <w:highlight w:val="none"/>
        </w:rPr>
        <w:t>）属菊科苍耳属一年生草本，根纺锤状，分枝或不分枝；茎直立不枝或少有分枝，下部圆柱形，被灰白色糙伏毛。叶三角状卵形或心形，，近全缘，或有3-5不明显浅裂；雄性头状花序球形，雌性的头状花序椭圆形；瘦果2，倒卵形。苍耳在我国广泛分布于东北、华北、华东、华南、西北及西南各省区，常生长于平原、丘陵、低山、荒野路边、田边。苍耳灌草丛在评价区荒地附近零散分布。</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草本层层高0.3m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0.5m，盖度65%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80%，优势种为苍耳，高0.6m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0.6m，盖度65%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75%，常见伴生种有龙牙草、黄花蒿、野菊等。</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85888" behindDoc="0" locked="0" layoutInCell="1" allowOverlap="1">
                  <wp:simplePos x="0" y="0"/>
                  <wp:positionH relativeFrom="column">
                    <wp:posOffset>0</wp:posOffset>
                  </wp:positionH>
                  <wp:positionV relativeFrom="paragraph">
                    <wp:posOffset>-1732280</wp:posOffset>
                  </wp:positionV>
                  <wp:extent cx="2592070" cy="1943735"/>
                  <wp:effectExtent l="0" t="0" r="17780" b="18415"/>
                  <wp:wrapTopAndBottom/>
                  <wp:docPr id="1491329459" name="图片 1"/>
                  <wp:cNvGraphicFramePr/>
                  <a:graphic xmlns:a="http://schemas.openxmlformats.org/drawingml/2006/main">
                    <a:graphicData uri="http://schemas.openxmlformats.org/drawingml/2006/picture">
                      <pic:pic xmlns:pic="http://schemas.openxmlformats.org/drawingml/2006/picture">
                        <pic:nvPicPr>
                          <pic:cNvPr id="1491329459" name="图片 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112°37'27.1768"E,26°52'29.6461"N;H:51m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84864" behindDoc="0" locked="0" layoutInCell="1" allowOverlap="1">
                  <wp:simplePos x="0" y="0"/>
                  <wp:positionH relativeFrom="column">
                    <wp:posOffset>635</wp:posOffset>
                  </wp:positionH>
                  <wp:positionV relativeFrom="paragraph">
                    <wp:posOffset>-1732280</wp:posOffset>
                  </wp:positionV>
                  <wp:extent cx="2592070" cy="1943735"/>
                  <wp:effectExtent l="0" t="0" r="17780" b="18415"/>
                  <wp:wrapTopAndBottom/>
                  <wp:docPr id="2060926829" name="图片 1"/>
                  <wp:cNvGraphicFramePr/>
                  <a:graphic xmlns:a="http://schemas.openxmlformats.org/drawingml/2006/main">
                    <a:graphicData uri="http://schemas.openxmlformats.org/drawingml/2006/picture">
                      <pic:pic xmlns:pic="http://schemas.openxmlformats.org/drawingml/2006/picture">
                        <pic:nvPicPr>
                          <pic:cNvPr id="2060926829" name="图片 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112°37'12.5674"E,26°52'37.3805"N;H:52m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83840" behindDoc="0" locked="0" layoutInCell="1" allowOverlap="1">
                  <wp:simplePos x="0" y="0"/>
                  <wp:positionH relativeFrom="column">
                    <wp:posOffset>0</wp:posOffset>
                  </wp:positionH>
                  <wp:positionV relativeFrom="paragraph">
                    <wp:posOffset>-1729105</wp:posOffset>
                  </wp:positionV>
                  <wp:extent cx="2592070" cy="1943735"/>
                  <wp:effectExtent l="0" t="0" r="17780" b="18415"/>
                  <wp:wrapTopAndBottom/>
                  <wp:docPr id="937692143" name="图片 1"/>
                  <wp:cNvGraphicFramePr/>
                  <a:graphic xmlns:a="http://schemas.openxmlformats.org/drawingml/2006/main">
                    <a:graphicData uri="http://schemas.openxmlformats.org/drawingml/2006/picture">
                      <pic:pic xmlns:pic="http://schemas.openxmlformats.org/drawingml/2006/picture">
                        <pic:nvPicPr>
                          <pic:cNvPr id="937692143" name="图片 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112°37'10.7134"E,26°52'38.1643"N;H:56m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-5 苍耳灌草丛</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狗牙根灌草丛（Form. </w:t>
      </w:r>
      <w:r>
        <w:rPr>
          <w:rFonts w:hint="default" w:ascii="Times New Roman" w:hAnsi="Times New Roman" w:cs="Times New Roman"/>
          <w:b/>
          <w:i/>
          <w:iCs/>
          <w:color w:val="auto"/>
          <w:sz w:val="24"/>
          <w:szCs w:val="24"/>
          <w:highlight w:val="none"/>
        </w:rPr>
        <w:t>Cynodon dactylon</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狗牙根（</w:t>
      </w:r>
      <w:r>
        <w:rPr>
          <w:rFonts w:hint="default" w:ascii="Times New Roman" w:hAnsi="Times New Roman" w:cs="Times New Roman"/>
          <w:i/>
          <w:iCs/>
          <w:color w:val="auto"/>
          <w:sz w:val="24"/>
          <w:szCs w:val="24"/>
          <w:highlight w:val="none"/>
        </w:rPr>
        <w:t>Cynodon dactylon</w:t>
      </w:r>
      <w:r>
        <w:rPr>
          <w:rFonts w:hint="default" w:ascii="Times New Roman" w:hAnsi="Times New Roman" w:cs="Times New Roman"/>
          <w:color w:val="auto"/>
          <w:sz w:val="24"/>
          <w:szCs w:val="24"/>
          <w:highlight w:val="none"/>
        </w:rPr>
        <w:t>）属禾本科狗牙根属低矮草本，具根茎；秆细而坚韧，下部匍匐地面蔓延甚长，节上常生不定根，秆壁厚，光滑无毛，有时略两侧压扁；叶鞘微具脊，无毛或有疏柔毛，鞘口常具柔毛；叶舌仅为一轮纤毛；叶片线形；穗状花序，小穗灰绿色或带紫色；颖果长圆柱形。狗牙根广布于我国黄河以南各省，多生长于村庄附近、道旁河岸、荒地山坡。狗牙根灌草丛在评价区江边分布较为广泛。</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草本层层高0.1m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0.2m，盖度65%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85%，优势种为狗牙根，高0.1m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0.2m，盖度65%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85%，常见伴生种有车前、稗、黄花蒿等。</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82816" behindDoc="0" locked="0" layoutInCell="1" allowOverlap="1">
                  <wp:simplePos x="0" y="0"/>
                  <wp:positionH relativeFrom="column">
                    <wp:posOffset>-1270</wp:posOffset>
                  </wp:positionH>
                  <wp:positionV relativeFrom="paragraph">
                    <wp:posOffset>-4445</wp:posOffset>
                  </wp:positionV>
                  <wp:extent cx="2592070" cy="1943735"/>
                  <wp:effectExtent l="0" t="0" r="17780" b="18415"/>
                  <wp:wrapTopAndBottom/>
                  <wp:docPr id="1038255377" name="图片 1"/>
                  <wp:cNvGraphicFramePr/>
                  <a:graphic xmlns:a="http://schemas.openxmlformats.org/drawingml/2006/main">
                    <a:graphicData uri="http://schemas.openxmlformats.org/drawingml/2006/picture">
                      <pic:pic xmlns:pic="http://schemas.openxmlformats.org/drawingml/2006/picture">
                        <pic:nvPicPr>
                          <pic:cNvPr id="1038255377" name="图片 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112°37'27.7079"E,26°52'36.9241"N;H:51m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81792" behindDoc="0" locked="0" layoutInCell="1" allowOverlap="1">
                  <wp:simplePos x="0" y="0"/>
                  <wp:positionH relativeFrom="column">
                    <wp:posOffset>635</wp:posOffset>
                  </wp:positionH>
                  <wp:positionV relativeFrom="paragraph">
                    <wp:posOffset>-1730375</wp:posOffset>
                  </wp:positionV>
                  <wp:extent cx="2592070" cy="1943735"/>
                  <wp:effectExtent l="0" t="0" r="17780" b="18415"/>
                  <wp:wrapTopAndBottom/>
                  <wp:docPr id="1125278073" name="图片 1"/>
                  <wp:cNvGraphicFramePr/>
                  <a:graphic xmlns:a="http://schemas.openxmlformats.org/drawingml/2006/main">
                    <a:graphicData uri="http://schemas.openxmlformats.org/drawingml/2006/picture">
                      <pic:pic xmlns:pic="http://schemas.openxmlformats.org/drawingml/2006/picture">
                        <pic:nvPicPr>
                          <pic:cNvPr id="1125278073" name="图片 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112°37'23.7296"E,26°52'40.0764"N;H:57m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80768" behindDoc="0" locked="0" layoutInCell="1" allowOverlap="1">
                  <wp:simplePos x="0" y="0"/>
                  <wp:positionH relativeFrom="column">
                    <wp:posOffset>0</wp:posOffset>
                  </wp:positionH>
                  <wp:positionV relativeFrom="paragraph">
                    <wp:posOffset>-1731645</wp:posOffset>
                  </wp:positionV>
                  <wp:extent cx="2592070" cy="1943735"/>
                  <wp:effectExtent l="0" t="0" r="17780" b="18415"/>
                  <wp:wrapTopAndBottom/>
                  <wp:docPr id="554154591" name="图片 1"/>
                  <wp:cNvGraphicFramePr/>
                  <a:graphic xmlns:a="http://schemas.openxmlformats.org/drawingml/2006/main">
                    <a:graphicData uri="http://schemas.openxmlformats.org/drawingml/2006/picture">
                      <pic:pic xmlns:pic="http://schemas.openxmlformats.org/drawingml/2006/picture">
                        <pic:nvPicPr>
                          <pic:cNvPr id="554154591" name="图片 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112°37'25.1877"E,26°52'38.2849"N;H:54m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79744" behindDoc="0" locked="0" layoutInCell="1" allowOverlap="1">
                  <wp:simplePos x="0" y="0"/>
                  <wp:positionH relativeFrom="column">
                    <wp:posOffset>635</wp:posOffset>
                  </wp:positionH>
                  <wp:positionV relativeFrom="paragraph">
                    <wp:posOffset>-1731645</wp:posOffset>
                  </wp:positionV>
                  <wp:extent cx="2592070" cy="1943735"/>
                  <wp:effectExtent l="0" t="0" r="17780" b="18415"/>
                  <wp:wrapTopAndBottom/>
                  <wp:docPr id="40394301" name="图片 1"/>
                  <wp:cNvGraphicFramePr/>
                  <a:graphic xmlns:a="http://schemas.openxmlformats.org/drawingml/2006/main">
                    <a:graphicData uri="http://schemas.openxmlformats.org/drawingml/2006/picture">
                      <pic:pic xmlns:pic="http://schemas.openxmlformats.org/drawingml/2006/picture">
                        <pic:nvPicPr>
                          <pic:cNvPr id="40394301" name="图片 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112°37'26.7133"E,26°52'29.9906"N;H:52m</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-6 狗牙根灌草丛</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窃衣灌草丛（Form. </w:t>
      </w:r>
      <w:r>
        <w:rPr>
          <w:rFonts w:hint="default" w:ascii="Times New Roman" w:hAnsi="Times New Roman" w:cs="Times New Roman"/>
          <w:b/>
          <w:i/>
          <w:iCs/>
          <w:color w:val="auto"/>
          <w:sz w:val="24"/>
          <w:szCs w:val="24"/>
          <w:highlight w:val="none"/>
        </w:rPr>
        <w:t>Torilis scabra</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窃衣属菊科窃衣属一年或多年生草本；全体有贴生短硬毛，茎上部分枝；叶卵形：回羽状分裂，小叶窄披针形或卵形，先端渐尖，有缺刻状锯齿或分裂；伞形花序有花3-10；花白或带淡紫色，花瓣被平伏毛；果实长圆形。窃衣在我</w:t>
      </w:r>
      <w:r>
        <w:rPr>
          <w:rFonts w:hint="eastAsia" w:cs="Times New Roman"/>
          <w:color w:val="auto"/>
          <w:sz w:val="24"/>
          <w:szCs w:val="24"/>
          <w:highlight w:val="none"/>
          <w:lang w:eastAsia="zh-CN"/>
        </w:rPr>
        <w:t>国</w:t>
      </w:r>
      <w:r>
        <w:rPr>
          <w:rFonts w:hint="default" w:ascii="Times New Roman" w:hAnsi="Times New Roman" w:cs="Times New Roman"/>
          <w:color w:val="auto"/>
          <w:sz w:val="24"/>
          <w:szCs w:val="24"/>
          <w:highlight w:val="none"/>
        </w:rPr>
        <w:t>主要分布于安徽、江苏、浙江、江西、福建、湖北、湖南、广东、广西、四川、贵州、陕西、甘肃等省区，常生于山坡、林下、路旁、河边及空旷草地上。窃衣灌草丛在评价区江边分布较为广泛。</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草本层层高约0.1m，盖度约85%，优势种为窃衣，高0.1m，盖度60%</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85%，常见伴生种有野艾蒿、四叶葎（</w:t>
      </w:r>
      <w:r>
        <w:rPr>
          <w:rFonts w:hint="default" w:ascii="Times New Roman" w:hAnsi="Times New Roman" w:cs="Times New Roman"/>
          <w:i/>
          <w:iCs/>
          <w:color w:val="auto"/>
          <w:sz w:val="24"/>
          <w:szCs w:val="24"/>
          <w:highlight w:val="none"/>
        </w:rPr>
        <w:t>Galium bungei</w:t>
      </w:r>
      <w:r>
        <w:rPr>
          <w:rFonts w:hint="default" w:ascii="Times New Roman" w:hAnsi="Times New Roman" w:cs="Times New Roman"/>
          <w:color w:val="auto"/>
          <w:sz w:val="24"/>
          <w:szCs w:val="24"/>
          <w:highlight w:val="none"/>
        </w:rPr>
        <w:t>）、一年蓬（</w:t>
      </w:r>
      <w:r>
        <w:rPr>
          <w:rFonts w:hint="default" w:ascii="Times New Roman" w:hAnsi="Times New Roman" w:cs="Times New Roman"/>
          <w:i/>
          <w:iCs/>
          <w:color w:val="auto"/>
          <w:sz w:val="24"/>
          <w:szCs w:val="24"/>
          <w:highlight w:val="none"/>
        </w:rPr>
        <w:t>Erigeron annuus</w:t>
      </w:r>
      <w:r>
        <w:rPr>
          <w:rFonts w:hint="default" w:ascii="Times New Roman" w:hAnsi="Times New Roman" w:cs="Times New Roman"/>
          <w:color w:val="auto"/>
          <w:sz w:val="24"/>
          <w:szCs w:val="24"/>
          <w:highlight w:val="none"/>
        </w:rPr>
        <w:t>）、细风轮菜（</w:t>
      </w:r>
      <w:r>
        <w:rPr>
          <w:rFonts w:hint="default" w:ascii="Times New Roman" w:hAnsi="Times New Roman" w:cs="Times New Roman"/>
          <w:i/>
          <w:iCs/>
          <w:color w:val="auto"/>
          <w:sz w:val="24"/>
          <w:szCs w:val="24"/>
          <w:highlight w:val="none"/>
        </w:rPr>
        <w:t>Clinopodium gracile</w:t>
      </w:r>
      <w:r>
        <w:rPr>
          <w:rFonts w:hint="default" w:ascii="Times New Roman" w:hAnsi="Times New Roman" w:cs="Times New Roman"/>
          <w:color w:val="auto"/>
          <w:sz w:val="24"/>
          <w:szCs w:val="24"/>
          <w:highlight w:val="none"/>
        </w:rPr>
        <w:t>）等。</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77696" behindDoc="0" locked="0" layoutInCell="1" allowOverlap="1">
                  <wp:simplePos x="0" y="0"/>
                  <wp:positionH relativeFrom="column">
                    <wp:posOffset>0</wp:posOffset>
                  </wp:positionH>
                  <wp:positionV relativeFrom="paragraph">
                    <wp:posOffset>-1728470</wp:posOffset>
                  </wp:positionV>
                  <wp:extent cx="2592070" cy="1943735"/>
                  <wp:effectExtent l="0" t="0" r="17780" b="18415"/>
                  <wp:wrapTopAndBottom/>
                  <wp:docPr id="594517521" name="图片 1"/>
                  <wp:cNvGraphicFramePr/>
                  <a:graphic xmlns:a="http://schemas.openxmlformats.org/drawingml/2006/main">
                    <a:graphicData uri="http://schemas.openxmlformats.org/drawingml/2006/picture">
                      <pic:pic xmlns:pic="http://schemas.openxmlformats.org/drawingml/2006/picture">
                        <pic:nvPicPr>
                          <pic:cNvPr id="594517521" name="图片 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112°37'29.1370"E,26°52'36.2178"N;H:53m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76672" behindDoc="0" locked="0" layoutInCell="1" allowOverlap="1">
                  <wp:simplePos x="0" y="0"/>
                  <wp:positionH relativeFrom="column">
                    <wp:posOffset>635</wp:posOffset>
                  </wp:positionH>
                  <wp:positionV relativeFrom="paragraph">
                    <wp:posOffset>-1728470</wp:posOffset>
                  </wp:positionV>
                  <wp:extent cx="2592070" cy="1943735"/>
                  <wp:effectExtent l="0" t="0" r="17780" b="18415"/>
                  <wp:wrapTopAndBottom/>
                  <wp:docPr id="315424995" name="图片 1"/>
                  <wp:cNvGraphicFramePr/>
                  <a:graphic xmlns:a="http://schemas.openxmlformats.org/drawingml/2006/main">
                    <a:graphicData uri="http://schemas.openxmlformats.org/drawingml/2006/picture">
                      <pic:pic xmlns:pic="http://schemas.openxmlformats.org/drawingml/2006/picture">
                        <pic:nvPicPr>
                          <pic:cNvPr id="315424995" name="图片 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112°37'24.6952"E,26°52'39.1634"N;H:56m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78720" behindDoc="0" locked="0" layoutInCell="1" allowOverlap="1">
                  <wp:simplePos x="0" y="0"/>
                  <wp:positionH relativeFrom="column">
                    <wp:posOffset>0</wp:posOffset>
                  </wp:positionH>
                  <wp:positionV relativeFrom="paragraph">
                    <wp:posOffset>-1730375</wp:posOffset>
                  </wp:positionV>
                  <wp:extent cx="2592070" cy="1943735"/>
                  <wp:effectExtent l="0" t="0" r="17780" b="18415"/>
                  <wp:wrapTopAndBottom/>
                  <wp:docPr id="1587812049" name="图片 1"/>
                  <wp:cNvGraphicFramePr/>
                  <a:graphic xmlns:a="http://schemas.openxmlformats.org/drawingml/2006/main">
                    <a:graphicData uri="http://schemas.openxmlformats.org/drawingml/2006/picture">
                      <pic:pic xmlns:pic="http://schemas.openxmlformats.org/drawingml/2006/picture">
                        <pic:nvPicPr>
                          <pic:cNvPr id="1587812049" name="图片 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112°37'23.8938"E,26°52'39.8783"N;H:50m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75648" behindDoc="0" locked="0" layoutInCell="1" allowOverlap="1">
                  <wp:simplePos x="0" y="0"/>
                  <wp:positionH relativeFrom="column">
                    <wp:posOffset>635</wp:posOffset>
                  </wp:positionH>
                  <wp:positionV relativeFrom="paragraph">
                    <wp:posOffset>-1729740</wp:posOffset>
                  </wp:positionV>
                  <wp:extent cx="2592070" cy="1943735"/>
                  <wp:effectExtent l="0" t="0" r="17780" b="18415"/>
                  <wp:wrapTopAndBottom/>
                  <wp:docPr id="221068487" name="图片 1"/>
                  <wp:cNvGraphicFramePr/>
                  <a:graphic xmlns:a="http://schemas.openxmlformats.org/drawingml/2006/main">
                    <a:graphicData uri="http://schemas.openxmlformats.org/drawingml/2006/picture">
                      <pic:pic xmlns:pic="http://schemas.openxmlformats.org/drawingml/2006/picture">
                        <pic:nvPicPr>
                          <pic:cNvPr id="221068487" name="图片 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112°37'25.1298"E,26°52'38.4916"N;H:54m</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-7 窃衣灌草丛</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白车轴草灌草丛（Form. </w:t>
      </w:r>
      <w:r>
        <w:rPr>
          <w:rFonts w:hint="default" w:ascii="Times New Roman" w:hAnsi="Times New Roman" w:cs="Times New Roman"/>
          <w:b/>
          <w:i/>
          <w:iCs/>
          <w:color w:val="auto"/>
          <w:sz w:val="24"/>
          <w:szCs w:val="24"/>
          <w:highlight w:val="none"/>
        </w:rPr>
        <w:t>Trifolium repens</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白车轴草（</w:t>
      </w:r>
      <w:r>
        <w:rPr>
          <w:rFonts w:hint="default" w:ascii="Times New Roman" w:hAnsi="Times New Roman" w:cs="Times New Roman"/>
          <w:i/>
          <w:iCs/>
          <w:color w:val="auto"/>
          <w:sz w:val="24"/>
          <w:szCs w:val="24"/>
          <w:highlight w:val="none"/>
        </w:rPr>
        <w:t>Trifolium repens</w:t>
      </w:r>
      <w:r>
        <w:rPr>
          <w:rFonts w:hint="default" w:ascii="Times New Roman" w:hAnsi="Times New Roman" w:cs="Times New Roman"/>
          <w:color w:val="auto"/>
          <w:sz w:val="24"/>
          <w:szCs w:val="24"/>
          <w:highlight w:val="none"/>
        </w:rPr>
        <w:t>）属豆科车轴草属短期多年生草本；主根短，侧根和须根发达。茎匍匐蔓生，上部稍上升，节上生根，全株无毛。掌状三出复叶；托叶卵状披针形，膜质，基部抱茎成鞘状，离生部分锐尖，小叶倒卵形至近圆形；花序球形，顶生；种子阔卵形。白车轴草在我国常见于种植，并在湿润草地、河岸、路边呈半自生状态。白车轴草在评价区为逃逸野生种，主要在道路、荒地附近零散分布。</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草本层层高约0.1m，盖度75%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90%，优势种为白车轴草，高约0.1m，盖度75%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90%，无明显伴生种。</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73600" behindDoc="0" locked="0" layoutInCell="1" allowOverlap="1">
                  <wp:simplePos x="0" y="0"/>
                  <wp:positionH relativeFrom="column">
                    <wp:posOffset>0</wp:posOffset>
                  </wp:positionH>
                  <wp:positionV relativeFrom="paragraph">
                    <wp:posOffset>-1729740</wp:posOffset>
                  </wp:positionV>
                  <wp:extent cx="2592070" cy="1943735"/>
                  <wp:effectExtent l="0" t="0" r="17780" b="18415"/>
                  <wp:wrapTopAndBottom/>
                  <wp:docPr id="99603308" name="图片 1"/>
                  <wp:cNvGraphicFramePr/>
                  <a:graphic xmlns:a="http://schemas.openxmlformats.org/drawingml/2006/main">
                    <a:graphicData uri="http://schemas.openxmlformats.org/drawingml/2006/picture">
                      <pic:pic xmlns:pic="http://schemas.openxmlformats.org/drawingml/2006/picture">
                        <pic:nvPicPr>
                          <pic:cNvPr id="99603308" name="图片 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112°37'27.6017"E,26°52'29.4910"N;H:50m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72576" behindDoc="0" locked="0" layoutInCell="1" allowOverlap="1">
                  <wp:simplePos x="0" y="0"/>
                  <wp:positionH relativeFrom="column">
                    <wp:posOffset>635</wp:posOffset>
                  </wp:positionH>
                  <wp:positionV relativeFrom="paragraph">
                    <wp:posOffset>-1729740</wp:posOffset>
                  </wp:positionV>
                  <wp:extent cx="2592070" cy="1943735"/>
                  <wp:effectExtent l="0" t="0" r="17780" b="18415"/>
                  <wp:wrapTopAndBottom/>
                  <wp:docPr id="160793219" name="图片 1"/>
                  <wp:cNvGraphicFramePr/>
                  <a:graphic xmlns:a="http://schemas.openxmlformats.org/drawingml/2006/main">
                    <a:graphicData uri="http://schemas.openxmlformats.org/drawingml/2006/picture">
                      <pic:pic xmlns:pic="http://schemas.openxmlformats.org/drawingml/2006/picture">
                        <pic:nvPicPr>
                          <pic:cNvPr id="160793219" name="图片 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112°37'12.7412"E,26°52'36.4503"N;H:59m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74624" behindDoc="0" locked="0" layoutInCell="1" allowOverlap="1">
                  <wp:simplePos x="0" y="0"/>
                  <wp:positionH relativeFrom="column">
                    <wp:posOffset>0</wp:posOffset>
                  </wp:positionH>
                  <wp:positionV relativeFrom="paragraph">
                    <wp:posOffset>-1731645</wp:posOffset>
                  </wp:positionV>
                  <wp:extent cx="2592070" cy="1943735"/>
                  <wp:effectExtent l="0" t="0" r="17780" b="18415"/>
                  <wp:wrapTopAndBottom/>
                  <wp:docPr id="2126221591" name="图片 1"/>
                  <wp:cNvGraphicFramePr/>
                  <a:graphic xmlns:a="http://schemas.openxmlformats.org/drawingml/2006/main">
                    <a:graphicData uri="http://schemas.openxmlformats.org/drawingml/2006/picture">
                      <pic:pic xmlns:pic="http://schemas.openxmlformats.org/drawingml/2006/picture">
                        <pic:nvPicPr>
                          <pic:cNvPr id="2126221591" name="图片 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112°38'04.5647"E,26°52'17.9580"N;H:50m</w:t>
            </w:r>
          </w:p>
        </w:tc>
        <w:tc>
          <w:tcPr>
            <w:tcW w:w="4261" w:type="dxa"/>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p>
            <w:pPr>
              <w:pStyle w:val="8"/>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-8 白车轴草灌草丛</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芦竹灌草丛（Form. </w:t>
      </w:r>
      <w:r>
        <w:rPr>
          <w:rFonts w:hint="default" w:ascii="Times New Roman" w:hAnsi="Times New Roman" w:cs="Times New Roman"/>
          <w:b/>
          <w:i/>
          <w:iCs/>
          <w:color w:val="auto"/>
          <w:sz w:val="24"/>
          <w:szCs w:val="24"/>
          <w:highlight w:val="none"/>
        </w:rPr>
        <w:t>Arundo donax</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芦竹（</w:t>
      </w:r>
      <w:r>
        <w:rPr>
          <w:rFonts w:hint="default" w:ascii="Times New Roman" w:hAnsi="Times New Roman" w:cs="Times New Roman"/>
          <w:i/>
          <w:iCs/>
          <w:color w:val="auto"/>
          <w:sz w:val="24"/>
          <w:szCs w:val="24"/>
          <w:highlight w:val="none"/>
        </w:rPr>
        <w:t>Arundo donax</w:t>
      </w:r>
      <w:r>
        <w:rPr>
          <w:rFonts w:hint="default" w:ascii="Times New Roman" w:hAnsi="Times New Roman" w:cs="Times New Roman"/>
          <w:color w:val="auto"/>
          <w:sz w:val="24"/>
          <w:szCs w:val="24"/>
          <w:highlight w:val="none"/>
        </w:rPr>
        <w:t>）属禾本科芦竹属多年生草本，具发达根状茎；秆粗大直立，高3~6</w:t>
      </w:r>
      <w:r>
        <w:rPr>
          <w:rFonts w:hint="default" w:cs="Times New Roman"/>
          <w:color w:val="auto"/>
          <w:sz w:val="24"/>
          <w:szCs w:val="24"/>
          <w:highlight w:val="none"/>
          <w:lang w:val="en-US" w:eastAsia="zh-CN"/>
        </w:rPr>
        <w:t>m</w:t>
      </w:r>
      <w:r>
        <w:rPr>
          <w:rFonts w:hint="default" w:ascii="Times New Roman" w:hAnsi="Times New Roman" w:cs="Times New Roman"/>
          <w:color w:val="auto"/>
          <w:sz w:val="24"/>
          <w:szCs w:val="24"/>
          <w:highlight w:val="none"/>
        </w:rPr>
        <w:t>；叶鞘长于节间；叶片扁平，长30~50</w:t>
      </w:r>
      <w:r>
        <w:rPr>
          <w:rFonts w:hint="default" w:cs="Times New Roman"/>
          <w:color w:val="auto"/>
          <w:sz w:val="24"/>
          <w:szCs w:val="24"/>
          <w:highlight w:val="none"/>
          <w:lang w:val="en-US" w:eastAsia="zh-CN"/>
        </w:rPr>
        <w:t>cm</w:t>
      </w:r>
      <w:r>
        <w:rPr>
          <w:rFonts w:hint="default" w:ascii="Times New Roman" w:hAnsi="Times New Roman" w:cs="Times New Roman"/>
          <w:color w:val="auto"/>
          <w:sz w:val="24"/>
          <w:szCs w:val="24"/>
          <w:highlight w:val="none"/>
        </w:rPr>
        <w:t>，基部白色，抱茎。圆锥花序极大型，长30~90</w:t>
      </w:r>
      <w:r>
        <w:rPr>
          <w:rFonts w:hint="default" w:cs="Times New Roman"/>
          <w:color w:val="auto"/>
          <w:sz w:val="24"/>
          <w:szCs w:val="24"/>
          <w:highlight w:val="none"/>
          <w:lang w:val="en-US" w:eastAsia="zh-CN"/>
        </w:rPr>
        <w:t>cm</w:t>
      </w:r>
      <w:r>
        <w:rPr>
          <w:rFonts w:hint="default" w:ascii="Times New Roman" w:hAnsi="Times New Roman" w:cs="Times New Roman"/>
          <w:color w:val="auto"/>
          <w:sz w:val="24"/>
          <w:szCs w:val="24"/>
          <w:highlight w:val="none"/>
        </w:rPr>
        <w:t>，分枝稠密，斜升；颖果细小，呈黑色。芦竹在我国产于广东、海南、广西、贵州、云南、四川、湖南、江西、福建、台湾、浙江、江苏，常生于河岸道旁、砂质壤土上。芦竹灌草丛在评价区江边零散分布。</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草本层层高2.1m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3.0m，盖度85%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95%，优势种为芦竹，高2.1m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3.2m，盖度85%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95%，常见伴生种为稗。</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pStyle w:val="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70528" behindDoc="0" locked="0" layoutInCell="1" allowOverlap="1">
                  <wp:simplePos x="0" y="0"/>
                  <wp:positionH relativeFrom="column">
                    <wp:posOffset>0</wp:posOffset>
                  </wp:positionH>
                  <wp:positionV relativeFrom="paragraph">
                    <wp:posOffset>-1730375</wp:posOffset>
                  </wp:positionV>
                  <wp:extent cx="2592070" cy="1943735"/>
                  <wp:effectExtent l="0" t="0" r="17780" b="18415"/>
                  <wp:wrapTopAndBottom/>
                  <wp:docPr id="732837157" name="图片 1"/>
                  <wp:cNvGraphicFramePr/>
                  <a:graphic xmlns:a="http://schemas.openxmlformats.org/drawingml/2006/main">
                    <a:graphicData uri="http://schemas.openxmlformats.org/drawingml/2006/picture">
                      <pic:pic xmlns:pic="http://schemas.openxmlformats.org/drawingml/2006/picture">
                        <pic:nvPicPr>
                          <pic:cNvPr id="732837157" name="图片 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112°37'24.1931"E,26°52'37.9059"N;H:50m</w:t>
            </w:r>
          </w:p>
        </w:tc>
        <w:tc>
          <w:tcPr>
            <w:tcW w:w="4261" w:type="dxa"/>
          </w:tcPr>
          <w:p>
            <w:pPr>
              <w:pStyle w:val="8"/>
              <w:keepNext w:val="0"/>
              <w:keepLines w:val="0"/>
              <w:pageBreakBefore w:val="0"/>
              <w:widowControl/>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99200" behindDoc="0" locked="0" layoutInCell="1" allowOverlap="1">
                  <wp:simplePos x="0" y="0"/>
                  <wp:positionH relativeFrom="column">
                    <wp:posOffset>-46355</wp:posOffset>
                  </wp:positionH>
                  <wp:positionV relativeFrom="paragraph">
                    <wp:posOffset>43180</wp:posOffset>
                  </wp:positionV>
                  <wp:extent cx="2497455" cy="1899285"/>
                  <wp:effectExtent l="0" t="0" r="17145" b="5715"/>
                  <wp:wrapTopAndBottom/>
                  <wp:docPr id="1384265001" name="图片 1"/>
                  <wp:cNvGraphicFramePr/>
                  <a:graphic xmlns:a="http://schemas.openxmlformats.org/drawingml/2006/main">
                    <a:graphicData uri="http://schemas.openxmlformats.org/drawingml/2006/picture">
                      <pic:pic xmlns:pic="http://schemas.openxmlformats.org/drawingml/2006/picture">
                        <pic:nvPicPr>
                          <pic:cNvPr id="1384265001" name="图片 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97455" cy="1899285"/>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widowControl/>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112°37'12.1135"E,26°52'37.7337"N;H:54m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pStyle w:val="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700224" behindDoc="0" locked="0" layoutInCell="1" allowOverlap="1">
                  <wp:simplePos x="0" y="0"/>
                  <wp:positionH relativeFrom="column">
                    <wp:posOffset>2654300</wp:posOffset>
                  </wp:positionH>
                  <wp:positionV relativeFrom="paragraph">
                    <wp:posOffset>0</wp:posOffset>
                  </wp:positionV>
                  <wp:extent cx="2591435" cy="1943735"/>
                  <wp:effectExtent l="0" t="0" r="18415" b="18415"/>
                  <wp:wrapTopAndBottom/>
                  <wp:docPr id="797237016" name="图片 1"/>
                  <wp:cNvGraphicFramePr/>
                  <a:graphic xmlns:a="http://schemas.openxmlformats.org/drawingml/2006/main">
                    <a:graphicData uri="http://schemas.openxmlformats.org/drawingml/2006/picture">
                      <pic:pic xmlns:pic="http://schemas.openxmlformats.org/drawingml/2006/picture">
                        <pic:nvPicPr>
                          <pic:cNvPr id="797237016" name="图片 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91435" cy="1943735"/>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112°37'43.9975"E,26°52'30.2059"N;H:53m</w:t>
            </w:r>
          </w:p>
        </w:tc>
        <w:tc>
          <w:tcPr>
            <w:tcW w:w="4261" w:type="dxa"/>
          </w:tcPr>
          <w:p>
            <w:pPr>
              <w:pStyle w:val="8"/>
              <w:keepNext w:val="0"/>
              <w:keepLines w:val="0"/>
              <w:pageBreakBefore w:val="0"/>
              <w:widowControl/>
              <w:kinsoku/>
              <w:wordWrap/>
              <w:overflowPunct/>
              <w:topLinePunct w:val="0"/>
              <w:autoSpaceDE/>
              <w:autoSpaceDN/>
              <w:bidi w:val="0"/>
              <w:spacing w:line="240" w:lineRule="auto"/>
              <w:ind w:firstLine="0" w:firstLineChars="0"/>
              <w:textAlignment w:val="auto"/>
              <w:outlineLvl w:val="9"/>
              <w:rPr>
                <w:rFonts w:hint="default" w:ascii="Times New Roman" w:hAnsi="Times New Roman" w:cs="Times New Roman"/>
                <w:color w:val="auto"/>
                <w:sz w:val="21"/>
                <w:szCs w:val="21"/>
                <w:highlight w:val="none"/>
              </w:rPr>
            </w:pPr>
          </w:p>
          <w:p>
            <w:pPr>
              <w:pStyle w:val="8"/>
              <w:keepNext w:val="0"/>
              <w:keepLines w:val="0"/>
              <w:pageBreakBefore w:val="0"/>
              <w:widowControl/>
              <w:kinsoku/>
              <w:wordWrap/>
              <w:overflowPunct/>
              <w:topLinePunct w:val="0"/>
              <w:autoSpaceDE/>
              <w:autoSpaceDN/>
              <w:bidi w:val="0"/>
              <w:spacing w:line="240" w:lineRule="auto"/>
              <w:ind w:firstLine="0" w:firstLineChars="0"/>
              <w:textAlignment w:val="auto"/>
              <w:outlineLvl w:val="9"/>
              <w:rPr>
                <w:rFonts w:hint="default" w:ascii="Times New Roman" w:hAnsi="Times New Roman"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-9 芦竹灌草丛</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南苜蓿灌草丛（Form. </w:t>
      </w:r>
      <w:r>
        <w:rPr>
          <w:rFonts w:hint="default" w:ascii="Times New Roman" w:hAnsi="Times New Roman" w:cs="Times New Roman"/>
          <w:b/>
          <w:i/>
          <w:iCs/>
          <w:color w:val="auto"/>
          <w:sz w:val="24"/>
          <w:szCs w:val="24"/>
          <w:highlight w:val="none"/>
        </w:rPr>
        <w:t>Medicago polymorpha</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南苜蓿（</w:t>
      </w:r>
      <w:r>
        <w:rPr>
          <w:rFonts w:hint="default" w:ascii="Times New Roman" w:hAnsi="Times New Roman" w:cs="Times New Roman"/>
          <w:i/>
          <w:iCs/>
          <w:color w:val="auto"/>
          <w:sz w:val="24"/>
          <w:szCs w:val="24"/>
          <w:highlight w:val="none"/>
        </w:rPr>
        <w:t>Medicago polymorpha</w:t>
      </w:r>
      <w:r>
        <w:rPr>
          <w:rFonts w:hint="default" w:ascii="Times New Roman" w:hAnsi="Times New Roman" w:cs="Times New Roman"/>
          <w:color w:val="auto"/>
          <w:sz w:val="24"/>
          <w:szCs w:val="24"/>
          <w:highlight w:val="none"/>
        </w:rPr>
        <w:t>）属豆科苜蓿属一、二年生草本；茎平卧、上升或直立，近四棱形，基部分枝，无毛或微被毛。羽状三出复叶；托叶大，卵状长圆形，先端渐尖，基部耳状，边缘具不整齐条裂，成丝状细条或深齿状缺刻，脉纹明显；叶柄柔软，小叶倒卵形或三角状倒卵形；花序头状伞形；种子长肾形，南苜蓿在我国产长江流域以南各省区，以及陕西、甘肃、贵州、云南。南苜蓿灌草丛在评价区道路、荒地附近零散分布。</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草本层层高0.1m，盖度75%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90%，优势种为南苜蓿，层高0.1m，盖度75%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90%，常见伴生种为野艾蒿、车前。</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68480" behindDoc="0" locked="0" layoutInCell="1" allowOverlap="1">
                  <wp:simplePos x="0" y="0"/>
                  <wp:positionH relativeFrom="column">
                    <wp:posOffset>0</wp:posOffset>
                  </wp:positionH>
                  <wp:positionV relativeFrom="paragraph">
                    <wp:posOffset>-1732280</wp:posOffset>
                  </wp:positionV>
                  <wp:extent cx="2592070" cy="1943735"/>
                  <wp:effectExtent l="0" t="0" r="17780" b="18415"/>
                  <wp:wrapTopAndBottom/>
                  <wp:docPr id="1528571109" name="图片 1"/>
                  <wp:cNvGraphicFramePr/>
                  <a:graphic xmlns:a="http://schemas.openxmlformats.org/drawingml/2006/main">
                    <a:graphicData uri="http://schemas.openxmlformats.org/drawingml/2006/picture">
                      <pic:pic xmlns:pic="http://schemas.openxmlformats.org/drawingml/2006/picture">
                        <pic:nvPicPr>
                          <pic:cNvPr id="1528571109" name="图片 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112°37'34.2933"E,26°52'34.3229"N;H:52m</w:t>
            </w:r>
          </w:p>
        </w:tc>
        <w:tc>
          <w:tcPr>
            <w:tcW w:w="4261" w:type="dxa"/>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69504" behindDoc="0" locked="0" layoutInCell="1" allowOverlap="1">
                  <wp:simplePos x="0" y="0"/>
                  <wp:positionH relativeFrom="column">
                    <wp:posOffset>635</wp:posOffset>
                  </wp:positionH>
                  <wp:positionV relativeFrom="paragraph">
                    <wp:posOffset>-1732280</wp:posOffset>
                  </wp:positionV>
                  <wp:extent cx="2592070" cy="1943735"/>
                  <wp:effectExtent l="0" t="0" r="17780" b="18415"/>
                  <wp:wrapTopAndBottom/>
                  <wp:docPr id="766647251" name="图片 1"/>
                  <wp:cNvGraphicFramePr/>
                  <a:graphic xmlns:a="http://schemas.openxmlformats.org/drawingml/2006/main">
                    <a:graphicData uri="http://schemas.openxmlformats.org/drawingml/2006/picture">
                      <pic:pic xmlns:pic="http://schemas.openxmlformats.org/drawingml/2006/picture">
                        <pic:nvPicPr>
                          <pic:cNvPr id="766647251" name="图片 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112°37'11.3507"E,26°52'38.3452"N;H:55m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7456" behindDoc="0" locked="0" layoutInCell="1" allowOverlap="1">
                  <wp:simplePos x="0" y="0"/>
                  <wp:positionH relativeFrom="column">
                    <wp:posOffset>0</wp:posOffset>
                  </wp:positionH>
                  <wp:positionV relativeFrom="paragraph">
                    <wp:posOffset>-1729105</wp:posOffset>
                  </wp:positionV>
                  <wp:extent cx="2592070" cy="1943735"/>
                  <wp:effectExtent l="0" t="0" r="17780" b="18415"/>
                  <wp:wrapTopAndBottom/>
                  <wp:docPr id="912785457" name="图片 1"/>
                  <wp:cNvGraphicFramePr/>
                  <a:graphic xmlns:a="http://schemas.openxmlformats.org/drawingml/2006/main">
                    <a:graphicData uri="http://schemas.openxmlformats.org/drawingml/2006/picture">
                      <pic:pic xmlns:pic="http://schemas.openxmlformats.org/drawingml/2006/picture">
                        <pic:nvPicPr>
                          <pic:cNvPr id="912785457" name="图片 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112°38'10.8700"E,26°52'14.4523"N;H:51m</w:t>
            </w:r>
          </w:p>
        </w:tc>
        <w:tc>
          <w:tcPr>
            <w:tcW w:w="4261" w:type="dxa"/>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-10 南苜蓿灌草丛</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 xml:space="preserve">五节芒灌草丛（Form. </w:t>
      </w:r>
      <w:r>
        <w:rPr>
          <w:rFonts w:hint="default" w:ascii="Times New Roman" w:hAnsi="Times New Roman" w:cs="Times New Roman"/>
          <w:b/>
          <w:i/>
          <w:iCs/>
          <w:color w:val="auto"/>
          <w:sz w:val="24"/>
          <w:szCs w:val="24"/>
          <w:highlight w:val="none"/>
        </w:rPr>
        <w:t>Miscanthus floridulus</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五节芒（</w:t>
      </w:r>
      <w:r>
        <w:rPr>
          <w:rFonts w:hint="default" w:ascii="Times New Roman" w:hAnsi="Times New Roman" w:cs="Times New Roman"/>
          <w:i/>
          <w:iCs/>
          <w:color w:val="auto"/>
          <w:sz w:val="24"/>
          <w:szCs w:val="24"/>
          <w:highlight w:val="none"/>
        </w:rPr>
        <w:t>Miscanthus floridulus</w:t>
      </w:r>
      <w:r>
        <w:rPr>
          <w:rFonts w:hint="default" w:ascii="Times New Roman" w:hAnsi="Times New Roman" w:cs="Times New Roman"/>
          <w:color w:val="auto"/>
          <w:sz w:val="24"/>
          <w:szCs w:val="24"/>
          <w:highlight w:val="none"/>
        </w:rPr>
        <w:t>）属禾本科芒属一多年生草本，具发达根状茎。秆高大似竹，无毛，节下具白粉，叶鞘无毛，鞘节具微毛，长于或上部者稍短于其节何；叶舌长1</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2</w:t>
      </w:r>
      <w:r>
        <w:rPr>
          <w:rFonts w:hint="default" w:cs="Times New Roman"/>
          <w:color w:val="auto"/>
          <w:sz w:val="24"/>
          <w:szCs w:val="24"/>
          <w:highlight w:val="none"/>
          <w:lang w:val="en-US" w:eastAsia="zh-CN"/>
        </w:rPr>
        <w:t>mm</w:t>
      </w:r>
      <w:r>
        <w:rPr>
          <w:rFonts w:hint="default" w:ascii="Times New Roman" w:hAnsi="Times New Roman" w:cs="Times New Roman"/>
          <w:color w:val="auto"/>
          <w:sz w:val="24"/>
          <w:szCs w:val="24"/>
          <w:highlight w:val="none"/>
        </w:rPr>
        <w:t>，顶端具纤毛；叶片披针状线形；总状花序轴的节间无毛，小穗柄无毛，顶端稍膨大，小穗卵状披针形。五节芒常生于低海拔撂荒地与丘陵潮湿谷地和山坡或草地。五节芒灌草丛在评价区荒地附近零散分布。</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草本层层高1.1m，盖度约80%，优势种为五节芒，层高1.1m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1.5m，盖度70%</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80%，常见伴生种为白酒草（</w:t>
      </w:r>
      <w:r>
        <w:rPr>
          <w:rFonts w:hint="default" w:ascii="Times New Roman" w:hAnsi="Times New Roman" w:cs="Times New Roman"/>
          <w:i/>
          <w:iCs/>
          <w:color w:val="auto"/>
          <w:sz w:val="24"/>
          <w:szCs w:val="24"/>
          <w:highlight w:val="none"/>
        </w:rPr>
        <w:t>Eschenbachia japonica</w:t>
      </w:r>
      <w:r>
        <w:rPr>
          <w:rFonts w:hint="default" w:ascii="Times New Roman" w:hAnsi="Times New Roman" w:cs="Times New Roman"/>
          <w:color w:val="auto"/>
          <w:sz w:val="24"/>
          <w:szCs w:val="24"/>
          <w:highlight w:val="none"/>
        </w:rPr>
        <w:t>）、鬼针草（</w:t>
      </w:r>
      <w:r>
        <w:rPr>
          <w:rFonts w:hint="default" w:ascii="Times New Roman" w:hAnsi="Times New Roman" w:cs="Times New Roman"/>
          <w:i/>
          <w:iCs/>
          <w:color w:val="auto"/>
          <w:sz w:val="24"/>
          <w:szCs w:val="24"/>
          <w:highlight w:val="none"/>
        </w:rPr>
        <w:t>Bidens pilosa</w:t>
      </w:r>
      <w:r>
        <w:rPr>
          <w:rFonts w:hint="default" w:ascii="Times New Roman" w:hAnsi="Times New Roman" w:cs="Times New Roman"/>
          <w:color w:val="auto"/>
          <w:sz w:val="24"/>
          <w:szCs w:val="24"/>
          <w:highlight w:val="none"/>
        </w:rPr>
        <w:t>）。</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65408" behindDoc="0" locked="0" layoutInCell="1" allowOverlap="1">
                  <wp:simplePos x="0" y="0"/>
                  <wp:positionH relativeFrom="column">
                    <wp:posOffset>0</wp:posOffset>
                  </wp:positionH>
                  <wp:positionV relativeFrom="paragraph">
                    <wp:posOffset>-1728470</wp:posOffset>
                  </wp:positionV>
                  <wp:extent cx="2592070" cy="1943735"/>
                  <wp:effectExtent l="0" t="0" r="17780" b="18415"/>
                  <wp:wrapTopAndBottom/>
                  <wp:docPr id="1192968113" name="图片 1"/>
                  <wp:cNvGraphicFramePr/>
                  <a:graphic xmlns:a="http://schemas.openxmlformats.org/drawingml/2006/main">
                    <a:graphicData uri="http://schemas.openxmlformats.org/drawingml/2006/picture">
                      <pic:pic xmlns:pic="http://schemas.openxmlformats.org/drawingml/2006/picture">
                        <pic:nvPicPr>
                          <pic:cNvPr id="1192968113" name="图片 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112°37'25.8636"E,26°52'37.6217"N;H:53m</w:t>
            </w:r>
          </w:p>
        </w:tc>
        <w:tc>
          <w:tcPr>
            <w:tcW w:w="4261" w:type="dxa"/>
            <w:vAlign w:val="center"/>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66432" behindDoc="0" locked="0" layoutInCell="1" allowOverlap="1">
                  <wp:simplePos x="0" y="0"/>
                  <wp:positionH relativeFrom="column">
                    <wp:posOffset>635</wp:posOffset>
                  </wp:positionH>
                  <wp:positionV relativeFrom="paragraph">
                    <wp:posOffset>-1728470</wp:posOffset>
                  </wp:positionV>
                  <wp:extent cx="2592070" cy="1943735"/>
                  <wp:effectExtent l="0" t="0" r="17780" b="18415"/>
                  <wp:wrapTopAndBottom/>
                  <wp:docPr id="614911287" name="图片 1"/>
                  <wp:cNvGraphicFramePr/>
                  <a:graphic xmlns:a="http://schemas.openxmlformats.org/drawingml/2006/main">
                    <a:graphicData uri="http://schemas.openxmlformats.org/drawingml/2006/picture">
                      <pic:pic xmlns:pic="http://schemas.openxmlformats.org/drawingml/2006/picture">
                        <pic:nvPicPr>
                          <pic:cNvPr id="614911287" name="图片 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112°37'24.0193"E,26°52'31.3773"N;H:51m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64384" behindDoc="0" locked="0" layoutInCell="1" allowOverlap="1">
                  <wp:simplePos x="0" y="0"/>
                  <wp:positionH relativeFrom="column">
                    <wp:posOffset>0</wp:posOffset>
                  </wp:positionH>
                  <wp:positionV relativeFrom="paragraph">
                    <wp:posOffset>-1730375</wp:posOffset>
                  </wp:positionV>
                  <wp:extent cx="2592070" cy="1943735"/>
                  <wp:effectExtent l="0" t="0" r="17780" b="18415"/>
                  <wp:wrapTopAndBottom/>
                  <wp:docPr id="1019166845" name="图片 1"/>
                  <wp:cNvGraphicFramePr/>
                  <a:graphic xmlns:a="http://schemas.openxmlformats.org/drawingml/2006/main">
                    <a:graphicData uri="http://schemas.openxmlformats.org/drawingml/2006/picture">
                      <pic:pic xmlns:pic="http://schemas.openxmlformats.org/drawingml/2006/picture">
                        <pic:nvPicPr>
                          <pic:cNvPr id="1019166845" name="图片 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112°38'11.0631"E,26°52'15.2534"N;H:52m</w:t>
            </w:r>
          </w:p>
        </w:tc>
        <w:tc>
          <w:tcPr>
            <w:tcW w:w="4261" w:type="dxa"/>
            <w:vAlign w:val="center"/>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-11 五节芒灌草丛</w:t>
      </w:r>
    </w:p>
    <w:p>
      <w:pPr>
        <w:keepNext w:val="0"/>
        <w:keepLines w:val="0"/>
        <w:pageBreakBefore w:val="0"/>
        <w:widowControl w:val="0"/>
        <w:numPr>
          <w:ilvl w:val="2"/>
          <w:numId w:val="16"/>
        </w:numPr>
        <w:tabs>
          <w:tab w:val="left" w:pos="7425"/>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野艾蒿灌草丛（Form.</w:t>
      </w:r>
      <w:r>
        <w:rPr>
          <w:rFonts w:hint="default" w:ascii="Times New Roman" w:hAnsi="Times New Roman" w:cs="Times New Roman"/>
          <w:b/>
          <w:i/>
          <w:iCs/>
          <w:color w:val="auto"/>
          <w:sz w:val="24"/>
          <w:szCs w:val="24"/>
          <w:highlight w:val="none"/>
        </w:rPr>
        <w:t xml:space="preserve"> Artemisia lavandulifolia</w:t>
      </w:r>
      <w:r>
        <w:rPr>
          <w:rFonts w:hint="default" w:ascii="Times New Roman" w:hAnsi="Times New Roman" w:cs="Times New Roman"/>
          <w:b/>
          <w:color w:val="auto"/>
          <w:sz w:val="24"/>
          <w:szCs w:val="24"/>
          <w:highlight w:val="none"/>
        </w:rPr>
        <w:t>）</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野艾蒿（</w:t>
      </w:r>
      <w:r>
        <w:rPr>
          <w:rFonts w:hint="default" w:ascii="Times New Roman" w:hAnsi="Times New Roman" w:cs="Times New Roman"/>
          <w:i/>
          <w:iCs/>
          <w:color w:val="auto"/>
          <w:sz w:val="24"/>
          <w:szCs w:val="24"/>
          <w:highlight w:val="none"/>
        </w:rPr>
        <w:t>Artemisia lavandulifolia</w:t>
      </w:r>
      <w:r>
        <w:rPr>
          <w:rFonts w:hint="default" w:ascii="Times New Roman" w:hAnsi="Times New Roman" w:cs="Times New Roman"/>
          <w:color w:val="auto"/>
          <w:sz w:val="24"/>
          <w:szCs w:val="24"/>
          <w:highlight w:val="none"/>
        </w:rPr>
        <w:t>）属菊科艾属多年生草本，有时为半灌木状，植株有香气。主根稍明显，侧根多；根状茎稍粗，常匍地，有细而短的营养枝。茎少数，成小丛，稀少单生，具纵棱，分枝多，斜向上伸展；茎、枝被灰白色蛛丝状短柔毛。叶纸质，上面绿色，具密集白色腺点及小凹点，初时疏被灰白色蛛丝状柔毛，后毛稀疏或近无毛，背面除中脉外密被灰白色密绵毛；头状花序极多数，椭圆形或长圆形；瘦果长卵形或倒卵形。野艾蒿在我国产黑龙江、吉林、辽宁、内蒙古、河北、山西、陕西、甘肃、山东、江苏、安徽、江西、河南、湖北、湖南、广东（北部）、广西（北部）、四川、贵州、云南等省区，常见于低或中海拔地区的路旁、林缘、山坡、草地、山谷、灌丛及河湖滨草地等。野艾蒿灌草丛在评价区荒地附近零散分布。</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草本层层高约0.1m，盖度75%</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80%，优势种为野艾蒿，高约0.1m，盖度70%</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80%，常见伴生种为狗牙根、窃衣、繁缕（</w:t>
      </w:r>
      <w:r>
        <w:rPr>
          <w:rFonts w:hint="default" w:ascii="Times New Roman" w:hAnsi="Times New Roman" w:cs="Times New Roman"/>
          <w:i/>
          <w:iCs/>
          <w:color w:val="auto"/>
          <w:sz w:val="24"/>
          <w:szCs w:val="24"/>
          <w:highlight w:val="none"/>
        </w:rPr>
        <w:t>Stellaria media</w:t>
      </w:r>
      <w:r>
        <w:rPr>
          <w:rFonts w:hint="default" w:ascii="Times New Roman" w:hAnsi="Times New Roman" w:cs="Times New Roman"/>
          <w:color w:val="auto"/>
          <w:sz w:val="24"/>
          <w:szCs w:val="24"/>
          <w:highlight w:val="none"/>
        </w:rPr>
        <w:t>）。</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63360" behindDoc="0" locked="0" layoutInCell="1" allowOverlap="1">
                  <wp:simplePos x="0" y="0"/>
                  <wp:positionH relativeFrom="column">
                    <wp:posOffset>0</wp:posOffset>
                  </wp:positionH>
                  <wp:positionV relativeFrom="paragraph">
                    <wp:posOffset>-1729105</wp:posOffset>
                  </wp:positionV>
                  <wp:extent cx="2592070" cy="1943735"/>
                  <wp:effectExtent l="0" t="0" r="17780" b="18415"/>
                  <wp:wrapTopAndBottom/>
                  <wp:docPr id="457816536" name="图片 1"/>
                  <wp:cNvGraphicFramePr/>
                  <a:graphic xmlns:a="http://schemas.openxmlformats.org/drawingml/2006/main">
                    <a:graphicData uri="http://schemas.openxmlformats.org/drawingml/2006/picture">
                      <pic:pic xmlns:pic="http://schemas.openxmlformats.org/drawingml/2006/picture">
                        <pic:nvPicPr>
                          <pic:cNvPr id="457816536" name="图片 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112°37'30.8750"E,26°52'27.8459"N;H:53m</w:t>
            </w:r>
          </w:p>
        </w:tc>
        <w:tc>
          <w:tcPr>
            <w:tcW w:w="4261" w:type="dxa"/>
            <w:vAlign w:val="center"/>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62336" behindDoc="0" locked="0" layoutInCell="1" allowOverlap="1">
                  <wp:simplePos x="0" y="0"/>
                  <wp:positionH relativeFrom="column">
                    <wp:posOffset>635</wp:posOffset>
                  </wp:positionH>
                  <wp:positionV relativeFrom="paragraph">
                    <wp:posOffset>-1729105</wp:posOffset>
                  </wp:positionV>
                  <wp:extent cx="2592070" cy="1943735"/>
                  <wp:effectExtent l="0" t="0" r="17780" b="18415"/>
                  <wp:wrapTopAndBottom/>
                  <wp:docPr id="1877890068" name="图片 1"/>
                  <wp:cNvGraphicFramePr/>
                  <a:graphic xmlns:a="http://schemas.openxmlformats.org/drawingml/2006/main">
                    <a:graphicData uri="http://schemas.openxmlformats.org/drawingml/2006/picture">
                      <pic:pic xmlns:pic="http://schemas.openxmlformats.org/drawingml/2006/picture">
                        <pic:nvPicPr>
                          <pic:cNvPr id="1877890068" name="图片 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湘江东岸</w:t>
            </w: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112°37'13.6874"E,26°52'35.3909"N;H:51m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drawing>
                <wp:anchor distT="0" distB="0" distL="114300" distR="114300" simplePos="0" relativeHeight="251661312" behindDoc="0" locked="0" layoutInCell="1" allowOverlap="1">
                  <wp:simplePos x="0" y="0"/>
                  <wp:positionH relativeFrom="column">
                    <wp:posOffset>0</wp:posOffset>
                  </wp:positionH>
                  <wp:positionV relativeFrom="paragraph">
                    <wp:posOffset>-1731010</wp:posOffset>
                  </wp:positionV>
                  <wp:extent cx="2592070" cy="1943735"/>
                  <wp:effectExtent l="0" t="0" r="17780" b="18415"/>
                  <wp:wrapTopAndBottom/>
                  <wp:docPr id="965543229" name="图片 1"/>
                  <wp:cNvGraphicFramePr/>
                  <a:graphic xmlns:a="http://schemas.openxmlformats.org/drawingml/2006/main">
                    <a:graphicData uri="http://schemas.openxmlformats.org/drawingml/2006/picture">
                      <pic:pic xmlns:pic="http://schemas.openxmlformats.org/drawingml/2006/picture">
                        <pic:nvPicPr>
                          <pic:cNvPr id="965543229" name="图片 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1"/>
                <w:szCs w:val="21"/>
                <w:highlight w:val="none"/>
                <w:lang w:eastAsia="zh-CN"/>
              </w:rPr>
              <w:t>东洲岛</w:t>
            </w: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112°38'06.4669"E,26°52'17.0794"N;H:55m</w:t>
            </w:r>
          </w:p>
        </w:tc>
        <w:tc>
          <w:tcPr>
            <w:tcW w:w="4261" w:type="dxa"/>
            <w:vAlign w:val="center"/>
          </w:tcPr>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p>
            <w:pPr>
              <w:pStyle w:val="8"/>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-12 野艾蒿灌草丛</w:t>
      </w:r>
    </w:p>
    <w:p>
      <w:pPr>
        <w:keepNext w:val="0"/>
        <w:keepLines w:val="0"/>
        <w:pageBreakBefore w:val="0"/>
        <w:numPr>
          <w:ilvl w:val="0"/>
          <w:numId w:val="13"/>
        </w:numPr>
        <w:kinsoku/>
        <w:wordWrap/>
        <w:overflowPunct/>
        <w:topLinePunct w:val="0"/>
        <w:autoSpaceDE/>
        <w:autoSpaceDN/>
        <w:bidi w:val="0"/>
        <w:adjustRightInd w:val="0"/>
        <w:snapToGrid w:val="0"/>
        <w:spacing w:line="360" w:lineRule="auto"/>
        <w:textAlignment w:val="auto"/>
        <w:outlineLvl w:val="9"/>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人工植被</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农业植被</w:t>
      </w:r>
    </w:p>
    <w:p>
      <w:pPr>
        <w:keepNext w:val="0"/>
        <w:keepLines w:val="0"/>
        <w:pageBreakBefore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区域内农业植被主要分布于居民区附近。农业植被包括的类型较多，有粮食作物、菜园、果园等。其中，粮食作物主要有玉蜀黍、马铃薯等；菜园有南瓜、苦瓜、蚕豆等；果园较少，部分居民区附近种植有少量的柑橘、葡萄等水果。</w:t>
      </w:r>
    </w:p>
    <w:tbl>
      <w:tblPr>
        <w:tblStyle w:val="22"/>
        <w:tblW w:w="5000" w:type="pct"/>
        <w:jc w:val="center"/>
        <w:tblLayout w:type="autofit"/>
        <w:tblCellMar>
          <w:top w:w="0" w:type="dxa"/>
          <w:left w:w="108" w:type="dxa"/>
          <w:bottom w:w="0" w:type="dxa"/>
          <w:right w:w="108" w:type="dxa"/>
        </w:tblCellMar>
      </w:tblPr>
      <w:tblGrid>
        <w:gridCol w:w="4261"/>
        <w:gridCol w:w="4261"/>
      </w:tblGrid>
      <w:tr>
        <w:tblPrEx>
          <w:tblCellMar>
            <w:top w:w="0" w:type="dxa"/>
            <w:left w:w="108" w:type="dxa"/>
            <w:bottom w:w="0" w:type="dxa"/>
            <w:right w:w="108" w:type="dxa"/>
          </w:tblCellMar>
        </w:tblPrEx>
        <w:trPr>
          <w:jc w:val="center"/>
        </w:trPr>
        <w:tc>
          <w:tcPr>
            <w:tcW w:w="2500" w:type="pct"/>
            <w:vAlign w:val="center"/>
          </w:tcPr>
          <w:p>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2591435" cy="1943735"/>
                  <wp:effectExtent l="0" t="0" r="18415" b="18415"/>
                  <wp:docPr id="244021191" name="图片 1"/>
                  <wp:cNvGraphicFramePr/>
                  <a:graphic xmlns:a="http://schemas.openxmlformats.org/drawingml/2006/main">
                    <a:graphicData uri="http://schemas.openxmlformats.org/drawingml/2006/picture">
                      <pic:pic xmlns:pic="http://schemas.openxmlformats.org/drawingml/2006/picture">
                        <pic:nvPicPr>
                          <pic:cNvPr id="244021191" name="图片 1"/>
                          <pic:cNvPicPr/>
                        </pic:nvPicPr>
                        <pic:blipFill>
                          <a:blip r:embed="rId87"/>
                          <a:stretch>
                            <a:fillRect/>
                          </a:stretch>
                        </pic:blipFill>
                        <pic:spPr>
                          <a:xfrm>
                            <a:off x="0" y="0"/>
                            <a:ext cx="2592000" cy="1944000"/>
                          </a:xfrm>
                          <a:prstGeom prst="rect">
                            <a:avLst/>
                          </a:prstGeom>
                        </pic:spPr>
                      </pic:pic>
                    </a:graphicData>
                  </a:graphic>
                </wp:inline>
              </w:drawing>
            </w:r>
          </w:p>
          <w:p>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Cs w:val="21"/>
                <w:highlight w:val="none"/>
              </w:rPr>
            </w:pPr>
          </w:p>
        </w:tc>
        <w:tc>
          <w:tcPr>
            <w:tcW w:w="2500" w:type="pct"/>
            <w:vAlign w:val="center"/>
          </w:tcPr>
          <w:p>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2591435" cy="1943735"/>
                  <wp:effectExtent l="0" t="0" r="18415" b="18415"/>
                  <wp:docPr id="1937324653" name="图片 1"/>
                  <wp:cNvGraphicFramePr/>
                  <a:graphic xmlns:a="http://schemas.openxmlformats.org/drawingml/2006/main">
                    <a:graphicData uri="http://schemas.openxmlformats.org/drawingml/2006/picture">
                      <pic:pic xmlns:pic="http://schemas.openxmlformats.org/drawingml/2006/picture">
                        <pic:nvPicPr>
                          <pic:cNvPr id="1937324653" name="图片 1"/>
                          <pic:cNvPicPr/>
                        </pic:nvPicPr>
                        <pic:blipFill>
                          <a:blip r:embed="rId88"/>
                          <a:stretch>
                            <a:fillRect/>
                          </a:stretch>
                        </pic:blipFill>
                        <pic:spPr>
                          <a:xfrm>
                            <a:off x="0" y="0"/>
                            <a:ext cx="2592000" cy="1944000"/>
                          </a:xfrm>
                          <a:prstGeom prst="rect">
                            <a:avLst/>
                          </a:prstGeom>
                        </pic:spPr>
                      </pic:pic>
                    </a:graphicData>
                  </a:graphic>
                </wp:inline>
              </w:drawing>
            </w:r>
          </w:p>
          <w:p>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-13 评价区部分农业植被图</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城市植被</w:t>
      </w:r>
    </w:p>
    <w:p>
      <w:pPr>
        <w:keepNext w:val="0"/>
        <w:keepLines w:val="0"/>
        <w:pageBreakBefore w:val="0"/>
        <w:kinsoku/>
        <w:wordWrap/>
        <w:overflowPunct/>
        <w:topLinePunct w:val="0"/>
        <w:autoSpaceDE/>
        <w:autoSpaceDN/>
        <w:bidi w:val="0"/>
        <w:spacing w:after="62" w:line="360" w:lineRule="auto"/>
        <w:ind w:firstLine="480"/>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rPr>
        <w:drawing>
          <wp:anchor distT="0" distB="0" distL="114300" distR="114300" simplePos="0" relativeHeight="251671552" behindDoc="0" locked="0" layoutInCell="1" allowOverlap="1">
            <wp:simplePos x="0" y="0"/>
            <wp:positionH relativeFrom="column">
              <wp:posOffset>1270635</wp:posOffset>
            </wp:positionH>
            <wp:positionV relativeFrom="paragraph">
              <wp:posOffset>1336040</wp:posOffset>
            </wp:positionV>
            <wp:extent cx="2592070" cy="1943735"/>
            <wp:effectExtent l="0" t="0" r="17780" b="18415"/>
            <wp:wrapTopAndBottom/>
            <wp:docPr id="759183785" name="图片 1"/>
            <wp:cNvGraphicFramePr/>
            <a:graphic xmlns:a="http://schemas.openxmlformats.org/drawingml/2006/main">
              <a:graphicData uri="http://schemas.openxmlformats.org/drawingml/2006/picture">
                <pic:pic xmlns:pic="http://schemas.openxmlformats.org/drawingml/2006/picture">
                  <pic:nvPicPr>
                    <pic:cNvPr id="759183785" name="图片 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anchor>
        </w:drawing>
      </w:r>
      <w:r>
        <w:rPr>
          <w:rFonts w:hint="default" w:ascii="Times New Roman" w:hAnsi="Times New Roman" w:cs="Times New Roman"/>
          <w:color w:val="auto"/>
          <w:sz w:val="24"/>
          <w:szCs w:val="24"/>
          <w:highlight w:val="none"/>
        </w:rPr>
        <w:t>城市植被指以绿化、美化和环境保护为目标，由人工栽培或自然存留在城市环境中的植被类型。评价区城市植被主要为城市公园植被和城市行道树，常见植被和植物有刚竹林、樟、红叶石楠、杜英、红檵木、垂柳、池杉等物种，这些城</w:t>
      </w:r>
      <w:r>
        <w:rPr>
          <w:rFonts w:hint="default" w:ascii="Times New Roman" w:hAnsi="Times New Roman" w:cs="Times New Roman"/>
          <w:color w:val="auto"/>
          <w:sz w:val="24"/>
          <w:highlight w:val="none"/>
        </w:rPr>
        <w:t>市植被主要分布于评价区道路、东洲岛和珠晖区感康主题公园等区域。</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图4.5</w:t>
      </w:r>
      <w:r>
        <w:rPr>
          <w:rFonts w:hint="default" w:ascii="Times New Roman" w:hAnsi="Times New Roman" w:cs="Times New Roman"/>
          <w:b/>
          <w:color w:val="auto"/>
          <w:highlight w:val="none"/>
          <w:lang w:val="en-US" w:eastAsia="zh-CN"/>
        </w:rPr>
        <w:t xml:space="preserve"> -14 评价区部分城市植被图</w:t>
      </w:r>
    </w:p>
    <w:p>
      <w:pPr>
        <w:pStyle w:val="60"/>
        <w:keepNext/>
        <w:keepLines/>
        <w:pageBreakBefore w:val="0"/>
        <w:widowControl w:val="0"/>
        <w:numPr>
          <w:ilvl w:val="0"/>
          <w:numId w:val="8"/>
        </w:numPr>
        <w:kinsoku/>
        <w:wordWrap/>
        <w:overflowPunct/>
        <w:topLinePunct w:val="0"/>
        <w:autoSpaceDE/>
        <w:autoSpaceDN/>
        <w:bidi w:val="0"/>
        <w:adjustRightInd/>
        <w:snapToGrid/>
        <w:spacing w:before="0" w:line="360" w:lineRule="auto"/>
        <w:ind w:firstLine="420"/>
        <w:jc w:val="left"/>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rPr>
        <w:t>植被分布特征</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评价区位于湖南省衡阳市，沿湘江流域自西北向东南分布，面积小。评价区植被分布受人类活动干扰大，自然植被多为一些抗逆性较强的草本和灌木组成的次生灌丛和草地植被。</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垂直分布规律：评价区属区内海拔49m</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50m，海拔范围跨度小，植被垂直分布不明显，人工干扰强烈。</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水平分布规律：评价区位于衡阳市城区，面积小，水平跨度小。评价区内植被主要以城市公园、城市行道树和农业植被为主，广泛分布于东洲、珠晖区健康主题公园和附近居民区附近；自然植被主要以次生草地和灌丛为主，集中分布于本项目施工占地内，整体上呈现被人工植被环绕的趋势。</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（4）重点保护野生植物及古树</w:t>
      </w:r>
    </w:p>
    <w:p>
      <w:pPr>
        <w:spacing w:line="360" w:lineRule="auto"/>
        <w:ind w:firstLine="482"/>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1、</w:t>
      </w:r>
      <w:r>
        <w:rPr>
          <w:rFonts w:hint="default" w:ascii="Times New Roman" w:hAnsi="Times New Roman" w:cs="Times New Roman"/>
          <w:b/>
          <w:bCs/>
          <w:color w:val="auto"/>
          <w:sz w:val="24"/>
          <w:szCs w:val="24"/>
          <w:highlight w:val="none"/>
        </w:rPr>
        <w:t>重点保护野生植物</w:t>
      </w:r>
    </w:p>
    <w:p>
      <w:pPr>
        <w:adjustRightInd w:val="0"/>
        <w:snapToGrid w:val="0"/>
        <w:spacing w:line="360" w:lineRule="auto"/>
        <w:ind w:firstLine="482"/>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根据《国家重点保护野生植物名录》</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2021年9月</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等相关资料，并通过实地调查，评价区范围内无国家重点保护野生植物分布。</w:t>
      </w:r>
    </w:p>
    <w:p>
      <w:pPr>
        <w:adjustRightInd w:val="0"/>
        <w:snapToGrid w:val="0"/>
        <w:spacing w:line="360" w:lineRule="auto"/>
        <w:ind w:firstLine="482"/>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依据湖南省林业局、湖南省农业农村厅关于调整《湖南省地方重点保护野生动物名录》《湖南省地方重点保护野生植物名录》的通知（湘林护〔2023〕9号，2023年8月14日）及本项目所在行政区内其它关于省级重点保护野生植物及其分布的相关资料，同时对区域集市、居民及农林业技术人员等进行访问调查及现场实地调查，现阶段在评价区未调查到湖南省级重点保护野生植物。</w:t>
      </w:r>
    </w:p>
    <w:p>
      <w:pPr>
        <w:keepNext w:val="0"/>
        <w:keepLines w:val="0"/>
        <w:pageBreakBefore w:val="0"/>
        <w:kinsoku/>
        <w:wordWrap/>
        <w:overflowPunct/>
        <w:topLinePunct w:val="0"/>
        <w:autoSpaceDE/>
        <w:autoSpaceDN/>
        <w:bidi w:val="0"/>
        <w:adjustRightInd w:val="0"/>
        <w:snapToGrid w:val="0"/>
        <w:spacing w:line="360" w:lineRule="auto"/>
        <w:ind w:firstLine="482"/>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参照《中国生物多样性红色名录—高等植物卷》（2020年），评价区无珍稀濒危植物分布，无极小种群分布，有中国特有种植物7种。评价区重要物种统计见表</w:t>
      </w:r>
      <w:r>
        <w:rPr>
          <w:rFonts w:hint="default" w:cs="Times New Roman"/>
          <w:color w:val="auto"/>
          <w:sz w:val="24"/>
          <w:szCs w:val="24"/>
          <w:highlight w:val="none"/>
          <w:lang w:val="en-US" w:eastAsia="zh-CN"/>
        </w:rPr>
        <w:t>4.3</w:t>
      </w:r>
      <w:r>
        <w:rPr>
          <w:rFonts w:hint="default" w:ascii="Times New Roman" w:hAnsi="Times New Roman" w:cs="Times New Roman"/>
          <w:color w:val="auto"/>
          <w:sz w:val="24"/>
          <w:szCs w:val="24"/>
          <w:highlight w:val="none"/>
        </w:rPr>
        <w:t>-</w:t>
      </w:r>
      <w:r>
        <w:rPr>
          <w:rFonts w:hint="default"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4.5-8</w:t>
      </w:r>
      <w:r>
        <w:rPr>
          <w:rFonts w:hint="default" w:ascii="Times New Roman" w:hAnsi="Times New Roman" w:cs="Times New Roman"/>
          <w:b/>
          <w:color w:val="auto"/>
          <w:highlight w:val="none"/>
          <w:lang w:val="en-US" w:eastAsia="zh-CN"/>
        </w:rPr>
        <w:t xml:space="preserve"> 评价区重要物种植物统计表</w:t>
      </w:r>
    </w:p>
    <w:tbl>
      <w:tblPr>
        <w:tblStyle w:val="22"/>
        <w:tblW w:w="8787" w:type="dxa"/>
        <w:jc w:val="center"/>
        <w:tblLayout w:type="fixed"/>
        <w:tblCellMar>
          <w:top w:w="0" w:type="dxa"/>
          <w:left w:w="0" w:type="dxa"/>
          <w:bottom w:w="0" w:type="dxa"/>
          <w:right w:w="0" w:type="dxa"/>
        </w:tblCellMar>
      </w:tblPr>
      <w:tblGrid>
        <w:gridCol w:w="1015"/>
        <w:gridCol w:w="1986"/>
        <w:gridCol w:w="567"/>
        <w:gridCol w:w="567"/>
        <w:gridCol w:w="567"/>
        <w:gridCol w:w="567"/>
        <w:gridCol w:w="1800"/>
        <w:gridCol w:w="2310"/>
        <w:gridCol w:w="851"/>
      </w:tblGrid>
      <w:tr>
        <w:tblPrEx>
          <w:tblCellMar>
            <w:top w:w="0" w:type="dxa"/>
            <w:left w:w="0" w:type="dxa"/>
            <w:bottom w:w="0" w:type="dxa"/>
            <w:right w:w="0" w:type="dxa"/>
          </w:tblCellMar>
        </w:tblPrEx>
        <w:trPr>
          <w:trHeight w:val="20" w:hRule="atLeast"/>
          <w:jc w:val="center"/>
        </w:trPr>
        <w:tc>
          <w:tcPr>
            <w:tcW w:w="10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种中文名</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种拉丁名</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保护级别</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濒危等级</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中国特有种</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极小种群</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分布区域</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资料来源</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工程是否占用</w:t>
            </w:r>
          </w:p>
        </w:tc>
      </w:tr>
      <w:tr>
        <w:tblPrEx>
          <w:tblCellMar>
            <w:top w:w="0" w:type="dxa"/>
            <w:left w:w="0" w:type="dxa"/>
            <w:bottom w:w="0" w:type="dxa"/>
            <w:right w:w="0" w:type="dxa"/>
          </w:tblCellMar>
        </w:tblPrEx>
        <w:trPr>
          <w:trHeight w:val="20" w:hRule="atLeast"/>
          <w:jc w:val="center"/>
        </w:trPr>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石龙芮</w:t>
            </w:r>
          </w:p>
        </w:tc>
        <w:tc>
          <w:tcPr>
            <w:tcW w:w="1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Ranunculus sceleratus</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LC</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江边零星分布</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历史调查资料、现场调查</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CellMar>
            <w:top w:w="0" w:type="dxa"/>
            <w:left w:w="0" w:type="dxa"/>
            <w:bottom w:w="0" w:type="dxa"/>
            <w:right w:w="0" w:type="dxa"/>
          </w:tblCellMar>
        </w:tblPrEx>
        <w:trPr>
          <w:trHeight w:val="20" w:hRule="atLeast"/>
          <w:jc w:val="center"/>
        </w:trPr>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紫云英</w:t>
            </w:r>
          </w:p>
        </w:tc>
        <w:tc>
          <w:tcPr>
            <w:tcW w:w="1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Astragalus sinicus</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LC</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评价区农田</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历史调查资料、现场调查</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CellMar>
            <w:top w:w="0" w:type="dxa"/>
            <w:left w:w="0" w:type="dxa"/>
            <w:bottom w:w="0" w:type="dxa"/>
            <w:right w:w="0" w:type="dxa"/>
          </w:tblCellMar>
        </w:tblPrEx>
        <w:trPr>
          <w:trHeight w:val="20" w:hRule="atLeast"/>
          <w:jc w:val="center"/>
        </w:trPr>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白车轴草</w:t>
            </w:r>
          </w:p>
        </w:tc>
        <w:tc>
          <w:tcPr>
            <w:tcW w:w="1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Trifolium repens</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LC</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道路、公园附近</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历史调查资料、现场调查</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CellMar>
            <w:top w:w="0" w:type="dxa"/>
            <w:left w:w="0" w:type="dxa"/>
            <w:bottom w:w="0" w:type="dxa"/>
            <w:right w:w="0" w:type="dxa"/>
          </w:tblCellMar>
        </w:tblPrEx>
        <w:trPr>
          <w:trHeight w:val="20" w:hRule="atLeast"/>
          <w:jc w:val="center"/>
        </w:trPr>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酢浆草</w:t>
            </w:r>
          </w:p>
        </w:tc>
        <w:tc>
          <w:tcPr>
            <w:tcW w:w="1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Oxalis corniculata</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LC</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公园附近</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历史调查资料、现场调查</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CellMar>
            <w:top w:w="0" w:type="dxa"/>
            <w:left w:w="0" w:type="dxa"/>
            <w:bottom w:w="0" w:type="dxa"/>
            <w:right w:w="0" w:type="dxa"/>
          </w:tblCellMar>
        </w:tblPrEx>
        <w:trPr>
          <w:trHeight w:val="20" w:hRule="atLeast"/>
          <w:jc w:val="center"/>
        </w:trPr>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白花泡桐</w:t>
            </w:r>
          </w:p>
        </w:tc>
        <w:tc>
          <w:tcPr>
            <w:tcW w:w="1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Paulownia fortunei</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LC</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荒地附近</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历史调查资料、现场调查</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r>
      <w:tr>
        <w:tblPrEx>
          <w:tblCellMar>
            <w:top w:w="0" w:type="dxa"/>
            <w:left w:w="0" w:type="dxa"/>
            <w:bottom w:w="0" w:type="dxa"/>
            <w:right w:w="0" w:type="dxa"/>
          </w:tblCellMar>
        </w:tblPrEx>
        <w:trPr>
          <w:trHeight w:val="20" w:hRule="atLeast"/>
          <w:jc w:val="center"/>
        </w:trPr>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细风轮菜</w:t>
            </w:r>
          </w:p>
        </w:tc>
        <w:tc>
          <w:tcPr>
            <w:tcW w:w="1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Clinopodium gracile</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LC</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公园附近</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历史调查资料、现场调查</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CellMar>
            <w:top w:w="0" w:type="dxa"/>
            <w:left w:w="0" w:type="dxa"/>
            <w:bottom w:w="0" w:type="dxa"/>
            <w:right w:w="0" w:type="dxa"/>
          </w:tblCellMar>
        </w:tblPrEx>
        <w:trPr>
          <w:trHeight w:val="20" w:hRule="atLeast"/>
          <w:jc w:val="center"/>
        </w:trPr>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接骨草</w:t>
            </w:r>
          </w:p>
        </w:tc>
        <w:tc>
          <w:tcPr>
            <w:tcW w:w="1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Sambucus javanica</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LC</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公园附近</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历史调查资料、现场调查</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CellMar>
            <w:top w:w="0" w:type="dxa"/>
            <w:left w:w="0" w:type="dxa"/>
            <w:bottom w:w="0" w:type="dxa"/>
            <w:right w:w="0" w:type="dxa"/>
          </w:tblCellMar>
        </w:tblPrEx>
        <w:trPr>
          <w:trHeight w:val="20" w:hRule="atLeast"/>
          <w:jc w:val="center"/>
        </w:trPr>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蛇莓</w:t>
            </w:r>
          </w:p>
        </w:tc>
        <w:tc>
          <w:tcPr>
            <w:tcW w:w="1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Duchesnea indica</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NT</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公园附近</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历史调查资料、现场调查</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bl>
    <w:p>
      <w:pPr>
        <w:keepNext w:val="0"/>
        <w:keepLines w:val="0"/>
        <w:pageBreakBefore w:val="0"/>
        <w:kinsoku/>
        <w:wordWrap/>
        <w:overflowPunct/>
        <w:topLinePunct w:val="0"/>
        <w:autoSpaceDE/>
        <w:autoSpaceDN/>
        <w:bidi w:val="0"/>
        <w:spacing w:line="360" w:lineRule="auto"/>
        <w:ind w:firstLine="482"/>
        <w:textAlignment w:val="auto"/>
        <w:outlineLvl w:val="9"/>
        <w:rPr>
          <w:rFonts w:hint="default" w:ascii="Times New Roman" w:hAnsi="Times New Roman" w:cs="Times New Roman"/>
          <w:b/>
          <w:bCs/>
          <w:color w:val="auto"/>
          <w:sz w:val="24"/>
          <w:szCs w:val="24"/>
          <w:highlight w:val="none"/>
        </w:rPr>
      </w:pPr>
      <w:bookmarkStart w:id="94" w:name="_Hlk137992930"/>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古</w:t>
      </w:r>
      <w:r>
        <w:rPr>
          <w:rFonts w:hint="default" w:ascii="Times New Roman" w:hAnsi="Times New Roman" w:cs="Times New Roman"/>
          <w:b/>
          <w:bCs/>
          <w:color w:val="auto"/>
          <w:sz w:val="24"/>
          <w:szCs w:val="24"/>
          <w:highlight w:val="none"/>
          <w:lang w:val="en-US" w:eastAsia="zh-CN"/>
        </w:rPr>
        <w:t>大</w:t>
      </w:r>
      <w:r>
        <w:rPr>
          <w:rFonts w:hint="default" w:ascii="Times New Roman" w:hAnsi="Times New Roman" w:cs="Times New Roman"/>
          <w:b/>
          <w:bCs/>
          <w:color w:val="auto"/>
          <w:sz w:val="24"/>
          <w:szCs w:val="24"/>
          <w:highlight w:val="none"/>
        </w:rPr>
        <w:t>树</w:t>
      </w:r>
    </w:p>
    <w:p>
      <w:pPr>
        <w:keepNext w:val="0"/>
        <w:keepLines w:val="0"/>
        <w:pageBreakBefore w:val="0"/>
        <w:kinsoku/>
        <w:wordWrap/>
        <w:overflowPunct/>
        <w:topLinePunct w:val="0"/>
        <w:autoSpaceDE/>
        <w:autoSpaceDN/>
        <w:bidi w:val="0"/>
        <w:spacing w:line="360" w:lineRule="auto"/>
        <w:ind w:firstLine="48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古树根据《湖南省人民政府关于修订湖南省地方重点保护野生植物名录的通知》（湘政函〔2002〕172号）、《湖南省林业条例》（湖南省人大常委会2012年修订）、《全绿委关于开展古树名木普查建档工作的通知》（全国绿化委员会、国家林业局，全绿字〔2001〕15号）确定。参考</w:t>
      </w:r>
      <w:r>
        <w:rPr>
          <w:rFonts w:hint="default" w:ascii="Times New Roman" w:hAnsi="Times New Roman" w:cs="Times New Roman"/>
          <w:bCs/>
          <w:color w:val="auto"/>
          <w:sz w:val="24"/>
          <w:szCs w:val="24"/>
          <w:highlight w:val="none"/>
        </w:rPr>
        <w:t>《湖南古树名木》（邓三龙等，2011年）</w:t>
      </w:r>
      <w:r>
        <w:rPr>
          <w:rFonts w:hint="default" w:ascii="Times New Roman" w:hAnsi="Times New Roman" w:cs="Times New Roman"/>
          <w:color w:val="auto"/>
          <w:kern w:val="0"/>
          <w:sz w:val="24"/>
          <w:szCs w:val="24"/>
          <w:highlight w:val="none"/>
        </w:rPr>
        <w:t>及</w:t>
      </w:r>
      <w:r>
        <w:rPr>
          <w:rFonts w:hint="default" w:ascii="Times New Roman" w:hAnsi="Times New Roman" w:cs="Times New Roman"/>
          <w:color w:val="auto"/>
          <w:sz w:val="24"/>
          <w:szCs w:val="24"/>
          <w:highlight w:val="none"/>
        </w:rPr>
        <w:t>本工程所在行政区内关于</w:t>
      </w:r>
      <w:r>
        <w:rPr>
          <w:rFonts w:hint="default" w:ascii="Times New Roman" w:hAnsi="Times New Roman" w:cs="Times New Roman"/>
          <w:bCs/>
          <w:color w:val="auto"/>
          <w:sz w:val="24"/>
          <w:szCs w:val="24"/>
          <w:highlight w:val="none"/>
        </w:rPr>
        <w:t>古树及其分布资料，</w:t>
      </w:r>
      <w:r>
        <w:rPr>
          <w:rFonts w:hint="default" w:ascii="Times New Roman" w:hAnsi="Times New Roman" w:cs="Times New Roman"/>
          <w:color w:val="auto"/>
          <w:sz w:val="24"/>
          <w:szCs w:val="24"/>
          <w:highlight w:val="none"/>
        </w:rPr>
        <w:t>同时对项目所在区域的林业局、附近村民进行访问调查及现场实地调查</w:t>
      </w:r>
      <w:r>
        <w:rPr>
          <w:rFonts w:hint="default" w:ascii="Times New Roman" w:hAnsi="Times New Roman" w:cs="Times New Roman"/>
          <w:bCs/>
          <w:color w:val="auto"/>
          <w:sz w:val="24"/>
          <w:szCs w:val="24"/>
          <w:highlight w:val="none"/>
        </w:rPr>
        <w:t>，在评价区内</w:t>
      </w:r>
      <w:r>
        <w:rPr>
          <w:rFonts w:hint="default" w:ascii="Times New Roman" w:hAnsi="Times New Roman" w:cs="Times New Roman"/>
          <w:color w:val="auto"/>
          <w:sz w:val="24"/>
          <w:szCs w:val="24"/>
          <w:highlight w:val="none"/>
        </w:rPr>
        <w:t>发现古</w:t>
      </w:r>
      <w:r>
        <w:rPr>
          <w:rFonts w:hint="default" w:ascii="Times New Roman" w:hAnsi="Times New Roman" w:cs="Times New Roman"/>
          <w:color w:val="auto"/>
          <w:sz w:val="24"/>
          <w:szCs w:val="24"/>
          <w:highlight w:val="none"/>
          <w:lang w:val="en-US" w:eastAsia="zh-CN"/>
        </w:rPr>
        <w:t>大树</w:t>
      </w:r>
      <w:r>
        <w:rPr>
          <w:rFonts w:hint="default" w:ascii="Times New Roman" w:hAnsi="Times New Roman" w:cs="Times New Roman"/>
          <w:color w:val="auto"/>
          <w:sz w:val="24"/>
          <w:szCs w:val="24"/>
          <w:highlight w:val="none"/>
        </w:rPr>
        <w:t>9株，</w:t>
      </w:r>
      <w:r>
        <w:rPr>
          <w:rFonts w:hint="default" w:ascii="Times New Roman" w:hAnsi="Times New Roman" w:cs="Times New Roman"/>
          <w:color w:val="auto"/>
          <w:sz w:val="24"/>
          <w:szCs w:val="24"/>
          <w:highlight w:val="none"/>
          <w:lang w:val="en-US" w:eastAsia="zh-CN"/>
        </w:rPr>
        <w:t>全部为樟树，</w:t>
      </w:r>
      <w:r>
        <w:rPr>
          <w:rFonts w:hint="default" w:ascii="Times New Roman" w:hAnsi="Times New Roman" w:cs="Times New Roman"/>
          <w:color w:val="auto"/>
          <w:sz w:val="24"/>
          <w:szCs w:val="24"/>
          <w:highlight w:val="none"/>
        </w:rPr>
        <w:t>其中有7株已被林业记录建档。以上古</w:t>
      </w:r>
      <w:r>
        <w:rPr>
          <w:rFonts w:hint="default" w:ascii="Times New Roman" w:hAnsi="Times New Roman" w:cs="Times New Roman"/>
          <w:color w:val="auto"/>
          <w:sz w:val="24"/>
          <w:szCs w:val="24"/>
          <w:highlight w:val="none"/>
          <w:lang w:val="en-US" w:eastAsia="zh-CN"/>
        </w:rPr>
        <w:t>大</w:t>
      </w:r>
      <w:r>
        <w:rPr>
          <w:rFonts w:hint="default" w:ascii="Times New Roman" w:hAnsi="Times New Roman" w:cs="Times New Roman"/>
          <w:color w:val="auto"/>
          <w:sz w:val="24"/>
          <w:szCs w:val="24"/>
          <w:highlight w:val="none"/>
        </w:rPr>
        <w:t>树除其中1株生长情况较弱外，其余8株整体生长势态良好。</w:t>
      </w:r>
    </w:p>
    <w:p>
      <w:pPr>
        <w:keepNext w:val="0"/>
        <w:keepLines w:val="0"/>
        <w:pageBreakBefore w:val="0"/>
        <w:kinsoku/>
        <w:wordWrap/>
        <w:overflowPunct/>
        <w:topLinePunct w:val="0"/>
        <w:autoSpaceDE/>
        <w:autoSpaceDN/>
        <w:bidi w:val="0"/>
        <w:spacing w:line="360" w:lineRule="auto"/>
        <w:ind w:firstLine="480"/>
        <w:textAlignment w:val="auto"/>
        <w:outlineLvl w:val="9"/>
        <w:rPr>
          <w:rFonts w:hint="default" w:ascii="Times New Roman" w:hAnsi="Times New Roman" w:cs="Times New Roman"/>
          <w:color w:val="auto"/>
          <w:sz w:val="24"/>
          <w:szCs w:val="24"/>
          <w:highlight w:val="none"/>
        </w:rPr>
      </w:pPr>
    </w:p>
    <w:p>
      <w:pPr>
        <w:pStyle w:val="9"/>
        <w:keepNext w:val="0"/>
        <w:keepLines w:val="0"/>
        <w:pageBreakBefore w:val="0"/>
        <w:kinsoku/>
        <w:wordWrap/>
        <w:overflowPunct/>
        <w:topLinePunct w:val="0"/>
        <w:autoSpaceDE/>
        <w:autoSpaceDN/>
        <w:bidi w:val="0"/>
        <w:spacing w:after="62"/>
        <w:ind w:firstLine="400"/>
        <w:textAlignment w:val="auto"/>
        <w:outlineLvl w:val="9"/>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cs="Times New Roman"/>
          <w:b/>
          <w:color w:val="auto"/>
          <w:highlight w:val="none"/>
          <w:lang w:val="en-US" w:eastAsia="zh-CN"/>
        </w:rPr>
        <w:t>4.5-9</w:t>
      </w:r>
      <w:r>
        <w:rPr>
          <w:rFonts w:hint="default" w:ascii="Times New Roman" w:hAnsi="Times New Roman" w:cs="Times New Roman"/>
          <w:b/>
          <w:color w:val="auto"/>
          <w:highlight w:val="none"/>
          <w:lang w:val="en-US" w:eastAsia="zh-CN"/>
        </w:rPr>
        <w:t xml:space="preserve"> 项目评价内古树一览表</w:t>
      </w:r>
    </w:p>
    <w:tbl>
      <w:tblPr>
        <w:tblStyle w:val="22"/>
        <w:tblW w:w="14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5"/>
        <w:gridCol w:w="763"/>
        <w:gridCol w:w="1462"/>
        <w:gridCol w:w="913"/>
        <w:gridCol w:w="1837"/>
        <w:gridCol w:w="882"/>
        <w:gridCol w:w="1106"/>
        <w:gridCol w:w="2487"/>
        <w:gridCol w:w="3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rPr>
              <w:t>序号</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rPr>
              <w:t>中文名</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rPr>
              <w:t>拉丁名</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rPr>
              <w:t>地名</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rPr>
              <w:t>纬经度</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rPr>
              <w:t>树龄</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保护</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rPr>
              <w:t>等级</w:t>
            </w:r>
          </w:p>
        </w:tc>
        <w:tc>
          <w:tcPr>
            <w:tcW w:w="2487" w:type="dxa"/>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kern w:val="0"/>
                <w:szCs w:val="21"/>
                <w:highlight w:val="none"/>
              </w:rPr>
              <w:t>与工程区位置关系</w:t>
            </w:r>
          </w:p>
        </w:tc>
        <w:tc>
          <w:tcPr>
            <w:tcW w:w="3912"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kern w:val="0"/>
                <w:szCs w:val="21"/>
                <w:highlight w:val="none"/>
              </w:rPr>
              <w:t>现场照片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樟</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Cinnamomum camphora</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龙家坪外侧江边</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112°37'31.6089"E</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26°52'35.1842"N</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未挂牌</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2487" w:type="dxa"/>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位于湘江东岸沿江风光带整治工程红线范围外，距离项目红线7m</w:t>
            </w:r>
          </w:p>
        </w:tc>
        <w:tc>
          <w:tcPr>
            <w:tcW w:w="3912"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1920875" cy="1440180"/>
                  <wp:effectExtent l="0" t="0" r="3175" b="7620"/>
                  <wp:docPr id="1947746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46715" name="图片 1"/>
                          <pic:cNvPicPr>
                            <a:picLocks noChangeAspect="1"/>
                          </pic:cNvPicPr>
                        </pic:nvPicPr>
                        <pic:blipFill>
                          <a:blip r:embed="rId90"/>
                          <a:stretch>
                            <a:fillRect/>
                          </a:stretch>
                        </pic:blipFill>
                        <pic:spPr>
                          <a:xfrm>
                            <a:off x="0" y="0"/>
                            <a:ext cx="1920875"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樟</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i/>
                <w:iCs/>
                <w:color w:val="auto"/>
                <w:kern w:val="0"/>
                <w:szCs w:val="21"/>
                <w:highlight w:val="none"/>
              </w:rPr>
              <w:t>Cinnamomum camphora</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东洲</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112°37'31.0682"E</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26°52'26.7004"N</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三级</w:t>
            </w:r>
          </w:p>
        </w:tc>
        <w:tc>
          <w:tcPr>
            <w:tcW w:w="2487"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位于东洲岛景观提升工程范围内</w:t>
            </w:r>
          </w:p>
        </w:tc>
        <w:tc>
          <w:tcPr>
            <w:tcW w:w="3912"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1125220" cy="1440180"/>
                  <wp:effectExtent l="0" t="0" r="17780" b="7620"/>
                  <wp:docPr id="344594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94786" name="图片 1"/>
                          <pic:cNvPicPr>
                            <a:picLocks noChangeAspect="1"/>
                          </pic:cNvPicPr>
                        </pic:nvPicPr>
                        <pic:blipFill>
                          <a:blip r:embed="rId91"/>
                          <a:stretch>
                            <a:fillRect/>
                          </a:stretch>
                        </pic:blipFill>
                        <pic:spPr>
                          <a:xfrm>
                            <a:off x="0" y="0"/>
                            <a:ext cx="1125220"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樟</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i/>
                <w:iCs/>
                <w:color w:val="auto"/>
                <w:kern w:val="0"/>
                <w:szCs w:val="21"/>
                <w:highlight w:val="none"/>
              </w:rPr>
              <w:t>Cinnamomum camphora</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东洲</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112°37'24.3766"E</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26°52'29.7839"N</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813</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一级</w:t>
            </w:r>
          </w:p>
        </w:tc>
        <w:tc>
          <w:tcPr>
            <w:tcW w:w="2487"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位于东洲岛景观提升工程范围内</w:t>
            </w:r>
          </w:p>
        </w:tc>
        <w:tc>
          <w:tcPr>
            <w:tcW w:w="3912"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1920875" cy="1440180"/>
                  <wp:effectExtent l="0" t="0" r="3175" b="7620"/>
                  <wp:docPr id="1779665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65502" name="图片 1"/>
                          <pic:cNvPicPr>
                            <a:picLocks noChangeAspect="1"/>
                          </pic:cNvPicPr>
                        </pic:nvPicPr>
                        <pic:blipFill>
                          <a:blip r:embed="rId92"/>
                          <a:stretch>
                            <a:fillRect/>
                          </a:stretch>
                        </pic:blipFill>
                        <pic:spPr>
                          <a:xfrm>
                            <a:off x="0" y="0"/>
                            <a:ext cx="1920875"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樟</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i/>
                <w:iCs/>
                <w:color w:val="auto"/>
                <w:kern w:val="0"/>
                <w:szCs w:val="21"/>
                <w:highlight w:val="none"/>
              </w:rPr>
              <w:t>Cinnamomum camphora</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东洲</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112°37'19.9155"E</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26°52'33.0224"N</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未挂牌</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2487"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位于东洲岛景观提升工程范围内</w:t>
            </w:r>
          </w:p>
        </w:tc>
        <w:tc>
          <w:tcPr>
            <w:tcW w:w="3912"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1920875" cy="1440180"/>
                  <wp:effectExtent l="0" t="0" r="3175" b="7620"/>
                  <wp:docPr id="1732896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96228" name="图片 1"/>
                          <pic:cNvPicPr>
                            <a:picLocks noChangeAspect="1"/>
                          </pic:cNvPicPr>
                        </pic:nvPicPr>
                        <pic:blipFill>
                          <a:blip r:embed="rId93"/>
                          <a:stretch>
                            <a:fillRect/>
                          </a:stretch>
                        </pic:blipFill>
                        <pic:spPr>
                          <a:xfrm>
                            <a:off x="0" y="0"/>
                            <a:ext cx="1920875"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樟</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i/>
                <w:iCs/>
                <w:color w:val="auto"/>
                <w:kern w:val="0"/>
                <w:szCs w:val="21"/>
                <w:highlight w:val="none"/>
              </w:rPr>
              <w:t>Cinnamomum camphora</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东洲</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112°37'18.8920"E</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26°52'33.5305"N</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118</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三级</w:t>
            </w:r>
          </w:p>
        </w:tc>
        <w:tc>
          <w:tcPr>
            <w:tcW w:w="2487"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位于东洲岛景观提升工程范围内</w:t>
            </w:r>
          </w:p>
        </w:tc>
        <w:tc>
          <w:tcPr>
            <w:tcW w:w="3912" w:type="dxa"/>
            <w:vAlign w:val="center"/>
          </w:tcPr>
          <w:p>
            <w:pPr>
              <w:pStyle w:val="8"/>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0" distR="0">
                  <wp:extent cx="1920875" cy="1440180"/>
                  <wp:effectExtent l="0" t="0" r="3175" b="7620"/>
                  <wp:docPr id="2953005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00574" name="图片 1"/>
                          <pic:cNvPicPr>
                            <a:picLocks noChangeAspect="1"/>
                          </pic:cNvPicPr>
                        </pic:nvPicPr>
                        <pic:blipFill>
                          <a:blip r:embed="rId94"/>
                          <a:stretch>
                            <a:fillRect/>
                          </a:stretch>
                        </pic:blipFill>
                        <pic:spPr>
                          <a:xfrm>
                            <a:off x="0" y="0"/>
                            <a:ext cx="1920875"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樟</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（生长势态较弱）</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i/>
                <w:iCs/>
                <w:color w:val="auto"/>
                <w:kern w:val="0"/>
                <w:szCs w:val="21"/>
                <w:highlight w:val="none"/>
              </w:rPr>
              <w:t>Cinnamomum camphora</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东洲</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112°37'17.4243"E</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26°52'33.3066"N</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173</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三级</w:t>
            </w:r>
          </w:p>
        </w:tc>
        <w:tc>
          <w:tcPr>
            <w:tcW w:w="2487"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位于东洲岛景观提升工程范围内</w:t>
            </w:r>
          </w:p>
        </w:tc>
        <w:tc>
          <w:tcPr>
            <w:tcW w:w="3912"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1920875" cy="1440180"/>
                  <wp:effectExtent l="0" t="0" r="3175" b="7620"/>
                  <wp:docPr id="1405687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87105" name="图片 1"/>
                          <pic:cNvPicPr>
                            <a:picLocks noChangeAspect="1"/>
                          </pic:cNvPicPr>
                        </pic:nvPicPr>
                        <pic:blipFill>
                          <a:blip r:embed="rId95"/>
                          <a:stretch>
                            <a:fillRect/>
                          </a:stretch>
                        </pic:blipFill>
                        <pic:spPr>
                          <a:xfrm>
                            <a:off x="0" y="0"/>
                            <a:ext cx="1920875"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樟</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i/>
                <w:iCs/>
                <w:color w:val="auto"/>
                <w:kern w:val="0"/>
                <w:szCs w:val="21"/>
                <w:highlight w:val="none"/>
              </w:rPr>
              <w:t>Cinnamomum camphora</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东洲</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112°37'16.5263"E</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26°52'33.7459"N</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273</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三级</w:t>
            </w:r>
          </w:p>
        </w:tc>
        <w:tc>
          <w:tcPr>
            <w:tcW w:w="2487"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位于东洲岛景观提升工程范围内</w:t>
            </w:r>
          </w:p>
        </w:tc>
        <w:tc>
          <w:tcPr>
            <w:tcW w:w="3912"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1125220" cy="1440180"/>
                  <wp:effectExtent l="0" t="0" r="17780" b="7620"/>
                  <wp:docPr id="75544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4015" name="图片 1"/>
                          <pic:cNvPicPr>
                            <a:picLocks noChangeAspect="1"/>
                          </pic:cNvPicPr>
                        </pic:nvPicPr>
                        <pic:blipFill>
                          <a:blip r:embed="rId96"/>
                          <a:stretch>
                            <a:fillRect/>
                          </a:stretch>
                        </pic:blipFill>
                        <pic:spPr>
                          <a:xfrm>
                            <a:off x="0" y="0"/>
                            <a:ext cx="1125220"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樟</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i/>
                <w:iCs/>
                <w:color w:val="auto"/>
                <w:kern w:val="0"/>
                <w:szCs w:val="21"/>
                <w:highlight w:val="none"/>
              </w:rPr>
              <w:t>Cinnamomum camphora</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东洲</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112°37'16.3428"E</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26°52'33.5133"N</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313</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二级</w:t>
            </w:r>
          </w:p>
        </w:tc>
        <w:tc>
          <w:tcPr>
            <w:tcW w:w="2487"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位于东洲岛景观提升工程范围内</w:t>
            </w:r>
          </w:p>
        </w:tc>
        <w:tc>
          <w:tcPr>
            <w:tcW w:w="3912"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1125220" cy="1440180"/>
                  <wp:effectExtent l="0" t="0" r="17780" b="7620"/>
                  <wp:docPr id="1974951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51019" name="图片 1"/>
                          <pic:cNvPicPr>
                            <a:picLocks noChangeAspect="1"/>
                          </pic:cNvPicPr>
                        </pic:nvPicPr>
                        <pic:blipFill>
                          <a:blip r:embed="rId97"/>
                          <a:stretch>
                            <a:fillRect/>
                          </a:stretch>
                        </pic:blipFill>
                        <pic:spPr>
                          <a:xfrm>
                            <a:off x="0" y="0"/>
                            <a:ext cx="1125220"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5"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w:t>
            </w:r>
          </w:p>
        </w:tc>
        <w:tc>
          <w:tcPr>
            <w:tcW w:w="76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樟</w:t>
            </w:r>
          </w:p>
        </w:tc>
        <w:tc>
          <w:tcPr>
            <w:tcW w:w="146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i/>
                <w:iCs/>
                <w:color w:val="auto"/>
                <w:kern w:val="0"/>
                <w:szCs w:val="21"/>
                <w:highlight w:val="none"/>
              </w:rPr>
              <w:t>Cinnamomum camphora</w:t>
            </w:r>
          </w:p>
        </w:tc>
        <w:tc>
          <w:tcPr>
            <w:tcW w:w="913"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东洲</w:t>
            </w:r>
          </w:p>
        </w:tc>
        <w:tc>
          <w:tcPr>
            <w:tcW w:w="1837" w:type="dxa"/>
            <w:shd w:val="clear" w:color="auto" w:fill="auto"/>
            <w:noWrap/>
            <w:vAlign w:val="center"/>
          </w:tcPr>
          <w:p>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112°37'12.2873"E</w:t>
            </w:r>
          </w:p>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26°52'37.1221"N</w:t>
            </w:r>
          </w:p>
        </w:tc>
        <w:tc>
          <w:tcPr>
            <w:tcW w:w="882"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122</w:t>
            </w:r>
          </w:p>
        </w:tc>
        <w:tc>
          <w:tcPr>
            <w:tcW w:w="1106" w:type="dxa"/>
            <w:shd w:val="clear" w:color="auto" w:fill="auto"/>
            <w:noWrap/>
            <w:vAlign w:val="center"/>
          </w:tcPr>
          <w:p>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三级</w:t>
            </w:r>
          </w:p>
        </w:tc>
        <w:tc>
          <w:tcPr>
            <w:tcW w:w="2487"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位于东洲岛景观提升工程范围内</w:t>
            </w:r>
          </w:p>
        </w:tc>
        <w:tc>
          <w:tcPr>
            <w:tcW w:w="3912"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1125220" cy="1440180"/>
                  <wp:effectExtent l="0" t="0" r="17780" b="7620"/>
                  <wp:docPr id="1738519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19687" name="图片 1"/>
                          <pic:cNvPicPr>
                            <a:picLocks noChangeAspect="1"/>
                          </pic:cNvPicPr>
                        </pic:nvPicPr>
                        <pic:blipFill>
                          <a:blip r:embed="rId98"/>
                          <a:stretch>
                            <a:fillRect/>
                          </a:stretch>
                        </pic:blipFill>
                        <pic:spPr>
                          <a:xfrm>
                            <a:off x="0" y="0"/>
                            <a:ext cx="1125220" cy="1440180"/>
                          </a:xfrm>
                          <a:prstGeom prst="rect">
                            <a:avLst/>
                          </a:prstGeom>
                        </pic:spPr>
                      </pic:pic>
                    </a:graphicData>
                  </a:graphic>
                </wp:inline>
              </w:drawing>
            </w:r>
          </w:p>
        </w:tc>
      </w:tr>
    </w:tbl>
    <w:p>
      <w:pPr>
        <w:pStyle w:val="11"/>
        <w:spacing w:after="65" w:line="360" w:lineRule="auto"/>
        <w:ind w:firstLine="0" w:firstLineChars="0"/>
        <w:jc w:val="both"/>
        <w:rPr>
          <w:rFonts w:hint="default" w:ascii="Times New Roman" w:hAnsi="Times New Roman" w:cs="Times New Roman"/>
          <w:bCs/>
          <w:color w:val="auto"/>
          <w:highlight w:val="none"/>
        </w:rPr>
      </w:pPr>
    </w:p>
    <w:p>
      <w:pPr>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26" w:charSpace="0"/>
        </w:sectPr>
      </w:pPr>
    </w:p>
    <w:bookmarkEnd w:id="94"/>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bookmarkStart w:id="95" w:name="_Toc116917262"/>
      <w:r>
        <w:rPr>
          <w:rFonts w:hint="default" w:ascii="Times New Roman" w:hAnsi="Times New Roman" w:eastAsia="宋体" w:cs="Times New Roman"/>
          <w:b/>
          <w:bCs/>
          <w:color w:val="auto"/>
          <w:kern w:val="0"/>
          <w:sz w:val="24"/>
          <w:szCs w:val="24"/>
          <w:highlight w:val="none"/>
          <w:lang w:val="en-US" w:eastAsia="zh-CN" w:bidi="ar"/>
        </w:rPr>
        <w:t>（5）外来入侵物种</w:t>
      </w:r>
      <w:bookmarkEnd w:id="95"/>
    </w:p>
    <w:p>
      <w:pPr>
        <w:keepNext w:val="0"/>
        <w:keepLines w:val="0"/>
        <w:pageBreakBefore w:val="0"/>
        <w:widowControl/>
        <w:kinsoku/>
        <w:wordWrap/>
        <w:overflowPunct/>
        <w:topLinePunct w:val="0"/>
        <w:autoSpaceDE/>
        <w:autoSpaceDN/>
        <w:bidi w:val="0"/>
        <w:spacing w:line="360" w:lineRule="auto"/>
        <w:ind w:firstLine="480" w:firstLineChars="200"/>
        <w:jc w:val="left"/>
        <w:textAlignment w:val="center"/>
        <w:outlineLvl w:val="9"/>
        <w:rPr>
          <w:rFonts w:hint="default" w:ascii="Times New Roman" w:hAnsi="Times New Roman" w:cs="Times New Roman"/>
          <w:bCs/>
          <w:snapToGrid w:val="0"/>
          <w:color w:val="auto"/>
          <w:kern w:val="0"/>
          <w:sz w:val="24"/>
          <w:szCs w:val="28"/>
          <w:highlight w:val="none"/>
        </w:rPr>
      </w:pPr>
      <w:r>
        <w:rPr>
          <w:rFonts w:hint="default" w:ascii="Times New Roman" w:hAnsi="Times New Roman" w:cs="Times New Roman"/>
          <w:color w:val="auto"/>
          <w:sz w:val="24"/>
          <w:szCs w:val="24"/>
          <w:highlight w:val="none"/>
        </w:rPr>
        <w:t>根据《中国外来入侵物种名单》</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第一批，2003年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、《中国外来入侵物种名单》</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第二批，2010年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、《中国外来入侵物种名单》</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第三批，2014年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、《中国自然生态系统外来入侵物种名单》</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第四批，2016年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，以及查阅本工程所在行政区内关于外来入侵植物的相关资料，并进行实地调查，现场调查过程中发现外来入侵种6种，分别为</w:t>
      </w:r>
      <w:r>
        <w:rPr>
          <w:rFonts w:hint="default" w:ascii="Times New Roman" w:hAnsi="Times New Roman" w:cs="Times New Roman"/>
          <w:color w:val="auto"/>
          <w:kern w:val="0"/>
          <w:sz w:val="24"/>
          <w:szCs w:val="24"/>
          <w:highlight w:val="none"/>
        </w:rPr>
        <w:t>凤眼蓝、刺苋（</w:t>
      </w:r>
      <w:r>
        <w:rPr>
          <w:rFonts w:hint="default" w:ascii="Times New Roman" w:hAnsi="Times New Roman" w:cs="Times New Roman"/>
          <w:i/>
          <w:iCs/>
          <w:color w:val="auto"/>
          <w:kern w:val="0"/>
          <w:sz w:val="24"/>
          <w:szCs w:val="24"/>
          <w:highlight w:val="none"/>
        </w:rPr>
        <w:t>Amaranthus spinosus</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垂序商陆（</w:t>
      </w:r>
      <w:r>
        <w:rPr>
          <w:rFonts w:hint="default" w:ascii="Times New Roman" w:hAnsi="Times New Roman" w:cs="Times New Roman"/>
          <w:i/>
          <w:iCs/>
          <w:color w:val="auto"/>
          <w:kern w:val="0"/>
          <w:sz w:val="24"/>
          <w:szCs w:val="24"/>
          <w:highlight w:val="none"/>
        </w:rPr>
        <w:t>Phytolacca americana</w:t>
      </w:r>
      <w:r>
        <w:rPr>
          <w:rFonts w:hint="default" w:ascii="Times New Roman" w:hAnsi="Times New Roman" w:cs="Times New Roman"/>
          <w:color w:val="auto"/>
          <w:kern w:val="0"/>
          <w:sz w:val="24"/>
          <w:szCs w:val="24"/>
          <w:highlight w:val="none"/>
        </w:rPr>
        <w:t>）、鬼针草、小蓬草</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一年蓬</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highlight w:val="none"/>
        </w:rPr>
        <w:t>。</w:t>
      </w:r>
      <w:r>
        <w:rPr>
          <w:rFonts w:hint="default" w:ascii="Times New Roman" w:hAnsi="Times New Roman" w:cs="Times New Roman"/>
          <w:bCs/>
          <w:snapToGrid w:val="0"/>
          <w:color w:val="auto"/>
          <w:kern w:val="0"/>
          <w:sz w:val="24"/>
          <w:szCs w:val="28"/>
          <w:highlight w:val="none"/>
        </w:rPr>
        <w:t>其中凤眼莲作为漂浮植物主要分布于湘江及池塘等区域，其余植物作为陆生杂草，在评价区广泛分布于农田、村落、道路、荒地和公园等人类干扰强的区域。</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bookmarkStart w:id="96" w:name="_Ref113468296"/>
      <w:r>
        <w:rPr>
          <w:rFonts w:hint="default" w:ascii="Times New Roman" w:hAnsi="Times New Roman" w:cs="Times New Roman"/>
          <w:b/>
          <w:color w:val="auto"/>
          <w:highlight w:val="none"/>
          <w:lang w:val="en-US" w:eastAsia="zh-CN"/>
        </w:rPr>
        <w:t>表</w:t>
      </w:r>
      <w:bookmarkEnd w:id="96"/>
      <w:r>
        <w:rPr>
          <w:rFonts w:hint="default" w:cs="Times New Roman"/>
          <w:b/>
          <w:color w:val="auto"/>
          <w:highlight w:val="none"/>
          <w:lang w:val="en-US" w:eastAsia="zh-CN"/>
        </w:rPr>
        <w:t>4.5-10</w:t>
      </w:r>
      <w:r>
        <w:rPr>
          <w:rFonts w:hint="default" w:ascii="Times New Roman" w:hAnsi="Times New Roman" w:cs="Times New Roman"/>
          <w:b/>
          <w:color w:val="auto"/>
          <w:highlight w:val="none"/>
          <w:lang w:val="en-US" w:eastAsia="zh-CN"/>
        </w:rPr>
        <w:t xml:space="preserve"> 评价区主要外来入侵物种及分布</w:t>
      </w:r>
    </w:p>
    <w:tbl>
      <w:tblPr>
        <w:tblStyle w:val="22"/>
        <w:tblW w:w="9470" w:type="dxa"/>
        <w:tblInd w:w="1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5"/>
        <w:gridCol w:w="1349"/>
        <w:gridCol w:w="3115"/>
        <w:gridCol w:w="2579"/>
        <w:gridCol w:w="1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85"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序号</w:t>
            </w:r>
          </w:p>
        </w:tc>
        <w:tc>
          <w:tcPr>
            <w:tcW w:w="1349"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中文名</w:t>
            </w:r>
          </w:p>
        </w:tc>
        <w:tc>
          <w:tcPr>
            <w:tcW w:w="3115"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拉丁学名</w:t>
            </w:r>
          </w:p>
        </w:tc>
        <w:tc>
          <w:tcPr>
            <w:tcW w:w="2579"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分布</w:t>
            </w:r>
          </w:p>
        </w:tc>
        <w:tc>
          <w:tcPr>
            <w:tcW w:w="1542"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工程占地分布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85"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134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凤眼莲</w:t>
            </w:r>
          </w:p>
        </w:tc>
        <w:tc>
          <w:tcPr>
            <w:tcW w:w="3115"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Pontederia crassipes</w:t>
            </w:r>
          </w:p>
        </w:tc>
        <w:tc>
          <w:tcPr>
            <w:tcW w:w="257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湘江、池塘</w:t>
            </w:r>
          </w:p>
        </w:tc>
        <w:tc>
          <w:tcPr>
            <w:tcW w:w="1542"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85"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w:t>
            </w:r>
          </w:p>
        </w:tc>
        <w:tc>
          <w:tcPr>
            <w:tcW w:w="134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刺苋</w:t>
            </w:r>
          </w:p>
        </w:tc>
        <w:tc>
          <w:tcPr>
            <w:tcW w:w="3115"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Amaranthus spinosus</w:t>
            </w:r>
          </w:p>
        </w:tc>
        <w:tc>
          <w:tcPr>
            <w:tcW w:w="257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荒地、农田</w:t>
            </w:r>
          </w:p>
        </w:tc>
        <w:tc>
          <w:tcPr>
            <w:tcW w:w="1542"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85"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w:t>
            </w:r>
          </w:p>
        </w:tc>
        <w:tc>
          <w:tcPr>
            <w:tcW w:w="134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垂序商陆</w:t>
            </w:r>
          </w:p>
        </w:tc>
        <w:tc>
          <w:tcPr>
            <w:tcW w:w="3115"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Phytolacca americana</w:t>
            </w:r>
          </w:p>
        </w:tc>
        <w:tc>
          <w:tcPr>
            <w:tcW w:w="257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公园、荒地、道路旁</w:t>
            </w:r>
          </w:p>
        </w:tc>
        <w:tc>
          <w:tcPr>
            <w:tcW w:w="1542"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85"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w:t>
            </w:r>
          </w:p>
        </w:tc>
        <w:tc>
          <w:tcPr>
            <w:tcW w:w="134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鬼针草</w:t>
            </w:r>
          </w:p>
        </w:tc>
        <w:tc>
          <w:tcPr>
            <w:tcW w:w="3115"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Bidens pilosa</w:t>
            </w:r>
          </w:p>
        </w:tc>
        <w:tc>
          <w:tcPr>
            <w:tcW w:w="257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公园、荒地、道路旁</w:t>
            </w:r>
          </w:p>
        </w:tc>
        <w:tc>
          <w:tcPr>
            <w:tcW w:w="1542"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85"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w:t>
            </w:r>
          </w:p>
        </w:tc>
        <w:tc>
          <w:tcPr>
            <w:tcW w:w="134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小蓬草</w:t>
            </w:r>
          </w:p>
        </w:tc>
        <w:tc>
          <w:tcPr>
            <w:tcW w:w="3115"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Erigeron canadensis</w:t>
            </w:r>
          </w:p>
        </w:tc>
        <w:tc>
          <w:tcPr>
            <w:tcW w:w="257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公园、荒地、道路旁</w:t>
            </w:r>
          </w:p>
        </w:tc>
        <w:tc>
          <w:tcPr>
            <w:tcW w:w="1542"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85"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w:t>
            </w:r>
          </w:p>
        </w:tc>
        <w:tc>
          <w:tcPr>
            <w:tcW w:w="134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一年蓬</w:t>
            </w:r>
          </w:p>
        </w:tc>
        <w:tc>
          <w:tcPr>
            <w:tcW w:w="3115"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i/>
                <w:iCs/>
                <w:color w:val="auto"/>
                <w:kern w:val="0"/>
                <w:szCs w:val="21"/>
                <w:highlight w:val="none"/>
              </w:rPr>
            </w:pPr>
            <w:r>
              <w:rPr>
                <w:rFonts w:hint="default" w:ascii="Times New Roman" w:hAnsi="Times New Roman" w:cs="Times New Roman"/>
                <w:i/>
                <w:iCs/>
                <w:color w:val="auto"/>
                <w:kern w:val="0"/>
                <w:szCs w:val="21"/>
                <w:highlight w:val="none"/>
              </w:rPr>
              <w:t>Erigeron annuus</w:t>
            </w:r>
          </w:p>
        </w:tc>
        <w:tc>
          <w:tcPr>
            <w:tcW w:w="2579" w:type="dxa"/>
            <w:shd w:val="clear" w:color="auto" w:fill="auto"/>
            <w:noWrap/>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公园、荒地、道路旁</w:t>
            </w:r>
          </w:p>
        </w:tc>
        <w:tc>
          <w:tcPr>
            <w:tcW w:w="1542" w:type="dxa"/>
            <w:shd w:val="clear" w:color="auto" w:fill="auto"/>
            <w:vAlign w:val="center"/>
          </w:tcPr>
          <w:p>
            <w:pPr>
              <w:keepNext w:val="0"/>
              <w:keepLines w:val="0"/>
              <w:pageBreakBefore w:val="0"/>
              <w:widowControl/>
              <w:kinsoku/>
              <w:wordWrap/>
              <w:overflowPunct/>
              <w:topLinePunct w:val="0"/>
              <w:autoSpaceDE/>
              <w:autoSpaceDN/>
              <w:bidi w:val="0"/>
              <w:jc w:val="center"/>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r>
    </w:tbl>
    <w:p>
      <w:pPr>
        <w:keepNext w:val="0"/>
        <w:keepLines w:val="0"/>
        <w:pageBreakBefore w:val="0"/>
        <w:kinsoku/>
        <w:wordWrap/>
        <w:overflowPunct/>
        <w:topLinePunct w:val="0"/>
        <w:autoSpaceDE/>
        <w:autoSpaceDN/>
        <w:bidi w:val="0"/>
        <w:spacing w:line="360" w:lineRule="auto"/>
        <w:ind w:firstLine="480"/>
        <w:outlineLvl w:val="9"/>
        <w:rPr>
          <w:rFonts w:hint="default" w:ascii="Times New Roman" w:hAnsi="Times New Roman" w:cs="Times New Roman"/>
          <w:color w:val="auto"/>
          <w:sz w:val="24"/>
          <w:highlight w:val="none"/>
        </w:rPr>
      </w:pPr>
    </w:p>
    <w:tbl>
      <w:tblPr>
        <w:tblStyle w:val="22"/>
        <w:tblW w:w="5000" w:type="pct"/>
        <w:tblInd w:w="0" w:type="dxa"/>
        <w:tblLayout w:type="autofit"/>
        <w:tblCellMar>
          <w:top w:w="0" w:type="dxa"/>
          <w:left w:w="108" w:type="dxa"/>
          <w:bottom w:w="0" w:type="dxa"/>
          <w:right w:w="108" w:type="dxa"/>
        </w:tblCellMar>
      </w:tblPr>
      <w:tblGrid>
        <w:gridCol w:w="4261"/>
        <w:gridCol w:w="4261"/>
      </w:tblGrid>
      <w:tr>
        <w:tblPrEx>
          <w:tblCellMar>
            <w:top w:w="0" w:type="dxa"/>
            <w:left w:w="108" w:type="dxa"/>
            <w:bottom w:w="0" w:type="dxa"/>
            <w:right w:w="108" w:type="dxa"/>
          </w:tblCellMar>
        </w:tblPrEx>
        <w:tc>
          <w:tcPr>
            <w:tcW w:w="2500" w:type="pct"/>
            <w:vAlign w:val="center"/>
          </w:tcPr>
          <w:p>
            <w:pPr>
              <w:keepNext w:val="0"/>
              <w:keepLines w:val="0"/>
              <w:pageBreakBefore w:val="0"/>
              <w:kinsoku/>
              <w:wordWrap/>
              <w:overflowPunct/>
              <w:topLinePunct w:val="0"/>
              <w:autoSpaceDE/>
              <w:autoSpaceDN/>
              <w:bidi w:val="0"/>
              <w:adjustRightInd w:val="0"/>
              <w:snapToGrid w:val="0"/>
              <w:jc w:val="center"/>
              <w:outlineLvl w:val="9"/>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drawing>
                <wp:inline distT="0" distB="0" distL="0" distR="0">
                  <wp:extent cx="2667000" cy="1939925"/>
                  <wp:effectExtent l="0" t="0" r="0" b="3175"/>
                  <wp:docPr id="14774358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435828" name="图片 1"/>
                          <pic:cNvPicPr>
                            <a:picLocks noChangeAspect="1"/>
                          </pic:cNvPicPr>
                        </pic:nvPicPr>
                        <pic:blipFill>
                          <a:blip r:embed="rId99"/>
                          <a:stretch>
                            <a:fillRect/>
                          </a:stretch>
                        </pic:blipFill>
                        <pic:spPr>
                          <a:xfrm>
                            <a:off x="0" y="0"/>
                            <a:ext cx="2667600" cy="1940400"/>
                          </a:xfrm>
                          <a:prstGeom prst="rect">
                            <a:avLst/>
                          </a:prstGeom>
                        </pic:spPr>
                      </pic:pic>
                    </a:graphicData>
                  </a:graphic>
                </wp:inline>
              </w:drawing>
            </w:r>
          </w:p>
          <w:p>
            <w:pPr>
              <w:keepNext w:val="0"/>
              <w:keepLines w:val="0"/>
              <w:pageBreakBefore w:val="0"/>
              <w:kinsoku/>
              <w:wordWrap/>
              <w:overflowPunct/>
              <w:topLinePunct w:val="0"/>
              <w:autoSpaceDE/>
              <w:autoSpaceDN/>
              <w:bidi w:val="0"/>
              <w:adjustRightInd w:val="0"/>
              <w:snapToGrid w:val="0"/>
              <w:jc w:val="center"/>
              <w:outlineLvl w:val="9"/>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凤眼莲</w:t>
            </w:r>
            <w:r>
              <w:rPr>
                <w:rFonts w:hint="default" w:ascii="Times New Roman" w:hAnsi="Times New Roman" w:cs="Times New Roman"/>
                <w:i/>
                <w:iCs/>
                <w:color w:val="auto"/>
                <w:kern w:val="0"/>
                <w:szCs w:val="21"/>
                <w:highlight w:val="none"/>
                <w:lang w:bidi="ar"/>
              </w:rPr>
              <w:t xml:space="preserve"> </w:t>
            </w:r>
            <w:r>
              <w:rPr>
                <w:rFonts w:hint="default" w:ascii="Times New Roman" w:hAnsi="Times New Roman" w:cs="Times New Roman"/>
                <w:i/>
                <w:iCs/>
                <w:color w:val="auto"/>
                <w:kern w:val="0"/>
                <w:szCs w:val="21"/>
                <w:highlight w:val="none"/>
              </w:rPr>
              <w:t>Pontederia crassipes</w:t>
            </w:r>
          </w:p>
        </w:tc>
        <w:tc>
          <w:tcPr>
            <w:tcW w:w="2500" w:type="pct"/>
            <w:vAlign w:val="center"/>
          </w:tcPr>
          <w:p>
            <w:pPr>
              <w:keepNext w:val="0"/>
              <w:keepLines w:val="0"/>
              <w:pageBreakBefore w:val="0"/>
              <w:kinsoku/>
              <w:wordWrap/>
              <w:overflowPunct/>
              <w:topLinePunct w:val="0"/>
              <w:autoSpaceDE/>
              <w:autoSpaceDN/>
              <w:bidi w:val="0"/>
              <w:adjustRightInd w:val="0"/>
              <w:snapToGrid w:val="0"/>
              <w:jc w:val="center"/>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0" distR="0">
                  <wp:extent cx="2667000" cy="1939925"/>
                  <wp:effectExtent l="0" t="0" r="0" b="3175"/>
                  <wp:docPr id="1016835709" name="图片 1016835709"/>
                  <wp:cNvGraphicFramePr/>
                  <a:graphic xmlns:a="http://schemas.openxmlformats.org/drawingml/2006/main">
                    <a:graphicData uri="http://schemas.openxmlformats.org/drawingml/2006/picture">
                      <pic:pic xmlns:pic="http://schemas.openxmlformats.org/drawingml/2006/picture">
                        <pic:nvPicPr>
                          <pic:cNvPr id="1016835709" name="图片 1016835709"/>
                          <pic:cNvPicPr>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2667600" cy="194040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val="0"/>
              <w:snapToGrid w:val="0"/>
              <w:jc w:val="center"/>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 xml:space="preserve">垂序商陆 </w:t>
            </w:r>
            <w:r>
              <w:rPr>
                <w:rFonts w:hint="default" w:ascii="Times New Roman" w:hAnsi="Times New Roman" w:cs="Times New Roman"/>
                <w:i/>
                <w:iCs/>
                <w:color w:val="auto"/>
                <w:kern w:val="0"/>
                <w:szCs w:val="21"/>
                <w:highlight w:val="none"/>
                <w:lang w:bidi="ar"/>
              </w:rPr>
              <w:t>Phytolacca americana</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图</w:t>
      </w:r>
      <w:r>
        <w:rPr>
          <w:rFonts w:hint="default" w:cs="Times New Roman"/>
          <w:b/>
          <w:color w:val="auto"/>
          <w:highlight w:val="none"/>
          <w:lang w:val="en-US" w:eastAsia="zh-CN"/>
        </w:rPr>
        <w:t>4.3</w:t>
      </w:r>
      <w:r>
        <w:rPr>
          <w:rFonts w:hint="default" w:ascii="Times New Roman" w:hAnsi="Times New Roman" w:cs="Times New Roman"/>
          <w:b/>
          <w:color w:val="auto"/>
          <w:highlight w:val="none"/>
          <w:lang w:val="en-US" w:eastAsia="zh-CN"/>
        </w:rPr>
        <w:t>-15 评价区部分常见入侵植物</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4.5.3.2陆生</w:t>
      </w:r>
      <w:r>
        <w:rPr>
          <w:rFonts w:hint="eastAsia" w:cs="Times New Roman"/>
          <w:b/>
          <w:bCs/>
          <w:color w:val="auto"/>
          <w:kern w:val="0"/>
          <w:sz w:val="28"/>
          <w:szCs w:val="28"/>
          <w:highlight w:val="none"/>
          <w:lang w:val="en-US" w:eastAsia="zh-CN"/>
        </w:rPr>
        <w:t>脊柱</w:t>
      </w:r>
      <w:r>
        <w:rPr>
          <w:rFonts w:hint="default" w:ascii="Times New Roman" w:hAnsi="Times New Roman" w:eastAsia="宋体" w:cs="Times New Roman"/>
          <w:b/>
          <w:bCs/>
          <w:color w:val="auto"/>
          <w:kern w:val="0"/>
          <w:sz w:val="28"/>
          <w:szCs w:val="28"/>
          <w:highlight w:val="none"/>
          <w:lang w:val="en-US" w:eastAsia="zh-CN"/>
        </w:rPr>
        <w:t>动物现状</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（1）陆生动物调查</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rPr>
        <w:t>202</w:t>
      </w:r>
      <w:r>
        <w:rPr>
          <w:rFonts w:hint="default" w:ascii="Times New Roman" w:hAnsi="Times New Roman"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年</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月、2023年</w:t>
      </w:r>
      <w:r>
        <w:rPr>
          <w:rFonts w:hint="default" w:ascii="Times New Roman" w:hAnsi="Times New Roman" w:eastAsia="宋体"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rPr>
        <w:t>月，项目组技术人员对评价区进行了实地调查</w:t>
      </w:r>
      <w:r>
        <w:rPr>
          <w:rFonts w:hint="eastAsia" w:cs="Times New Roman"/>
          <w:color w:val="auto"/>
          <w:sz w:val="24"/>
          <w:szCs w:val="24"/>
          <w:highlight w:val="none"/>
          <w:lang w:eastAsia="zh-CN"/>
        </w:rPr>
        <w:t>，其中8月为区域野生动物繁殖期，11月为区域野生动物越冬期和迁徙期。基本满足《环境影响评价技术导则 生态影响》（HJ19-2022）二级评价要尽量获得野生动物繁殖期、越冬期、迁徙期等关键活动期的现状资料的要求。</w:t>
      </w:r>
      <w:r>
        <w:rPr>
          <w:rFonts w:hint="default" w:ascii="Times New Roman" w:hAnsi="Times New Roman" w:cs="Times New Roman"/>
          <w:color w:val="auto"/>
          <w:sz w:val="24"/>
          <w:szCs w:val="24"/>
          <w:highlight w:val="none"/>
        </w:rPr>
        <w:t>在调查过程中，根据工程特点，选择典型生境进行考察分析，采用样线法和调查访问法对陆生动物进行观察记录。在此基础上查阅并参考相关文献、著作，对评价区的动物资源现状得出综合结论。</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kern w:val="0"/>
          <w:sz w:val="24"/>
          <w:szCs w:val="24"/>
          <w:highlight w:val="none"/>
        </w:rPr>
        <w:t>根据《环境影响评价技术导则 生态影响》（HJ19-2022）二级评价的要求：二级评价每种生境类型设置的野生动物调查样线数量不少于3条。评价区内有乔木林、灌木林及采伐迹地、草原、农田、内陆水体、居住点</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rPr>
        <w:t>种典型生境。根据动物物种资源调查科学性原则、可操作性原则、保护性原则以及安全性原则，在评价区内设置有</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rPr>
        <w:t>条动物调查样线，其中</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rPr>
        <w:t>条样线包含乔木林、灌木林及采伐迹地生境、草原</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居住点生境；</w:t>
      </w:r>
      <w:r>
        <w:rPr>
          <w:rFonts w:hint="default" w:ascii="Times New Roman" w:hAnsi="Times New Roman"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rPr>
        <w:t>条样线包含内陆水体</w:t>
      </w:r>
      <w:r>
        <w:rPr>
          <w:rFonts w:hint="eastAsia" w:cs="Times New Roman"/>
          <w:color w:val="auto"/>
          <w:kern w:val="0"/>
          <w:sz w:val="24"/>
          <w:szCs w:val="24"/>
          <w:highlight w:val="none"/>
          <w:lang w:eastAsia="zh-CN"/>
        </w:rPr>
        <w:t>生态</w:t>
      </w:r>
      <w:r>
        <w:rPr>
          <w:rFonts w:hint="default" w:ascii="Times New Roman" w:hAnsi="Times New Roman" w:eastAsia="宋体" w:cs="Times New Roman"/>
          <w:color w:val="auto"/>
          <w:kern w:val="0"/>
          <w:sz w:val="24"/>
          <w:szCs w:val="24"/>
          <w:highlight w:val="none"/>
        </w:rPr>
        <w:t>；3条样线包含内</w:t>
      </w:r>
      <w:r>
        <w:rPr>
          <w:rFonts w:hint="default" w:ascii="Times New Roman" w:hAnsi="Times New Roman" w:cs="Times New Roman"/>
          <w:color w:val="auto"/>
          <w:kern w:val="0"/>
          <w:sz w:val="24"/>
          <w:szCs w:val="24"/>
          <w:highlight w:val="none"/>
          <w:lang w:val="en-US" w:eastAsia="zh-CN"/>
        </w:rPr>
        <w:t>农田</w:t>
      </w:r>
      <w:r>
        <w:rPr>
          <w:rFonts w:hint="default" w:ascii="Times New Roman" w:hAnsi="Times New Roman" w:eastAsia="宋体" w:cs="Times New Roman"/>
          <w:color w:val="auto"/>
          <w:kern w:val="0"/>
          <w:sz w:val="24"/>
          <w:szCs w:val="24"/>
          <w:highlight w:val="none"/>
        </w:rPr>
        <w:t>生境，每种生境类型涉及的样线数均不少于3条，满足《环境影响评价技术导则 生态影响》（HJ19-2022）相关要求。</w:t>
      </w:r>
      <w:r>
        <w:rPr>
          <w:rFonts w:hint="default" w:ascii="Times New Roman" w:hAnsi="Times New Roman" w:eastAsia="宋体" w:cs="Times New Roman"/>
          <w:bCs/>
          <w:color w:val="auto"/>
          <w:sz w:val="24"/>
          <w:szCs w:val="24"/>
          <w:highlight w:val="none"/>
        </w:rPr>
        <w:t>动物调查样线主要设置在</w:t>
      </w:r>
      <w:r>
        <w:rPr>
          <w:rFonts w:hint="default" w:ascii="Times New Roman" w:hAnsi="Times New Roman" w:cs="Times New Roman"/>
          <w:bCs/>
          <w:color w:val="auto"/>
          <w:sz w:val="24"/>
          <w:szCs w:val="24"/>
          <w:highlight w:val="none"/>
          <w:lang w:val="en-US" w:eastAsia="zh-CN"/>
        </w:rPr>
        <w:t>工程施工区域</w:t>
      </w:r>
      <w:r>
        <w:rPr>
          <w:rFonts w:hint="default" w:ascii="Times New Roman" w:hAnsi="Times New Roman" w:eastAsia="宋体" w:cs="Times New Roman"/>
          <w:bCs/>
          <w:color w:val="auto"/>
          <w:sz w:val="24"/>
          <w:szCs w:val="24"/>
          <w:highlight w:val="none"/>
        </w:rPr>
        <w:t>等永久或临时占地区和生境较好</w:t>
      </w:r>
      <w:r>
        <w:rPr>
          <w:rFonts w:hint="default" w:ascii="Times New Roman" w:hAnsi="Times New Roman" w:cs="Times New Roman"/>
          <w:bCs/>
          <w:color w:val="auto"/>
          <w:sz w:val="24"/>
          <w:szCs w:val="24"/>
          <w:highlight w:val="none"/>
          <w:lang w:val="en-US" w:eastAsia="zh-CN"/>
        </w:rPr>
        <w:t>区域</w:t>
      </w:r>
      <w:r>
        <w:rPr>
          <w:rFonts w:hint="default" w:ascii="Times New Roman" w:hAnsi="Times New Roman" w:eastAsia="宋体" w:cs="Times New Roman"/>
          <w:bCs/>
          <w:color w:val="auto"/>
          <w:sz w:val="24"/>
          <w:szCs w:val="24"/>
          <w:highlight w:val="none"/>
        </w:rPr>
        <w:t>，设置的</w:t>
      </w:r>
      <w:r>
        <w:rPr>
          <w:rFonts w:hint="default" w:ascii="Times New Roman" w:hAnsi="Times New Roman"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条动物样线覆盖了评价范围内的6种典型生境及不同海拔区域，通过不同生境和区域的调查，能够较准确反应评价区内动物现状和受影响的动物类群，动物样线设置具有合理性和代表性。</w:t>
      </w:r>
    </w:p>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4.5-11</w:t>
      </w:r>
      <w:r>
        <w:rPr>
          <w:rFonts w:hint="default" w:ascii="Times New Roman" w:hAnsi="Times New Roman" w:cs="Times New Roman"/>
          <w:b/>
          <w:color w:val="auto"/>
          <w:highlight w:val="none"/>
          <w:lang w:val="en-US" w:eastAsia="zh-CN"/>
        </w:rPr>
        <w:t xml:space="preserve"> 动物调查样线一览表</w:t>
      </w:r>
    </w:p>
    <w:tbl>
      <w:tblPr>
        <w:tblStyle w:val="22"/>
        <w:tblW w:w="1040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88"/>
        <w:gridCol w:w="1057"/>
        <w:gridCol w:w="671"/>
        <w:gridCol w:w="1504"/>
        <w:gridCol w:w="1563"/>
        <w:gridCol w:w="725"/>
        <w:gridCol w:w="3125"/>
        <w:gridCol w:w="9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7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61"/>
                <w:rFonts w:hint="default" w:ascii="Times New Roman" w:hAnsi="Times New Roman" w:eastAsia="宋体" w:cs="Times New Roman"/>
                <w:b/>
                <w:bCs/>
                <w:color w:val="auto"/>
                <w:sz w:val="21"/>
                <w:szCs w:val="21"/>
                <w:highlight w:val="none"/>
                <w:lang w:val="en-US" w:eastAsia="zh-CN" w:bidi="ar"/>
              </w:rPr>
              <w:t>样线编号</w:t>
            </w: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Style w:val="61"/>
                <w:rFonts w:hint="default" w:ascii="Times New Roman" w:hAnsi="Times New Roman" w:eastAsia="宋体" w:cs="Times New Roman"/>
                <w:b/>
                <w:bCs/>
                <w:color w:val="auto"/>
                <w:sz w:val="21"/>
                <w:szCs w:val="21"/>
                <w:highlight w:val="none"/>
                <w:lang w:val="en-US" w:eastAsia="zh-CN" w:bidi="ar"/>
              </w:rPr>
            </w:pPr>
            <w:r>
              <w:rPr>
                <w:rStyle w:val="61"/>
                <w:rFonts w:hint="default" w:ascii="Times New Roman" w:hAnsi="Times New Roman" w:eastAsia="宋体" w:cs="Times New Roman"/>
                <w:b/>
                <w:bCs/>
                <w:color w:val="auto"/>
                <w:sz w:val="21"/>
                <w:szCs w:val="21"/>
                <w:highlight w:val="none"/>
                <w:lang w:val="en-US" w:eastAsia="zh-CN" w:bidi="ar"/>
              </w:rPr>
              <w:t>调查</w:t>
            </w:r>
          </w:p>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61"/>
                <w:rFonts w:hint="default" w:ascii="Times New Roman" w:hAnsi="Times New Roman" w:eastAsia="宋体" w:cs="Times New Roman"/>
                <w:b/>
                <w:bCs/>
                <w:color w:val="auto"/>
                <w:sz w:val="21"/>
                <w:szCs w:val="21"/>
                <w:highlight w:val="none"/>
                <w:lang w:val="en-US" w:eastAsia="zh-CN" w:bidi="ar"/>
              </w:rPr>
              <w:t>时间</w:t>
            </w:r>
          </w:p>
        </w:tc>
        <w:tc>
          <w:tcPr>
            <w:tcW w:w="3738"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61"/>
                <w:rFonts w:hint="default" w:ascii="Times New Roman" w:hAnsi="Times New Roman" w:eastAsia="宋体" w:cs="Times New Roman"/>
                <w:b/>
                <w:bCs/>
                <w:color w:val="auto"/>
                <w:sz w:val="21"/>
                <w:szCs w:val="21"/>
                <w:highlight w:val="none"/>
                <w:lang w:val="en-US" w:eastAsia="zh-CN" w:bidi="ar"/>
              </w:rPr>
              <w:t>经纬度</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61"/>
                <w:rFonts w:hint="default" w:ascii="Times New Roman" w:hAnsi="Times New Roman" w:eastAsia="宋体" w:cs="Times New Roman"/>
                <w:b/>
                <w:bCs/>
                <w:color w:val="auto"/>
                <w:sz w:val="21"/>
                <w:szCs w:val="21"/>
                <w:highlight w:val="none"/>
                <w:lang w:val="en-US" w:eastAsia="zh-CN" w:bidi="ar"/>
              </w:rPr>
              <w:t>海拔（</w:t>
            </w:r>
            <w:r>
              <w:rPr>
                <w:rStyle w:val="62"/>
                <w:rFonts w:hint="default" w:ascii="Times New Roman" w:hAnsi="Times New Roman" w:eastAsia="宋体" w:cs="Times New Roman"/>
                <w:b/>
                <w:bCs/>
                <w:color w:val="auto"/>
                <w:sz w:val="21"/>
                <w:szCs w:val="21"/>
                <w:highlight w:val="none"/>
                <w:lang w:val="en-US" w:eastAsia="zh-CN" w:bidi="ar"/>
              </w:rPr>
              <w:t>m</w:t>
            </w:r>
            <w:r>
              <w:rPr>
                <w:rStyle w:val="61"/>
                <w:rFonts w:hint="default" w:ascii="Times New Roman" w:hAnsi="Times New Roman" w:eastAsia="宋体" w:cs="Times New Roman"/>
                <w:b/>
                <w:bCs/>
                <w:color w:val="auto"/>
                <w:sz w:val="21"/>
                <w:szCs w:val="21"/>
                <w:highlight w:val="none"/>
                <w:lang w:val="en-US" w:eastAsia="zh-CN" w:bidi="ar"/>
              </w:rPr>
              <w:t>）</w:t>
            </w:r>
          </w:p>
        </w:tc>
        <w:tc>
          <w:tcPr>
            <w:tcW w:w="31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61"/>
                <w:rFonts w:hint="default" w:ascii="Times New Roman" w:hAnsi="Times New Roman" w:eastAsia="宋体" w:cs="Times New Roman"/>
                <w:b/>
                <w:bCs/>
                <w:color w:val="auto"/>
                <w:sz w:val="21"/>
                <w:szCs w:val="21"/>
                <w:highlight w:val="none"/>
                <w:lang w:val="en-US" w:eastAsia="zh-CN" w:bidi="ar"/>
              </w:rPr>
              <w:t>生境类型</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61"/>
                <w:rFonts w:hint="default" w:ascii="Times New Roman" w:hAnsi="Times New Roman" w:eastAsia="宋体" w:cs="Times New Roman"/>
                <w:b/>
                <w:bCs/>
                <w:color w:val="auto"/>
                <w:sz w:val="21"/>
                <w:szCs w:val="21"/>
                <w:highlight w:val="none"/>
                <w:lang w:val="en-US" w:eastAsia="zh-CN" w:bidi="ar"/>
              </w:rPr>
              <w:t>样线长度（</w:t>
            </w:r>
            <w:r>
              <w:rPr>
                <w:rStyle w:val="62"/>
                <w:rFonts w:hint="default" w:ascii="Times New Roman" w:hAnsi="Times New Roman" w:eastAsia="宋体" w:cs="Times New Roman"/>
                <w:b/>
                <w:bCs/>
                <w:color w:val="auto"/>
                <w:sz w:val="21"/>
                <w:szCs w:val="21"/>
                <w:highlight w:val="none"/>
                <w:lang w:val="en-US" w:eastAsia="zh-CN" w:bidi="ar"/>
              </w:rPr>
              <w:t>km</w:t>
            </w:r>
            <w:r>
              <w:rPr>
                <w:rStyle w:val="61"/>
                <w:rFonts w:hint="default" w:ascii="Times New Roman" w:hAnsi="Times New Roman" w:eastAsia="宋体" w:cs="Times New Roman"/>
                <w:b/>
                <w:bCs/>
                <w:color w:val="auto"/>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MLXJ001</w:t>
            </w: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2023.8.10</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起点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26°52′39.15″N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112°37′22.09″E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57</w:t>
            </w:r>
          </w:p>
        </w:tc>
        <w:tc>
          <w:tcPr>
            <w:tcW w:w="312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乔木林地、灌木林及采伐迹地、草原、内陆水体、农田、居住点</w:t>
            </w:r>
          </w:p>
        </w:tc>
        <w:tc>
          <w:tcPr>
            <w:tcW w:w="97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2023.11.4</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终点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26°52′28.85″N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112°37′59.94″E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c>
          <w:tcPr>
            <w:tcW w:w="31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MLXJ002</w:t>
            </w: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2023.8.10</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起点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26°52′31.31″N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112°37′42.87″E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c>
          <w:tcPr>
            <w:tcW w:w="312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乔木林地、灌木林及采伐迹地、草原、内陆水体、农田、居住点</w:t>
            </w:r>
          </w:p>
        </w:tc>
        <w:tc>
          <w:tcPr>
            <w:tcW w:w="97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2023.11.4</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终点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26°52′21.11″N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112°38′22.54″E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62</w:t>
            </w:r>
          </w:p>
        </w:tc>
        <w:tc>
          <w:tcPr>
            <w:tcW w:w="31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MLXJ003</w:t>
            </w: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2023.8.11</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起点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26°52′26.78″N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112°37′31.76″E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312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乔木林地、灌木林及采伐迹地、草原、内陆水体、居住点</w:t>
            </w:r>
          </w:p>
        </w:tc>
        <w:tc>
          <w:tcPr>
            <w:tcW w:w="97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2023.11.5</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终点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26°52′25.77″N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112°37′30.78″E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57</w:t>
            </w:r>
          </w:p>
        </w:tc>
        <w:tc>
          <w:tcPr>
            <w:tcW w:w="31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MLXJ004</w:t>
            </w: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2023.8.11</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起点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26°52′23.60″N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112°37′36.66″E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c>
          <w:tcPr>
            <w:tcW w:w="312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乔木林地、灌木林及采伐迹地、草原、内陆水体、居住点</w:t>
            </w:r>
          </w:p>
        </w:tc>
        <w:tc>
          <w:tcPr>
            <w:tcW w:w="97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2023.11.5</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终点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26°52′13.41″N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112°38′12.21″E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31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MLXJ005</w:t>
            </w: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2023.8.12</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起点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26°52′05.74″N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112°37′41.65″E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312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乔木林地、灌木林及采伐迹地、草原、农田、居住点</w:t>
            </w:r>
          </w:p>
        </w:tc>
        <w:tc>
          <w:tcPr>
            <w:tcW w:w="97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2023.11.6</w:t>
            </w:r>
          </w:p>
        </w:tc>
        <w:tc>
          <w:tcPr>
            <w:tcW w:w="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Style w:val="63"/>
                <w:rFonts w:hint="default" w:ascii="Times New Roman" w:hAnsi="Times New Roman" w:eastAsia="宋体" w:cs="Times New Roman"/>
                <w:color w:val="auto"/>
                <w:sz w:val="21"/>
                <w:szCs w:val="21"/>
                <w:highlight w:val="none"/>
                <w:lang w:val="en-US" w:eastAsia="zh-CN" w:bidi="ar"/>
              </w:rPr>
              <w:t>终点</w:t>
            </w:r>
          </w:p>
        </w:tc>
        <w:tc>
          <w:tcPr>
            <w:tcW w:w="1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26°51′43.06″N</w:t>
            </w:r>
          </w:p>
        </w:tc>
        <w:tc>
          <w:tcPr>
            <w:tcW w:w="15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112°38′12.49″E</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76</w:t>
            </w:r>
          </w:p>
        </w:tc>
        <w:tc>
          <w:tcPr>
            <w:tcW w:w="31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9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r>
    </w:tbl>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（2）动物区系</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根据《中国动物地理》（张荣祖主编，科学出版社，2011）中的中国动物地理区划，对评价区所涉及的区域进行分析得出：评价区内动物区划属于东洋界——中印亚界——华中区（VI）——东部丘陵平原亚区（VIA），仅涉及1个动物地理省，即江南丘陵省——亚热带林灌农田动物群（VIA3）。</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（3）评价区内陆生动物组成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0"/>
        <w:jc w:val="both"/>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sz w:val="24"/>
          <w:szCs w:val="24"/>
          <w:highlight w:val="none"/>
        </w:rPr>
        <w:t>根据实地考察及对相关资料进行综合分析，</w:t>
      </w:r>
      <w:r>
        <w:rPr>
          <w:rFonts w:hint="default" w:ascii="Times New Roman" w:hAnsi="Times New Roman" w:eastAsia="宋体" w:cs="Times New Roman"/>
          <w:color w:val="auto"/>
          <w:kern w:val="0"/>
          <w:sz w:val="24"/>
          <w:szCs w:val="24"/>
          <w:highlight w:val="none"/>
        </w:rPr>
        <w:t>评价区内共有陆生野生脊椎动物4纲</w:t>
      </w:r>
      <w:r>
        <w:rPr>
          <w:rFonts w:hint="default" w:ascii="Times New Roman" w:hAnsi="Times New Roman" w:eastAsia="宋体" w:cs="Times New Roman"/>
          <w:color w:val="auto"/>
          <w:kern w:val="0"/>
          <w:sz w:val="24"/>
          <w:szCs w:val="24"/>
          <w:highlight w:val="none"/>
          <w:lang w:val="en-US" w:eastAsia="zh-CN"/>
        </w:rPr>
        <w:t>19</w:t>
      </w:r>
      <w:r>
        <w:rPr>
          <w:rFonts w:hint="default" w:ascii="Times New Roman" w:hAnsi="Times New Roman" w:eastAsia="宋体" w:cs="Times New Roman"/>
          <w:color w:val="auto"/>
          <w:kern w:val="0"/>
          <w:sz w:val="24"/>
          <w:szCs w:val="24"/>
          <w:highlight w:val="none"/>
        </w:rPr>
        <w:t>目</w:t>
      </w:r>
      <w:r>
        <w:rPr>
          <w:rFonts w:hint="default" w:ascii="Times New Roman" w:hAnsi="Times New Roman" w:eastAsia="宋体" w:cs="Times New Roman"/>
          <w:color w:val="auto"/>
          <w:kern w:val="0"/>
          <w:sz w:val="24"/>
          <w:szCs w:val="24"/>
          <w:highlight w:val="none"/>
          <w:lang w:val="en-US" w:eastAsia="zh-CN"/>
        </w:rPr>
        <w:t>51</w:t>
      </w:r>
      <w:r>
        <w:rPr>
          <w:rFonts w:hint="default" w:ascii="Times New Roman" w:hAnsi="Times New Roman" w:eastAsia="宋体" w:cs="Times New Roman"/>
          <w:color w:val="auto"/>
          <w:kern w:val="0"/>
          <w:sz w:val="24"/>
          <w:szCs w:val="24"/>
          <w:highlight w:val="none"/>
        </w:rPr>
        <w:t>科</w:t>
      </w:r>
      <w:r>
        <w:rPr>
          <w:rFonts w:hint="default" w:ascii="Times New Roman" w:hAnsi="Times New Roman" w:eastAsia="宋体" w:cs="Times New Roman"/>
          <w:color w:val="auto"/>
          <w:kern w:val="0"/>
          <w:sz w:val="24"/>
          <w:szCs w:val="24"/>
          <w:highlight w:val="none"/>
          <w:lang w:val="en-US" w:eastAsia="zh-CN"/>
        </w:rPr>
        <w:t>113</w:t>
      </w:r>
      <w:r>
        <w:rPr>
          <w:rFonts w:hint="default" w:ascii="Times New Roman" w:hAnsi="Times New Roman" w:eastAsia="宋体" w:cs="Times New Roman"/>
          <w:color w:val="auto"/>
          <w:kern w:val="0"/>
          <w:sz w:val="24"/>
          <w:szCs w:val="24"/>
          <w:highlight w:val="none"/>
        </w:rPr>
        <w:t>种。评价区内未发现国家一级重点保护野生动物，有国家二级重点保护野生动物</w:t>
      </w:r>
      <w:r>
        <w:rPr>
          <w:rFonts w:hint="default" w:ascii="Times New Roman" w:hAnsi="Times New Roman" w:eastAsia="宋体" w:cs="Times New Roman"/>
          <w:color w:val="auto"/>
          <w:kern w:val="0"/>
          <w:sz w:val="24"/>
          <w:szCs w:val="24"/>
          <w:highlight w:val="none"/>
          <w:lang w:val="en-US" w:eastAsia="zh-CN"/>
        </w:rPr>
        <w:t>6</w:t>
      </w:r>
      <w:r>
        <w:rPr>
          <w:rFonts w:hint="default" w:ascii="Times New Roman" w:hAnsi="Times New Roman" w:eastAsia="宋体" w:cs="Times New Roman"/>
          <w:color w:val="auto"/>
          <w:kern w:val="0"/>
          <w:sz w:val="24"/>
          <w:szCs w:val="24"/>
          <w:highlight w:val="none"/>
        </w:rPr>
        <w:t>种，有</w:t>
      </w:r>
      <w:r>
        <w:rPr>
          <w:rFonts w:hint="default" w:ascii="Times New Roman" w:hAnsi="Times New Roman" w:eastAsia="宋体" w:cs="Times New Roman"/>
          <w:color w:val="auto"/>
          <w:kern w:val="0"/>
          <w:sz w:val="24"/>
          <w:szCs w:val="24"/>
          <w:highlight w:val="none"/>
          <w:lang w:val="en-US" w:eastAsia="zh-CN"/>
        </w:rPr>
        <w:t>湖南</w:t>
      </w:r>
      <w:r>
        <w:rPr>
          <w:rFonts w:hint="default" w:ascii="Times New Roman" w:hAnsi="Times New Roman" w:eastAsia="宋体" w:cs="Times New Roman"/>
          <w:color w:val="auto"/>
          <w:kern w:val="0"/>
          <w:sz w:val="24"/>
          <w:szCs w:val="24"/>
          <w:highlight w:val="none"/>
        </w:rPr>
        <w:t>省级重点保护野生动物</w:t>
      </w:r>
      <w:r>
        <w:rPr>
          <w:rFonts w:hint="default" w:ascii="Times New Roman" w:hAnsi="Times New Roman" w:eastAsia="宋体" w:cs="Times New Roman"/>
          <w:color w:val="auto"/>
          <w:kern w:val="0"/>
          <w:sz w:val="24"/>
          <w:szCs w:val="24"/>
          <w:highlight w:val="none"/>
          <w:lang w:val="en-US" w:eastAsia="zh-CN"/>
        </w:rPr>
        <w:t>65</w:t>
      </w:r>
      <w:r>
        <w:rPr>
          <w:rFonts w:hint="default" w:ascii="Times New Roman" w:hAnsi="Times New Roman" w:eastAsia="宋体" w:cs="Times New Roman"/>
          <w:color w:val="auto"/>
          <w:kern w:val="0"/>
          <w:sz w:val="24"/>
          <w:szCs w:val="24"/>
          <w:highlight w:val="none"/>
        </w:rPr>
        <w:t>种；有《中国生物多样性红色名录》中列为濒危（EN）的动物</w:t>
      </w:r>
      <w:r>
        <w:rPr>
          <w:rFonts w:hint="default"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rPr>
        <w:t>种、易危（VU）的动物</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rPr>
        <w:t>种；有中国特有种</w:t>
      </w:r>
      <w:r>
        <w:rPr>
          <w:rFonts w:hint="default"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rPr>
        <w:t>种。评价区两栖类、爬行类、鸟类、哺乳类的种类组成、区系、保护等级、濒危等级和特有种参见</w:t>
      </w:r>
      <w:r>
        <w:rPr>
          <w:rFonts w:hint="default" w:ascii="Times New Roman" w:hAnsi="Times New Roman" w:eastAsia="宋体" w:cs="Times New Roman"/>
          <w:color w:val="auto"/>
          <w:kern w:val="0"/>
          <w:sz w:val="24"/>
          <w:szCs w:val="24"/>
          <w:highlight w:val="none"/>
          <w:lang w:val="en-US" w:eastAsia="zh-CN"/>
        </w:rPr>
        <w:t>下表</w:t>
      </w:r>
      <w:r>
        <w:rPr>
          <w:rFonts w:hint="default" w:ascii="Times New Roman" w:hAnsi="Times New Roman" w:eastAsia="宋体" w:cs="Times New Roman"/>
          <w:color w:val="auto"/>
          <w:kern w:val="0"/>
          <w:sz w:val="24"/>
          <w:szCs w:val="24"/>
          <w:highlight w:val="none"/>
        </w:rPr>
        <w:t>。</w:t>
      </w:r>
    </w:p>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w:t>
      </w:r>
      <w:r>
        <w:rPr>
          <w:rFonts w:hint="default" w:ascii="Times New Roman" w:hAnsi="Times New Roman" w:cs="Times New Roman"/>
          <w:b/>
          <w:color w:val="auto"/>
          <w:highlight w:val="none"/>
          <w:lang w:val="en-US" w:eastAsia="zh-CN"/>
        </w:rPr>
        <w:t>-1</w:t>
      </w:r>
      <w:r>
        <w:rPr>
          <w:rFonts w:hint="default" w:cs="Times New Roman"/>
          <w:b/>
          <w:color w:val="auto"/>
          <w:highlight w:val="none"/>
          <w:lang w:val="en-US" w:eastAsia="zh-CN"/>
        </w:rPr>
        <w:t>2</w:t>
      </w:r>
      <w:r>
        <w:rPr>
          <w:rFonts w:hint="default" w:ascii="Times New Roman" w:hAnsi="Times New Roman" w:cs="Times New Roman"/>
          <w:b/>
          <w:color w:val="auto"/>
          <w:highlight w:val="none"/>
          <w:lang w:val="en-US" w:eastAsia="zh-CN"/>
        </w:rPr>
        <w:t>评价区陆生脊椎动物统计表</w:t>
      </w:r>
    </w:p>
    <w:tbl>
      <w:tblPr>
        <w:tblStyle w:val="22"/>
        <w:tblW w:w="953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65"/>
        <w:gridCol w:w="540"/>
        <w:gridCol w:w="540"/>
        <w:gridCol w:w="540"/>
        <w:gridCol w:w="650"/>
        <w:gridCol w:w="650"/>
        <w:gridCol w:w="650"/>
        <w:gridCol w:w="686"/>
        <w:gridCol w:w="686"/>
        <w:gridCol w:w="688"/>
        <w:gridCol w:w="850"/>
        <w:gridCol w:w="850"/>
        <w:gridCol w:w="850"/>
        <w:gridCol w:w="48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48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种类组成</w:t>
            </w:r>
          </w:p>
        </w:tc>
        <w:tc>
          <w:tcPr>
            <w:tcW w:w="195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动物区系</w:t>
            </w:r>
          </w:p>
        </w:tc>
        <w:tc>
          <w:tcPr>
            <w:tcW w:w="206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保护级别</w:t>
            </w:r>
          </w:p>
        </w:tc>
        <w:tc>
          <w:tcPr>
            <w:tcW w:w="255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濒危等级</w:t>
            </w:r>
          </w:p>
        </w:tc>
        <w:tc>
          <w:tcPr>
            <w:tcW w:w="48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特有种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纲</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目</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科</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种</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东洋种</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古北种</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广布种</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国家</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一级</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国家</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二级</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湖南</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省级</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极危</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（CR）</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濒危</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（EN）</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易危</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（VU）</w:t>
            </w: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jc w:val="center"/>
              <w:outlineLvl w:val="9"/>
              <w:rPr>
                <w:rFonts w:hint="default" w:ascii="Times New Roman" w:hAnsi="Times New Roman" w:eastAsia="宋体" w:cs="Times New Roman"/>
                <w:b/>
                <w:bCs/>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两栖纲</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爬行纲</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鸟纲</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84</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cs="Times New Roman"/>
                <w:b/>
                <w:bCs/>
                <w:i w:val="0"/>
                <w:iCs w:val="0"/>
                <w:color w:val="auto"/>
                <w:kern w:val="0"/>
                <w:sz w:val="21"/>
                <w:szCs w:val="21"/>
                <w:highlight w:val="none"/>
                <w:u w:val="none"/>
                <w:lang w:val="en-US" w:eastAsia="zh-CN" w:bidi="ar"/>
              </w:rPr>
              <w:t>哺乳纲</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6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113</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r>
    </w:tbl>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2" w:firstLineChars="200"/>
        <w:jc w:val="left"/>
        <w:textAlignment w:val="auto"/>
        <w:outlineLvl w:val="9"/>
        <w:rPr>
          <w:rFonts w:hint="default" w:ascii="Times New Roman" w:hAnsi="Times New Roman" w:cs="Times New Roman"/>
          <w:b/>
          <w:bCs/>
          <w:color w:val="auto"/>
          <w:sz w:val="28"/>
          <w:szCs w:val="28"/>
          <w:highlight w:val="none"/>
        </w:rPr>
      </w:pPr>
      <w:r>
        <w:rPr>
          <w:rFonts w:hint="default" w:cs="Times New Roman"/>
          <w:b/>
          <w:bCs/>
          <w:color w:val="auto"/>
          <w:sz w:val="28"/>
          <w:szCs w:val="28"/>
          <w:highlight w:val="none"/>
          <w:lang w:val="en-US" w:eastAsia="zh-CN"/>
        </w:rPr>
        <w:t>1、</w:t>
      </w:r>
      <w:r>
        <w:rPr>
          <w:rFonts w:hint="default" w:ascii="Times New Roman" w:hAnsi="Times New Roman" w:cs="Times New Roman"/>
          <w:b/>
          <w:bCs/>
          <w:color w:val="auto"/>
          <w:sz w:val="28"/>
          <w:szCs w:val="28"/>
          <w:highlight w:val="none"/>
        </w:rPr>
        <w:t>两栖类</w:t>
      </w:r>
    </w:p>
    <w:p>
      <w:pPr>
        <w:spacing w:line="360" w:lineRule="auto"/>
        <w:ind w:firstLine="482"/>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1）物种组成</w:t>
      </w:r>
    </w:p>
    <w:p>
      <w:pPr>
        <w:spacing w:line="360" w:lineRule="auto"/>
        <w:ind w:firstLine="482"/>
        <w:rPr>
          <w:rFonts w:hint="default" w:ascii="Times New Roman" w:hAnsi="Times New Roman" w:cs="Times New Roman"/>
          <w:iCs/>
          <w:color w:val="auto"/>
          <w:kern w:val="0"/>
          <w:sz w:val="24"/>
          <w:szCs w:val="24"/>
          <w:highlight w:val="none"/>
        </w:rPr>
      </w:pPr>
      <w:r>
        <w:rPr>
          <w:rFonts w:hint="default" w:ascii="Times New Roman" w:hAnsi="Times New Roman" w:cs="Times New Roman"/>
          <w:iCs/>
          <w:color w:val="auto"/>
          <w:kern w:val="0"/>
          <w:sz w:val="24"/>
          <w:szCs w:val="24"/>
          <w:highlight w:val="none"/>
        </w:rPr>
        <w:t>根据现场调查、区域文献及相关资料，评价区内有两栖类1目</w:t>
      </w:r>
      <w:r>
        <w:rPr>
          <w:rFonts w:hint="default" w:ascii="Times New Roman" w:hAnsi="Times New Roman" w:cs="Times New Roman"/>
          <w:iCs/>
          <w:color w:val="auto"/>
          <w:kern w:val="0"/>
          <w:sz w:val="24"/>
          <w:szCs w:val="24"/>
          <w:highlight w:val="none"/>
          <w:lang w:val="en-US" w:eastAsia="zh-CN"/>
        </w:rPr>
        <w:t>4</w:t>
      </w:r>
      <w:r>
        <w:rPr>
          <w:rFonts w:hint="default" w:ascii="Times New Roman" w:hAnsi="Times New Roman" w:cs="Times New Roman"/>
          <w:iCs/>
          <w:color w:val="auto"/>
          <w:kern w:val="0"/>
          <w:sz w:val="24"/>
          <w:szCs w:val="24"/>
          <w:highlight w:val="none"/>
        </w:rPr>
        <w:t>科</w:t>
      </w:r>
      <w:r>
        <w:rPr>
          <w:rFonts w:hint="default" w:ascii="Times New Roman" w:hAnsi="Times New Roman" w:cs="Times New Roman"/>
          <w:iCs/>
          <w:color w:val="auto"/>
          <w:kern w:val="0"/>
          <w:sz w:val="24"/>
          <w:szCs w:val="24"/>
          <w:highlight w:val="none"/>
          <w:lang w:val="en-US" w:eastAsia="zh-CN"/>
        </w:rPr>
        <w:t>8</w:t>
      </w:r>
      <w:r>
        <w:rPr>
          <w:rFonts w:hint="default" w:ascii="Times New Roman" w:hAnsi="Times New Roman" w:cs="Times New Roman"/>
          <w:iCs/>
          <w:color w:val="auto"/>
          <w:kern w:val="0"/>
          <w:sz w:val="24"/>
          <w:szCs w:val="24"/>
          <w:highlight w:val="none"/>
        </w:rPr>
        <w:t>种，其中以姬蛙科种类最多，</w:t>
      </w:r>
      <w:r>
        <w:rPr>
          <w:rFonts w:hint="default" w:ascii="Times New Roman" w:hAnsi="Times New Roman" w:cs="Times New Roman"/>
          <w:iCs/>
          <w:color w:val="auto"/>
          <w:kern w:val="0"/>
          <w:sz w:val="24"/>
          <w:szCs w:val="24"/>
          <w:highlight w:val="none"/>
          <w:lang w:val="en-US" w:eastAsia="zh-CN"/>
        </w:rPr>
        <w:t>共3</w:t>
      </w:r>
      <w:r>
        <w:rPr>
          <w:rFonts w:hint="default" w:ascii="Times New Roman" w:hAnsi="Times New Roman" w:cs="Times New Roman"/>
          <w:iCs/>
          <w:color w:val="auto"/>
          <w:kern w:val="0"/>
          <w:sz w:val="24"/>
          <w:szCs w:val="24"/>
          <w:highlight w:val="none"/>
        </w:rPr>
        <w:t>种，占评价区两栖类总种数的</w:t>
      </w:r>
      <w:r>
        <w:rPr>
          <w:rFonts w:hint="default" w:ascii="Times New Roman" w:hAnsi="Times New Roman" w:cs="Times New Roman"/>
          <w:iCs/>
          <w:color w:val="auto"/>
          <w:kern w:val="0"/>
          <w:sz w:val="24"/>
          <w:szCs w:val="24"/>
          <w:highlight w:val="none"/>
          <w:lang w:val="en-US" w:eastAsia="zh-CN"/>
        </w:rPr>
        <w:t>37.50</w:t>
      </w:r>
      <w:r>
        <w:rPr>
          <w:rFonts w:hint="default" w:ascii="Times New Roman" w:hAnsi="Times New Roman" w:cs="Times New Roman"/>
          <w:iCs/>
          <w:color w:val="auto"/>
          <w:kern w:val="0"/>
          <w:sz w:val="24"/>
          <w:szCs w:val="24"/>
          <w:highlight w:val="none"/>
        </w:rPr>
        <w:t>%。评价区域内</w:t>
      </w:r>
      <w:r>
        <w:rPr>
          <w:rFonts w:hint="default" w:ascii="Times New Roman" w:hAnsi="Times New Roman" w:cs="Times New Roman"/>
          <w:iCs/>
          <w:color w:val="auto"/>
          <w:kern w:val="0"/>
          <w:sz w:val="24"/>
          <w:szCs w:val="24"/>
          <w:highlight w:val="none"/>
          <w:lang w:val="en-US" w:eastAsia="zh-CN"/>
        </w:rPr>
        <w:t>无</w:t>
      </w:r>
      <w:r>
        <w:rPr>
          <w:rFonts w:hint="default" w:ascii="Times New Roman" w:hAnsi="Times New Roman" w:cs="Times New Roman"/>
          <w:iCs/>
          <w:color w:val="auto"/>
          <w:kern w:val="0"/>
          <w:sz w:val="24"/>
          <w:szCs w:val="24"/>
          <w:highlight w:val="none"/>
        </w:rPr>
        <w:t>国家级重点保护野生两栖类，有湖南省级重点保护两栖类</w:t>
      </w:r>
      <w:r>
        <w:rPr>
          <w:rFonts w:hint="default" w:ascii="Times New Roman" w:hAnsi="Times New Roman" w:cs="Times New Roman"/>
          <w:iCs/>
          <w:color w:val="auto"/>
          <w:kern w:val="0"/>
          <w:sz w:val="24"/>
          <w:szCs w:val="24"/>
          <w:highlight w:val="none"/>
          <w:lang w:val="en-US" w:eastAsia="zh-CN"/>
        </w:rPr>
        <w:t>3</w:t>
      </w:r>
      <w:r>
        <w:rPr>
          <w:rFonts w:hint="default" w:ascii="Times New Roman" w:hAnsi="Times New Roman" w:cs="Times New Roman"/>
          <w:iCs/>
          <w:color w:val="auto"/>
          <w:kern w:val="0"/>
          <w:sz w:val="24"/>
          <w:szCs w:val="24"/>
          <w:highlight w:val="none"/>
        </w:rPr>
        <w:t>种，为中华蟾蜍、黑眶蟾蜍</w:t>
      </w:r>
      <w:r>
        <w:rPr>
          <w:rFonts w:hint="default" w:ascii="Times New Roman" w:hAnsi="Times New Roman" w:cs="Times New Roman"/>
          <w:iCs/>
          <w:color w:val="auto"/>
          <w:kern w:val="0"/>
          <w:sz w:val="24"/>
          <w:szCs w:val="24"/>
          <w:highlight w:val="none"/>
          <w:lang w:val="en-US" w:eastAsia="zh-CN"/>
        </w:rPr>
        <w:t>和</w:t>
      </w:r>
      <w:r>
        <w:rPr>
          <w:rFonts w:hint="default" w:ascii="Times New Roman" w:hAnsi="Times New Roman" w:cs="Times New Roman"/>
          <w:iCs/>
          <w:color w:val="auto"/>
          <w:kern w:val="0"/>
          <w:sz w:val="24"/>
          <w:szCs w:val="24"/>
          <w:highlight w:val="none"/>
        </w:rPr>
        <w:t>黑斑侧褶蛙；</w:t>
      </w:r>
      <w:r>
        <w:rPr>
          <w:rFonts w:hint="default" w:ascii="Times New Roman" w:hAnsi="Times New Roman" w:cs="Times New Roman"/>
          <w:iCs/>
          <w:color w:val="auto"/>
          <w:kern w:val="0"/>
          <w:sz w:val="24"/>
          <w:szCs w:val="24"/>
          <w:highlight w:val="none"/>
          <w:lang w:val="en-US" w:eastAsia="zh-CN"/>
        </w:rPr>
        <w:t>无</w:t>
      </w:r>
      <w:r>
        <w:rPr>
          <w:rFonts w:hint="default" w:ascii="Times New Roman" w:hAnsi="Times New Roman" w:cs="Times New Roman"/>
          <w:iCs/>
          <w:color w:val="auto"/>
          <w:kern w:val="0"/>
          <w:sz w:val="24"/>
          <w:szCs w:val="24"/>
          <w:highlight w:val="none"/>
        </w:rPr>
        <w:t>《中国生物多样性红色名录》评级为极危（CR）</w:t>
      </w:r>
      <w:r>
        <w:rPr>
          <w:rFonts w:hint="default" w:ascii="Times New Roman" w:hAnsi="Times New Roman" w:cs="Times New Roman"/>
          <w:iCs/>
          <w:color w:val="auto"/>
          <w:kern w:val="0"/>
          <w:sz w:val="24"/>
          <w:szCs w:val="24"/>
          <w:highlight w:val="none"/>
          <w:lang w:eastAsia="zh-CN"/>
        </w:rPr>
        <w:t>、</w:t>
      </w:r>
      <w:r>
        <w:rPr>
          <w:rFonts w:hint="default" w:ascii="Times New Roman" w:hAnsi="Times New Roman" w:cs="Times New Roman"/>
          <w:iCs/>
          <w:color w:val="auto"/>
          <w:kern w:val="0"/>
          <w:sz w:val="24"/>
          <w:szCs w:val="24"/>
          <w:highlight w:val="none"/>
        </w:rPr>
        <w:t>濒危（EN）</w:t>
      </w:r>
      <w:r>
        <w:rPr>
          <w:rFonts w:hint="default" w:ascii="Times New Roman" w:hAnsi="Times New Roman" w:cs="Times New Roman"/>
          <w:iCs/>
          <w:color w:val="auto"/>
          <w:kern w:val="0"/>
          <w:sz w:val="24"/>
          <w:szCs w:val="24"/>
          <w:highlight w:val="none"/>
          <w:lang w:eastAsia="zh-CN"/>
        </w:rPr>
        <w:t>、易危（VU）</w:t>
      </w:r>
      <w:r>
        <w:rPr>
          <w:rFonts w:hint="default" w:ascii="Times New Roman" w:hAnsi="Times New Roman" w:cs="Times New Roman"/>
          <w:iCs/>
          <w:color w:val="auto"/>
          <w:kern w:val="0"/>
          <w:sz w:val="24"/>
          <w:szCs w:val="24"/>
          <w:highlight w:val="none"/>
          <w:lang w:val="en-US" w:eastAsia="zh-CN"/>
        </w:rPr>
        <w:t>的两栖类和</w:t>
      </w:r>
      <w:r>
        <w:rPr>
          <w:rFonts w:hint="default" w:ascii="Times New Roman" w:hAnsi="Times New Roman" w:cs="Times New Roman"/>
          <w:iCs/>
          <w:color w:val="auto"/>
          <w:kern w:val="0"/>
          <w:sz w:val="24"/>
          <w:szCs w:val="24"/>
          <w:highlight w:val="none"/>
        </w:rPr>
        <w:t>中国特有</w:t>
      </w:r>
      <w:r>
        <w:rPr>
          <w:rFonts w:hint="default" w:ascii="Times New Roman" w:hAnsi="Times New Roman" w:cs="Times New Roman"/>
          <w:iCs/>
          <w:color w:val="auto"/>
          <w:kern w:val="0"/>
          <w:sz w:val="24"/>
          <w:szCs w:val="24"/>
          <w:highlight w:val="none"/>
          <w:lang w:val="en-US" w:eastAsia="zh-CN"/>
        </w:rPr>
        <w:t>两栖类</w:t>
      </w:r>
      <w:r>
        <w:rPr>
          <w:rFonts w:hint="default" w:ascii="Times New Roman" w:hAnsi="Times New Roman" w:cs="Times New Roman"/>
          <w:iCs/>
          <w:color w:val="auto"/>
          <w:kern w:val="0"/>
          <w:sz w:val="24"/>
          <w:szCs w:val="24"/>
          <w:highlight w:val="none"/>
        </w:rPr>
        <w:t>。评价区内中华蟾蜍、川村陆蛙等适应能力强，分布广，为评价区常见种。</w:t>
      </w:r>
    </w:p>
    <w:p>
      <w:pPr>
        <w:spacing w:line="360" w:lineRule="auto"/>
        <w:ind w:firstLine="482"/>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2）生态类型</w:t>
      </w:r>
    </w:p>
    <w:p>
      <w:pPr>
        <w:spacing w:line="360" w:lineRule="auto"/>
        <w:ind w:firstLine="482"/>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根据生活习性的不同，评价区内</w:t>
      </w:r>
      <w:r>
        <w:rPr>
          <w:rFonts w:hint="default" w:ascii="Times New Roman" w:hAnsi="Times New Roman" w:cs="Times New Roman"/>
          <w:color w:val="auto"/>
          <w:kern w:val="0"/>
          <w:sz w:val="24"/>
          <w:szCs w:val="24"/>
          <w:highlight w:val="none"/>
          <w:lang w:val="en-US" w:eastAsia="zh-CN"/>
        </w:rPr>
        <w:t>8</w:t>
      </w:r>
      <w:r>
        <w:rPr>
          <w:rFonts w:hint="default" w:ascii="Times New Roman" w:hAnsi="Times New Roman" w:cs="Times New Roman"/>
          <w:color w:val="auto"/>
          <w:kern w:val="0"/>
          <w:sz w:val="24"/>
          <w:szCs w:val="24"/>
          <w:highlight w:val="none"/>
        </w:rPr>
        <w:t>种两栖动物可以分为</w:t>
      </w:r>
      <w:r>
        <w:rPr>
          <w:rFonts w:hint="default" w:ascii="Times New Roman" w:hAnsi="Times New Roman"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rPr>
        <w:t>种生态类型：</w:t>
      </w:r>
    </w:p>
    <w:p>
      <w:pPr>
        <w:spacing w:line="360" w:lineRule="auto"/>
        <w:ind w:firstLine="482"/>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静水型（在静水或缓流中觅食）：包括黑斑侧褶蛙</w:t>
      </w:r>
      <w:r>
        <w:rPr>
          <w:rFonts w:hint="default" w:ascii="Times New Roman" w:hAnsi="Times New Roman" w:cs="Times New Roman"/>
          <w:color w:val="auto"/>
          <w:kern w:val="0"/>
          <w:sz w:val="24"/>
          <w:szCs w:val="24"/>
          <w:highlight w:val="none"/>
          <w:lang w:val="en-US" w:eastAsia="zh-CN"/>
        </w:rPr>
        <w:t>和</w:t>
      </w:r>
      <w:r>
        <w:rPr>
          <w:rFonts w:hint="default" w:ascii="Times New Roman" w:hAnsi="Times New Roman" w:cs="Times New Roman"/>
          <w:color w:val="auto"/>
          <w:kern w:val="0"/>
          <w:sz w:val="24"/>
          <w:szCs w:val="24"/>
          <w:highlight w:val="none"/>
        </w:rPr>
        <w:t>沼水蛙，共</w:t>
      </w:r>
      <w:r>
        <w:rPr>
          <w:rFonts w:hint="default" w:ascii="Times New Roman" w:hAnsi="Times New Roman"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rPr>
        <w:t>种，主要在评价区内的坑塘及</w:t>
      </w:r>
      <w:r>
        <w:rPr>
          <w:rFonts w:hint="default" w:ascii="Times New Roman" w:hAnsi="Times New Roman" w:cs="Times New Roman"/>
          <w:color w:val="auto"/>
          <w:kern w:val="0"/>
          <w:sz w:val="24"/>
          <w:szCs w:val="24"/>
          <w:highlight w:val="none"/>
          <w:lang w:val="en-US" w:eastAsia="zh-CN"/>
        </w:rPr>
        <w:t>湘江</w:t>
      </w:r>
      <w:r>
        <w:rPr>
          <w:rFonts w:hint="default" w:ascii="Times New Roman" w:hAnsi="Times New Roman" w:cs="Times New Roman"/>
          <w:color w:val="auto"/>
          <w:kern w:val="0"/>
          <w:sz w:val="24"/>
          <w:szCs w:val="24"/>
          <w:highlight w:val="none"/>
        </w:rPr>
        <w:t>缓流区域生活。</w:t>
      </w:r>
    </w:p>
    <w:p>
      <w:pPr>
        <w:spacing w:line="360" w:lineRule="auto"/>
        <w:ind w:firstLine="482"/>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陆栖型（在陆地上活动觅食）：包括</w:t>
      </w:r>
      <w:r>
        <w:rPr>
          <w:rFonts w:hint="default" w:ascii="Times New Roman" w:hAnsi="Times New Roman" w:cs="Times New Roman"/>
          <w:bCs/>
          <w:color w:val="auto"/>
          <w:kern w:val="0"/>
          <w:sz w:val="24"/>
          <w:szCs w:val="24"/>
          <w:highlight w:val="none"/>
        </w:rPr>
        <w:t>中华蟾蜍、黑眶蟾蜍、川村陆蛙、粗皮姬蛙</w:t>
      </w:r>
      <w:r>
        <w:rPr>
          <w:rFonts w:hint="default" w:ascii="Times New Roman" w:hAnsi="Times New Roman" w:cs="Times New Roman"/>
          <w:iCs/>
          <w:color w:val="auto"/>
          <w:kern w:val="0"/>
          <w:sz w:val="24"/>
          <w:szCs w:val="24"/>
          <w:highlight w:val="none"/>
        </w:rPr>
        <w:t>（</w:t>
      </w:r>
      <w:r>
        <w:rPr>
          <w:rFonts w:hint="default" w:ascii="Times New Roman" w:hAnsi="Times New Roman" w:cs="Times New Roman"/>
          <w:i/>
          <w:iCs/>
          <w:color w:val="auto"/>
          <w:kern w:val="0"/>
          <w:sz w:val="24"/>
          <w:szCs w:val="24"/>
          <w:highlight w:val="none"/>
        </w:rPr>
        <w:t>Microhyla butleri</w:t>
      </w:r>
      <w:r>
        <w:rPr>
          <w:rFonts w:hint="default" w:ascii="Times New Roman" w:hAnsi="Times New Roman" w:cs="Times New Roman"/>
          <w:iCs/>
          <w:color w:val="auto"/>
          <w:kern w:val="0"/>
          <w:sz w:val="24"/>
          <w:szCs w:val="24"/>
          <w:highlight w:val="none"/>
        </w:rPr>
        <w:t>）</w:t>
      </w:r>
      <w:r>
        <w:rPr>
          <w:rFonts w:hint="default" w:ascii="Times New Roman" w:hAnsi="Times New Roman" w:cs="Times New Roman"/>
          <w:bCs/>
          <w:color w:val="auto"/>
          <w:kern w:val="0"/>
          <w:sz w:val="24"/>
          <w:szCs w:val="24"/>
          <w:highlight w:val="none"/>
        </w:rPr>
        <w:t>、</w:t>
      </w:r>
      <w:r>
        <w:rPr>
          <w:rFonts w:hint="default" w:ascii="Times New Roman" w:hAnsi="Times New Roman" w:cs="Times New Roman"/>
          <w:iCs/>
          <w:color w:val="auto"/>
          <w:kern w:val="0"/>
          <w:sz w:val="24"/>
          <w:szCs w:val="24"/>
          <w:highlight w:val="none"/>
        </w:rPr>
        <w:t>小弧斑姬蛙（</w:t>
      </w:r>
      <w:r>
        <w:rPr>
          <w:rFonts w:hint="default" w:ascii="Times New Roman" w:hAnsi="Times New Roman" w:cs="Times New Roman"/>
          <w:i/>
          <w:iCs/>
          <w:color w:val="auto"/>
          <w:kern w:val="0"/>
          <w:sz w:val="24"/>
          <w:szCs w:val="24"/>
          <w:highlight w:val="none"/>
        </w:rPr>
        <w:t>Microhyla heymonsi</w:t>
      </w:r>
      <w:r>
        <w:rPr>
          <w:rFonts w:hint="default" w:ascii="Times New Roman" w:hAnsi="Times New Roman" w:cs="Times New Roman"/>
          <w:iCs/>
          <w:color w:val="auto"/>
          <w:kern w:val="0"/>
          <w:sz w:val="24"/>
          <w:szCs w:val="24"/>
          <w:highlight w:val="none"/>
        </w:rPr>
        <w:t>）</w:t>
      </w:r>
      <w:r>
        <w:rPr>
          <w:rFonts w:hint="default" w:ascii="Times New Roman" w:hAnsi="Times New Roman" w:cs="Times New Roman"/>
          <w:bCs/>
          <w:color w:val="auto"/>
          <w:kern w:val="0"/>
          <w:sz w:val="24"/>
          <w:szCs w:val="24"/>
          <w:highlight w:val="none"/>
          <w:lang w:val="en-US" w:eastAsia="zh-CN"/>
        </w:rPr>
        <w:t>和</w:t>
      </w:r>
      <w:r>
        <w:rPr>
          <w:rFonts w:hint="default" w:ascii="Times New Roman" w:hAnsi="Times New Roman" w:cs="Times New Roman"/>
          <w:bCs/>
          <w:color w:val="auto"/>
          <w:kern w:val="0"/>
          <w:sz w:val="24"/>
          <w:szCs w:val="24"/>
          <w:highlight w:val="none"/>
        </w:rPr>
        <w:t>饰纹姬蛙，共</w:t>
      </w:r>
      <w:r>
        <w:rPr>
          <w:rFonts w:hint="default" w:ascii="Times New Roman" w:hAnsi="Times New Roman" w:cs="Times New Roman"/>
          <w:bCs/>
          <w:color w:val="auto"/>
          <w:kern w:val="0"/>
          <w:sz w:val="24"/>
          <w:szCs w:val="24"/>
          <w:highlight w:val="none"/>
          <w:lang w:val="en-US" w:eastAsia="zh-CN"/>
        </w:rPr>
        <w:t>6</w:t>
      </w:r>
      <w:r>
        <w:rPr>
          <w:rFonts w:hint="default" w:ascii="Times New Roman" w:hAnsi="Times New Roman" w:cs="Times New Roman"/>
          <w:color w:val="auto"/>
          <w:kern w:val="0"/>
          <w:sz w:val="24"/>
          <w:szCs w:val="24"/>
          <w:highlight w:val="none"/>
        </w:rPr>
        <w:t>种，它们主要是在评价区内离水源不远的陆地上活动，与人类活动关系较密切。</w:t>
      </w:r>
    </w:p>
    <w:p>
      <w:pPr>
        <w:spacing w:line="360" w:lineRule="auto"/>
        <w:ind w:firstLine="482"/>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3）区系类型</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评价区内分布的</w:t>
      </w:r>
      <w:r>
        <w:rPr>
          <w:rFonts w:hint="default" w:ascii="Times New Roman" w:hAnsi="Times New Roman" w:cs="Times New Roman"/>
          <w:color w:val="auto"/>
          <w:kern w:val="0"/>
          <w:sz w:val="24"/>
          <w:szCs w:val="24"/>
          <w:highlight w:val="none"/>
          <w:lang w:val="en-US" w:eastAsia="zh-CN"/>
        </w:rPr>
        <w:t>8</w:t>
      </w:r>
      <w:r>
        <w:rPr>
          <w:rFonts w:hint="default" w:ascii="Times New Roman" w:hAnsi="Times New Roman" w:cs="Times New Roman"/>
          <w:color w:val="auto"/>
          <w:kern w:val="0"/>
          <w:sz w:val="24"/>
          <w:szCs w:val="24"/>
          <w:highlight w:val="none"/>
        </w:rPr>
        <w:t>种两栖类中，东洋种有</w:t>
      </w:r>
      <w:r>
        <w:rPr>
          <w:rFonts w:hint="default" w:ascii="Times New Roman" w:hAnsi="Times New Roman" w:cs="Times New Roman"/>
          <w:color w:val="auto"/>
          <w:kern w:val="0"/>
          <w:sz w:val="24"/>
          <w:szCs w:val="24"/>
          <w:highlight w:val="none"/>
          <w:lang w:val="en-US" w:eastAsia="zh-CN"/>
        </w:rPr>
        <w:t>6</w:t>
      </w:r>
      <w:r>
        <w:rPr>
          <w:rFonts w:hint="default" w:ascii="Times New Roman" w:hAnsi="Times New Roman" w:cs="Times New Roman"/>
          <w:color w:val="auto"/>
          <w:kern w:val="0"/>
          <w:sz w:val="24"/>
          <w:szCs w:val="24"/>
          <w:highlight w:val="none"/>
        </w:rPr>
        <w:t>种，占两栖类总种数的</w:t>
      </w:r>
      <w:r>
        <w:rPr>
          <w:rFonts w:hint="default" w:ascii="Times New Roman" w:hAnsi="Times New Roman" w:cs="Times New Roman"/>
          <w:color w:val="auto"/>
          <w:kern w:val="0"/>
          <w:sz w:val="24"/>
          <w:szCs w:val="24"/>
          <w:highlight w:val="none"/>
          <w:lang w:val="en-US" w:eastAsia="zh-CN"/>
        </w:rPr>
        <w:t>75.00</w:t>
      </w:r>
      <w:r>
        <w:rPr>
          <w:rFonts w:hint="default" w:ascii="Times New Roman" w:hAnsi="Times New Roman" w:cs="Times New Roman"/>
          <w:color w:val="auto"/>
          <w:kern w:val="0"/>
          <w:sz w:val="24"/>
          <w:szCs w:val="24"/>
          <w:highlight w:val="none"/>
        </w:rPr>
        <w:t>%，广布种2种，占两栖类总种数的</w:t>
      </w:r>
      <w:r>
        <w:rPr>
          <w:rFonts w:hint="default" w:ascii="Times New Roman" w:hAnsi="Times New Roman" w:cs="Times New Roman"/>
          <w:color w:val="auto"/>
          <w:kern w:val="0"/>
          <w:sz w:val="24"/>
          <w:szCs w:val="24"/>
          <w:highlight w:val="none"/>
          <w:lang w:val="en-US" w:eastAsia="zh-CN"/>
        </w:rPr>
        <w:t>25.00</w:t>
      </w:r>
      <w:r>
        <w:rPr>
          <w:rFonts w:hint="default" w:ascii="Times New Roman" w:hAnsi="Times New Roman" w:cs="Times New Roman"/>
          <w:color w:val="auto"/>
          <w:kern w:val="0"/>
          <w:sz w:val="24"/>
          <w:szCs w:val="24"/>
          <w:highlight w:val="none"/>
        </w:rPr>
        <w:t>%，无古北种分布。</w:t>
      </w:r>
      <w:r>
        <w:rPr>
          <w:rFonts w:hint="default" w:ascii="Times New Roman" w:hAnsi="Times New Roman" w:cs="Times New Roman"/>
          <w:color w:val="auto"/>
          <w:sz w:val="24"/>
          <w:szCs w:val="24"/>
          <w:highlight w:val="none"/>
        </w:rPr>
        <w:t>本项目位于东洋界，两栖类迁移能力较差，古北界成分不易跨越地理阻隔渗透至东洋界，其对环境的适应能力亦较差。因此，评价区两栖类的区系特征与工程所在的地理位置相吻合。</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2" w:firstLineChars="200"/>
        <w:jc w:val="left"/>
        <w:textAlignment w:val="auto"/>
        <w:outlineLvl w:val="9"/>
        <w:rPr>
          <w:rFonts w:hint="default" w:cs="Times New Roman"/>
          <w:b/>
          <w:bCs/>
          <w:color w:val="auto"/>
          <w:sz w:val="28"/>
          <w:szCs w:val="28"/>
          <w:highlight w:val="none"/>
          <w:lang w:val="en-US" w:eastAsia="zh-CN"/>
        </w:rPr>
      </w:pPr>
      <w:r>
        <w:rPr>
          <w:rFonts w:hint="default" w:cs="Times New Roman"/>
          <w:b/>
          <w:bCs/>
          <w:color w:val="auto"/>
          <w:sz w:val="28"/>
          <w:szCs w:val="28"/>
          <w:highlight w:val="none"/>
          <w:lang w:val="en-US" w:eastAsia="zh-CN"/>
        </w:rPr>
        <w:t>2、爬行类</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outlineLvl w:val="9"/>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1）物种组成</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评价区内爬行类共有2目8科</w:t>
      </w:r>
      <w:r>
        <w:rPr>
          <w:rFonts w:hint="default" w:ascii="Times New Roman" w:hAnsi="Times New Roman" w:cs="Times New Roman"/>
          <w:color w:val="auto"/>
          <w:kern w:val="0"/>
          <w:sz w:val="24"/>
          <w:szCs w:val="24"/>
          <w:highlight w:val="none"/>
          <w:lang w:val="en-US" w:eastAsia="zh-CN"/>
        </w:rPr>
        <w:t>12</w:t>
      </w:r>
      <w:r>
        <w:rPr>
          <w:rFonts w:hint="default" w:ascii="Times New Roman" w:hAnsi="Times New Roman" w:cs="Times New Roman"/>
          <w:color w:val="auto"/>
          <w:kern w:val="0"/>
          <w:sz w:val="24"/>
          <w:szCs w:val="24"/>
          <w:highlight w:val="none"/>
        </w:rPr>
        <w:t>种，以游蛇科的种类最多，共</w:t>
      </w:r>
      <w:r>
        <w:rPr>
          <w:rFonts w:hint="default" w:ascii="Times New Roman" w:hAnsi="Times New Roman" w:cs="Times New Roman"/>
          <w:color w:val="auto"/>
          <w:kern w:val="0"/>
          <w:sz w:val="24"/>
          <w:szCs w:val="24"/>
          <w:highlight w:val="none"/>
          <w:lang w:val="en-US" w:eastAsia="zh-CN"/>
        </w:rPr>
        <w:t>4</w:t>
      </w:r>
      <w:r>
        <w:rPr>
          <w:rFonts w:hint="default" w:ascii="Times New Roman" w:hAnsi="Times New Roman" w:cs="Times New Roman"/>
          <w:color w:val="auto"/>
          <w:kern w:val="0"/>
          <w:sz w:val="24"/>
          <w:szCs w:val="24"/>
          <w:highlight w:val="none"/>
        </w:rPr>
        <w:t>种，占评价区爬行类总种数的</w:t>
      </w:r>
      <w:r>
        <w:rPr>
          <w:rFonts w:hint="default" w:ascii="Times New Roman" w:hAnsi="Times New Roman" w:cs="Times New Roman"/>
          <w:color w:val="auto"/>
          <w:kern w:val="0"/>
          <w:sz w:val="24"/>
          <w:szCs w:val="24"/>
          <w:highlight w:val="none"/>
          <w:lang w:val="en-US" w:eastAsia="zh-CN"/>
        </w:rPr>
        <w:t>33.33</w:t>
      </w:r>
      <w:r>
        <w:rPr>
          <w:rFonts w:hint="default" w:ascii="Times New Roman" w:hAnsi="Times New Roman" w:cs="Times New Roman"/>
          <w:color w:val="auto"/>
          <w:kern w:val="0"/>
          <w:sz w:val="24"/>
          <w:szCs w:val="24"/>
          <w:highlight w:val="none"/>
        </w:rPr>
        <w:t>%。评价区内有国家二级爬行类1种，为乌龟，其余种类，均为湖南省级重点保护野生爬行类</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有《中国生物多样性红色名录》评级为濒危（EN）级别的2种，为中华鳖和乌龟</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易危（VU）级别的</w:t>
      </w:r>
      <w:r>
        <w:rPr>
          <w:rFonts w:hint="default" w:ascii="Times New Roman" w:hAnsi="Times New Roman" w:cs="Times New Roman"/>
          <w:color w:val="auto"/>
          <w:kern w:val="0"/>
          <w:sz w:val="24"/>
          <w:szCs w:val="24"/>
          <w:highlight w:val="none"/>
          <w:lang w:val="en-US" w:eastAsia="zh-CN"/>
        </w:rPr>
        <w:t>3</w:t>
      </w:r>
      <w:r>
        <w:rPr>
          <w:rFonts w:hint="default" w:ascii="Times New Roman" w:hAnsi="Times New Roman" w:cs="Times New Roman"/>
          <w:color w:val="auto"/>
          <w:kern w:val="0"/>
          <w:sz w:val="24"/>
          <w:szCs w:val="24"/>
          <w:highlight w:val="none"/>
        </w:rPr>
        <w:t>种，为乌梢蛇</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i/>
          <w:iCs/>
          <w:color w:val="auto"/>
          <w:kern w:val="0"/>
          <w:sz w:val="24"/>
          <w:szCs w:val="24"/>
          <w:highlight w:val="none"/>
          <w:lang w:eastAsia="zh-CN"/>
        </w:rPr>
        <w:t>Ptyas dhumnades</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、尖吻蝮（</w:t>
      </w:r>
      <w:r>
        <w:rPr>
          <w:rFonts w:hint="default" w:ascii="Times New Roman" w:hAnsi="Times New Roman" w:cs="Times New Roman"/>
          <w:i/>
          <w:color w:val="auto"/>
          <w:kern w:val="0"/>
          <w:sz w:val="24"/>
          <w:szCs w:val="24"/>
          <w:highlight w:val="none"/>
        </w:rPr>
        <w:t>Deinagkistrodon acutus</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和</w:t>
      </w:r>
      <w:r>
        <w:rPr>
          <w:rFonts w:hint="default" w:ascii="Times New Roman" w:hAnsi="Times New Roman" w:cs="Times New Roman"/>
          <w:color w:val="auto"/>
          <w:kern w:val="0"/>
          <w:sz w:val="24"/>
          <w:szCs w:val="24"/>
          <w:highlight w:val="none"/>
        </w:rPr>
        <w:t>黑眉锦蛇（</w:t>
      </w:r>
      <w:r>
        <w:rPr>
          <w:rFonts w:hint="default" w:ascii="Times New Roman" w:hAnsi="Times New Roman" w:cs="Times New Roman"/>
          <w:i/>
          <w:color w:val="auto"/>
          <w:kern w:val="0"/>
          <w:sz w:val="24"/>
          <w:szCs w:val="24"/>
          <w:highlight w:val="none"/>
        </w:rPr>
        <w:t>Elaphe taeniurus</w:t>
      </w:r>
      <w:r>
        <w:rPr>
          <w:rFonts w:hint="default" w:ascii="Times New Roman" w:hAnsi="Times New Roman" w:cs="Times New Roman"/>
          <w:color w:val="auto"/>
          <w:kern w:val="0"/>
          <w:sz w:val="24"/>
          <w:szCs w:val="24"/>
          <w:highlight w:val="none"/>
        </w:rPr>
        <w:t>）；有中国特有爬行类1种，为北草蜥。评价区北草蜥、红纹滞卵蛇</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i/>
          <w:iCs/>
          <w:color w:val="auto"/>
          <w:kern w:val="0"/>
          <w:sz w:val="24"/>
          <w:szCs w:val="24"/>
          <w:highlight w:val="none"/>
          <w:lang w:eastAsia="zh-CN"/>
        </w:rPr>
        <w:t>Oocatochus rufodorsatus</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等较为常见，主要分布于林缘灌丛</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水塘区域</w:t>
      </w:r>
      <w:r>
        <w:rPr>
          <w:rFonts w:hint="default" w:ascii="Times New Roman" w:hAnsi="Times New Roman" w:cs="Times New Roman"/>
          <w:color w:val="auto"/>
          <w:kern w:val="0"/>
          <w:sz w:val="24"/>
          <w:szCs w:val="24"/>
          <w:highlight w:val="none"/>
        </w:rPr>
        <w:t>。</w:t>
      </w:r>
    </w:p>
    <w:p>
      <w:pPr>
        <w:spacing w:line="360" w:lineRule="auto"/>
        <w:ind w:firstLine="480" w:firstLineChars="200"/>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2）生态类型</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按照生活习性，评价区内</w:t>
      </w:r>
      <w:r>
        <w:rPr>
          <w:rFonts w:hint="default" w:ascii="Times New Roman" w:hAnsi="Times New Roman" w:cs="Times New Roman"/>
          <w:color w:val="auto"/>
          <w:kern w:val="0"/>
          <w:sz w:val="24"/>
          <w:szCs w:val="24"/>
          <w:highlight w:val="none"/>
          <w:lang w:val="en-US" w:eastAsia="zh-CN"/>
        </w:rPr>
        <w:t>12</w:t>
      </w:r>
      <w:r>
        <w:rPr>
          <w:rFonts w:hint="default" w:ascii="Times New Roman" w:hAnsi="Times New Roman" w:cs="Times New Roman"/>
          <w:color w:val="auto"/>
          <w:kern w:val="0"/>
          <w:sz w:val="24"/>
          <w:szCs w:val="24"/>
          <w:highlight w:val="none"/>
        </w:rPr>
        <w:t>种爬行类可分为以下4种生态类型：</w:t>
      </w:r>
    </w:p>
    <w:p>
      <w:pPr>
        <w:spacing w:line="360" w:lineRule="auto"/>
        <w:ind w:firstLine="480" w:firstLineChars="200"/>
        <w:rPr>
          <w:rFonts w:hint="default" w:ascii="Times New Roman" w:hAnsi="Times New Roman" w:cs="Times New Roman"/>
          <w:bCs/>
          <w:color w:val="auto"/>
          <w:kern w:val="0"/>
          <w:sz w:val="24"/>
          <w:szCs w:val="24"/>
          <w:highlight w:val="none"/>
        </w:rPr>
      </w:pPr>
      <w:r>
        <w:rPr>
          <w:rFonts w:hint="default" w:ascii="Times New Roman" w:hAnsi="Times New Roman" w:cs="Times New Roman"/>
          <w:bCs/>
          <w:color w:val="auto"/>
          <w:sz w:val="24"/>
          <w:szCs w:val="24"/>
          <w:highlight w:val="none"/>
        </w:rPr>
        <w:t>灌丛石隙型（经常活动在灌丛下面，路边石缝中的爬行类）</w:t>
      </w:r>
      <w:r>
        <w:rPr>
          <w:rFonts w:hint="default" w:ascii="Times New Roman" w:hAnsi="Times New Roman" w:cs="Times New Roman"/>
          <w:bCs/>
          <w:color w:val="auto"/>
          <w:kern w:val="0"/>
          <w:sz w:val="24"/>
          <w:szCs w:val="24"/>
          <w:highlight w:val="none"/>
        </w:rPr>
        <w:t>：包括中国石龙子、北草蜥、原矛头蝮（</w:t>
      </w:r>
      <w:r>
        <w:rPr>
          <w:rFonts w:hint="default" w:ascii="Times New Roman" w:hAnsi="Times New Roman" w:cs="Times New Roman"/>
          <w:bCs/>
          <w:i/>
          <w:color w:val="auto"/>
          <w:kern w:val="0"/>
          <w:sz w:val="24"/>
          <w:szCs w:val="24"/>
          <w:highlight w:val="none"/>
        </w:rPr>
        <w:t>Protobothrops mucrosquamatus</w:t>
      </w:r>
      <w:r>
        <w:rPr>
          <w:rFonts w:hint="default" w:ascii="Times New Roman" w:hAnsi="Times New Roman" w:cs="Times New Roman"/>
          <w:bCs/>
          <w:color w:val="auto"/>
          <w:kern w:val="0"/>
          <w:sz w:val="24"/>
          <w:szCs w:val="24"/>
          <w:highlight w:val="none"/>
        </w:rPr>
        <w:t>）</w:t>
      </w:r>
      <w:r>
        <w:rPr>
          <w:rFonts w:hint="default" w:ascii="Times New Roman" w:hAnsi="Times New Roman" w:cs="Times New Roman"/>
          <w:bCs/>
          <w:color w:val="auto"/>
          <w:kern w:val="0"/>
          <w:sz w:val="24"/>
          <w:szCs w:val="24"/>
          <w:highlight w:val="none"/>
          <w:lang w:val="en-US" w:eastAsia="zh-CN"/>
        </w:rPr>
        <w:t>和</w:t>
      </w:r>
      <w:r>
        <w:rPr>
          <w:rFonts w:hint="default" w:ascii="Times New Roman" w:hAnsi="Times New Roman" w:cs="Times New Roman"/>
          <w:bCs/>
          <w:color w:val="auto"/>
          <w:kern w:val="0"/>
          <w:sz w:val="24"/>
          <w:szCs w:val="24"/>
          <w:highlight w:val="none"/>
        </w:rPr>
        <w:t>赤链蛇（</w:t>
      </w:r>
      <w:r>
        <w:rPr>
          <w:rFonts w:hint="default" w:ascii="Times New Roman" w:hAnsi="Times New Roman" w:cs="Times New Roman"/>
          <w:bCs/>
          <w:i/>
          <w:color w:val="auto"/>
          <w:kern w:val="0"/>
          <w:sz w:val="24"/>
          <w:szCs w:val="24"/>
          <w:highlight w:val="none"/>
        </w:rPr>
        <w:t>Lycodon rufozonatum</w:t>
      </w:r>
      <w:r>
        <w:rPr>
          <w:rFonts w:hint="default" w:ascii="Times New Roman" w:hAnsi="Times New Roman" w:cs="Times New Roman"/>
          <w:bCs/>
          <w:color w:val="auto"/>
          <w:kern w:val="0"/>
          <w:sz w:val="24"/>
          <w:szCs w:val="24"/>
          <w:highlight w:val="none"/>
        </w:rPr>
        <w:t>），共</w:t>
      </w:r>
      <w:r>
        <w:rPr>
          <w:rFonts w:hint="default" w:ascii="Times New Roman" w:hAnsi="Times New Roman" w:cs="Times New Roman"/>
          <w:bCs/>
          <w:color w:val="auto"/>
          <w:kern w:val="0"/>
          <w:sz w:val="24"/>
          <w:szCs w:val="24"/>
          <w:highlight w:val="none"/>
          <w:lang w:val="en-US" w:eastAsia="zh-CN"/>
        </w:rPr>
        <w:t>4</w:t>
      </w:r>
      <w:r>
        <w:rPr>
          <w:rFonts w:hint="default" w:ascii="Times New Roman" w:hAnsi="Times New Roman" w:cs="Times New Roman"/>
          <w:bCs/>
          <w:color w:val="auto"/>
          <w:kern w:val="0"/>
          <w:sz w:val="24"/>
          <w:szCs w:val="24"/>
          <w:highlight w:val="none"/>
        </w:rPr>
        <w:t>种，主要活动于评价区内路旁的杂草、灌丛、林地中</w:t>
      </w:r>
      <w:r>
        <w:rPr>
          <w:rFonts w:hint="default" w:ascii="Times New Roman" w:hAnsi="Times New Roman" w:cs="Times New Roman"/>
          <w:bCs/>
          <w:color w:val="auto"/>
          <w:kern w:val="0"/>
          <w:sz w:val="24"/>
          <w:szCs w:val="24"/>
          <w:highlight w:val="none"/>
          <w:lang w:eastAsia="zh-CN"/>
        </w:rPr>
        <w:t>，</w:t>
      </w:r>
      <w:r>
        <w:rPr>
          <w:rFonts w:hint="default" w:ascii="Times New Roman" w:hAnsi="Times New Roman" w:cs="Times New Roman"/>
          <w:bCs/>
          <w:color w:val="auto"/>
          <w:kern w:val="0"/>
          <w:sz w:val="24"/>
          <w:szCs w:val="24"/>
          <w:highlight w:val="none"/>
          <w:lang w:val="en-US" w:eastAsia="zh-CN"/>
        </w:rPr>
        <w:t>偶出现于居民点区域</w:t>
      </w:r>
      <w:r>
        <w:rPr>
          <w:rFonts w:hint="default" w:ascii="Times New Roman" w:hAnsi="Times New Roman" w:cs="Times New Roman"/>
          <w:bCs/>
          <w:color w:val="auto"/>
          <w:kern w:val="0"/>
          <w:sz w:val="24"/>
          <w:szCs w:val="24"/>
          <w:highlight w:val="none"/>
        </w:rPr>
        <w:t>。</w:t>
      </w:r>
    </w:p>
    <w:p>
      <w:pPr>
        <w:spacing w:line="360" w:lineRule="auto"/>
        <w:ind w:firstLine="480" w:firstLineChars="200"/>
        <w:rPr>
          <w:rFonts w:hint="default" w:ascii="Times New Roman" w:hAnsi="Times New Roman" w:cs="Times New Roman"/>
          <w:bCs/>
          <w:color w:val="auto"/>
          <w:kern w:val="0"/>
          <w:sz w:val="24"/>
          <w:szCs w:val="24"/>
          <w:highlight w:val="none"/>
        </w:rPr>
      </w:pPr>
      <w:r>
        <w:rPr>
          <w:rFonts w:hint="default" w:ascii="Times New Roman" w:hAnsi="Times New Roman" w:cs="Times New Roman"/>
          <w:bCs/>
          <w:color w:val="auto"/>
          <w:sz w:val="24"/>
          <w:szCs w:val="24"/>
          <w:highlight w:val="none"/>
        </w:rPr>
        <w:t>林栖傍水型（在山谷间有溪流的山坡上活动）</w:t>
      </w:r>
      <w:r>
        <w:rPr>
          <w:rFonts w:hint="default" w:ascii="Times New Roman" w:hAnsi="Times New Roman" w:cs="Times New Roman"/>
          <w:bCs/>
          <w:color w:val="auto"/>
          <w:kern w:val="0"/>
          <w:sz w:val="24"/>
          <w:szCs w:val="24"/>
          <w:highlight w:val="none"/>
        </w:rPr>
        <w:t>：包括尖吻蝮、乌梢蛇、黑眉锦蛇、王锦蛇、红纹滞卵、虎斑颈槽蛇（</w:t>
      </w:r>
      <w:r>
        <w:rPr>
          <w:rFonts w:hint="default" w:ascii="Times New Roman" w:hAnsi="Times New Roman" w:cs="Times New Roman"/>
          <w:bCs/>
          <w:i/>
          <w:color w:val="auto"/>
          <w:kern w:val="0"/>
          <w:sz w:val="24"/>
          <w:szCs w:val="24"/>
          <w:highlight w:val="none"/>
        </w:rPr>
        <w:t>Rhabdophis tigrinus</w:t>
      </w:r>
      <w:r>
        <w:rPr>
          <w:rFonts w:hint="default" w:ascii="Times New Roman" w:hAnsi="Times New Roman" w:cs="Times New Roman"/>
          <w:bCs/>
          <w:color w:val="auto"/>
          <w:kern w:val="0"/>
          <w:sz w:val="24"/>
          <w:szCs w:val="24"/>
          <w:highlight w:val="none"/>
        </w:rPr>
        <w:t>），共</w:t>
      </w:r>
      <w:r>
        <w:rPr>
          <w:rFonts w:hint="default" w:ascii="Times New Roman" w:hAnsi="Times New Roman" w:cs="Times New Roman"/>
          <w:bCs/>
          <w:color w:val="auto"/>
          <w:kern w:val="0"/>
          <w:sz w:val="24"/>
          <w:szCs w:val="24"/>
          <w:highlight w:val="none"/>
          <w:lang w:val="en-US" w:eastAsia="zh-CN"/>
        </w:rPr>
        <w:t>5</w:t>
      </w:r>
      <w:r>
        <w:rPr>
          <w:rFonts w:hint="default" w:ascii="Times New Roman" w:hAnsi="Times New Roman" w:cs="Times New Roman"/>
          <w:bCs/>
          <w:color w:val="auto"/>
          <w:kern w:val="0"/>
          <w:sz w:val="24"/>
          <w:szCs w:val="24"/>
          <w:highlight w:val="none"/>
        </w:rPr>
        <w:t>种，主要分布在靠近水域的林地、灌丛</w:t>
      </w:r>
      <w:r>
        <w:rPr>
          <w:rFonts w:hint="default" w:ascii="Times New Roman" w:hAnsi="Times New Roman" w:cs="Times New Roman"/>
          <w:bCs/>
          <w:color w:val="auto"/>
          <w:kern w:val="0"/>
          <w:sz w:val="24"/>
          <w:szCs w:val="24"/>
          <w:highlight w:val="none"/>
          <w:lang w:eastAsia="zh-CN"/>
        </w:rPr>
        <w:t>、</w:t>
      </w:r>
      <w:r>
        <w:rPr>
          <w:rFonts w:hint="default" w:ascii="Times New Roman" w:hAnsi="Times New Roman" w:cs="Times New Roman"/>
          <w:bCs/>
          <w:color w:val="auto"/>
          <w:kern w:val="0"/>
          <w:sz w:val="24"/>
          <w:szCs w:val="24"/>
          <w:highlight w:val="none"/>
          <w:lang w:val="en-US" w:eastAsia="zh-CN"/>
        </w:rPr>
        <w:t>草地</w:t>
      </w:r>
      <w:r>
        <w:rPr>
          <w:rFonts w:hint="default" w:ascii="Times New Roman" w:hAnsi="Times New Roman" w:cs="Times New Roman"/>
          <w:bCs/>
          <w:color w:val="auto"/>
          <w:kern w:val="0"/>
          <w:sz w:val="24"/>
          <w:szCs w:val="24"/>
          <w:highlight w:val="none"/>
        </w:rPr>
        <w:t>内。</w:t>
      </w:r>
    </w:p>
    <w:p>
      <w:pPr>
        <w:spacing w:line="360" w:lineRule="auto"/>
        <w:ind w:firstLine="480" w:firstLineChars="200"/>
        <w:rPr>
          <w:rFonts w:hint="default" w:ascii="Times New Roman" w:hAnsi="Times New Roman" w:cs="Times New Roman"/>
          <w:bCs/>
          <w:color w:val="auto"/>
          <w:kern w:val="0"/>
          <w:sz w:val="24"/>
          <w:szCs w:val="24"/>
          <w:highlight w:val="none"/>
        </w:rPr>
      </w:pPr>
      <w:r>
        <w:rPr>
          <w:rFonts w:hint="default" w:ascii="Times New Roman" w:hAnsi="Times New Roman" w:cs="Times New Roman"/>
          <w:bCs/>
          <w:color w:val="auto"/>
          <w:sz w:val="24"/>
          <w:szCs w:val="24"/>
          <w:highlight w:val="none"/>
        </w:rPr>
        <w:t>住宅型（在住宅区的建筑物中筑巢、繁殖、活动的爬行类）</w:t>
      </w:r>
      <w:r>
        <w:rPr>
          <w:rFonts w:hint="default" w:ascii="Times New Roman" w:hAnsi="Times New Roman" w:cs="Times New Roman"/>
          <w:bCs/>
          <w:color w:val="auto"/>
          <w:kern w:val="0"/>
          <w:sz w:val="24"/>
          <w:szCs w:val="24"/>
          <w:highlight w:val="none"/>
        </w:rPr>
        <w:t>：仅多疣壁虎1种，主要在居民点附近活动，与人为活动关系密切</w:t>
      </w:r>
      <w:r>
        <w:rPr>
          <w:rFonts w:hint="default" w:ascii="Times New Roman" w:hAnsi="Times New Roman" w:cs="Times New Roman"/>
          <w:bCs/>
          <w:color w:val="auto"/>
          <w:kern w:val="0"/>
          <w:sz w:val="24"/>
          <w:szCs w:val="24"/>
          <w:highlight w:val="none"/>
          <w:lang w:eastAsia="zh-CN"/>
        </w:rPr>
        <w:t>，</w:t>
      </w:r>
      <w:r>
        <w:rPr>
          <w:rFonts w:hint="default" w:ascii="Times New Roman" w:hAnsi="Times New Roman" w:cs="Times New Roman"/>
          <w:bCs/>
          <w:color w:val="auto"/>
          <w:kern w:val="0"/>
          <w:sz w:val="24"/>
          <w:szCs w:val="24"/>
          <w:highlight w:val="none"/>
          <w:lang w:val="en-US" w:eastAsia="zh-CN"/>
        </w:rPr>
        <w:t>较常见</w:t>
      </w:r>
      <w:r>
        <w:rPr>
          <w:rFonts w:hint="default" w:ascii="Times New Roman" w:hAnsi="Times New Roman" w:cs="Times New Roman"/>
          <w:bCs/>
          <w:color w:val="auto"/>
          <w:kern w:val="0"/>
          <w:sz w:val="24"/>
          <w:szCs w:val="24"/>
          <w:highlight w:val="none"/>
        </w:rPr>
        <w:t>。</w:t>
      </w:r>
    </w:p>
    <w:p>
      <w:pPr>
        <w:pStyle w:val="8"/>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水栖型（在水中生活、觅食的爬行类）：包括中华鳖、乌龟2种，主要在评价区内的</w:t>
      </w:r>
      <w:r>
        <w:rPr>
          <w:rFonts w:hint="default" w:ascii="Times New Roman" w:hAnsi="Times New Roman" w:cs="Times New Roman"/>
          <w:color w:val="auto"/>
          <w:highlight w:val="none"/>
          <w:lang w:val="en-US" w:eastAsia="zh-CN"/>
        </w:rPr>
        <w:t>湘江</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水塘</w:t>
      </w:r>
      <w:r>
        <w:rPr>
          <w:rFonts w:hint="default" w:ascii="Times New Roman" w:hAnsi="Times New Roman" w:cs="Times New Roman"/>
          <w:color w:val="auto"/>
          <w:highlight w:val="none"/>
        </w:rPr>
        <w:t>区域活动。</w:t>
      </w:r>
    </w:p>
    <w:p>
      <w:pPr>
        <w:spacing w:line="360" w:lineRule="auto"/>
        <w:ind w:firstLine="480" w:firstLineChars="200"/>
        <w:rPr>
          <w:rFonts w:hint="default" w:ascii="Times New Roman" w:hAnsi="Times New Roman" w:cs="Times New Roman"/>
          <w:bCs/>
          <w:color w:val="auto"/>
          <w:kern w:val="0"/>
          <w:sz w:val="24"/>
          <w:szCs w:val="24"/>
          <w:highlight w:val="none"/>
        </w:rPr>
      </w:pPr>
      <w:r>
        <w:rPr>
          <w:rFonts w:hint="default" w:ascii="Times New Roman" w:hAnsi="Times New Roman" w:cs="Times New Roman"/>
          <w:bCs/>
          <w:color w:val="auto"/>
          <w:kern w:val="0"/>
          <w:sz w:val="24"/>
          <w:szCs w:val="24"/>
          <w:highlight w:val="none"/>
        </w:rPr>
        <w:t>3）</w:t>
      </w:r>
      <w:r>
        <w:rPr>
          <w:rFonts w:hint="default" w:ascii="Times New Roman" w:hAnsi="Times New Roman" w:cs="Times New Roman"/>
          <w:bCs/>
          <w:color w:val="auto"/>
          <w:kern w:val="0"/>
          <w:sz w:val="24"/>
          <w:szCs w:val="24"/>
          <w:highlight w:val="none"/>
          <w:lang w:val="zh-CN"/>
        </w:rPr>
        <w:t>区系类型</w:t>
      </w:r>
    </w:p>
    <w:p>
      <w:pPr>
        <w:spacing w:line="360" w:lineRule="auto"/>
        <w:ind w:firstLine="480" w:firstLineChars="200"/>
        <w:jc w:val="both"/>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评价区内分布的</w:t>
      </w:r>
      <w:r>
        <w:rPr>
          <w:rFonts w:hint="default" w:ascii="Times New Roman" w:hAnsi="Times New Roman" w:cs="Times New Roman"/>
          <w:color w:val="auto"/>
          <w:kern w:val="0"/>
          <w:sz w:val="24"/>
          <w:szCs w:val="24"/>
          <w:highlight w:val="none"/>
          <w:lang w:val="en-US" w:eastAsia="zh-CN"/>
        </w:rPr>
        <w:t>12</w:t>
      </w:r>
      <w:r>
        <w:rPr>
          <w:rFonts w:hint="default" w:ascii="Times New Roman" w:hAnsi="Times New Roman" w:cs="Times New Roman"/>
          <w:color w:val="auto"/>
          <w:kern w:val="0"/>
          <w:sz w:val="24"/>
          <w:szCs w:val="24"/>
          <w:highlight w:val="none"/>
        </w:rPr>
        <w:t>种爬行动物中，东洋种</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种，占比</w:t>
      </w:r>
      <w:r>
        <w:rPr>
          <w:rFonts w:hint="default" w:ascii="Times New Roman" w:hAnsi="Times New Roman" w:cs="Times New Roman"/>
          <w:color w:val="auto"/>
          <w:kern w:val="0"/>
          <w:sz w:val="24"/>
          <w:szCs w:val="24"/>
          <w:highlight w:val="none"/>
          <w:lang w:val="en-US" w:eastAsia="zh-CN"/>
        </w:rPr>
        <w:t>41.67</w:t>
      </w:r>
      <w:r>
        <w:rPr>
          <w:rFonts w:hint="default" w:ascii="Times New Roman" w:hAnsi="Times New Roman" w:cs="Times New Roman"/>
          <w:color w:val="auto"/>
          <w:kern w:val="0"/>
          <w:sz w:val="24"/>
          <w:szCs w:val="24"/>
          <w:highlight w:val="none"/>
        </w:rPr>
        <w:t>%；广布种</w:t>
      </w:r>
      <w:r>
        <w:rPr>
          <w:rFonts w:hint="default" w:ascii="Times New Roman" w:hAnsi="Times New Roman" w:cs="Times New Roman"/>
          <w:color w:val="auto"/>
          <w:kern w:val="0"/>
          <w:sz w:val="24"/>
          <w:szCs w:val="24"/>
          <w:highlight w:val="none"/>
          <w:lang w:val="en-US" w:eastAsia="zh-CN"/>
        </w:rPr>
        <w:t>7</w:t>
      </w:r>
      <w:r>
        <w:rPr>
          <w:rFonts w:hint="default" w:ascii="Times New Roman" w:hAnsi="Times New Roman" w:cs="Times New Roman"/>
          <w:color w:val="auto"/>
          <w:kern w:val="0"/>
          <w:sz w:val="24"/>
          <w:szCs w:val="24"/>
          <w:highlight w:val="none"/>
        </w:rPr>
        <w:t>种，占比</w:t>
      </w:r>
      <w:r>
        <w:rPr>
          <w:rFonts w:hint="default" w:ascii="Times New Roman" w:hAnsi="Times New Roman" w:cs="Times New Roman"/>
          <w:color w:val="auto"/>
          <w:kern w:val="0"/>
          <w:sz w:val="24"/>
          <w:szCs w:val="24"/>
          <w:highlight w:val="none"/>
          <w:lang w:val="en-US" w:eastAsia="zh-CN"/>
        </w:rPr>
        <w:t>58.33</w:t>
      </w:r>
      <w:r>
        <w:rPr>
          <w:rFonts w:hint="default" w:ascii="Times New Roman" w:hAnsi="Times New Roman" w:cs="Times New Roman"/>
          <w:color w:val="auto"/>
          <w:kern w:val="0"/>
          <w:sz w:val="24"/>
          <w:szCs w:val="24"/>
          <w:highlight w:val="none"/>
        </w:rPr>
        <w:t>%，无古北种分布。与两栖类类似，评价区地处东洋界，爬行类长距离迁徙能力较弱，无法跨越地理阻隔</w:t>
      </w:r>
      <w:r>
        <w:rPr>
          <w:rFonts w:hint="default" w:ascii="Times New Roman" w:hAnsi="Times New Roman" w:cs="Times New Roman"/>
          <w:color w:val="auto"/>
          <w:sz w:val="24"/>
          <w:szCs w:val="24"/>
          <w:highlight w:val="none"/>
        </w:rPr>
        <w:t>渗透至东洋界，因此无古北种分布</w:t>
      </w:r>
      <w:r>
        <w:rPr>
          <w:rFonts w:hint="default" w:ascii="Times New Roman" w:hAnsi="Times New Roman" w:cs="Times New Roman"/>
          <w:color w:val="auto"/>
          <w:kern w:val="0"/>
          <w:sz w:val="24"/>
          <w:szCs w:val="24"/>
          <w:highlight w:val="none"/>
        </w:rPr>
        <w:t>。</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2" w:firstLineChars="200"/>
        <w:jc w:val="left"/>
        <w:textAlignment w:val="auto"/>
        <w:outlineLvl w:val="9"/>
        <w:rPr>
          <w:rFonts w:hint="default" w:cs="Times New Roman"/>
          <w:b/>
          <w:bCs/>
          <w:color w:val="auto"/>
          <w:sz w:val="28"/>
          <w:szCs w:val="28"/>
          <w:highlight w:val="none"/>
          <w:lang w:val="en-US" w:eastAsia="zh-CN"/>
        </w:rPr>
      </w:pPr>
      <w:r>
        <w:rPr>
          <w:rFonts w:hint="default" w:cs="Times New Roman"/>
          <w:b/>
          <w:bCs/>
          <w:color w:val="auto"/>
          <w:sz w:val="28"/>
          <w:szCs w:val="28"/>
          <w:highlight w:val="none"/>
          <w:lang w:val="en-US" w:eastAsia="zh-CN"/>
        </w:rPr>
        <w:t>3、鸟类</w:t>
      </w:r>
    </w:p>
    <w:p>
      <w:pPr>
        <w:spacing w:line="360" w:lineRule="auto"/>
        <w:ind w:firstLine="482"/>
        <w:jc w:val="both"/>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1）种类组成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评价区共分布有鸟类</w:t>
      </w:r>
      <w:r>
        <w:rPr>
          <w:rFonts w:hint="default" w:ascii="Times New Roman" w:hAnsi="Times New Roman" w:cs="Times New Roman"/>
          <w:color w:val="auto"/>
          <w:sz w:val="24"/>
          <w:szCs w:val="24"/>
          <w:highlight w:val="none"/>
          <w:lang w:val="en-US" w:eastAsia="zh-CN"/>
        </w:rPr>
        <w:t>84</w:t>
      </w:r>
      <w:r>
        <w:rPr>
          <w:rFonts w:hint="default" w:ascii="Times New Roman" w:hAnsi="Times New Roman" w:cs="Times New Roman"/>
          <w:color w:val="auto"/>
          <w:sz w:val="24"/>
          <w:szCs w:val="24"/>
          <w:highlight w:val="none"/>
        </w:rPr>
        <w:t>种，隶属于</w:t>
      </w:r>
      <w:r>
        <w:rPr>
          <w:rFonts w:hint="default" w:ascii="Times New Roman" w:hAnsi="Times New Roman" w:cs="Times New Roman"/>
          <w:color w:val="auto"/>
          <w:sz w:val="24"/>
          <w:szCs w:val="24"/>
          <w:highlight w:val="none"/>
          <w:lang w:val="en-US" w:eastAsia="zh-CN"/>
        </w:rPr>
        <w:t>11</w:t>
      </w:r>
      <w:r>
        <w:rPr>
          <w:rFonts w:hint="default" w:ascii="Times New Roman" w:hAnsi="Times New Roman" w:cs="Times New Roman"/>
          <w:color w:val="auto"/>
          <w:sz w:val="24"/>
          <w:szCs w:val="24"/>
          <w:highlight w:val="none"/>
        </w:rPr>
        <w:t>目</w:t>
      </w:r>
      <w:r>
        <w:rPr>
          <w:rFonts w:hint="default" w:ascii="Times New Roman" w:hAnsi="Times New Roman" w:cs="Times New Roman"/>
          <w:color w:val="auto"/>
          <w:sz w:val="24"/>
          <w:szCs w:val="24"/>
          <w:highlight w:val="none"/>
          <w:lang w:val="en-US" w:eastAsia="zh-CN"/>
        </w:rPr>
        <w:t>34</w:t>
      </w:r>
      <w:r>
        <w:rPr>
          <w:rFonts w:hint="default" w:ascii="Times New Roman" w:hAnsi="Times New Roman" w:cs="Times New Roman"/>
          <w:color w:val="auto"/>
          <w:sz w:val="24"/>
          <w:szCs w:val="24"/>
          <w:highlight w:val="none"/>
        </w:rPr>
        <w:t>科，以雀形目鸟类最多，共</w:t>
      </w:r>
      <w:r>
        <w:rPr>
          <w:rFonts w:hint="default" w:ascii="Times New Roman" w:hAnsi="Times New Roman" w:cs="Times New Roman"/>
          <w:color w:val="auto"/>
          <w:sz w:val="24"/>
          <w:szCs w:val="24"/>
          <w:highlight w:val="none"/>
          <w:lang w:val="en-US" w:eastAsia="zh-CN"/>
        </w:rPr>
        <w:t>60</w:t>
      </w:r>
      <w:r>
        <w:rPr>
          <w:rFonts w:hint="default" w:ascii="Times New Roman" w:hAnsi="Times New Roman" w:cs="Times New Roman"/>
          <w:color w:val="auto"/>
          <w:sz w:val="24"/>
          <w:szCs w:val="24"/>
          <w:highlight w:val="none"/>
        </w:rPr>
        <w:t>种，占评价区内野生鸟类总种数的</w:t>
      </w:r>
      <w:r>
        <w:rPr>
          <w:rFonts w:hint="default" w:ascii="Times New Roman" w:hAnsi="Times New Roman" w:cs="Times New Roman"/>
          <w:color w:val="auto"/>
          <w:sz w:val="24"/>
          <w:szCs w:val="24"/>
          <w:highlight w:val="none"/>
          <w:lang w:val="en-US" w:eastAsia="zh-CN"/>
        </w:rPr>
        <w:t>71.43</w:t>
      </w:r>
      <w:r>
        <w:rPr>
          <w:rFonts w:hint="default" w:ascii="Times New Roman" w:hAnsi="Times New Roman" w:cs="Times New Roman"/>
          <w:color w:val="auto"/>
          <w:sz w:val="24"/>
          <w:szCs w:val="24"/>
          <w:highlight w:val="none"/>
        </w:rPr>
        <w:t>%。评价区内未发现国家一级重点保护野生鸟类分布</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有国家二级重点保护野生鸟类</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种，为黑翅鸢（</w:t>
      </w:r>
      <w:r>
        <w:rPr>
          <w:rFonts w:hint="default" w:ascii="Times New Roman" w:hAnsi="Times New Roman" w:cs="Times New Roman"/>
          <w:i/>
          <w:color w:val="auto"/>
          <w:sz w:val="24"/>
          <w:szCs w:val="24"/>
          <w:highlight w:val="none"/>
        </w:rPr>
        <w:t>Elanus caeruleus</w:t>
      </w:r>
      <w:r>
        <w:rPr>
          <w:rFonts w:hint="default" w:ascii="Times New Roman" w:hAnsi="Times New Roman" w:cs="Times New Roman"/>
          <w:color w:val="auto"/>
          <w:sz w:val="24"/>
          <w:szCs w:val="24"/>
          <w:highlight w:val="none"/>
        </w:rPr>
        <w:t>）、黑鸢（</w:t>
      </w:r>
      <w:r>
        <w:rPr>
          <w:rFonts w:hint="default" w:ascii="Times New Roman" w:hAnsi="Times New Roman" w:cs="Times New Roman"/>
          <w:i/>
          <w:iCs/>
          <w:color w:val="auto"/>
          <w:sz w:val="24"/>
          <w:szCs w:val="24"/>
          <w:highlight w:val="none"/>
        </w:rPr>
        <w:t>Milvus</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iCs/>
          <w:color w:val="auto"/>
          <w:sz w:val="24"/>
          <w:szCs w:val="24"/>
          <w:highlight w:val="none"/>
        </w:rPr>
        <w:t>migrans</w:t>
      </w:r>
      <w:r>
        <w:rPr>
          <w:rFonts w:hint="default" w:ascii="Times New Roman" w:hAnsi="Times New Roman" w:cs="Times New Roman"/>
          <w:color w:val="auto"/>
          <w:sz w:val="24"/>
          <w:szCs w:val="24"/>
          <w:highlight w:val="none"/>
        </w:rPr>
        <w:t>）、白胸翡翠（</w:t>
      </w:r>
      <w:r>
        <w:rPr>
          <w:rFonts w:hint="default" w:ascii="Times New Roman" w:hAnsi="Times New Roman" w:cs="Times New Roman"/>
          <w:i/>
          <w:iCs/>
          <w:color w:val="auto"/>
          <w:sz w:val="24"/>
          <w:szCs w:val="24"/>
          <w:highlight w:val="none"/>
        </w:rPr>
        <w:t>Halcyon smyrnensis</w:t>
      </w:r>
      <w:r>
        <w:rPr>
          <w:rFonts w:hint="default" w:ascii="Times New Roman" w:hAnsi="Times New Roman" w:cs="Times New Roman"/>
          <w:color w:val="auto"/>
          <w:sz w:val="24"/>
          <w:szCs w:val="24"/>
          <w:highlight w:val="none"/>
        </w:rPr>
        <w:t>）、画眉（</w:t>
      </w:r>
      <w:r>
        <w:rPr>
          <w:rFonts w:hint="default" w:ascii="Times New Roman" w:hAnsi="Times New Roman" w:cs="Times New Roman"/>
          <w:i/>
          <w:iCs/>
          <w:color w:val="auto"/>
          <w:sz w:val="24"/>
          <w:szCs w:val="24"/>
          <w:highlight w:val="none"/>
        </w:rPr>
        <w:t>Garrulax</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iCs/>
          <w:color w:val="auto"/>
          <w:sz w:val="24"/>
          <w:szCs w:val="24"/>
          <w:highlight w:val="none"/>
        </w:rPr>
        <w:t>canorus</w:t>
      </w:r>
      <w:r>
        <w:rPr>
          <w:rFonts w:hint="default" w:ascii="Times New Roman" w:hAnsi="Times New Roman" w:cs="Times New Roman"/>
          <w:color w:val="auto"/>
          <w:sz w:val="24"/>
          <w:szCs w:val="24"/>
          <w:highlight w:val="none"/>
        </w:rPr>
        <w:t>）和红嘴相思鸟（</w:t>
      </w:r>
      <w:r>
        <w:rPr>
          <w:rFonts w:hint="default" w:ascii="Times New Roman" w:hAnsi="Times New Roman" w:cs="Times New Roman"/>
          <w:i/>
          <w:iCs/>
          <w:color w:val="auto"/>
          <w:sz w:val="24"/>
          <w:szCs w:val="24"/>
          <w:highlight w:val="none"/>
        </w:rPr>
        <w:t>Leiothrix</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i/>
          <w:iCs/>
          <w:color w:val="auto"/>
          <w:sz w:val="24"/>
          <w:szCs w:val="24"/>
          <w:highlight w:val="none"/>
        </w:rPr>
        <w:t>lutea</w:t>
      </w:r>
      <w:r>
        <w:rPr>
          <w:rFonts w:hint="default" w:ascii="Times New Roman" w:hAnsi="Times New Roman" w:cs="Times New Roman"/>
          <w:color w:val="auto"/>
          <w:sz w:val="24"/>
          <w:szCs w:val="24"/>
          <w:highlight w:val="none"/>
        </w:rPr>
        <w:t>）；有湖南省级重点保护野生鸟类</w:t>
      </w:r>
      <w:r>
        <w:rPr>
          <w:rFonts w:hint="default" w:ascii="Times New Roman" w:hAnsi="Times New Roman" w:cs="Times New Roman"/>
          <w:color w:val="auto"/>
          <w:sz w:val="24"/>
          <w:szCs w:val="24"/>
          <w:highlight w:val="none"/>
          <w:lang w:val="en-US" w:eastAsia="zh-CN"/>
        </w:rPr>
        <w:t>48</w:t>
      </w:r>
      <w:r>
        <w:rPr>
          <w:rFonts w:hint="default" w:ascii="Times New Roman" w:hAnsi="Times New Roman" w:cs="Times New Roman"/>
          <w:color w:val="auto"/>
          <w:sz w:val="24"/>
          <w:szCs w:val="24"/>
          <w:highlight w:val="none"/>
        </w:rPr>
        <w:t>种，为</w:t>
      </w:r>
      <w:r>
        <w:rPr>
          <w:rFonts w:hint="default" w:ascii="Times New Roman" w:hAnsi="Times New Roman" w:eastAsia="宋体" w:cs="Times New Roman"/>
          <w:color w:val="auto"/>
          <w:sz w:val="24"/>
          <w:szCs w:val="24"/>
          <w:highlight w:val="none"/>
        </w:rPr>
        <w:t>环颈雉（</w:t>
      </w:r>
      <w:r>
        <w:rPr>
          <w:rFonts w:hint="default" w:ascii="Times New Roman" w:hAnsi="Times New Roman" w:eastAsia="宋体" w:cs="Times New Roman"/>
          <w:i/>
          <w:iCs/>
          <w:color w:val="auto"/>
          <w:sz w:val="24"/>
          <w:szCs w:val="24"/>
          <w:highlight w:val="none"/>
        </w:rPr>
        <w:t>Phasianus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colchicus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绿头鸭（</w:t>
      </w:r>
      <w:r>
        <w:rPr>
          <w:rFonts w:hint="default" w:ascii="Times New Roman" w:hAnsi="Times New Roman" w:eastAsia="宋体" w:cs="Times New Roman"/>
          <w:i/>
          <w:iCs/>
          <w:color w:val="auto"/>
          <w:sz w:val="24"/>
          <w:szCs w:val="24"/>
          <w:highlight w:val="none"/>
        </w:rPr>
        <w:t>Anas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platyrhynchos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斑嘴鸭（</w:t>
      </w:r>
      <w:r>
        <w:rPr>
          <w:rFonts w:hint="default" w:ascii="Times New Roman" w:hAnsi="Times New Roman" w:eastAsia="宋体" w:cs="Times New Roman"/>
          <w:i/>
          <w:iCs/>
          <w:color w:val="auto"/>
          <w:sz w:val="24"/>
          <w:szCs w:val="24"/>
          <w:highlight w:val="none"/>
        </w:rPr>
        <w:t>Anas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zonorhyncha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小䴙䴘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山斑鸠（</w:t>
      </w:r>
      <w:r>
        <w:rPr>
          <w:rFonts w:hint="default" w:ascii="Times New Roman" w:hAnsi="Times New Roman" w:eastAsia="宋体" w:cs="Times New Roman"/>
          <w:i/>
          <w:iCs/>
          <w:color w:val="auto"/>
          <w:sz w:val="24"/>
          <w:szCs w:val="24"/>
          <w:highlight w:val="none"/>
        </w:rPr>
        <w:t>Streptopelia</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orientalis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火斑鸠（</w:t>
      </w:r>
      <w:r>
        <w:rPr>
          <w:rFonts w:hint="default" w:ascii="Times New Roman" w:hAnsi="Times New Roman" w:eastAsia="宋体" w:cs="Times New Roman"/>
          <w:i/>
          <w:iCs/>
          <w:color w:val="auto"/>
          <w:sz w:val="24"/>
          <w:szCs w:val="24"/>
          <w:highlight w:val="none"/>
        </w:rPr>
        <w:t>Streptopelia</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tranquebarica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珠颈斑鸠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白胸苦恶鸟（</w:t>
      </w:r>
      <w:r>
        <w:rPr>
          <w:rFonts w:hint="default" w:ascii="Times New Roman" w:hAnsi="Times New Roman" w:eastAsia="宋体" w:cs="Times New Roman"/>
          <w:i/>
          <w:iCs/>
          <w:color w:val="auto"/>
          <w:sz w:val="24"/>
          <w:szCs w:val="24"/>
          <w:highlight w:val="none"/>
        </w:rPr>
        <w:t>Amaurornis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phoenicurus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黑水鸡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矶鹬（</w:t>
      </w:r>
      <w:r>
        <w:rPr>
          <w:rFonts w:hint="default" w:ascii="Times New Roman" w:hAnsi="Times New Roman" w:eastAsia="宋体" w:cs="Times New Roman"/>
          <w:i/>
          <w:iCs/>
          <w:color w:val="auto"/>
          <w:sz w:val="24"/>
          <w:szCs w:val="24"/>
          <w:highlight w:val="none"/>
        </w:rPr>
        <w:t>Actitis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hypoleucos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夜鹭（</w:t>
      </w:r>
      <w:r>
        <w:rPr>
          <w:rFonts w:hint="default" w:ascii="Times New Roman" w:hAnsi="Times New Roman" w:eastAsia="宋体" w:cs="Times New Roman"/>
          <w:i/>
          <w:iCs/>
          <w:color w:val="auto"/>
          <w:sz w:val="24"/>
          <w:szCs w:val="24"/>
          <w:highlight w:val="none"/>
        </w:rPr>
        <w:t>Nycticorax</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nycticorax</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池鹭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牛背鹭（</w:t>
      </w:r>
      <w:r>
        <w:rPr>
          <w:rFonts w:hint="default" w:ascii="Times New Roman" w:hAnsi="Times New Roman" w:eastAsia="宋体" w:cs="Times New Roman"/>
          <w:i/>
          <w:iCs/>
          <w:color w:val="auto"/>
          <w:sz w:val="24"/>
          <w:szCs w:val="24"/>
          <w:highlight w:val="none"/>
        </w:rPr>
        <w:t>Bubulcus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coromandus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苍鹭（</w:t>
      </w:r>
      <w:r>
        <w:rPr>
          <w:rFonts w:hint="default" w:ascii="Times New Roman" w:hAnsi="Times New Roman" w:eastAsia="宋体" w:cs="Times New Roman"/>
          <w:i/>
          <w:iCs/>
          <w:color w:val="auto"/>
          <w:sz w:val="24"/>
          <w:szCs w:val="24"/>
          <w:highlight w:val="none"/>
        </w:rPr>
        <w:t>Ardea</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cinerea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大白鹭（</w:t>
      </w:r>
      <w:r>
        <w:rPr>
          <w:rFonts w:hint="default" w:ascii="Times New Roman" w:hAnsi="Times New Roman" w:eastAsia="宋体" w:cs="Times New Roman"/>
          <w:i/>
          <w:iCs/>
          <w:color w:val="auto"/>
          <w:sz w:val="24"/>
          <w:szCs w:val="24"/>
          <w:highlight w:val="none"/>
        </w:rPr>
        <w:t>Ardea</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alba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中白鹭（</w:t>
      </w:r>
      <w:r>
        <w:rPr>
          <w:rFonts w:hint="default" w:ascii="Times New Roman" w:hAnsi="Times New Roman" w:eastAsia="宋体" w:cs="Times New Roman"/>
          <w:i/>
          <w:iCs/>
          <w:color w:val="auto"/>
          <w:sz w:val="24"/>
          <w:szCs w:val="24"/>
          <w:highlight w:val="none"/>
        </w:rPr>
        <w:t>Ardea</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intermedia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白鹭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戴胜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普通翠鸟（</w:t>
      </w:r>
      <w:r>
        <w:rPr>
          <w:rFonts w:hint="default" w:ascii="Times New Roman" w:hAnsi="Times New Roman" w:eastAsia="宋体" w:cs="Times New Roman"/>
          <w:i/>
          <w:iCs/>
          <w:color w:val="auto"/>
          <w:sz w:val="24"/>
          <w:szCs w:val="24"/>
          <w:highlight w:val="none"/>
        </w:rPr>
        <w:t>Alcedo</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atthis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黑枕黄鹂（</w:t>
      </w:r>
      <w:r>
        <w:rPr>
          <w:rFonts w:hint="default" w:ascii="Times New Roman" w:hAnsi="Times New Roman" w:eastAsia="宋体" w:cs="Times New Roman"/>
          <w:i/>
          <w:iCs/>
          <w:color w:val="auto"/>
          <w:sz w:val="24"/>
          <w:szCs w:val="24"/>
          <w:highlight w:val="none"/>
        </w:rPr>
        <w:t>Oriolus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chinensis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灰喉山椒鸟（</w:t>
      </w:r>
      <w:r>
        <w:rPr>
          <w:rFonts w:hint="default" w:ascii="Times New Roman" w:hAnsi="Times New Roman" w:eastAsia="宋体" w:cs="Times New Roman"/>
          <w:i/>
          <w:iCs/>
          <w:color w:val="auto"/>
          <w:sz w:val="24"/>
          <w:szCs w:val="24"/>
          <w:highlight w:val="none"/>
        </w:rPr>
        <w:t>Pericrocotus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solaris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黑卷尾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灰卷尾（</w:t>
      </w:r>
      <w:r>
        <w:rPr>
          <w:rFonts w:hint="default" w:ascii="Times New Roman" w:hAnsi="Times New Roman" w:eastAsia="宋体" w:cs="Times New Roman"/>
          <w:i/>
          <w:iCs/>
          <w:color w:val="auto"/>
          <w:sz w:val="24"/>
          <w:szCs w:val="24"/>
          <w:highlight w:val="none"/>
        </w:rPr>
        <w:t>Dicrurus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leucophaeus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红尾伯劳（</w:t>
      </w:r>
      <w:r>
        <w:rPr>
          <w:rFonts w:hint="default" w:ascii="Times New Roman" w:hAnsi="Times New Roman" w:eastAsia="宋体" w:cs="Times New Roman"/>
          <w:i/>
          <w:iCs/>
          <w:color w:val="auto"/>
          <w:sz w:val="24"/>
          <w:szCs w:val="24"/>
          <w:highlight w:val="none"/>
        </w:rPr>
        <w:t>Lanius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cristatus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棕背伯劳（</w:t>
      </w:r>
      <w:r>
        <w:rPr>
          <w:rFonts w:hint="default" w:ascii="Times New Roman" w:hAnsi="Times New Roman" w:eastAsia="宋体" w:cs="Times New Roman"/>
          <w:i/>
          <w:iCs/>
          <w:color w:val="auto"/>
          <w:sz w:val="24"/>
          <w:szCs w:val="24"/>
          <w:highlight w:val="none"/>
        </w:rPr>
        <w:t>Lanius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schach</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松鸦（</w:t>
      </w:r>
      <w:r>
        <w:rPr>
          <w:rFonts w:hint="default" w:ascii="Times New Roman" w:hAnsi="Times New Roman" w:eastAsia="宋体" w:cs="Times New Roman"/>
          <w:i/>
          <w:iCs/>
          <w:color w:val="auto"/>
          <w:sz w:val="24"/>
          <w:szCs w:val="24"/>
          <w:highlight w:val="none"/>
        </w:rPr>
        <w:t>Garrulus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glandarius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灰喜鹊（</w:t>
      </w:r>
      <w:r>
        <w:rPr>
          <w:rFonts w:hint="default" w:ascii="Times New Roman" w:hAnsi="Times New Roman" w:eastAsia="宋体" w:cs="Times New Roman"/>
          <w:i/>
          <w:iCs/>
          <w:color w:val="auto"/>
          <w:sz w:val="24"/>
          <w:szCs w:val="24"/>
          <w:highlight w:val="none"/>
        </w:rPr>
        <w:t>Cyanopica</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cyanus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红嘴蓝鹊（</w:t>
      </w:r>
      <w:r>
        <w:rPr>
          <w:rFonts w:hint="default" w:ascii="Times New Roman" w:hAnsi="Times New Roman" w:eastAsia="宋体" w:cs="Times New Roman"/>
          <w:i/>
          <w:iCs/>
          <w:color w:val="auto"/>
          <w:sz w:val="24"/>
          <w:szCs w:val="24"/>
          <w:highlight w:val="none"/>
        </w:rPr>
        <w:t>Urocissa</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erythrorhyncha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喜鹊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白颈鸦（</w:t>
      </w:r>
      <w:r>
        <w:rPr>
          <w:rFonts w:hint="default" w:ascii="Times New Roman" w:hAnsi="Times New Roman" w:eastAsia="宋体" w:cs="Times New Roman"/>
          <w:i/>
          <w:iCs/>
          <w:color w:val="auto"/>
          <w:sz w:val="24"/>
          <w:szCs w:val="24"/>
          <w:highlight w:val="none"/>
        </w:rPr>
        <w:t>Corvus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pectoralis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黄腹山雀（</w:t>
      </w:r>
      <w:r>
        <w:rPr>
          <w:rFonts w:hint="default" w:ascii="Times New Roman" w:hAnsi="Times New Roman" w:eastAsia="宋体" w:cs="Times New Roman"/>
          <w:i/>
          <w:iCs/>
          <w:color w:val="auto"/>
          <w:sz w:val="24"/>
          <w:szCs w:val="24"/>
          <w:highlight w:val="none"/>
        </w:rPr>
        <w:t>Pardaliparus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venustulus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大山雀（</w:t>
      </w:r>
      <w:r>
        <w:rPr>
          <w:rFonts w:hint="default" w:ascii="Times New Roman" w:hAnsi="Times New Roman" w:eastAsia="宋体" w:cs="Times New Roman"/>
          <w:i/>
          <w:iCs/>
          <w:color w:val="auto"/>
          <w:sz w:val="24"/>
          <w:szCs w:val="24"/>
          <w:highlight w:val="none"/>
        </w:rPr>
        <w:t>Parus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minor</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家燕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金腰燕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领雀嘴鹎（</w:t>
      </w:r>
      <w:r>
        <w:rPr>
          <w:rFonts w:hint="default" w:ascii="Times New Roman" w:hAnsi="Times New Roman" w:eastAsia="宋体" w:cs="Times New Roman"/>
          <w:i/>
          <w:iCs/>
          <w:color w:val="auto"/>
          <w:sz w:val="24"/>
          <w:szCs w:val="24"/>
          <w:highlight w:val="none"/>
        </w:rPr>
        <w:t>Spizixos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semitorques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黄臀鹎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白头鹎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白喉红臀鹎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黑短脚鹎（</w:t>
      </w:r>
      <w:r>
        <w:rPr>
          <w:rFonts w:hint="default" w:ascii="Times New Roman" w:hAnsi="Times New Roman" w:eastAsia="宋体" w:cs="Times New Roman"/>
          <w:i/>
          <w:iCs/>
          <w:color w:val="auto"/>
          <w:sz w:val="24"/>
          <w:szCs w:val="24"/>
          <w:highlight w:val="none"/>
        </w:rPr>
        <w:t>Hypsipetes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leucocephalus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红头长尾山雀</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暗绿绣眼鸟（</w:t>
      </w:r>
      <w:r>
        <w:rPr>
          <w:rFonts w:hint="default" w:ascii="Times New Roman" w:hAnsi="Times New Roman" w:eastAsia="宋体" w:cs="Times New Roman"/>
          <w:i/>
          <w:iCs/>
          <w:color w:val="auto"/>
          <w:sz w:val="24"/>
          <w:szCs w:val="24"/>
          <w:highlight w:val="none"/>
        </w:rPr>
        <w:t>Zosterops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simplex</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黑脸噪鹛（</w:t>
      </w:r>
      <w:r>
        <w:rPr>
          <w:rFonts w:hint="default" w:ascii="Times New Roman" w:hAnsi="Times New Roman" w:eastAsia="宋体" w:cs="Times New Roman"/>
          <w:i/>
          <w:iCs/>
          <w:color w:val="auto"/>
          <w:sz w:val="24"/>
          <w:szCs w:val="24"/>
          <w:highlight w:val="none"/>
        </w:rPr>
        <w:t>Pterorhinus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perspicillatus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八哥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乌鸫（</w:t>
      </w:r>
      <w:r>
        <w:rPr>
          <w:rFonts w:hint="default" w:ascii="Times New Roman" w:hAnsi="Times New Roman" w:eastAsia="宋体" w:cs="Times New Roman"/>
          <w:i/>
          <w:iCs/>
          <w:color w:val="auto"/>
          <w:sz w:val="24"/>
          <w:szCs w:val="24"/>
          <w:highlight w:val="none"/>
        </w:rPr>
        <w:t>Turdus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mandarinus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红胁蓝尾鸲（</w:t>
      </w:r>
      <w:r>
        <w:rPr>
          <w:rFonts w:hint="default" w:ascii="Times New Roman" w:hAnsi="Times New Roman" w:eastAsia="宋体" w:cs="Times New Roman"/>
          <w:i/>
          <w:iCs/>
          <w:color w:val="auto"/>
          <w:sz w:val="24"/>
          <w:szCs w:val="24"/>
          <w:highlight w:val="none"/>
        </w:rPr>
        <w:t>Tarsiger</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cyanurus</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黑尾蜡嘴雀（</w:t>
      </w:r>
      <w:r>
        <w:rPr>
          <w:rFonts w:hint="default" w:ascii="Times New Roman" w:hAnsi="Times New Roman" w:eastAsia="宋体" w:cs="Times New Roman"/>
          <w:i/>
          <w:iCs/>
          <w:color w:val="auto"/>
          <w:sz w:val="24"/>
          <w:szCs w:val="24"/>
          <w:highlight w:val="none"/>
        </w:rPr>
        <w:t>Eophona</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migratoria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金翅雀（</w:t>
      </w:r>
      <w:r>
        <w:rPr>
          <w:rFonts w:hint="default" w:ascii="Times New Roman" w:hAnsi="Times New Roman" w:eastAsia="宋体" w:cs="Times New Roman"/>
          <w:i/>
          <w:iCs/>
          <w:color w:val="auto"/>
          <w:sz w:val="24"/>
          <w:szCs w:val="24"/>
          <w:highlight w:val="none"/>
        </w:rPr>
        <w:t>Chloris</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i/>
          <w:iCs/>
          <w:color w:val="auto"/>
          <w:sz w:val="24"/>
          <w:szCs w:val="24"/>
          <w:highlight w:val="none"/>
        </w:rPr>
        <w:t>sinica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和</w:t>
      </w:r>
      <w:r>
        <w:rPr>
          <w:rFonts w:hint="default" w:ascii="Times New Roman" w:hAnsi="Times New Roman" w:eastAsia="宋体" w:cs="Times New Roman"/>
          <w:color w:val="auto"/>
          <w:sz w:val="24"/>
          <w:szCs w:val="24"/>
          <w:highlight w:val="none"/>
        </w:rPr>
        <w:t>黄喉鹀</w:t>
      </w:r>
      <w:r>
        <w:rPr>
          <w:rFonts w:hint="default" w:ascii="Times New Roman" w:hAnsi="Times New Roman" w:cs="Times New Roman"/>
          <w:color w:val="auto"/>
          <w:sz w:val="24"/>
          <w:szCs w:val="24"/>
          <w:highlight w:val="none"/>
        </w:rPr>
        <w:t>；有中国特有种</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种，为黄腹山雀；评价区内鸟类无</w:t>
      </w:r>
      <w:r>
        <w:rPr>
          <w:rFonts w:hint="default" w:ascii="Times New Roman" w:hAnsi="Times New Roman" w:cs="Times New Roman"/>
          <w:color w:val="auto"/>
          <w:kern w:val="0"/>
          <w:sz w:val="24"/>
          <w:szCs w:val="24"/>
          <w:highlight w:val="none"/>
        </w:rPr>
        <w:t>《中国生物多样性红色名录》评级为极危（CR）、濒危（EN）、易危（VU）物种。</w:t>
      </w:r>
      <w:r>
        <w:rPr>
          <w:rFonts w:hint="default" w:ascii="Times New Roman" w:hAnsi="Times New Roman" w:cs="Times New Roman"/>
          <w:color w:val="auto"/>
          <w:sz w:val="24"/>
          <w:szCs w:val="24"/>
          <w:highlight w:val="none"/>
        </w:rPr>
        <w:t>评价区内常见鸟类主要为珠颈斑鸠、家燕、八哥、麻雀</w:t>
      </w:r>
      <w:r>
        <w:rPr>
          <w:rFonts w:hint="default" w:ascii="Times New Roman" w:hAnsi="Times New Roman" w:cs="Times New Roman"/>
          <w:color w:val="auto"/>
          <w:sz w:val="24"/>
          <w:szCs w:val="24"/>
          <w:highlight w:val="none"/>
          <w:lang w:eastAsia="zh-CN"/>
        </w:rPr>
        <w:t>、黑尾蜡嘴雀、白喉红臀鹎、丝光椋鸟</w:t>
      </w:r>
      <w:r>
        <w:rPr>
          <w:rFonts w:hint="default" w:ascii="Times New Roman" w:hAnsi="Times New Roman" w:cs="Times New Roman"/>
          <w:color w:val="auto"/>
          <w:sz w:val="24"/>
          <w:szCs w:val="24"/>
          <w:highlight w:val="none"/>
        </w:rPr>
        <w:t>等，主要分布于林地、草地、农田</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居民点</w:t>
      </w:r>
      <w:r>
        <w:rPr>
          <w:rFonts w:hint="default" w:ascii="Times New Roman" w:hAnsi="Times New Roman" w:cs="Times New Roman"/>
          <w:color w:val="auto"/>
          <w:sz w:val="24"/>
          <w:szCs w:val="24"/>
          <w:highlight w:val="none"/>
        </w:rPr>
        <w:t>区域。</w:t>
      </w:r>
    </w:p>
    <w:p>
      <w:pPr>
        <w:spacing w:line="360" w:lineRule="auto"/>
        <w:ind w:firstLine="480"/>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2）生态类型</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按生活习性的不同，可以将评价范围内</w:t>
      </w:r>
      <w:r>
        <w:rPr>
          <w:rFonts w:hint="default" w:ascii="Times New Roman" w:hAnsi="Times New Roman" w:cs="Times New Roman"/>
          <w:color w:val="auto"/>
          <w:kern w:val="0"/>
          <w:sz w:val="24"/>
          <w:szCs w:val="24"/>
          <w:highlight w:val="none"/>
          <w:lang w:val="en-US" w:eastAsia="zh-CN"/>
        </w:rPr>
        <w:t>84</w:t>
      </w:r>
      <w:r>
        <w:rPr>
          <w:rFonts w:hint="default" w:ascii="Times New Roman" w:hAnsi="Times New Roman" w:cs="Times New Roman"/>
          <w:color w:val="auto"/>
          <w:kern w:val="0"/>
          <w:sz w:val="24"/>
          <w:szCs w:val="24"/>
          <w:highlight w:val="none"/>
        </w:rPr>
        <w:t>种鸟类分为以下6种生态类型：</w:t>
      </w:r>
    </w:p>
    <w:p>
      <w:pPr>
        <w:adjustRightInd w:val="0"/>
        <w:spacing w:before="10"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bCs/>
          <w:color w:val="auto"/>
          <w:kern w:val="0"/>
          <w:sz w:val="24"/>
          <w:szCs w:val="20"/>
          <w:highlight w:val="none"/>
        </w:rPr>
        <w:t>游禽</w:t>
      </w:r>
      <w:r>
        <w:rPr>
          <w:rFonts w:hint="default" w:ascii="Times New Roman" w:hAnsi="Times New Roman" w:cs="Times New Roman"/>
          <w:color w:val="auto"/>
          <w:kern w:val="0"/>
          <w:sz w:val="24"/>
          <w:szCs w:val="20"/>
          <w:highlight w:val="none"/>
        </w:rPr>
        <w:t>（嘴扁平而阔或尖，有些种类尖端有钩或嘴甲。脚短而具蹼，善于游泳）：包括评价区内雁形目、䴙䴘目所有种类，包括绿头鸭、斑嘴鸭、小䴙䴘</w:t>
      </w:r>
      <w:r>
        <w:rPr>
          <w:rFonts w:hint="default" w:ascii="Times New Roman" w:hAnsi="Times New Roman" w:cs="Times New Roman"/>
          <w:color w:val="auto"/>
          <w:kern w:val="0"/>
          <w:sz w:val="24"/>
          <w:szCs w:val="20"/>
          <w:highlight w:val="none"/>
          <w:lang w:val="en-US" w:eastAsia="zh-CN"/>
        </w:rPr>
        <w:t>3</w:t>
      </w:r>
      <w:r>
        <w:rPr>
          <w:rFonts w:hint="default" w:ascii="Times New Roman" w:hAnsi="Times New Roman" w:cs="Times New Roman"/>
          <w:color w:val="auto"/>
          <w:kern w:val="0"/>
          <w:sz w:val="24"/>
          <w:szCs w:val="20"/>
          <w:highlight w:val="none"/>
        </w:rPr>
        <w:t>种，主要活动于评</w:t>
      </w:r>
      <w:r>
        <w:rPr>
          <w:rFonts w:hint="default" w:ascii="Times New Roman" w:hAnsi="Times New Roman" w:cs="Times New Roman"/>
          <w:color w:val="auto"/>
          <w:kern w:val="0"/>
          <w:sz w:val="24"/>
          <w:szCs w:val="24"/>
          <w:highlight w:val="none"/>
        </w:rPr>
        <w:t>价区内的</w:t>
      </w:r>
      <w:r>
        <w:rPr>
          <w:rFonts w:hint="default" w:ascii="Times New Roman" w:hAnsi="Times New Roman" w:cs="Times New Roman"/>
          <w:color w:val="auto"/>
          <w:kern w:val="0"/>
          <w:sz w:val="24"/>
          <w:szCs w:val="24"/>
          <w:highlight w:val="none"/>
          <w:lang w:val="en-US" w:eastAsia="zh-CN"/>
        </w:rPr>
        <w:t>湘江水域</w:t>
      </w:r>
      <w:r>
        <w:rPr>
          <w:rFonts w:hint="default" w:ascii="Times New Roman" w:hAnsi="Times New Roman" w:cs="Times New Roman"/>
          <w:color w:val="auto"/>
          <w:kern w:val="0"/>
          <w:sz w:val="24"/>
          <w:szCs w:val="24"/>
          <w:highlight w:val="none"/>
        </w:rPr>
        <w:t>。</w:t>
      </w:r>
    </w:p>
    <w:p>
      <w:pPr>
        <w:spacing w:line="360" w:lineRule="auto"/>
        <w:ind w:firstLine="480" w:firstLineChars="200"/>
        <w:jc w:val="left"/>
        <w:rPr>
          <w:rFonts w:hint="default" w:ascii="Times New Roman" w:hAnsi="Times New Roman" w:cs="Times New Roman"/>
          <w:color w:val="auto"/>
          <w:kern w:val="0"/>
          <w:sz w:val="24"/>
          <w:szCs w:val="24"/>
          <w:highlight w:val="none"/>
        </w:rPr>
      </w:pPr>
      <w:r>
        <w:rPr>
          <w:rFonts w:hint="default" w:ascii="Times New Roman" w:hAnsi="Times New Roman" w:cs="Times New Roman"/>
          <w:bCs/>
          <w:color w:val="auto"/>
          <w:kern w:val="0"/>
          <w:sz w:val="24"/>
          <w:szCs w:val="24"/>
          <w:highlight w:val="none"/>
        </w:rPr>
        <w:t>涉禽</w:t>
      </w:r>
      <w:r>
        <w:rPr>
          <w:rFonts w:hint="default" w:ascii="Times New Roman" w:hAnsi="Times New Roman" w:cs="Times New Roman"/>
          <w:color w:val="auto"/>
          <w:kern w:val="0"/>
          <w:sz w:val="24"/>
          <w:szCs w:val="24"/>
          <w:highlight w:val="none"/>
        </w:rPr>
        <w:t>（嘴，颈和脚都比较长，脚趾也很长，适于涉水行进，不会游泳，常用长嘴插入水底或地面取食）：包括评价区内鹤形目、鸻形目和鹈形目所有种类，有</w:t>
      </w:r>
      <w:r>
        <w:rPr>
          <w:rFonts w:hint="default" w:ascii="Times New Roman" w:hAnsi="Times New Roman" w:cs="Times New Roman"/>
          <w:color w:val="auto"/>
          <w:sz w:val="24"/>
          <w:szCs w:val="24"/>
          <w:highlight w:val="none"/>
        </w:rPr>
        <w:t>普通秧鸡（</w:t>
      </w:r>
      <w:r>
        <w:rPr>
          <w:rFonts w:hint="default" w:ascii="Times New Roman" w:hAnsi="Times New Roman" w:cs="Times New Roman"/>
          <w:i/>
          <w:color w:val="auto"/>
          <w:sz w:val="24"/>
          <w:szCs w:val="24"/>
          <w:highlight w:val="none"/>
        </w:rPr>
        <w:t>Rallus indicus</w:t>
      </w:r>
      <w:r>
        <w:rPr>
          <w:rFonts w:hint="default" w:ascii="Times New Roman" w:hAnsi="Times New Roman" w:cs="Times New Roman"/>
          <w:color w:val="auto"/>
          <w:sz w:val="24"/>
          <w:szCs w:val="24"/>
          <w:highlight w:val="none"/>
        </w:rPr>
        <w:t>）、白胸苦恶鸟、黑水鸡、矶鹬、夜鹭、池鹭、牛背鹭、苍鹭、大白鹭、中白鹭、白鹭</w:t>
      </w:r>
      <w:r>
        <w:rPr>
          <w:rFonts w:hint="default" w:ascii="Times New Roman" w:hAnsi="Times New Roman" w:cs="Times New Roman"/>
          <w:color w:val="auto"/>
          <w:sz w:val="24"/>
          <w:szCs w:val="24"/>
          <w:highlight w:val="none"/>
          <w:lang w:val="en-US" w:eastAsia="zh-CN"/>
        </w:rPr>
        <w:t>11</w:t>
      </w:r>
      <w:r>
        <w:rPr>
          <w:rFonts w:hint="default" w:ascii="Times New Roman" w:hAnsi="Times New Roman" w:cs="Times New Roman"/>
          <w:color w:val="auto"/>
          <w:kern w:val="0"/>
          <w:sz w:val="24"/>
          <w:szCs w:val="24"/>
          <w:highlight w:val="none"/>
        </w:rPr>
        <w:t>种，它们主要分布于</w:t>
      </w:r>
      <w:r>
        <w:rPr>
          <w:rFonts w:hint="default" w:ascii="Times New Roman" w:hAnsi="Times New Roman" w:cs="Times New Roman"/>
          <w:color w:val="auto"/>
          <w:kern w:val="0"/>
          <w:sz w:val="24"/>
          <w:szCs w:val="24"/>
          <w:highlight w:val="none"/>
          <w:lang w:val="en-US" w:eastAsia="zh-CN"/>
        </w:rPr>
        <w:t>坑塘</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湘江岸线</w:t>
      </w:r>
      <w:r>
        <w:rPr>
          <w:rFonts w:hint="default" w:ascii="Times New Roman" w:hAnsi="Times New Roman" w:cs="Times New Roman"/>
          <w:color w:val="auto"/>
          <w:kern w:val="0"/>
          <w:sz w:val="24"/>
          <w:szCs w:val="24"/>
          <w:highlight w:val="none"/>
        </w:rPr>
        <w:t>区域。</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陆禽（</w:t>
      </w:r>
      <w:r>
        <w:rPr>
          <w:rFonts w:hint="default" w:ascii="Times New Roman" w:hAnsi="Times New Roman" w:cs="Times New Roman"/>
          <w:color w:val="auto"/>
          <w:kern w:val="0"/>
          <w:sz w:val="24"/>
          <w:szCs w:val="24"/>
          <w:highlight w:val="none"/>
          <w:lang w:val="zh-CN"/>
        </w:rPr>
        <w:t>体格结实</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zh-CN"/>
        </w:rPr>
        <w:t>嘴坚硬</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zh-CN"/>
        </w:rPr>
        <w:t>脚强而有力</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zh-CN"/>
        </w:rPr>
        <w:t>适于挖土</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zh-CN"/>
        </w:rPr>
        <w:t>多在地面活动觅食</w:t>
      </w:r>
      <w:r>
        <w:rPr>
          <w:rFonts w:hint="default" w:ascii="Times New Roman" w:hAnsi="Times New Roman" w:cs="Times New Roman"/>
          <w:color w:val="auto"/>
          <w:kern w:val="0"/>
          <w:sz w:val="24"/>
          <w:szCs w:val="24"/>
          <w:highlight w:val="none"/>
        </w:rPr>
        <w:t>）：包括评价区内鸡形目和鸽形目所有种类，有环颈雉、山斑鸠、火斑鸠和珠颈斑鸠</w:t>
      </w:r>
      <w:r>
        <w:rPr>
          <w:rFonts w:hint="default" w:ascii="Times New Roman" w:hAnsi="Times New Roman" w:cs="Times New Roman"/>
          <w:color w:val="auto"/>
          <w:kern w:val="0"/>
          <w:sz w:val="24"/>
          <w:szCs w:val="24"/>
          <w:highlight w:val="none"/>
          <w:lang w:val="en-US" w:eastAsia="zh-CN"/>
        </w:rPr>
        <w:t>4</w:t>
      </w:r>
      <w:r>
        <w:rPr>
          <w:rFonts w:hint="default" w:ascii="Times New Roman" w:hAnsi="Times New Roman" w:cs="Times New Roman"/>
          <w:color w:val="auto"/>
          <w:kern w:val="0"/>
          <w:sz w:val="24"/>
          <w:szCs w:val="24"/>
          <w:highlight w:val="none"/>
        </w:rPr>
        <w:t>种，它们主要分布于评价区内农田</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林地及林缘地带。</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猛禽（</w:t>
      </w:r>
      <w:r>
        <w:rPr>
          <w:rFonts w:hint="default" w:ascii="Times New Roman" w:hAnsi="Times New Roman" w:cs="Times New Roman"/>
          <w:color w:val="auto"/>
          <w:kern w:val="0"/>
          <w:sz w:val="24"/>
          <w:szCs w:val="24"/>
          <w:highlight w:val="none"/>
          <w:lang w:val="zh-CN"/>
        </w:rPr>
        <w:t>具有弯曲如钩的锐利嘴和爪，翅膀强大有力，能在天空翱翔或滑翔，捕食空中或地下活的猎物</w:t>
      </w:r>
      <w:r>
        <w:rPr>
          <w:rFonts w:hint="default" w:ascii="Times New Roman" w:hAnsi="Times New Roman" w:cs="Times New Roman"/>
          <w:color w:val="auto"/>
          <w:kern w:val="0"/>
          <w:sz w:val="24"/>
          <w:szCs w:val="24"/>
          <w:highlight w:val="none"/>
        </w:rPr>
        <w:t>）：包括鹰形目所有种类，有黑翅鸢、黑鸢</w:t>
      </w:r>
      <w:r>
        <w:rPr>
          <w:rFonts w:hint="default" w:ascii="Times New Roman" w:hAnsi="Times New Roman"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rPr>
        <w:t>种，它们在评价区内活动范围较广。</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攀禽（</w:t>
      </w:r>
      <w:r>
        <w:rPr>
          <w:rFonts w:hint="default" w:ascii="Times New Roman" w:hAnsi="Times New Roman" w:cs="Times New Roman"/>
          <w:color w:val="auto"/>
          <w:kern w:val="0"/>
          <w:sz w:val="24"/>
          <w:szCs w:val="24"/>
          <w:highlight w:val="none"/>
          <w:lang w:val="zh-CN"/>
        </w:rPr>
        <w:t>嘴、脚和尾的构造都很特殊</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zh-CN"/>
        </w:rPr>
        <w:t>善于在树上攀缘</w:t>
      </w:r>
      <w:r>
        <w:rPr>
          <w:rFonts w:hint="default" w:ascii="Times New Roman" w:hAnsi="Times New Roman" w:cs="Times New Roman"/>
          <w:color w:val="auto"/>
          <w:kern w:val="0"/>
          <w:sz w:val="24"/>
          <w:szCs w:val="24"/>
          <w:highlight w:val="none"/>
        </w:rPr>
        <w:t>）：范围内包括评价区内犀鸟目、佛法僧目所有种类，有戴胜、白胸翡翠、普通翠鸟、斑鱼狗（</w:t>
      </w:r>
      <w:r>
        <w:rPr>
          <w:rFonts w:hint="default" w:ascii="Times New Roman" w:hAnsi="Times New Roman" w:cs="Times New Roman"/>
          <w:i/>
          <w:color w:val="auto"/>
          <w:kern w:val="0"/>
          <w:sz w:val="24"/>
          <w:szCs w:val="24"/>
          <w:highlight w:val="none"/>
        </w:rPr>
        <w:t>Ceryle rudis</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4</w:t>
      </w:r>
      <w:r>
        <w:rPr>
          <w:rFonts w:hint="default" w:ascii="Times New Roman" w:hAnsi="Times New Roman" w:cs="Times New Roman"/>
          <w:color w:val="auto"/>
          <w:kern w:val="0"/>
          <w:sz w:val="24"/>
          <w:szCs w:val="24"/>
          <w:highlight w:val="none"/>
        </w:rPr>
        <w:t>种，佛法僧目翠鸟科的种类主要分布于水域附近，戴胜</w:t>
      </w:r>
      <w:r>
        <w:rPr>
          <w:rFonts w:hint="default" w:ascii="Times New Roman" w:hAnsi="Times New Roman" w:cs="Times New Roman"/>
          <w:color w:val="auto"/>
          <w:kern w:val="0"/>
          <w:sz w:val="24"/>
          <w:szCs w:val="24"/>
          <w:highlight w:val="none"/>
          <w:lang w:val="en-US" w:eastAsia="zh-CN"/>
        </w:rPr>
        <w:t>在林地、草地、农田均有分布</w:t>
      </w:r>
      <w:r>
        <w:rPr>
          <w:rFonts w:hint="default" w:ascii="Times New Roman" w:hAnsi="Times New Roman" w:cs="Times New Roman"/>
          <w:color w:val="auto"/>
          <w:kern w:val="0"/>
          <w:sz w:val="24"/>
          <w:szCs w:val="24"/>
          <w:highlight w:val="none"/>
        </w:rPr>
        <w:t>。</w:t>
      </w:r>
    </w:p>
    <w:p>
      <w:pPr>
        <w:spacing w:line="360" w:lineRule="auto"/>
        <w:ind w:firstLine="482"/>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鸣禽（</w:t>
      </w:r>
      <w:r>
        <w:rPr>
          <w:rFonts w:hint="default" w:ascii="Times New Roman" w:hAnsi="Times New Roman" w:cs="Times New Roman"/>
          <w:color w:val="auto"/>
          <w:kern w:val="0"/>
          <w:sz w:val="24"/>
          <w:szCs w:val="24"/>
          <w:highlight w:val="none"/>
          <w:lang w:val="zh-CN"/>
        </w:rPr>
        <w:t>鸣管和鸣肌特别发达。一般体形较小，体态轻捷，活泼灵巧，善于鸣叫和歌唱，且巧于筑巢</w:t>
      </w:r>
      <w:r>
        <w:rPr>
          <w:rFonts w:hint="default" w:ascii="Times New Roman" w:hAnsi="Times New Roman" w:cs="Times New Roman"/>
          <w:color w:val="auto"/>
          <w:kern w:val="0"/>
          <w:sz w:val="24"/>
          <w:szCs w:val="24"/>
          <w:highlight w:val="none"/>
        </w:rPr>
        <w:t>）：雀形目的所有鸟类都为鸣禽，共</w:t>
      </w:r>
      <w:r>
        <w:rPr>
          <w:rFonts w:hint="default" w:ascii="Times New Roman" w:hAnsi="Times New Roman" w:cs="Times New Roman"/>
          <w:color w:val="auto"/>
          <w:kern w:val="0"/>
          <w:sz w:val="24"/>
          <w:szCs w:val="24"/>
          <w:highlight w:val="none"/>
          <w:lang w:val="en-US" w:eastAsia="zh-CN"/>
        </w:rPr>
        <w:t>60</w:t>
      </w:r>
      <w:r>
        <w:rPr>
          <w:rFonts w:hint="default" w:ascii="Times New Roman" w:hAnsi="Times New Roman" w:cs="Times New Roman"/>
          <w:color w:val="auto"/>
          <w:kern w:val="0"/>
          <w:sz w:val="24"/>
          <w:szCs w:val="24"/>
          <w:highlight w:val="none"/>
        </w:rPr>
        <w:t>种，它们在评价区内广泛分布。</w:t>
      </w:r>
    </w:p>
    <w:p>
      <w:pPr>
        <w:spacing w:line="360" w:lineRule="auto"/>
        <w:ind w:firstLine="482"/>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3）居留型</w:t>
      </w:r>
    </w:p>
    <w:p>
      <w:pPr>
        <w:spacing w:line="360" w:lineRule="auto"/>
        <w:ind w:firstLine="482"/>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鸟类迁徙是鸟类随着季节变化进行的，方向确定的，有规律的和长距离的迁居活动。根据鸟类迁徙的行为，可将评价区内的鸟类分成以下</w:t>
      </w:r>
      <w:r>
        <w:rPr>
          <w:rFonts w:hint="default" w:ascii="Times New Roman" w:hAnsi="Times New Roman" w:cs="Times New Roman"/>
          <w:color w:val="auto"/>
          <w:kern w:val="0"/>
          <w:sz w:val="24"/>
          <w:szCs w:val="24"/>
          <w:highlight w:val="none"/>
          <w:lang w:val="en-US" w:eastAsia="zh-CN"/>
        </w:rPr>
        <w:t>3</w:t>
      </w:r>
      <w:r>
        <w:rPr>
          <w:rFonts w:hint="default" w:ascii="Times New Roman" w:hAnsi="Times New Roman" w:cs="Times New Roman"/>
          <w:color w:val="auto"/>
          <w:kern w:val="0"/>
          <w:sz w:val="24"/>
          <w:szCs w:val="24"/>
          <w:highlight w:val="none"/>
          <w:lang w:val="zh-CN"/>
        </w:rPr>
        <w:t>种居留型。</w:t>
      </w:r>
    </w:p>
    <w:p>
      <w:pPr>
        <w:spacing w:line="360" w:lineRule="auto"/>
        <w:ind w:firstLine="482"/>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留鸟：终年留居在出生地（繁殖区），不发生迁徙。</w:t>
      </w:r>
      <w:r>
        <w:rPr>
          <w:rFonts w:hint="default" w:ascii="Times New Roman" w:hAnsi="Times New Roman" w:cs="Times New Roman"/>
          <w:color w:val="auto"/>
          <w:kern w:val="0"/>
          <w:sz w:val="24"/>
          <w:szCs w:val="24"/>
          <w:highlight w:val="none"/>
        </w:rPr>
        <w:t>评价区内</w:t>
      </w:r>
      <w:r>
        <w:rPr>
          <w:rFonts w:hint="default" w:ascii="Times New Roman" w:hAnsi="Times New Roman" w:cs="Times New Roman"/>
          <w:color w:val="auto"/>
          <w:kern w:val="0"/>
          <w:sz w:val="24"/>
          <w:szCs w:val="24"/>
          <w:highlight w:val="none"/>
          <w:lang w:val="zh-CN"/>
        </w:rPr>
        <w:t>共</w:t>
      </w:r>
      <w:r>
        <w:rPr>
          <w:rFonts w:hint="default" w:ascii="Times New Roman" w:hAnsi="Times New Roman" w:cs="Times New Roman"/>
          <w:color w:val="auto"/>
          <w:kern w:val="0"/>
          <w:sz w:val="24"/>
          <w:szCs w:val="24"/>
          <w:highlight w:val="none"/>
          <w:lang w:val="en-US" w:eastAsia="zh-CN"/>
        </w:rPr>
        <w:t>51</w:t>
      </w:r>
      <w:r>
        <w:rPr>
          <w:rFonts w:hint="default" w:ascii="Times New Roman" w:hAnsi="Times New Roman" w:cs="Times New Roman"/>
          <w:color w:val="auto"/>
          <w:kern w:val="0"/>
          <w:sz w:val="24"/>
          <w:szCs w:val="24"/>
          <w:highlight w:val="none"/>
          <w:lang w:val="zh-CN"/>
        </w:rPr>
        <w:t>种，占</w:t>
      </w:r>
      <w:r>
        <w:rPr>
          <w:rFonts w:hint="default" w:ascii="Times New Roman" w:hAnsi="Times New Roman" w:cs="Times New Roman"/>
          <w:color w:val="auto"/>
          <w:kern w:val="0"/>
          <w:sz w:val="24"/>
          <w:szCs w:val="24"/>
          <w:highlight w:val="none"/>
        </w:rPr>
        <w:t>鸟类总种数的</w:t>
      </w:r>
      <w:r>
        <w:rPr>
          <w:rFonts w:hint="default" w:ascii="Times New Roman" w:hAnsi="Times New Roman" w:cs="Times New Roman"/>
          <w:color w:val="auto"/>
          <w:kern w:val="0"/>
          <w:sz w:val="24"/>
          <w:szCs w:val="24"/>
          <w:highlight w:val="none"/>
          <w:lang w:val="en-US" w:eastAsia="zh-CN"/>
        </w:rPr>
        <w:t>60.71</w:t>
      </w:r>
      <w:r>
        <w:rPr>
          <w:rFonts w:hint="default" w:ascii="Times New Roman" w:hAnsi="Times New Roman" w:cs="Times New Roman"/>
          <w:color w:val="auto"/>
          <w:kern w:val="0"/>
          <w:sz w:val="24"/>
          <w:szCs w:val="24"/>
          <w:highlight w:val="none"/>
          <w:lang w:val="zh-CN"/>
        </w:rPr>
        <w:t>%，主要有佛法僧目、鸽形目</w:t>
      </w:r>
      <w:r>
        <w:rPr>
          <w:rFonts w:hint="default" w:ascii="Times New Roman" w:hAnsi="Times New Roman" w:cs="Times New Roman"/>
          <w:color w:val="auto"/>
          <w:kern w:val="0"/>
          <w:sz w:val="24"/>
          <w:szCs w:val="24"/>
          <w:highlight w:val="none"/>
        </w:rPr>
        <w:t>和</w:t>
      </w:r>
      <w:r>
        <w:rPr>
          <w:rFonts w:hint="default" w:ascii="Times New Roman" w:hAnsi="Times New Roman" w:cs="Times New Roman"/>
          <w:color w:val="auto"/>
          <w:kern w:val="0"/>
          <w:sz w:val="24"/>
          <w:szCs w:val="24"/>
          <w:highlight w:val="none"/>
          <w:lang w:val="zh-CN"/>
        </w:rPr>
        <w:t>雀形目的鸦科、鹎科、噪鹛科等</w:t>
      </w:r>
      <w:r>
        <w:rPr>
          <w:rFonts w:hint="default" w:ascii="Times New Roman" w:hAnsi="Times New Roman" w:cs="Times New Roman"/>
          <w:color w:val="auto"/>
          <w:kern w:val="0"/>
          <w:sz w:val="24"/>
          <w:szCs w:val="24"/>
          <w:highlight w:val="none"/>
        </w:rPr>
        <w:t>种类</w:t>
      </w:r>
      <w:r>
        <w:rPr>
          <w:rFonts w:hint="default" w:ascii="Times New Roman" w:hAnsi="Times New Roman" w:cs="Times New Roman"/>
          <w:color w:val="auto"/>
          <w:kern w:val="0"/>
          <w:sz w:val="24"/>
          <w:szCs w:val="24"/>
          <w:highlight w:val="none"/>
          <w:lang w:val="zh-CN"/>
        </w:rPr>
        <w:t>。</w:t>
      </w:r>
    </w:p>
    <w:p>
      <w:pPr>
        <w:spacing w:line="360" w:lineRule="auto"/>
        <w:ind w:firstLine="482"/>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夏候鸟：夏季飞来繁殖，冬季南去越冬的鸟类。</w:t>
      </w:r>
      <w:r>
        <w:rPr>
          <w:rFonts w:hint="default" w:ascii="Times New Roman" w:hAnsi="Times New Roman" w:cs="Times New Roman"/>
          <w:color w:val="auto"/>
          <w:kern w:val="0"/>
          <w:sz w:val="24"/>
          <w:szCs w:val="24"/>
          <w:highlight w:val="none"/>
        </w:rPr>
        <w:t>评价区内</w:t>
      </w:r>
      <w:r>
        <w:rPr>
          <w:rFonts w:hint="default" w:ascii="Times New Roman" w:hAnsi="Times New Roman" w:cs="Times New Roman"/>
          <w:color w:val="auto"/>
          <w:kern w:val="0"/>
          <w:sz w:val="24"/>
          <w:szCs w:val="24"/>
          <w:highlight w:val="none"/>
          <w:lang w:val="zh-CN"/>
        </w:rPr>
        <w:t>共</w:t>
      </w:r>
      <w:r>
        <w:rPr>
          <w:rFonts w:hint="default" w:ascii="Times New Roman" w:hAnsi="Times New Roman" w:cs="Times New Roman"/>
          <w:color w:val="auto"/>
          <w:kern w:val="0"/>
          <w:sz w:val="24"/>
          <w:szCs w:val="24"/>
          <w:highlight w:val="none"/>
          <w:lang w:val="en-US" w:eastAsia="zh-CN"/>
        </w:rPr>
        <w:t>17</w:t>
      </w:r>
      <w:r>
        <w:rPr>
          <w:rFonts w:hint="default" w:ascii="Times New Roman" w:hAnsi="Times New Roman" w:cs="Times New Roman"/>
          <w:color w:val="auto"/>
          <w:kern w:val="0"/>
          <w:sz w:val="24"/>
          <w:szCs w:val="24"/>
          <w:highlight w:val="none"/>
          <w:lang w:val="zh-CN"/>
        </w:rPr>
        <w:t>种，占</w:t>
      </w:r>
      <w:r>
        <w:rPr>
          <w:rFonts w:hint="default" w:ascii="Times New Roman" w:hAnsi="Times New Roman" w:cs="Times New Roman"/>
          <w:color w:val="auto"/>
          <w:kern w:val="0"/>
          <w:sz w:val="24"/>
          <w:szCs w:val="24"/>
          <w:highlight w:val="none"/>
        </w:rPr>
        <w:t>鸟类总种数的</w:t>
      </w:r>
      <w:r>
        <w:rPr>
          <w:rFonts w:hint="default" w:ascii="Times New Roman" w:hAnsi="Times New Roman" w:cs="Times New Roman"/>
          <w:color w:val="auto"/>
          <w:kern w:val="0"/>
          <w:sz w:val="24"/>
          <w:szCs w:val="24"/>
          <w:highlight w:val="none"/>
          <w:lang w:val="en-US" w:eastAsia="zh-CN"/>
        </w:rPr>
        <w:t>20.24</w:t>
      </w:r>
      <w:r>
        <w:rPr>
          <w:rFonts w:hint="default" w:ascii="Times New Roman" w:hAnsi="Times New Roman" w:cs="Times New Roman"/>
          <w:color w:val="auto"/>
          <w:kern w:val="0"/>
          <w:sz w:val="24"/>
          <w:szCs w:val="24"/>
          <w:highlight w:val="none"/>
          <w:lang w:val="zh-CN"/>
        </w:rPr>
        <w:t>%，主要包括鹭科、卷尾科、燕科等</w:t>
      </w:r>
      <w:r>
        <w:rPr>
          <w:rFonts w:hint="default" w:ascii="Times New Roman" w:hAnsi="Times New Roman" w:cs="Times New Roman"/>
          <w:color w:val="auto"/>
          <w:kern w:val="0"/>
          <w:sz w:val="24"/>
          <w:szCs w:val="24"/>
          <w:highlight w:val="none"/>
        </w:rPr>
        <w:t>种类</w:t>
      </w:r>
      <w:r>
        <w:rPr>
          <w:rFonts w:hint="default" w:ascii="Times New Roman" w:hAnsi="Times New Roman" w:cs="Times New Roman"/>
          <w:color w:val="auto"/>
          <w:kern w:val="0"/>
          <w:sz w:val="24"/>
          <w:szCs w:val="24"/>
          <w:highlight w:val="none"/>
          <w:lang w:val="zh-CN"/>
        </w:rPr>
        <w:t>。</w:t>
      </w:r>
    </w:p>
    <w:p>
      <w:pPr>
        <w:spacing w:line="360" w:lineRule="auto"/>
        <w:ind w:firstLine="480" w:firstLineChars="200"/>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冬候鸟：冬季飞来越冬，春季北去繁殖。</w:t>
      </w:r>
      <w:r>
        <w:rPr>
          <w:rFonts w:hint="default" w:ascii="Times New Roman" w:hAnsi="Times New Roman" w:cs="Times New Roman"/>
          <w:color w:val="auto"/>
          <w:kern w:val="0"/>
          <w:sz w:val="24"/>
          <w:szCs w:val="24"/>
          <w:highlight w:val="none"/>
        </w:rPr>
        <w:t>评价区内</w:t>
      </w:r>
      <w:r>
        <w:rPr>
          <w:rFonts w:hint="default" w:ascii="Times New Roman" w:hAnsi="Times New Roman" w:cs="Times New Roman"/>
          <w:color w:val="auto"/>
          <w:kern w:val="0"/>
          <w:sz w:val="24"/>
          <w:szCs w:val="24"/>
          <w:highlight w:val="none"/>
          <w:lang w:val="zh-CN"/>
        </w:rPr>
        <w:t>共</w:t>
      </w:r>
      <w:r>
        <w:rPr>
          <w:rFonts w:hint="default" w:ascii="Times New Roman" w:hAnsi="Times New Roman" w:cs="Times New Roman"/>
          <w:color w:val="auto"/>
          <w:kern w:val="0"/>
          <w:sz w:val="24"/>
          <w:szCs w:val="24"/>
          <w:highlight w:val="none"/>
          <w:lang w:val="en-US" w:eastAsia="zh-CN"/>
        </w:rPr>
        <w:t>16</w:t>
      </w:r>
      <w:r>
        <w:rPr>
          <w:rFonts w:hint="default" w:ascii="Times New Roman" w:hAnsi="Times New Roman" w:cs="Times New Roman"/>
          <w:color w:val="auto"/>
          <w:kern w:val="0"/>
          <w:sz w:val="24"/>
          <w:szCs w:val="24"/>
          <w:highlight w:val="none"/>
          <w:lang w:val="zh-CN"/>
        </w:rPr>
        <w:t>种，占</w:t>
      </w:r>
      <w:r>
        <w:rPr>
          <w:rFonts w:hint="default" w:ascii="Times New Roman" w:hAnsi="Times New Roman" w:cs="Times New Roman"/>
          <w:color w:val="auto"/>
          <w:kern w:val="0"/>
          <w:sz w:val="24"/>
          <w:szCs w:val="24"/>
          <w:highlight w:val="none"/>
        </w:rPr>
        <w:t>鸟类总种数的</w:t>
      </w:r>
      <w:r>
        <w:rPr>
          <w:rFonts w:hint="default" w:ascii="Times New Roman" w:hAnsi="Times New Roman" w:cs="Times New Roman"/>
          <w:color w:val="auto"/>
          <w:kern w:val="0"/>
          <w:sz w:val="24"/>
          <w:szCs w:val="24"/>
          <w:highlight w:val="none"/>
          <w:lang w:val="en-US" w:eastAsia="zh-CN"/>
        </w:rPr>
        <w:t>19.05</w:t>
      </w:r>
      <w:r>
        <w:rPr>
          <w:rFonts w:hint="default" w:ascii="Times New Roman" w:hAnsi="Times New Roman" w:cs="Times New Roman"/>
          <w:color w:val="auto"/>
          <w:kern w:val="0"/>
          <w:sz w:val="24"/>
          <w:szCs w:val="24"/>
          <w:highlight w:val="none"/>
          <w:lang w:val="zh-CN"/>
        </w:rPr>
        <w:t>%，要包括鹀科、柳莺科、鸭科、燕雀科等</w:t>
      </w:r>
      <w:r>
        <w:rPr>
          <w:rFonts w:hint="default" w:ascii="Times New Roman" w:hAnsi="Times New Roman" w:cs="Times New Roman"/>
          <w:color w:val="auto"/>
          <w:kern w:val="0"/>
          <w:sz w:val="24"/>
          <w:szCs w:val="24"/>
          <w:highlight w:val="none"/>
        </w:rPr>
        <w:t>种类</w:t>
      </w:r>
      <w:r>
        <w:rPr>
          <w:rFonts w:hint="default" w:ascii="Times New Roman" w:hAnsi="Times New Roman" w:cs="Times New Roman"/>
          <w:color w:val="auto"/>
          <w:kern w:val="0"/>
          <w:sz w:val="24"/>
          <w:szCs w:val="24"/>
          <w:highlight w:val="none"/>
          <w:lang w:val="zh-CN"/>
        </w:rPr>
        <w:t>。</w:t>
      </w:r>
    </w:p>
    <w:p>
      <w:pPr>
        <w:spacing w:line="360" w:lineRule="auto"/>
        <w:ind w:firstLine="482"/>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综上所述，评价区内的鸟类中，在评价区内繁殖（包括留鸟和夏候鸟）的鸟类占的比例很大（</w:t>
      </w:r>
      <w:r>
        <w:rPr>
          <w:rFonts w:hint="default" w:ascii="Times New Roman" w:hAnsi="Times New Roman" w:cs="Times New Roman"/>
          <w:color w:val="auto"/>
          <w:kern w:val="0"/>
          <w:sz w:val="24"/>
          <w:szCs w:val="24"/>
          <w:highlight w:val="none"/>
          <w:lang w:val="en-US" w:eastAsia="zh-CN"/>
        </w:rPr>
        <w:t>68</w:t>
      </w:r>
      <w:r>
        <w:rPr>
          <w:rFonts w:hint="default" w:ascii="Times New Roman" w:hAnsi="Times New Roman" w:cs="Times New Roman"/>
          <w:color w:val="auto"/>
          <w:kern w:val="0"/>
          <w:sz w:val="24"/>
          <w:szCs w:val="24"/>
          <w:highlight w:val="none"/>
          <w:lang w:val="zh-CN"/>
        </w:rPr>
        <w:t>种，占</w:t>
      </w:r>
      <w:r>
        <w:rPr>
          <w:rFonts w:hint="default" w:ascii="Times New Roman" w:hAnsi="Times New Roman" w:cs="Times New Roman"/>
          <w:color w:val="auto"/>
          <w:kern w:val="0"/>
          <w:sz w:val="24"/>
          <w:szCs w:val="24"/>
          <w:highlight w:val="none"/>
          <w:lang w:val="en-US" w:eastAsia="zh-CN"/>
        </w:rPr>
        <w:t>80.95</w:t>
      </w:r>
      <w:r>
        <w:rPr>
          <w:rFonts w:hint="default" w:ascii="Times New Roman" w:hAnsi="Times New Roman" w:cs="Times New Roman"/>
          <w:color w:val="auto"/>
          <w:kern w:val="0"/>
          <w:sz w:val="24"/>
          <w:szCs w:val="24"/>
          <w:highlight w:val="none"/>
          <w:lang w:val="zh-CN"/>
        </w:rPr>
        <w:t>%），评价区内的鸟类</w:t>
      </w:r>
      <w:r>
        <w:rPr>
          <w:rFonts w:hint="default" w:ascii="Times New Roman" w:hAnsi="Times New Roman" w:cs="Times New Roman"/>
          <w:color w:val="auto"/>
          <w:kern w:val="0"/>
          <w:sz w:val="24"/>
          <w:szCs w:val="24"/>
          <w:highlight w:val="none"/>
        </w:rPr>
        <w:t>大部分</w:t>
      </w:r>
      <w:r>
        <w:rPr>
          <w:rFonts w:hint="default" w:ascii="Times New Roman" w:hAnsi="Times New Roman" w:cs="Times New Roman"/>
          <w:color w:val="auto"/>
          <w:kern w:val="0"/>
          <w:sz w:val="24"/>
          <w:szCs w:val="24"/>
          <w:highlight w:val="none"/>
          <w:lang w:val="zh-CN"/>
        </w:rPr>
        <w:t>种类都在评价区</w:t>
      </w:r>
      <w:r>
        <w:rPr>
          <w:rFonts w:hint="default" w:ascii="Times New Roman" w:hAnsi="Times New Roman" w:cs="Times New Roman"/>
          <w:color w:val="auto"/>
          <w:kern w:val="0"/>
          <w:sz w:val="24"/>
          <w:szCs w:val="24"/>
          <w:highlight w:val="none"/>
          <w:lang w:val="en-US" w:eastAsia="zh-CN"/>
        </w:rPr>
        <w:t>及周边</w:t>
      </w:r>
      <w:r>
        <w:rPr>
          <w:rFonts w:hint="default" w:ascii="Times New Roman" w:hAnsi="Times New Roman" w:cs="Times New Roman"/>
          <w:color w:val="auto"/>
          <w:kern w:val="0"/>
          <w:sz w:val="24"/>
          <w:szCs w:val="24"/>
          <w:highlight w:val="none"/>
          <w:lang w:val="zh-CN"/>
        </w:rPr>
        <w:t>繁殖。</w:t>
      </w:r>
    </w:p>
    <w:p>
      <w:pPr>
        <w:spacing w:line="360" w:lineRule="auto"/>
        <w:ind w:firstLine="480"/>
        <w:rPr>
          <w:rFonts w:hint="default" w:ascii="Times New Roman" w:hAnsi="Times New Roman" w:cs="Times New Roman"/>
          <w:color w:val="auto"/>
          <w:kern w:val="0"/>
          <w:sz w:val="24"/>
          <w:szCs w:val="24"/>
          <w:highlight w:val="none"/>
          <w:lang w:val="zh-CN"/>
        </w:rPr>
      </w:pPr>
      <w:r>
        <w:rPr>
          <w:rFonts w:hint="default" w:ascii="Times New Roman" w:hAnsi="Times New Roman" w:cs="Times New Roman"/>
          <w:color w:val="auto"/>
          <w:kern w:val="0"/>
          <w:sz w:val="24"/>
          <w:szCs w:val="24"/>
          <w:highlight w:val="none"/>
          <w:lang w:val="zh-CN"/>
        </w:rPr>
        <w:t>4）区系类型</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val="zh-CN"/>
        </w:rPr>
        <w:t>评价区内分布的</w:t>
      </w:r>
      <w:r>
        <w:rPr>
          <w:rFonts w:hint="default" w:ascii="Times New Roman" w:hAnsi="Times New Roman" w:cs="Times New Roman"/>
          <w:color w:val="auto"/>
          <w:kern w:val="0"/>
          <w:sz w:val="24"/>
          <w:szCs w:val="24"/>
          <w:highlight w:val="none"/>
          <w:lang w:val="en-US" w:eastAsia="zh-CN"/>
        </w:rPr>
        <w:t>84</w:t>
      </w:r>
      <w:r>
        <w:rPr>
          <w:rFonts w:hint="default" w:ascii="Times New Roman" w:hAnsi="Times New Roman" w:cs="Times New Roman"/>
          <w:color w:val="auto"/>
          <w:kern w:val="0"/>
          <w:sz w:val="24"/>
          <w:szCs w:val="24"/>
          <w:highlight w:val="none"/>
          <w:lang w:val="zh-CN"/>
        </w:rPr>
        <w:t>种鸟类中，东洋种</w:t>
      </w:r>
      <w:r>
        <w:rPr>
          <w:rFonts w:hint="default" w:ascii="Times New Roman" w:hAnsi="Times New Roman" w:cs="Times New Roman"/>
          <w:color w:val="auto"/>
          <w:kern w:val="0"/>
          <w:sz w:val="24"/>
          <w:szCs w:val="24"/>
          <w:highlight w:val="none"/>
          <w:lang w:val="en-US" w:eastAsia="zh-CN"/>
        </w:rPr>
        <w:t>35</w:t>
      </w:r>
      <w:r>
        <w:rPr>
          <w:rFonts w:hint="default" w:ascii="Times New Roman" w:hAnsi="Times New Roman" w:cs="Times New Roman"/>
          <w:color w:val="auto"/>
          <w:kern w:val="0"/>
          <w:sz w:val="24"/>
          <w:szCs w:val="24"/>
          <w:highlight w:val="none"/>
          <w:lang w:val="zh-CN"/>
        </w:rPr>
        <w:t>种，占</w:t>
      </w:r>
      <w:r>
        <w:rPr>
          <w:rFonts w:hint="default" w:ascii="Times New Roman" w:hAnsi="Times New Roman" w:cs="Times New Roman"/>
          <w:color w:val="auto"/>
          <w:kern w:val="0"/>
          <w:sz w:val="24"/>
          <w:szCs w:val="24"/>
          <w:highlight w:val="none"/>
        </w:rPr>
        <w:t>总种数的</w:t>
      </w:r>
      <w:r>
        <w:rPr>
          <w:rFonts w:hint="default" w:ascii="Times New Roman" w:hAnsi="Times New Roman" w:cs="Times New Roman"/>
          <w:color w:val="auto"/>
          <w:kern w:val="0"/>
          <w:sz w:val="24"/>
          <w:szCs w:val="24"/>
          <w:highlight w:val="none"/>
          <w:lang w:val="en-US" w:eastAsia="zh-CN"/>
        </w:rPr>
        <w:t>41.67</w:t>
      </w:r>
      <w:r>
        <w:rPr>
          <w:rFonts w:hint="default" w:ascii="Times New Roman" w:hAnsi="Times New Roman" w:cs="Times New Roman"/>
          <w:color w:val="auto"/>
          <w:kern w:val="0"/>
          <w:sz w:val="24"/>
          <w:szCs w:val="24"/>
          <w:highlight w:val="none"/>
          <w:lang w:val="zh-CN"/>
        </w:rPr>
        <w:t>%；古北种</w:t>
      </w:r>
      <w:r>
        <w:rPr>
          <w:rFonts w:hint="default" w:ascii="Times New Roman" w:hAnsi="Times New Roman" w:cs="Times New Roman"/>
          <w:color w:val="auto"/>
          <w:kern w:val="0"/>
          <w:sz w:val="24"/>
          <w:szCs w:val="24"/>
          <w:highlight w:val="none"/>
          <w:lang w:val="en-US" w:eastAsia="zh-CN"/>
        </w:rPr>
        <w:t>11</w:t>
      </w:r>
      <w:r>
        <w:rPr>
          <w:rFonts w:hint="default" w:ascii="Times New Roman" w:hAnsi="Times New Roman" w:cs="Times New Roman"/>
          <w:color w:val="auto"/>
          <w:kern w:val="0"/>
          <w:sz w:val="24"/>
          <w:szCs w:val="24"/>
          <w:highlight w:val="none"/>
          <w:lang w:val="zh-CN"/>
        </w:rPr>
        <w:t>种，占</w:t>
      </w:r>
      <w:r>
        <w:rPr>
          <w:rFonts w:hint="default" w:ascii="Times New Roman" w:hAnsi="Times New Roman" w:cs="Times New Roman"/>
          <w:color w:val="auto"/>
          <w:kern w:val="0"/>
          <w:sz w:val="24"/>
          <w:szCs w:val="24"/>
          <w:highlight w:val="none"/>
        </w:rPr>
        <w:t>总种数</w:t>
      </w:r>
      <w:r>
        <w:rPr>
          <w:rFonts w:hint="default" w:ascii="Times New Roman" w:hAnsi="Times New Roman" w:cs="Times New Roman"/>
          <w:color w:val="auto"/>
          <w:kern w:val="0"/>
          <w:sz w:val="24"/>
          <w:szCs w:val="24"/>
          <w:highlight w:val="none"/>
          <w:lang w:val="en-US" w:eastAsia="zh-CN"/>
        </w:rPr>
        <w:t>13.10</w:t>
      </w:r>
      <w:r>
        <w:rPr>
          <w:rFonts w:hint="default" w:ascii="Times New Roman" w:hAnsi="Times New Roman" w:cs="Times New Roman"/>
          <w:color w:val="auto"/>
          <w:kern w:val="0"/>
          <w:sz w:val="24"/>
          <w:szCs w:val="24"/>
          <w:highlight w:val="none"/>
          <w:lang w:val="zh-CN"/>
        </w:rPr>
        <w:t>%；广布种</w:t>
      </w:r>
      <w:r>
        <w:rPr>
          <w:rFonts w:hint="default" w:ascii="Times New Roman" w:hAnsi="Times New Roman" w:cs="Times New Roman"/>
          <w:color w:val="auto"/>
          <w:kern w:val="0"/>
          <w:sz w:val="24"/>
          <w:szCs w:val="24"/>
          <w:highlight w:val="none"/>
          <w:lang w:val="en-US" w:eastAsia="zh-CN"/>
        </w:rPr>
        <w:t>38</w:t>
      </w:r>
      <w:r>
        <w:rPr>
          <w:rFonts w:hint="default" w:ascii="Times New Roman" w:hAnsi="Times New Roman" w:cs="Times New Roman"/>
          <w:color w:val="auto"/>
          <w:kern w:val="0"/>
          <w:sz w:val="24"/>
          <w:szCs w:val="24"/>
          <w:highlight w:val="none"/>
          <w:lang w:val="zh-CN"/>
        </w:rPr>
        <w:t>种，占</w:t>
      </w:r>
      <w:r>
        <w:rPr>
          <w:rFonts w:hint="default" w:ascii="Times New Roman" w:hAnsi="Times New Roman" w:cs="Times New Roman"/>
          <w:color w:val="auto"/>
          <w:kern w:val="0"/>
          <w:sz w:val="24"/>
          <w:szCs w:val="24"/>
          <w:highlight w:val="none"/>
        </w:rPr>
        <w:t>总种数</w:t>
      </w:r>
      <w:r>
        <w:rPr>
          <w:rFonts w:hint="default" w:ascii="Times New Roman" w:hAnsi="Times New Roman" w:cs="Times New Roman"/>
          <w:color w:val="auto"/>
          <w:kern w:val="0"/>
          <w:sz w:val="24"/>
          <w:szCs w:val="24"/>
          <w:highlight w:val="none"/>
          <w:lang w:val="en-US" w:eastAsia="zh-CN"/>
        </w:rPr>
        <w:t>45.24</w:t>
      </w:r>
      <w:r>
        <w:rPr>
          <w:rFonts w:hint="default" w:ascii="Times New Roman" w:hAnsi="Times New Roman" w:cs="Times New Roman"/>
          <w:color w:val="auto"/>
          <w:kern w:val="0"/>
          <w:sz w:val="24"/>
          <w:szCs w:val="24"/>
          <w:highlight w:val="none"/>
          <w:lang w:val="zh-CN"/>
        </w:rPr>
        <w:t>%，评价区内的鸟类广布种成分占比最多。</w:t>
      </w:r>
      <w:r>
        <w:rPr>
          <w:rFonts w:hint="default" w:ascii="Times New Roman" w:hAnsi="Times New Roman" w:cs="Times New Roman"/>
          <w:color w:val="auto"/>
          <w:kern w:val="0"/>
          <w:sz w:val="24"/>
          <w:szCs w:val="24"/>
          <w:highlight w:val="none"/>
        </w:rPr>
        <w:t>评价区内鸟类</w:t>
      </w:r>
      <w:r>
        <w:rPr>
          <w:rFonts w:hint="default" w:ascii="Times New Roman" w:hAnsi="Times New Roman" w:cs="Times New Roman"/>
          <w:color w:val="auto"/>
          <w:kern w:val="0"/>
          <w:sz w:val="24"/>
          <w:szCs w:val="24"/>
          <w:highlight w:val="none"/>
          <w:lang w:val="zh-CN"/>
        </w:rPr>
        <w:t>古北种有一定的比例，</w:t>
      </w:r>
      <w:r>
        <w:rPr>
          <w:rFonts w:hint="default" w:ascii="Times New Roman" w:hAnsi="Times New Roman" w:cs="Times New Roman"/>
          <w:color w:val="auto"/>
          <w:kern w:val="0"/>
          <w:sz w:val="24"/>
          <w:szCs w:val="24"/>
          <w:highlight w:val="none"/>
        </w:rPr>
        <w:t>主要是由于</w:t>
      </w:r>
      <w:r>
        <w:rPr>
          <w:rFonts w:hint="default" w:ascii="Times New Roman" w:hAnsi="Times New Roman" w:cs="Times New Roman"/>
          <w:color w:val="auto"/>
          <w:kern w:val="0"/>
          <w:sz w:val="24"/>
          <w:szCs w:val="24"/>
          <w:highlight w:val="none"/>
          <w:lang w:val="zh-CN"/>
        </w:rPr>
        <w:t>鸟类的迁移能力极强，又有季节性迁徙的特点，鸟类中有古北界成分向东洋界渗透的趋势。</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2" w:firstLineChars="200"/>
        <w:jc w:val="left"/>
        <w:textAlignment w:val="auto"/>
        <w:outlineLvl w:val="9"/>
        <w:rPr>
          <w:rFonts w:hint="default" w:cs="Times New Roman"/>
          <w:b/>
          <w:bCs/>
          <w:color w:val="auto"/>
          <w:sz w:val="28"/>
          <w:szCs w:val="28"/>
          <w:highlight w:val="none"/>
          <w:lang w:val="en-US" w:eastAsia="zh-CN"/>
        </w:rPr>
      </w:pPr>
      <w:r>
        <w:rPr>
          <w:rFonts w:hint="default" w:cs="Times New Roman"/>
          <w:b/>
          <w:bCs/>
          <w:color w:val="auto"/>
          <w:sz w:val="28"/>
          <w:szCs w:val="28"/>
          <w:highlight w:val="none"/>
          <w:lang w:val="en-US" w:eastAsia="zh-CN"/>
        </w:rPr>
        <w:t>4、哺乳类</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1）物种组成</w:t>
      </w:r>
    </w:p>
    <w:p>
      <w:pPr>
        <w:autoSpaceDE w:val="0"/>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bCs/>
          <w:color w:val="auto"/>
          <w:sz w:val="24"/>
          <w:szCs w:val="24"/>
          <w:highlight w:val="none"/>
        </w:rPr>
        <w:t>通过野外勘查、调查访问和查阅相关资料，评价区的</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共有</w:t>
      </w:r>
      <w:r>
        <w:rPr>
          <w:rFonts w:hint="default" w:ascii="Times New Roman" w:hAnsi="Times New Roman"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rPr>
        <w:t>目</w:t>
      </w:r>
      <w:r>
        <w:rPr>
          <w:rFonts w:hint="default" w:ascii="Times New Roman" w:hAnsi="Times New Roman"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rPr>
        <w:t>科</w:t>
      </w:r>
      <w:r>
        <w:rPr>
          <w:rFonts w:hint="default" w:ascii="Times New Roman" w:hAnsi="Times New Roman" w:cs="Times New Roman"/>
          <w:bCs/>
          <w:color w:val="auto"/>
          <w:sz w:val="24"/>
          <w:szCs w:val="24"/>
          <w:highlight w:val="none"/>
          <w:lang w:val="en-US" w:eastAsia="zh-CN"/>
        </w:rPr>
        <w:t>9</w:t>
      </w:r>
      <w:r>
        <w:rPr>
          <w:rFonts w:hint="default" w:ascii="Times New Roman" w:hAnsi="Times New Roman" w:cs="Times New Roman"/>
          <w:bCs/>
          <w:color w:val="auto"/>
          <w:sz w:val="24"/>
          <w:szCs w:val="24"/>
          <w:highlight w:val="none"/>
        </w:rPr>
        <w:t>种。以啮齿目最多，共</w:t>
      </w:r>
      <w:r>
        <w:rPr>
          <w:rFonts w:hint="default" w:ascii="Times New Roman" w:hAnsi="Times New Roman"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rPr>
        <w:t>种，占总种数的</w:t>
      </w:r>
      <w:r>
        <w:rPr>
          <w:rFonts w:hint="default" w:ascii="Times New Roman" w:hAnsi="Times New Roman" w:cs="Times New Roman"/>
          <w:bCs/>
          <w:color w:val="auto"/>
          <w:sz w:val="24"/>
          <w:szCs w:val="24"/>
          <w:highlight w:val="none"/>
          <w:lang w:val="en-US" w:eastAsia="zh-CN"/>
        </w:rPr>
        <w:t>55.56</w:t>
      </w:r>
      <w:r>
        <w:rPr>
          <w:rFonts w:hint="default" w:ascii="Times New Roman" w:hAnsi="Times New Roman" w:cs="Times New Roman"/>
          <w:bCs/>
          <w:color w:val="auto"/>
          <w:sz w:val="24"/>
          <w:szCs w:val="24"/>
          <w:highlight w:val="none"/>
        </w:rPr>
        <w:t>%。评价区内未发现国家级重点保护</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，有湖南省级重点保护野生</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lang w:val="en-US" w:eastAsia="zh-CN"/>
        </w:rPr>
        <w:t>3</w:t>
      </w:r>
      <w:r>
        <w:rPr>
          <w:rFonts w:hint="default" w:ascii="Times New Roman" w:hAnsi="Times New Roman" w:cs="Times New Roman"/>
          <w:bCs/>
          <w:color w:val="auto"/>
          <w:sz w:val="24"/>
          <w:szCs w:val="24"/>
          <w:highlight w:val="none"/>
        </w:rPr>
        <w:t>种，为</w:t>
      </w:r>
      <w:r>
        <w:rPr>
          <w:rFonts w:hint="default" w:ascii="Times New Roman" w:hAnsi="Times New Roman" w:cs="Times New Roman"/>
          <w:color w:val="auto"/>
          <w:sz w:val="24"/>
          <w:szCs w:val="24"/>
          <w:highlight w:val="none"/>
        </w:rPr>
        <w:t>东北刺猬</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i/>
          <w:iCs/>
          <w:color w:val="auto"/>
          <w:sz w:val="24"/>
          <w:szCs w:val="24"/>
          <w:highlight w:val="none"/>
          <w:lang w:eastAsia="zh-CN"/>
        </w:rPr>
        <w:t>Erinaceus amurensis</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、黄鼬、华南兔</w:t>
      </w:r>
      <w:r>
        <w:rPr>
          <w:rFonts w:hint="default" w:ascii="Times New Roman" w:hAnsi="Times New Roman" w:cs="Times New Roman"/>
          <w:bCs/>
          <w:color w:val="auto"/>
          <w:sz w:val="24"/>
          <w:szCs w:val="24"/>
          <w:highlight w:val="none"/>
        </w:rPr>
        <w:t>；</w:t>
      </w:r>
      <w:r>
        <w:rPr>
          <w:rFonts w:hint="default" w:ascii="Times New Roman" w:hAnsi="Times New Roman" w:cs="Times New Roman"/>
          <w:color w:val="auto"/>
          <w:kern w:val="0"/>
          <w:sz w:val="24"/>
          <w:szCs w:val="24"/>
          <w:highlight w:val="none"/>
        </w:rPr>
        <w:t>无《中国生物多样性红色名录》评级为极危（CR）、濒危（EN）、易危（VU）物种</w:t>
      </w:r>
      <w:r>
        <w:rPr>
          <w:rFonts w:hint="default" w:ascii="Times New Roman" w:hAnsi="Times New Roman" w:cs="Times New Roman"/>
          <w:color w:val="auto"/>
          <w:kern w:val="0"/>
          <w:sz w:val="24"/>
          <w:szCs w:val="24"/>
          <w:highlight w:val="none"/>
          <w:lang w:val="en-US" w:eastAsia="zh-CN"/>
        </w:rPr>
        <w:t>和</w:t>
      </w:r>
      <w:r>
        <w:rPr>
          <w:rFonts w:hint="default" w:ascii="Times New Roman" w:hAnsi="Times New Roman" w:cs="Times New Roman"/>
          <w:color w:val="auto"/>
          <w:kern w:val="0"/>
          <w:sz w:val="24"/>
          <w:szCs w:val="24"/>
          <w:highlight w:val="none"/>
        </w:rPr>
        <w:t>中国特有</w:t>
      </w:r>
      <w:r>
        <w:rPr>
          <w:rFonts w:hint="default" w:ascii="Times New Roman" w:hAnsi="Times New Roman" w:cs="Times New Roman"/>
          <w:color w:val="auto"/>
          <w:kern w:val="0"/>
          <w:sz w:val="24"/>
          <w:szCs w:val="24"/>
          <w:highlight w:val="none"/>
          <w:lang w:eastAsia="zh-CN"/>
        </w:rPr>
        <w:t>哺乳类。</w:t>
      </w:r>
      <w:r>
        <w:rPr>
          <w:rFonts w:hint="default" w:ascii="Times New Roman" w:hAnsi="Times New Roman" w:cs="Times New Roman"/>
          <w:bCs/>
          <w:color w:val="auto"/>
          <w:sz w:val="24"/>
          <w:szCs w:val="24"/>
          <w:highlight w:val="none"/>
        </w:rPr>
        <w:t>经调查，评价区域内分布</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主要为褐家鼠、</w:t>
      </w:r>
      <w:r>
        <w:rPr>
          <w:rFonts w:hint="default" w:ascii="Times New Roman" w:hAnsi="Times New Roman" w:cs="Times New Roman"/>
          <w:color w:val="auto"/>
          <w:sz w:val="24"/>
          <w:szCs w:val="24"/>
          <w:highlight w:val="none"/>
        </w:rPr>
        <w:t>小家鼠</w:t>
      </w:r>
      <w:r>
        <w:rPr>
          <w:rFonts w:hint="default" w:ascii="Times New Roman" w:hAnsi="Times New Roman" w:cs="Times New Roman"/>
          <w:bCs/>
          <w:color w:val="auto"/>
          <w:sz w:val="24"/>
          <w:szCs w:val="24"/>
          <w:highlight w:val="none"/>
        </w:rPr>
        <w:t>等小型</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，主要分布于评价区内的</w:t>
      </w:r>
      <w:r>
        <w:rPr>
          <w:rFonts w:hint="default" w:ascii="Times New Roman" w:hAnsi="Times New Roman" w:cs="Times New Roman"/>
          <w:bCs/>
          <w:color w:val="auto"/>
          <w:sz w:val="24"/>
          <w:szCs w:val="24"/>
          <w:highlight w:val="none"/>
          <w:lang w:val="en-US" w:eastAsia="zh-CN"/>
        </w:rPr>
        <w:t>居民点区域</w:t>
      </w:r>
      <w:r>
        <w:rPr>
          <w:rFonts w:hint="default" w:ascii="Times New Roman" w:hAnsi="Times New Roman" w:cs="Times New Roman"/>
          <w:bCs/>
          <w:color w:val="auto"/>
          <w:sz w:val="24"/>
          <w:szCs w:val="24"/>
          <w:highlight w:val="none"/>
        </w:rPr>
        <w:t>。</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2）生态类型</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bCs/>
          <w:color w:val="auto"/>
          <w:sz w:val="24"/>
          <w:szCs w:val="24"/>
          <w:highlight w:val="none"/>
        </w:rPr>
        <w:t>按生活习性来分，可以将评价区内的</w:t>
      </w:r>
      <w:r>
        <w:rPr>
          <w:rFonts w:hint="default" w:ascii="Times New Roman" w:hAnsi="Times New Roman" w:cs="Times New Roman"/>
          <w:bCs/>
          <w:color w:val="auto"/>
          <w:sz w:val="24"/>
          <w:szCs w:val="24"/>
          <w:highlight w:val="none"/>
          <w:lang w:val="en-US" w:eastAsia="zh-CN"/>
        </w:rPr>
        <w:t>9</w:t>
      </w:r>
      <w:r>
        <w:rPr>
          <w:rFonts w:hint="default" w:ascii="Times New Roman" w:hAnsi="Times New Roman" w:cs="Times New Roman"/>
          <w:bCs/>
          <w:color w:val="auto"/>
          <w:sz w:val="24"/>
          <w:szCs w:val="24"/>
          <w:highlight w:val="none"/>
        </w:rPr>
        <w:t>种</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分为以下</w:t>
      </w:r>
      <w:r>
        <w:rPr>
          <w:rFonts w:hint="default" w:ascii="Times New Roman" w:hAnsi="Times New Roman" w:cs="Times New Roman"/>
          <w:bCs/>
          <w:color w:val="auto"/>
          <w:sz w:val="24"/>
          <w:szCs w:val="24"/>
          <w:highlight w:val="none"/>
          <w:lang w:val="en-US" w:eastAsia="zh-CN"/>
        </w:rPr>
        <w:t>2</w:t>
      </w:r>
      <w:r>
        <w:rPr>
          <w:rFonts w:hint="default" w:ascii="Times New Roman" w:hAnsi="Times New Roman" w:cs="Times New Roman"/>
          <w:bCs/>
          <w:color w:val="auto"/>
          <w:sz w:val="24"/>
          <w:szCs w:val="24"/>
          <w:highlight w:val="none"/>
        </w:rPr>
        <w:t>种生态类型：</w:t>
      </w:r>
    </w:p>
    <w:p>
      <w:pPr>
        <w:widowControl/>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半地下生活型（主要在地面活动觅食、栖息、避敌于洞穴中，有的也在地下寻找食物）：包括</w:t>
      </w:r>
      <w:r>
        <w:rPr>
          <w:rFonts w:hint="default" w:ascii="Times New Roman" w:hAnsi="Times New Roman" w:cs="Times New Roman"/>
          <w:color w:val="auto"/>
          <w:sz w:val="24"/>
          <w:szCs w:val="24"/>
          <w:highlight w:val="none"/>
        </w:rPr>
        <w:t>东北刺猬、黄鼬、黑线姬鼠、大足鼠（</w:t>
      </w:r>
      <w:r>
        <w:rPr>
          <w:rFonts w:hint="default" w:ascii="Times New Roman" w:hAnsi="Times New Roman" w:cs="Times New Roman"/>
          <w:i/>
          <w:color w:val="auto"/>
          <w:sz w:val="24"/>
          <w:szCs w:val="24"/>
          <w:highlight w:val="none"/>
        </w:rPr>
        <w:t>Rattus nitidus</w:t>
      </w:r>
      <w:r>
        <w:rPr>
          <w:rFonts w:hint="default" w:ascii="Times New Roman" w:hAnsi="Times New Roman" w:cs="Times New Roman"/>
          <w:color w:val="auto"/>
          <w:sz w:val="24"/>
          <w:szCs w:val="24"/>
          <w:highlight w:val="none"/>
        </w:rPr>
        <w:t>）、褐家鼠、黄胸鼠、小家鼠、华南兔，共</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kern w:val="0"/>
          <w:sz w:val="24"/>
          <w:szCs w:val="24"/>
          <w:highlight w:val="none"/>
        </w:rPr>
        <w:t>种。它们在评价区内主要分布在</w:t>
      </w:r>
      <w:r>
        <w:rPr>
          <w:rFonts w:hint="default" w:ascii="Times New Roman" w:hAnsi="Times New Roman" w:cs="Times New Roman"/>
          <w:color w:val="auto"/>
          <w:kern w:val="0"/>
          <w:sz w:val="24"/>
          <w:szCs w:val="24"/>
          <w:highlight w:val="none"/>
          <w:lang w:val="en-US" w:eastAsia="zh-CN"/>
        </w:rPr>
        <w:t>居民点</w:t>
      </w:r>
      <w:r>
        <w:rPr>
          <w:rFonts w:hint="default" w:ascii="Times New Roman" w:hAnsi="Times New Roman" w:cs="Times New Roman"/>
          <w:color w:val="auto"/>
          <w:kern w:val="0"/>
          <w:sz w:val="24"/>
          <w:szCs w:val="24"/>
          <w:highlight w:val="none"/>
        </w:rPr>
        <w:t>、田野等区域，其中部分鼠类与人类关系较为密切。</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岩洞栖息型（在岩洞中倒挂栖息的小型哺乳类）：</w:t>
      </w:r>
      <w:r>
        <w:rPr>
          <w:rFonts w:hint="default" w:ascii="Times New Roman" w:hAnsi="Times New Roman" w:cs="Times New Roman"/>
          <w:color w:val="auto"/>
          <w:kern w:val="0"/>
          <w:sz w:val="24"/>
          <w:szCs w:val="24"/>
          <w:highlight w:val="none"/>
          <w:lang w:val="en-US" w:eastAsia="zh-CN"/>
        </w:rPr>
        <w:t>仅</w:t>
      </w:r>
      <w:r>
        <w:rPr>
          <w:rFonts w:hint="default" w:ascii="Times New Roman" w:hAnsi="Times New Roman" w:cs="Times New Roman"/>
          <w:color w:val="auto"/>
          <w:kern w:val="0"/>
          <w:sz w:val="24"/>
          <w:szCs w:val="24"/>
          <w:highlight w:val="none"/>
        </w:rPr>
        <w:t>括普通伏翼</w:t>
      </w:r>
      <w:r>
        <w:rPr>
          <w:rFonts w:hint="default" w:ascii="Times New Roman" w:hAnsi="Times New Roman"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rPr>
        <w:t>种</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在评价范围内主要分布于</w:t>
      </w:r>
      <w:r>
        <w:rPr>
          <w:rFonts w:hint="default" w:ascii="Times New Roman" w:hAnsi="Times New Roman" w:cs="Times New Roman"/>
          <w:color w:val="auto"/>
          <w:kern w:val="0"/>
          <w:sz w:val="24"/>
          <w:szCs w:val="24"/>
          <w:highlight w:val="none"/>
          <w:lang w:val="en-US" w:eastAsia="zh-CN"/>
        </w:rPr>
        <w:t>居民房屋内</w:t>
      </w:r>
      <w:r>
        <w:rPr>
          <w:rFonts w:hint="default" w:ascii="Times New Roman" w:hAnsi="Times New Roman" w:cs="Times New Roman"/>
          <w:color w:val="auto"/>
          <w:kern w:val="0"/>
          <w:sz w:val="24"/>
          <w:szCs w:val="24"/>
          <w:highlight w:val="none"/>
        </w:rPr>
        <w:t>。</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3）区系类型</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评价区内分布的</w:t>
      </w:r>
      <w:r>
        <w:rPr>
          <w:rFonts w:hint="default" w:ascii="Times New Roman" w:hAnsi="Times New Roman" w:cs="Times New Roman"/>
          <w:color w:val="auto"/>
          <w:kern w:val="0"/>
          <w:sz w:val="24"/>
          <w:szCs w:val="24"/>
          <w:highlight w:val="none"/>
          <w:lang w:val="en-US" w:eastAsia="zh-CN"/>
        </w:rPr>
        <w:t>9</w:t>
      </w:r>
      <w:r>
        <w:rPr>
          <w:rFonts w:hint="default" w:ascii="Times New Roman" w:hAnsi="Times New Roman" w:cs="Times New Roman"/>
          <w:color w:val="auto"/>
          <w:kern w:val="0"/>
          <w:sz w:val="24"/>
          <w:szCs w:val="24"/>
          <w:highlight w:val="none"/>
        </w:rPr>
        <w:t>种哺乳类中，东洋种</w:t>
      </w:r>
      <w:r>
        <w:rPr>
          <w:rFonts w:hint="default" w:ascii="Times New Roman" w:hAnsi="Times New Roman" w:cs="Times New Roman"/>
          <w:color w:val="auto"/>
          <w:kern w:val="0"/>
          <w:sz w:val="24"/>
          <w:szCs w:val="24"/>
          <w:highlight w:val="none"/>
          <w:lang w:val="en-US" w:eastAsia="zh-CN"/>
        </w:rPr>
        <w:t>3</w:t>
      </w:r>
      <w:r>
        <w:rPr>
          <w:rFonts w:hint="default" w:ascii="Times New Roman" w:hAnsi="Times New Roman" w:cs="Times New Roman"/>
          <w:color w:val="auto"/>
          <w:kern w:val="0"/>
          <w:sz w:val="24"/>
          <w:szCs w:val="24"/>
          <w:highlight w:val="none"/>
        </w:rPr>
        <w:t>种，占哺乳类总数的</w:t>
      </w:r>
      <w:r>
        <w:rPr>
          <w:rFonts w:hint="default" w:ascii="Times New Roman" w:hAnsi="Times New Roman" w:cs="Times New Roman"/>
          <w:color w:val="auto"/>
          <w:kern w:val="0"/>
          <w:sz w:val="24"/>
          <w:szCs w:val="24"/>
          <w:highlight w:val="none"/>
          <w:lang w:val="en-US" w:eastAsia="zh-CN"/>
        </w:rPr>
        <w:t>33.33</w:t>
      </w:r>
      <w:r>
        <w:rPr>
          <w:rFonts w:hint="default" w:ascii="Times New Roman" w:hAnsi="Times New Roman" w:cs="Times New Roman"/>
          <w:color w:val="auto"/>
          <w:kern w:val="0"/>
          <w:sz w:val="24"/>
          <w:szCs w:val="24"/>
          <w:highlight w:val="none"/>
        </w:rPr>
        <w:t>%；广布种</w:t>
      </w:r>
      <w:r>
        <w:rPr>
          <w:rFonts w:hint="default" w:ascii="Times New Roman" w:hAnsi="Times New Roman" w:cs="Times New Roman"/>
          <w:color w:val="auto"/>
          <w:kern w:val="0"/>
          <w:sz w:val="24"/>
          <w:szCs w:val="24"/>
          <w:highlight w:val="none"/>
          <w:lang w:val="en-US" w:eastAsia="zh-CN"/>
        </w:rPr>
        <w:t>6</w:t>
      </w:r>
      <w:r>
        <w:rPr>
          <w:rFonts w:hint="default" w:ascii="Times New Roman" w:hAnsi="Times New Roman" w:cs="Times New Roman"/>
          <w:color w:val="auto"/>
          <w:kern w:val="0"/>
          <w:sz w:val="24"/>
          <w:szCs w:val="24"/>
          <w:highlight w:val="none"/>
        </w:rPr>
        <w:t>种，占哺乳类总数的</w:t>
      </w:r>
      <w:r>
        <w:rPr>
          <w:rFonts w:hint="default" w:ascii="Times New Roman" w:hAnsi="Times New Roman" w:cs="Times New Roman"/>
          <w:color w:val="auto"/>
          <w:kern w:val="0"/>
          <w:sz w:val="24"/>
          <w:szCs w:val="24"/>
          <w:highlight w:val="none"/>
          <w:lang w:val="en-US" w:eastAsia="zh-CN"/>
        </w:rPr>
        <w:t>66.67</w:t>
      </w:r>
      <w:r>
        <w:rPr>
          <w:rFonts w:hint="default" w:ascii="Times New Roman" w:hAnsi="Times New Roman" w:cs="Times New Roman"/>
          <w:color w:val="auto"/>
          <w:kern w:val="0"/>
          <w:sz w:val="24"/>
          <w:szCs w:val="24"/>
          <w:highlight w:val="none"/>
        </w:rPr>
        <w:t>%。评价区内的哺乳类无古北种分布，与评价区地处东洋界的地理位置一致。</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（4）动物多样性指数</w:t>
      </w:r>
    </w:p>
    <w:p>
      <w:pPr>
        <w:widowControl/>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由于实地调查中，两栖类、爬行类和哺乳类的数量很少，实地调查获取的数据量不足以支撑多样性指数分析，鸟类在实地调查中易于观测和统计，因此仅使用鸟类多样性指数分析动物的物种多样性。</w:t>
      </w:r>
    </w:p>
    <w:p>
      <w:pPr>
        <w:widowControl/>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根据2023年</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月、2023年</w:t>
      </w:r>
      <w:r>
        <w:rPr>
          <w:rFonts w:hint="default" w:ascii="Times New Roman" w:hAnsi="Times New Roman" w:cs="Times New Roman"/>
          <w:color w:val="auto"/>
          <w:sz w:val="24"/>
          <w:szCs w:val="24"/>
          <w:highlight w:val="none"/>
          <w:lang w:val="en-US" w:eastAsia="zh-CN"/>
        </w:rPr>
        <w:t>11</w:t>
      </w:r>
      <w:r>
        <w:rPr>
          <w:rFonts w:hint="default" w:ascii="Times New Roman" w:hAnsi="Times New Roman" w:cs="Times New Roman"/>
          <w:color w:val="auto"/>
          <w:sz w:val="24"/>
          <w:szCs w:val="24"/>
          <w:highlight w:val="none"/>
        </w:rPr>
        <w:t>月实地调查，现场目击鸟类</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目</w:t>
      </w:r>
      <w:r>
        <w:rPr>
          <w:rFonts w:hint="default" w:ascii="Times New Roman" w:hAnsi="Times New Roman" w:cs="Times New Roman"/>
          <w:color w:val="auto"/>
          <w:sz w:val="24"/>
          <w:szCs w:val="24"/>
          <w:highlight w:val="none"/>
          <w:lang w:val="en-US" w:eastAsia="zh-CN"/>
        </w:rPr>
        <w:t>24</w:t>
      </w:r>
      <w:r>
        <w:rPr>
          <w:rFonts w:hint="default" w:ascii="Times New Roman" w:hAnsi="Times New Roman" w:cs="Times New Roman"/>
          <w:color w:val="auto"/>
          <w:sz w:val="24"/>
          <w:szCs w:val="24"/>
          <w:highlight w:val="none"/>
        </w:rPr>
        <w:t>科</w:t>
      </w:r>
      <w:r>
        <w:rPr>
          <w:rFonts w:hint="default" w:ascii="Times New Roman" w:hAnsi="Times New Roman" w:cs="Times New Roman"/>
          <w:color w:val="auto"/>
          <w:sz w:val="24"/>
          <w:szCs w:val="24"/>
          <w:highlight w:val="none"/>
          <w:lang w:val="en-US" w:eastAsia="zh-CN"/>
        </w:rPr>
        <w:t>40</w:t>
      </w:r>
      <w:r>
        <w:rPr>
          <w:rFonts w:hint="default" w:ascii="Times New Roman" w:hAnsi="Times New Roman" w:cs="Times New Roman"/>
          <w:color w:val="auto"/>
          <w:sz w:val="24"/>
          <w:szCs w:val="24"/>
          <w:highlight w:val="none"/>
        </w:rPr>
        <w:t>种，共观测</w:t>
      </w:r>
      <w:r>
        <w:rPr>
          <w:rFonts w:hint="default" w:ascii="Times New Roman" w:hAnsi="Times New Roman" w:cs="Times New Roman"/>
          <w:color w:val="auto"/>
          <w:sz w:val="24"/>
          <w:szCs w:val="24"/>
          <w:highlight w:val="none"/>
          <w:lang w:val="en-US" w:eastAsia="zh-CN"/>
        </w:rPr>
        <w:t>369</w:t>
      </w:r>
      <w:r>
        <w:rPr>
          <w:rFonts w:hint="default" w:ascii="Times New Roman" w:hAnsi="Times New Roman" w:cs="Times New Roman"/>
          <w:color w:val="auto"/>
          <w:sz w:val="24"/>
          <w:szCs w:val="24"/>
          <w:highlight w:val="none"/>
        </w:rPr>
        <w:t>只、</w:t>
      </w:r>
      <w:r>
        <w:rPr>
          <w:rFonts w:hint="default" w:ascii="Times New Roman" w:hAnsi="Times New Roman" w:cs="Times New Roman"/>
          <w:color w:val="auto"/>
          <w:sz w:val="24"/>
          <w:szCs w:val="24"/>
          <w:highlight w:val="none"/>
          <w:lang w:val="en-US" w:eastAsia="zh-CN"/>
        </w:rPr>
        <w:t>167</w:t>
      </w:r>
      <w:r>
        <w:rPr>
          <w:rFonts w:hint="default" w:ascii="Times New Roman" w:hAnsi="Times New Roman" w:cs="Times New Roman"/>
          <w:color w:val="auto"/>
          <w:sz w:val="24"/>
          <w:szCs w:val="24"/>
          <w:highlight w:val="none"/>
        </w:rPr>
        <w:t>次。其中2023年</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月现场调查目击</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目</w:t>
      </w:r>
      <w:r>
        <w:rPr>
          <w:rFonts w:hint="default" w:ascii="Times New Roman" w:hAnsi="Times New Roman" w:cs="Times New Roman"/>
          <w:color w:val="auto"/>
          <w:sz w:val="24"/>
          <w:szCs w:val="24"/>
          <w:highlight w:val="none"/>
          <w:lang w:val="en-US" w:eastAsia="zh-CN"/>
        </w:rPr>
        <w:t>22</w:t>
      </w:r>
      <w:r>
        <w:rPr>
          <w:rFonts w:hint="default" w:ascii="Times New Roman" w:hAnsi="Times New Roman" w:cs="Times New Roman"/>
          <w:color w:val="auto"/>
          <w:sz w:val="24"/>
          <w:szCs w:val="24"/>
          <w:highlight w:val="none"/>
        </w:rPr>
        <w:t>科</w:t>
      </w:r>
      <w:r>
        <w:rPr>
          <w:rFonts w:hint="default" w:ascii="Times New Roman" w:hAnsi="Times New Roman" w:cs="Times New Roman"/>
          <w:color w:val="auto"/>
          <w:sz w:val="24"/>
          <w:szCs w:val="24"/>
          <w:highlight w:val="none"/>
          <w:lang w:val="en-US" w:eastAsia="zh-CN"/>
        </w:rPr>
        <w:t>35</w:t>
      </w:r>
      <w:r>
        <w:rPr>
          <w:rFonts w:hint="default" w:ascii="Times New Roman" w:hAnsi="Times New Roman" w:cs="Times New Roman"/>
          <w:color w:val="auto"/>
          <w:sz w:val="24"/>
          <w:szCs w:val="24"/>
          <w:highlight w:val="none"/>
        </w:rPr>
        <w:t>种，共观测</w:t>
      </w:r>
      <w:r>
        <w:rPr>
          <w:rFonts w:hint="default" w:ascii="Times New Roman" w:hAnsi="Times New Roman" w:cs="Times New Roman"/>
          <w:color w:val="auto"/>
          <w:sz w:val="24"/>
          <w:szCs w:val="24"/>
          <w:highlight w:val="none"/>
          <w:lang w:val="en-US" w:eastAsia="zh-CN"/>
        </w:rPr>
        <w:t>150</w:t>
      </w:r>
      <w:r>
        <w:rPr>
          <w:rFonts w:hint="default" w:ascii="Times New Roman" w:hAnsi="Times New Roman" w:cs="Times New Roman"/>
          <w:color w:val="auto"/>
          <w:sz w:val="24"/>
          <w:szCs w:val="24"/>
          <w:highlight w:val="none"/>
        </w:rPr>
        <w:t>只、</w:t>
      </w:r>
      <w:r>
        <w:rPr>
          <w:rFonts w:hint="default" w:ascii="Times New Roman" w:hAnsi="Times New Roman" w:cs="Times New Roman"/>
          <w:color w:val="auto"/>
          <w:sz w:val="24"/>
          <w:szCs w:val="24"/>
          <w:highlight w:val="none"/>
          <w:lang w:val="en-US" w:eastAsia="zh-CN"/>
        </w:rPr>
        <w:t>85</w:t>
      </w:r>
      <w:r>
        <w:rPr>
          <w:rFonts w:hint="default" w:ascii="Times New Roman" w:hAnsi="Times New Roman" w:cs="Times New Roman"/>
          <w:color w:val="auto"/>
          <w:sz w:val="24"/>
          <w:szCs w:val="24"/>
          <w:highlight w:val="none"/>
        </w:rPr>
        <w:t>次；2023年5月现场目击</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目</w:t>
      </w:r>
      <w:r>
        <w:rPr>
          <w:rFonts w:hint="default" w:ascii="Times New Roman" w:hAnsi="Times New Roman" w:cs="Times New Roman"/>
          <w:color w:val="auto"/>
          <w:sz w:val="24"/>
          <w:szCs w:val="24"/>
          <w:highlight w:val="none"/>
          <w:lang w:val="en-US" w:eastAsia="zh-CN"/>
        </w:rPr>
        <w:t>16</w:t>
      </w:r>
      <w:r>
        <w:rPr>
          <w:rFonts w:hint="default" w:ascii="Times New Roman" w:hAnsi="Times New Roman" w:cs="Times New Roman"/>
          <w:color w:val="auto"/>
          <w:sz w:val="24"/>
          <w:szCs w:val="24"/>
          <w:highlight w:val="none"/>
        </w:rPr>
        <w:t>科</w:t>
      </w:r>
      <w:r>
        <w:rPr>
          <w:rFonts w:hint="default" w:ascii="Times New Roman" w:hAnsi="Times New Roman" w:cs="Times New Roman"/>
          <w:color w:val="auto"/>
          <w:sz w:val="24"/>
          <w:szCs w:val="24"/>
          <w:highlight w:val="none"/>
          <w:lang w:val="en-US" w:eastAsia="zh-CN"/>
        </w:rPr>
        <w:t>24</w:t>
      </w:r>
      <w:r>
        <w:rPr>
          <w:rFonts w:hint="default" w:ascii="Times New Roman" w:hAnsi="Times New Roman" w:cs="Times New Roman"/>
          <w:color w:val="auto"/>
          <w:sz w:val="24"/>
          <w:szCs w:val="24"/>
          <w:highlight w:val="none"/>
        </w:rPr>
        <w:t>种，共观测</w:t>
      </w:r>
      <w:r>
        <w:rPr>
          <w:rFonts w:hint="default" w:ascii="Times New Roman" w:hAnsi="Times New Roman" w:cs="Times New Roman"/>
          <w:color w:val="auto"/>
          <w:sz w:val="24"/>
          <w:szCs w:val="24"/>
          <w:highlight w:val="none"/>
          <w:lang w:val="en-US" w:eastAsia="zh-CN"/>
        </w:rPr>
        <w:t>219</w:t>
      </w:r>
      <w:r>
        <w:rPr>
          <w:rFonts w:hint="default" w:ascii="Times New Roman" w:hAnsi="Times New Roman" w:cs="Times New Roman"/>
          <w:color w:val="auto"/>
          <w:sz w:val="24"/>
          <w:szCs w:val="24"/>
          <w:highlight w:val="none"/>
        </w:rPr>
        <w:t>只</w:t>
      </w:r>
      <w:r>
        <w:rPr>
          <w:rFonts w:hint="default" w:ascii="Times New Roman" w:hAnsi="Times New Roman" w:cs="Times New Roman"/>
          <w:color w:val="auto"/>
          <w:sz w:val="24"/>
          <w:szCs w:val="24"/>
          <w:highlight w:val="none"/>
          <w:lang w:val="en-US" w:eastAsia="zh-CN"/>
        </w:rPr>
        <w:t>82</w:t>
      </w:r>
      <w:r>
        <w:rPr>
          <w:rFonts w:hint="default" w:ascii="Times New Roman" w:hAnsi="Times New Roman" w:cs="Times New Roman"/>
          <w:color w:val="auto"/>
          <w:sz w:val="24"/>
          <w:szCs w:val="24"/>
          <w:highlight w:val="none"/>
        </w:rPr>
        <w:t>次。</w:t>
      </w:r>
    </w:p>
    <w:p>
      <w:pPr>
        <w:widowControl/>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根据调查，评价区鸟类香农威纳（Shannon-Wiener）多样性指数为2.95；Pielou均匀度指数为0.80；Simpson优势度指数为0.9</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。按生态系统划分，森林生态系统、灌丛生态系统、草地生态系统、农田生态系统、湿地生态系统和城镇生态系统的香农-威纳多样性指数分别为1.64</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2.30</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2.11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1.81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2.07</w:t>
      </w:r>
      <w:r>
        <w:rPr>
          <w:rFonts w:hint="default" w:ascii="Times New Roman" w:hAnsi="Times New Roman" w:cs="Times New Roman"/>
          <w:color w:val="auto"/>
          <w:sz w:val="24"/>
          <w:szCs w:val="24"/>
          <w:highlight w:val="none"/>
          <w:lang w:val="en-US" w:eastAsia="zh-CN"/>
        </w:rPr>
        <w:t>和</w:t>
      </w:r>
      <w:r>
        <w:rPr>
          <w:rFonts w:hint="default" w:ascii="Times New Roman" w:hAnsi="Times New Roman" w:cs="Times New Roman"/>
          <w:color w:val="auto"/>
          <w:sz w:val="24"/>
          <w:szCs w:val="24"/>
          <w:highlight w:val="none"/>
        </w:rPr>
        <w:t>1.96，灌丛生态系统动物多样性最高，其次为草地生态系统，森林生态系统多样性最低；均匀度指数分别为0.62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0.85</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0.91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0.82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0.94</w:t>
      </w:r>
      <w:r>
        <w:rPr>
          <w:rFonts w:hint="default" w:ascii="Times New Roman" w:hAnsi="Times New Roman" w:cs="Times New Roman"/>
          <w:color w:val="auto"/>
          <w:sz w:val="24"/>
          <w:szCs w:val="24"/>
          <w:highlight w:val="none"/>
          <w:lang w:val="en-US" w:eastAsia="zh-CN"/>
        </w:rPr>
        <w:t>和</w:t>
      </w:r>
      <w:r>
        <w:rPr>
          <w:rFonts w:hint="default" w:ascii="Times New Roman" w:hAnsi="Times New Roman" w:cs="Times New Roman"/>
          <w:color w:val="auto"/>
          <w:sz w:val="24"/>
          <w:szCs w:val="24"/>
          <w:highlight w:val="none"/>
        </w:rPr>
        <w:t>0.74，湿地生态系统动物均匀度最高，其次为草地生态系统，森林生态系统均匀度最低；优势度指数分别为0.68</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0.86</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0.86</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0.78</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0.86</w:t>
      </w:r>
      <w:r>
        <w:rPr>
          <w:rFonts w:hint="default" w:ascii="Times New Roman" w:hAnsi="Times New Roman" w:cs="Times New Roman"/>
          <w:color w:val="auto"/>
          <w:sz w:val="24"/>
          <w:szCs w:val="24"/>
          <w:highlight w:val="none"/>
          <w:lang w:val="en-US" w:eastAsia="zh-CN"/>
        </w:rPr>
        <w:t>和</w:t>
      </w:r>
      <w:r>
        <w:rPr>
          <w:rFonts w:hint="default" w:ascii="Times New Roman" w:hAnsi="Times New Roman" w:cs="Times New Roman"/>
          <w:color w:val="auto"/>
          <w:sz w:val="24"/>
          <w:szCs w:val="24"/>
          <w:highlight w:val="none"/>
        </w:rPr>
        <w:t>0.78，灌丛生态系统</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草地生态系统</w:t>
      </w:r>
      <w:r>
        <w:rPr>
          <w:rFonts w:hint="default" w:ascii="Times New Roman" w:hAnsi="Times New Roman" w:cs="Times New Roman"/>
          <w:color w:val="auto"/>
          <w:sz w:val="24"/>
          <w:szCs w:val="24"/>
          <w:highlight w:val="none"/>
          <w:lang w:eastAsia="zh-CN"/>
        </w:rPr>
        <w:t>、湿地生态系统</w:t>
      </w:r>
      <w:r>
        <w:rPr>
          <w:rFonts w:hint="default" w:ascii="Times New Roman" w:hAnsi="Times New Roman" w:cs="Times New Roman"/>
          <w:color w:val="auto"/>
          <w:sz w:val="24"/>
          <w:szCs w:val="24"/>
          <w:highlight w:val="none"/>
        </w:rPr>
        <w:t>动物优势度最高，森林生态系统优势度最低。评价区陆生动物多样性指数统计见</w:t>
      </w:r>
      <w:r>
        <w:rPr>
          <w:rFonts w:hint="default" w:cs="Times New Roman"/>
          <w:color w:val="auto"/>
          <w:sz w:val="24"/>
          <w:szCs w:val="24"/>
          <w:highlight w:val="none"/>
          <w:lang w:val="en-US" w:eastAsia="zh-CN"/>
        </w:rPr>
        <w:t>下</w:t>
      </w:r>
      <w:r>
        <w:rPr>
          <w:rFonts w:hint="default" w:ascii="Times New Roman" w:hAnsi="Times New Roman" w:cs="Times New Roman"/>
          <w:color w:val="auto"/>
          <w:sz w:val="24"/>
          <w:szCs w:val="24"/>
          <w:highlight w:val="none"/>
        </w:rPr>
        <w:t>表。</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w:t>
      </w:r>
      <w:r>
        <w:rPr>
          <w:rFonts w:hint="default" w:ascii="Times New Roman" w:hAnsi="Times New Roman" w:cs="Times New Roman"/>
          <w:b/>
          <w:color w:val="auto"/>
          <w:highlight w:val="none"/>
          <w:lang w:val="en-US" w:eastAsia="zh-CN"/>
        </w:rPr>
        <w:t>.</w:t>
      </w:r>
      <w:r>
        <w:rPr>
          <w:rFonts w:hint="default" w:cs="Times New Roman"/>
          <w:b/>
          <w:color w:val="auto"/>
          <w:highlight w:val="none"/>
          <w:lang w:val="en-US" w:eastAsia="zh-CN"/>
        </w:rPr>
        <w:t>5</w:t>
      </w:r>
      <w:r>
        <w:rPr>
          <w:rFonts w:hint="default" w:ascii="Times New Roman" w:hAnsi="Times New Roman" w:cs="Times New Roman"/>
          <w:b/>
          <w:color w:val="auto"/>
          <w:highlight w:val="none"/>
          <w:lang w:val="en-US" w:eastAsia="zh-CN"/>
        </w:rPr>
        <w:t>-1</w:t>
      </w:r>
      <w:r>
        <w:rPr>
          <w:rFonts w:hint="default" w:cs="Times New Roman"/>
          <w:b/>
          <w:color w:val="auto"/>
          <w:highlight w:val="none"/>
          <w:lang w:val="en-US" w:eastAsia="zh-CN"/>
        </w:rPr>
        <w:t>3</w:t>
      </w:r>
      <w:r>
        <w:rPr>
          <w:rFonts w:hint="default" w:ascii="Times New Roman" w:hAnsi="Times New Roman" w:cs="Times New Roman"/>
          <w:b/>
          <w:color w:val="auto"/>
          <w:highlight w:val="none"/>
          <w:lang w:val="en-US" w:eastAsia="zh-CN"/>
        </w:rPr>
        <w:t xml:space="preserve">  评价区陆生动物多样性指数统计表</w:t>
      </w:r>
    </w:p>
    <w:tbl>
      <w:tblPr>
        <w:tblStyle w:val="22"/>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类型</w:t>
            </w:r>
          </w:p>
        </w:tc>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香农-威纳多样性指数</w:t>
            </w:r>
          </w:p>
        </w:tc>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均匀度指数</w:t>
            </w:r>
          </w:p>
        </w:tc>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优势度指数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2" w:hRule="atLeast"/>
        </w:trPr>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整个评价区</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2.95</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0.80</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0.91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森林生态系统</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1.64</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0.62</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灌丛生态系统</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2.30</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0.85</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草地生态系统</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2.11</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0.91</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农田生态系统</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1.81</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0.82</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湿地生态系统</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2.07</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0.94</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250" w:type="pct"/>
            <w:vAlign w:val="center"/>
          </w:tcPr>
          <w:p>
            <w:pPr>
              <w:keepNext w:val="0"/>
              <w:keepLines w:val="0"/>
              <w:pageBreakBefore w:val="0"/>
              <w:widowControl/>
              <w:kinsoku/>
              <w:wordWrap/>
              <w:overflowPunct/>
              <w:topLinePunct w:val="0"/>
              <w:autoSpaceDE/>
              <w:autoSpaceDN/>
              <w:bidi w:val="0"/>
              <w:adjustRightInd/>
              <w:snapToGrid/>
              <w:jc w:val="center"/>
              <w:outlineLvl w:val="9"/>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城镇生态系统</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1.96</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0.74</w:t>
            </w:r>
          </w:p>
        </w:tc>
        <w:tc>
          <w:tcPr>
            <w:tcW w:w="1250"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0.78</w:t>
            </w:r>
          </w:p>
        </w:tc>
      </w:tr>
    </w:tbl>
    <w:p>
      <w:pPr>
        <w:pStyle w:val="21"/>
        <w:keepNext w:val="0"/>
        <w:keepLines w:val="0"/>
        <w:pageBreakBefore w:val="0"/>
        <w:kinsoku/>
        <w:wordWrap/>
        <w:overflowPunct/>
        <w:topLinePunct w:val="0"/>
        <w:autoSpaceDE/>
        <w:autoSpaceDN/>
        <w:bidi w:val="0"/>
        <w:adjustRightInd/>
        <w:snapToGrid/>
        <w:spacing w:after="62"/>
        <w:ind w:firstLine="480"/>
        <w:outlineLvl w:val="9"/>
        <w:rPr>
          <w:rFonts w:hint="default" w:ascii="Times New Roman" w:hAnsi="Times New Roman" w:cs="Times New Roman"/>
          <w:color w:val="auto"/>
          <w:highlight w:val="none"/>
        </w:rPr>
      </w:pPr>
    </w:p>
    <w:p>
      <w:pPr>
        <w:keepNext w:val="0"/>
        <w:keepLines w:val="0"/>
        <w:pageBreakBefore w:val="0"/>
        <w:kinsoku/>
        <w:wordWrap/>
        <w:overflowPunct/>
        <w:topLinePunct w:val="0"/>
        <w:autoSpaceDE/>
        <w:autoSpaceDN/>
        <w:bidi w:val="0"/>
        <w:adjustRightInd/>
        <w:snapToGrid/>
        <w:spacing w:line="360" w:lineRule="auto"/>
        <w:jc w:val="center"/>
        <w:outlineLvl w:val="9"/>
        <w:rPr>
          <w:rFonts w:hint="default" w:ascii="Times New Roman" w:hAnsi="Times New Roman" w:cs="Times New Roman"/>
          <w:b/>
          <w:bCs/>
          <w:color w:val="auto"/>
          <w:sz w:val="22"/>
          <w:highlight w:val="none"/>
        </w:rPr>
      </w:pPr>
      <w:r>
        <w:rPr>
          <w:rFonts w:hint="default" w:ascii="Times New Roman" w:hAnsi="Times New Roman" w:cs="Times New Roman"/>
          <w:color w:val="auto"/>
          <w:highlight w:val="none"/>
        </w:rPr>
        <w:drawing>
          <wp:inline distT="0" distB="0" distL="114300" distR="114300">
            <wp:extent cx="5377815" cy="3227070"/>
            <wp:effectExtent l="0" t="0" r="0" b="0"/>
            <wp:docPr id="4471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图</w:t>
      </w:r>
      <w:r>
        <w:rPr>
          <w:rFonts w:hint="default" w:cs="Times New Roman"/>
          <w:b/>
          <w:color w:val="auto"/>
          <w:highlight w:val="none"/>
          <w:lang w:val="en-US" w:eastAsia="zh-CN"/>
        </w:rPr>
        <w:t>4</w:t>
      </w:r>
      <w:r>
        <w:rPr>
          <w:rFonts w:hint="default" w:ascii="Times New Roman" w:hAnsi="Times New Roman" w:cs="Times New Roman"/>
          <w:b/>
          <w:color w:val="auto"/>
          <w:highlight w:val="none"/>
          <w:lang w:val="en-US" w:eastAsia="zh-CN"/>
        </w:rPr>
        <w:t>.</w:t>
      </w:r>
      <w:r>
        <w:rPr>
          <w:rFonts w:hint="default" w:cs="Times New Roman"/>
          <w:b/>
          <w:color w:val="auto"/>
          <w:highlight w:val="none"/>
          <w:lang w:val="en-US" w:eastAsia="zh-CN"/>
        </w:rPr>
        <w:t>5</w:t>
      </w:r>
      <w:r>
        <w:rPr>
          <w:rFonts w:hint="default" w:ascii="Times New Roman" w:hAnsi="Times New Roman" w:cs="Times New Roman"/>
          <w:b/>
          <w:color w:val="auto"/>
          <w:highlight w:val="none"/>
          <w:lang w:val="en-US" w:eastAsia="zh-CN"/>
        </w:rPr>
        <w:t>-16  评价区陆生动物多样性指数示意图</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（5）重要物种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根据《环境影响评价技术导则 生态影响》（HJ19-2022），重要野生动物主要包括国家及省级重点保护野生动物、中国或地方特有动物以及《中国生物多样性红色名录》（2020）等记录的珍稀濒危物种。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根据现场调查及区域内的文献资料查询，评价区内分布有国家二级重点保护野生动物</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种，为乌龟、黑翅鸢、黑鸢、白胸翡翠、画眉和红嘴相思鸟；湖南省级重点保护野生动物</w:t>
      </w:r>
      <w:r>
        <w:rPr>
          <w:rFonts w:hint="default" w:ascii="Times New Roman" w:hAnsi="Times New Roman" w:cs="Times New Roman"/>
          <w:color w:val="auto"/>
          <w:sz w:val="24"/>
          <w:szCs w:val="24"/>
          <w:highlight w:val="none"/>
          <w:lang w:val="en-US" w:eastAsia="zh-CN"/>
        </w:rPr>
        <w:t>65</w:t>
      </w:r>
      <w:r>
        <w:rPr>
          <w:rFonts w:hint="default" w:ascii="Times New Roman" w:hAnsi="Times New Roman" w:cs="Times New Roman"/>
          <w:color w:val="auto"/>
          <w:sz w:val="24"/>
          <w:szCs w:val="24"/>
          <w:highlight w:val="none"/>
        </w:rPr>
        <w:t>种；被《中国生物多样性红色名录》评级为濒危（EN）的有</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种，为中华鳖和乌龟，其中乌龟为国家二级重点保护野生动物，中华鳖为湖南省级重点保护动物；被《中国生物多样性红色名录》评级为易危（VU）的有</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种，为乌梢蛇、尖吻蝮和黑眉锦蛇，全部为湖南省级重点保护野生动物；有中国特有种</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种，为北草蜥</w:t>
      </w:r>
      <w:r>
        <w:rPr>
          <w:rFonts w:hint="default" w:ascii="Times New Roman" w:hAnsi="Times New Roman" w:cs="Times New Roman"/>
          <w:color w:val="auto"/>
          <w:sz w:val="24"/>
          <w:szCs w:val="24"/>
          <w:highlight w:val="none"/>
          <w:lang w:val="en-US" w:eastAsia="zh-CN"/>
        </w:rPr>
        <w:t>和</w:t>
      </w:r>
      <w:r>
        <w:rPr>
          <w:rFonts w:hint="default" w:ascii="Times New Roman" w:hAnsi="Times New Roman" w:cs="Times New Roman"/>
          <w:color w:val="auto"/>
          <w:sz w:val="24"/>
          <w:szCs w:val="24"/>
          <w:highlight w:val="none"/>
        </w:rPr>
        <w:t>黄腹山雀</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均为湖南省级重点保护野生动物。由于上述物种有重复，评价区内重要物种共计</w:t>
      </w:r>
      <w:r>
        <w:rPr>
          <w:rFonts w:hint="default" w:ascii="Times New Roman" w:hAnsi="Times New Roman" w:cs="Times New Roman"/>
          <w:color w:val="auto"/>
          <w:sz w:val="24"/>
          <w:szCs w:val="24"/>
          <w:highlight w:val="none"/>
          <w:lang w:val="en-US" w:eastAsia="zh-CN"/>
        </w:rPr>
        <w:t>71</w:t>
      </w:r>
      <w:r>
        <w:rPr>
          <w:rFonts w:hint="default" w:ascii="Times New Roman" w:hAnsi="Times New Roman" w:cs="Times New Roman"/>
          <w:color w:val="auto"/>
          <w:sz w:val="24"/>
          <w:szCs w:val="24"/>
          <w:highlight w:val="none"/>
        </w:rPr>
        <w:t>种，调查结果见</w:t>
      </w:r>
      <w:r>
        <w:rPr>
          <w:rFonts w:hint="default" w:ascii="Times New Roman" w:hAnsi="Times New Roman" w:cs="Times New Roman"/>
          <w:color w:val="auto"/>
          <w:sz w:val="24"/>
          <w:szCs w:val="24"/>
          <w:highlight w:val="none"/>
          <w:lang w:val="en-US" w:eastAsia="zh-CN"/>
        </w:rPr>
        <w:t>下</w:t>
      </w:r>
      <w:r>
        <w:rPr>
          <w:rFonts w:hint="default" w:ascii="Times New Roman" w:hAnsi="Times New Roman" w:cs="Times New Roman"/>
          <w:color w:val="auto"/>
          <w:sz w:val="24"/>
          <w:szCs w:val="24"/>
          <w:highlight w:val="none"/>
        </w:rPr>
        <w:t>表。由于湖南省级重点保护野生动物物种较多，区域较常见，未逐一列举。</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w:t>
      </w:r>
      <w:r>
        <w:rPr>
          <w:rFonts w:hint="default" w:ascii="Times New Roman" w:hAnsi="Times New Roman" w:cs="Times New Roman"/>
          <w:b/>
          <w:color w:val="auto"/>
          <w:highlight w:val="none"/>
          <w:lang w:val="en-US" w:eastAsia="zh-CN"/>
        </w:rPr>
        <w:t>.</w:t>
      </w:r>
      <w:r>
        <w:rPr>
          <w:rFonts w:hint="default" w:cs="Times New Roman"/>
          <w:b/>
          <w:color w:val="auto"/>
          <w:highlight w:val="none"/>
          <w:lang w:val="en-US" w:eastAsia="zh-CN"/>
        </w:rPr>
        <w:t>5</w:t>
      </w:r>
      <w:r>
        <w:rPr>
          <w:rFonts w:hint="default" w:ascii="Times New Roman" w:hAnsi="Times New Roman" w:cs="Times New Roman"/>
          <w:b/>
          <w:color w:val="auto"/>
          <w:highlight w:val="none"/>
          <w:lang w:val="en-US" w:eastAsia="zh-CN"/>
        </w:rPr>
        <w:t>-1</w:t>
      </w:r>
      <w:r>
        <w:rPr>
          <w:rFonts w:hint="default" w:cs="Times New Roman"/>
          <w:b/>
          <w:color w:val="auto"/>
          <w:highlight w:val="none"/>
          <w:lang w:val="en-US" w:eastAsia="zh-CN"/>
        </w:rPr>
        <w:t>4</w:t>
      </w:r>
      <w:r>
        <w:rPr>
          <w:rFonts w:hint="default" w:ascii="Times New Roman" w:hAnsi="Times New Roman" w:cs="Times New Roman"/>
          <w:b/>
          <w:color w:val="auto"/>
          <w:highlight w:val="none"/>
          <w:lang w:val="en-US" w:eastAsia="zh-CN"/>
        </w:rPr>
        <w:t xml:space="preserve"> 评价区部分重要野生动物调查结果统计表</w:t>
      </w:r>
    </w:p>
    <w:tbl>
      <w:tblPr>
        <w:tblStyle w:val="22"/>
        <w:tblW w:w="1004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500"/>
        <w:gridCol w:w="2587"/>
        <w:gridCol w:w="800"/>
        <w:gridCol w:w="688"/>
        <w:gridCol w:w="1062"/>
        <w:gridCol w:w="2153"/>
        <w:gridCol w:w="919"/>
        <w:gridCol w:w="133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编号</w:t>
            </w:r>
          </w:p>
        </w:tc>
        <w:tc>
          <w:tcPr>
            <w:tcW w:w="258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物种名称</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（中文名/拉丁名）</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级别</w:t>
            </w:r>
          </w:p>
        </w:tc>
        <w:tc>
          <w:tcPr>
            <w:tcW w:w="6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濒危</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等级</w:t>
            </w:r>
          </w:p>
        </w:tc>
        <w:tc>
          <w:tcPr>
            <w:tcW w:w="1062"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特有种</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（是/否）</w:t>
            </w:r>
          </w:p>
        </w:tc>
        <w:tc>
          <w:tcPr>
            <w:tcW w:w="215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分布区域</w:t>
            </w:r>
          </w:p>
        </w:tc>
        <w:tc>
          <w:tcPr>
            <w:tcW w:w="91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来源</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工程占用情况（是/否）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中华鳖</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Pelodiscus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sinensis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Style w:val="64"/>
                <w:rFonts w:hint="default" w:ascii="Times New Roman" w:hAnsi="Times New Roman" w:eastAsia="宋体" w:cs="Times New Roman"/>
                <w:i w:val="0"/>
                <w:iCs w:val="0"/>
                <w:color w:val="auto"/>
                <w:sz w:val="21"/>
                <w:szCs w:val="21"/>
                <w:highlight w:val="none"/>
                <w:lang w:val="en-US" w:eastAsia="zh-CN" w:bidi="ar"/>
              </w:rPr>
              <w:t>省级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EN</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主要分布于评价湘江及养殖坑塘区域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环评现</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场调查</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乌龟</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Mauremys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reevesii</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EN</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主要分布于评价湘江内</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环评现</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场调查</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北草蜥</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Takydromus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septentrionalis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Style w:val="64"/>
                <w:rFonts w:hint="default" w:ascii="Times New Roman" w:hAnsi="Times New Roman" w:eastAsia="宋体" w:cs="Times New Roman"/>
                <w:i w:val="0"/>
                <w:iCs w:val="0"/>
                <w:color w:val="auto"/>
                <w:sz w:val="21"/>
                <w:szCs w:val="21"/>
                <w:highlight w:val="none"/>
                <w:lang w:val="en-US" w:eastAsia="zh-CN" w:bidi="ar"/>
              </w:rPr>
              <w:t>省级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2153" w:type="dxa"/>
            <w:tcBorders>
              <w:tl2br w:val="nil"/>
              <w:tr2bl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主要分布于评价旱地、灌丛区域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环评现</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场调查</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尖吻蝮</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Deinagkistrodon</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acutus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Style w:val="64"/>
                <w:rFonts w:hint="default" w:ascii="Times New Roman" w:hAnsi="Times New Roman" w:eastAsia="宋体" w:cs="Times New Roman"/>
                <w:i w:val="0"/>
                <w:iCs w:val="0"/>
                <w:color w:val="auto"/>
                <w:sz w:val="21"/>
                <w:szCs w:val="21"/>
                <w:highlight w:val="none"/>
                <w:lang w:val="en-US" w:eastAsia="zh-CN" w:bidi="ar"/>
              </w:rPr>
              <w:t>省级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VU</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主要分布于评价区旱地、村庄区域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文献</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记录</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乌梢蛇</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Ptyas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dhumnades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Style w:val="64"/>
                <w:rFonts w:hint="default" w:ascii="Times New Roman" w:hAnsi="Times New Roman" w:eastAsia="宋体" w:cs="Times New Roman"/>
                <w:i w:val="0"/>
                <w:iCs w:val="0"/>
                <w:color w:val="auto"/>
                <w:sz w:val="21"/>
                <w:szCs w:val="21"/>
                <w:highlight w:val="none"/>
                <w:lang w:val="en-US" w:eastAsia="zh-CN" w:bidi="ar"/>
              </w:rPr>
              <w:t>省级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VU</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主要分布于评价区灌草丛、旱地区域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文献</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记录</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黑眉锦蛇</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Elaphe</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taeniurus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Style w:val="64"/>
                <w:rFonts w:hint="default" w:ascii="Times New Roman" w:hAnsi="Times New Roman" w:eastAsia="宋体" w:cs="Times New Roman"/>
                <w:i w:val="0"/>
                <w:iCs w:val="0"/>
                <w:color w:val="auto"/>
                <w:sz w:val="21"/>
                <w:szCs w:val="21"/>
                <w:highlight w:val="none"/>
                <w:lang w:val="en-US" w:eastAsia="zh-CN" w:bidi="ar"/>
              </w:rPr>
              <w:t>省级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VU</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主要分布于评价区灌草丛、旱地区域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文献</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记录</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黑翅鸢</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Elanus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caeruleus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NT</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活动范围广，偶出现于评价区农田区域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环评现</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场调查</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黑鸢</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Milvus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migrans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活动范围广，偶出现于评价区上空</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环评现</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场调查</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白胸翡翠</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Halcyon</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smyrnensis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noWrap/>
            <w:vAlign w:val="center"/>
          </w:tcPr>
          <w:p>
            <w:pPr>
              <w:keepNext w:val="0"/>
              <w:keepLines w:val="0"/>
              <w:widowControl/>
              <w:suppressLineNumbers w:val="0"/>
              <w:jc w:val="both"/>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主要分布于湘江、坑塘周边林地、农田区域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环评现</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场调查</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黄腹山雀</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Pardaliparus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venustulus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省级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2153" w:type="dxa"/>
            <w:tcBorders>
              <w:tl2br w:val="nil"/>
              <w:tr2bl w:val="nil"/>
            </w:tcBorders>
            <w:shd w:val="clear" w:color="auto" w:fill="auto"/>
            <w:noWrap/>
            <w:vAlign w:val="center"/>
          </w:tcPr>
          <w:p>
            <w:pPr>
              <w:keepNext w:val="0"/>
              <w:keepLines w:val="0"/>
              <w:widowControl/>
              <w:suppressLineNumbers w:val="0"/>
              <w:jc w:val="both"/>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主要分布于评价区人工林、灌丛区域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环评现</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场调查</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画眉</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Garrulax</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canorus</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NT</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vAlign w:val="center"/>
          </w:tcPr>
          <w:p>
            <w:pPr>
              <w:keepNext w:val="0"/>
              <w:keepLines w:val="0"/>
              <w:widowControl/>
              <w:suppressLineNumbers w:val="0"/>
              <w:jc w:val="both"/>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主要分布于评价区村落周边林地区域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历史调</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查资料</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5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25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红嘴相思鸟</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Leiothrix</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lutea</w:t>
            </w:r>
          </w:p>
        </w:tc>
        <w:tc>
          <w:tcPr>
            <w:tcW w:w="80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68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106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c>
          <w:tcPr>
            <w:tcW w:w="2153" w:type="dxa"/>
            <w:tcBorders>
              <w:tl2br w:val="nil"/>
              <w:tr2bl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主要分布于评价区林缘、灌丛区域</w:t>
            </w:r>
          </w:p>
        </w:tc>
        <w:tc>
          <w:tcPr>
            <w:tcW w:w="91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环评现</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场调查</w:t>
            </w:r>
          </w:p>
        </w:tc>
        <w:tc>
          <w:tcPr>
            <w:tcW w:w="133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否</w:t>
            </w:r>
          </w:p>
        </w:tc>
      </w:tr>
    </w:tbl>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（6）现场调查部分动物照片</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drawing>
                <wp:inline distT="0" distB="0" distL="114300" distR="114300">
                  <wp:extent cx="2567940" cy="1925955"/>
                  <wp:effectExtent l="0" t="0" r="3810" b="17145"/>
                  <wp:docPr id="7" name="图片 7" descr="饰纹姬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饰纹姬挖"/>
                          <pic:cNvPicPr>
                            <a:picLocks noChangeAspect="1"/>
                          </pic:cNvPicPr>
                        </pic:nvPicPr>
                        <pic:blipFill>
                          <a:blip r:embed="rId102"/>
                          <a:stretch>
                            <a:fillRect/>
                          </a:stretch>
                        </pic:blipFill>
                        <pic:spPr>
                          <a:xfrm>
                            <a:off x="0" y="0"/>
                            <a:ext cx="2567940" cy="192595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2567940" cy="1925955"/>
                  <wp:effectExtent l="0" t="0" r="3810" b="17145"/>
                  <wp:docPr id="10" name="图片 10" descr="川村陆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川村陆娃"/>
                          <pic:cNvPicPr>
                            <a:picLocks noChangeAspect="1"/>
                          </pic:cNvPicPr>
                        </pic:nvPicPr>
                        <pic:blipFill>
                          <a:blip r:embed="rId103"/>
                          <a:stretch>
                            <a:fillRect/>
                          </a:stretch>
                        </pic:blipFill>
                        <pic:spPr>
                          <a:xfrm>
                            <a:off x="0" y="0"/>
                            <a:ext cx="2567940" cy="19259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饰纹姬挖</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Microhyla</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fissipes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川村陆娃</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Fejervarya</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kawamurai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19" name="图片 19" descr="乌梢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乌梢蛇"/>
                          <pic:cNvPicPr>
                            <a:picLocks noChangeAspect="1"/>
                          </pic:cNvPicPr>
                        </pic:nvPicPr>
                        <pic:blipFill>
                          <a:blip r:embed="rId104"/>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1" name="图片 21" descr="金翅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金翅雀"/>
                          <pic:cNvPicPr>
                            <a:picLocks noChangeAspect="1"/>
                          </pic:cNvPicPr>
                        </pic:nvPicPr>
                        <pic:blipFill>
                          <a:blip r:embed="rId105"/>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乌梢蛇</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Ptyas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dhumnades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金翅雀</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Chloris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sinica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0" name="图片 20" descr="大山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大山雀"/>
                          <pic:cNvPicPr>
                            <a:picLocks noChangeAspect="1"/>
                          </pic:cNvPicPr>
                        </pic:nvPicPr>
                        <pic:blipFill>
                          <a:blip r:embed="rId106"/>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2" name="图片 22" descr="白颊噪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白颊噪鹛"/>
                          <pic:cNvPicPr>
                            <a:picLocks noChangeAspect="1"/>
                          </pic:cNvPicPr>
                        </pic:nvPicPr>
                        <pic:blipFill>
                          <a:blip r:embed="rId107"/>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大山雀</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Parus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minor</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白颊噪鹛</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Pterorhinus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sannio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3" name="图片 23" descr="池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池鹭"/>
                          <pic:cNvPicPr>
                            <a:picLocks noChangeAspect="1"/>
                          </pic:cNvPicPr>
                        </pic:nvPicPr>
                        <pic:blipFill>
                          <a:blip r:embed="rId108"/>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4" name="图片 24" descr="7月  红尾水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7月  红尾水鸲"/>
                          <pic:cNvPicPr>
                            <a:picLocks noChangeAspect="1"/>
                          </pic:cNvPicPr>
                        </pic:nvPicPr>
                        <pic:blipFill>
                          <a:blip r:embed="rId109"/>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池鹭</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Ardeola</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bacchus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红尾水鸲</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Phoenicurus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fuliginosa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5" name="图片 25" descr="普通翠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普通翠鸟"/>
                          <pic:cNvPicPr>
                            <a:picLocks noChangeAspect="1"/>
                          </pic:cNvPicPr>
                        </pic:nvPicPr>
                        <pic:blipFill>
                          <a:blip r:embed="rId110"/>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6" name="图片 26" descr="八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八哥"/>
                          <pic:cNvPicPr>
                            <a:picLocks noChangeAspect="1"/>
                          </pic:cNvPicPr>
                        </pic:nvPicPr>
                        <pic:blipFill>
                          <a:blip r:embed="rId111"/>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普通翠鸟</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Alcedo</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atthis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八哥</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Acridotheres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cristatellus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2" name="图片 32" descr="领雀嘴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领雀嘴鹎"/>
                          <pic:cNvPicPr>
                            <a:picLocks noChangeAspect="1"/>
                          </pic:cNvPicPr>
                        </pic:nvPicPr>
                        <pic:blipFill>
                          <a:blip r:embed="rId112"/>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3" name="图片 33" descr="麻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麻雀"/>
                          <pic:cNvPicPr>
                            <a:picLocks noChangeAspect="1"/>
                          </pic:cNvPicPr>
                        </pic:nvPicPr>
                        <pic:blipFill>
                          <a:blip r:embed="rId113"/>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领雀嘴鹎</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Spizixos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semitorques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麻雀</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Passer</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montanus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7" name="图片 27" descr="白喉红臀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白喉红臀鹎"/>
                          <pic:cNvPicPr>
                            <a:picLocks noChangeAspect="1"/>
                          </pic:cNvPicPr>
                        </pic:nvPicPr>
                        <pic:blipFill>
                          <a:blip r:embed="rId114"/>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8" name="图片 28" descr="白鹡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白鹡鸰"/>
                          <pic:cNvPicPr>
                            <a:picLocks noChangeAspect="1"/>
                          </pic:cNvPicPr>
                        </pic:nvPicPr>
                        <pic:blipFill>
                          <a:blip r:embed="rId115"/>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白喉红臀鹎</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Pycnonotus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aurigaster</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白鹡鸰</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Motacilla</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alba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29" name="图片 29" descr="北红尾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北红尾鸲2"/>
                          <pic:cNvPicPr>
                            <a:picLocks noChangeAspect="1"/>
                          </pic:cNvPicPr>
                        </pic:nvPicPr>
                        <pic:blipFill>
                          <a:blip r:embed="rId116"/>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0" name="图片 30" descr="黑脸噪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黑脸噪鹛"/>
                          <pic:cNvPicPr>
                            <a:picLocks noChangeAspect="1"/>
                          </pic:cNvPicPr>
                        </pic:nvPicPr>
                        <pic:blipFill>
                          <a:blip r:embed="rId117"/>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北红尾鸲</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Phoenicurus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auroreus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黑脸噪鹛</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Pterorhinus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perspicillatus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1" name="图片 31" descr="黑水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黑水鸡"/>
                          <pic:cNvPicPr>
                            <a:picLocks noChangeAspect="1"/>
                          </pic:cNvPicPr>
                        </pic:nvPicPr>
                        <pic:blipFill>
                          <a:blip r:embed="rId118"/>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4" name="图片 34" descr="黑尾蜡嘴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黑尾蜡嘴雀"/>
                          <pic:cNvPicPr>
                            <a:picLocks noChangeAspect="1"/>
                          </pic:cNvPicPr>
                        </pic:nvPicPr>
                        <pic:blipFill>
                          <a:blip r:embed="rId119"/>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黑水鸡</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Gallinula</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chloropus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黑尾蜡嘴雀</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Eophona</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migratoria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5" name="图片 35" descr="红胁蓝尾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红胁蓝尾鸲"/>
                          <pic:cNvPicPr>
                            <a:picLocks noChangeAspect="1"/>
                          </pic:cNvPicPr>
                        </pic:nvPicPr>
                        <pic:blipFill>
                          <a:blip r:embed="rId120"/>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41" name="图片 41" descr="山麻雀 雄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山麻雀 雄鸟"/>
                          <pic:cNvPicPr>
                            <a:picLocks noChangeAspect="1"/>
                          </pic:cNvPicPr>
                        </pic:nvPicPr>
                        <pic:blipFill>
                          <a:blip r:embed="rId121"/>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红胁蓝尾鸲</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Tarsiger</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cyanurus</w:t>
            </w:r>
          </w:p>
        </w:tc>
        <w:tc>
          <w:tcPr>
            <w:tcW w:w="4261" w:type="dxa"/>
            <w:tcBorders>
              <w:top w:val="nil"/>
              <w:left w:val="nil"/>
              <w:bottom w:val="nil"/>
              <w:right w:val="nil"/>
            </w:tcBorders>
            <w:vAlign w:val="top"/>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山麻雀</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rPr>
              <w:t>Passer</w:t>
            </w:r>
            <w:r>
              <w:rPr>
                <w:rFonts w:hint="default" w:ascii="Times New Roman" w:hAnsi="Times New Roman" w:cs="Times New Roman"/>
                <w:b/>
                <w:bCs/>
                <w:color w:val="auto"/>
                <w:highlight w:val="none"/>
              </w:rPr>
              <w:t xml:space="preserve"> </w:t>
            </w:r>
            <w:r>
              <w:rPr>
                <w:rFonts w:hint="default" w:ascii="Times New Roman" w:hAnsi="Times New Roman" w:cs="Times New Roman"/>
                <w:b/>
                <w:bCs/>
                <w:i/>
                <w:iCs/>
                <w:color w:val="auto"/>
                <w:highlight w:val="none"/>
              </w:rPr>
              <w:t>cinnamomeus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6" name="图片 36" descr="黄腰柳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黄腰柳莺"/>
                          <pic:cNvPicPr>
                            <a:picLocks noChangeAspect="1"/>
                          </pic:cNvPicPr>
                        </pic:nvPicPr>
                        <pic:blipFill>
                          <a:blip r:embed="rId122"/>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7" name="图片 37" descr="鹊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鹊鸲"/>
                          <pic:cNvPicPr>
                            <a:picLocks noChangeAspect="1"/>
                          </pic:cNvPicPr>
                        </pic:nvPicPr>
                        <pic:blipFill>
                          <a:blip r:embed="rId123"/>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黄腰柳莺</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Phylloscopus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proregulus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鹊鸲</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Copsychus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saularis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8" name="图片 38" descr="丝光椋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丝光椋鸟"/>
                          <pic:cNvPicPr>
                            <a:picLocks noChangeAspect="1"/>
                          </pic:cNvPicPr>
                        </pic:nvPicPr>
                        <pic:blipFill>
                          <a:blip r:embed="rId124"/>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39" name="图片 39" descr="乌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乌鸫"/>
                          <pic:cNvPicPr>
                            <a:picLocks noChangeAspect="1"/>
                          </pic:cNvPicPr>
                        </pic:nvPicPr>
                        <pic:blipFill>
                          <a:blip r:embed="rId125"/>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丝光椋鸟</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Spodiopsar</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sericeus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乌鸫</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Turdus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mandarinus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40" name="图片 40" descr="小䴙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小䴙䴘"/>
                          <pic:cNvPicPr>
                            <a:picLocks noChangeAspect="1"/>
                          </pic:cNvPicPr>
                        </pic:nvPicPr>
                        <pic:blipFill>
                          <a:blip r:embed="rId126"/>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42" name="图片 42" descr="珠颈斑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珠颈斑鸠"/>
                          <pic:cNvPicPr>
                            <a:picLocks noChangeAspect="1"/>
                          </pic:cNvPicPr>
                        </pic:nvPicPr>
                        <pic:blipFill>
                          <a:blip r:embed="rId127"/>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小䴙䴘</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Tachybaptus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ruficollis</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珠颈斑鸠</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Spilopelia</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chinensis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43" name="图片 43" descr="棕背伯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棕背伯劳"/>
                          <pic:cNvPicPr>
                            <a:picLocks noChangeAspect="1"/>
                          </pic:cNvPicPr>
                        </pic:nvPicPr>
                        <pic:blipFill>
                          <a:blip r:embed="rId128"/>
                          <a:stretch>
                            <a:fillRect/>
                          </a:stretch>
                        </pic:blipFill>
                        <pic:spPr>
                          <a:xfrm>
                            <a:off x="0" y="0"/>
                            <a:ext cx="2571115" cy="1928495"/>
                          </a:xfrm>
                          <a:prstGeom prst="rect">
                            <a:avLst/>
                          </a:prstGeom>
                        </pic:spPr>
                      </pic:pic>
                    </a:graphicData>
                  </a:graphic>
                </wp:inline>
              </w:drawing>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571115" cy="1928495"/>
                  <wp:effectExtent l="0" t="0" r="635" b="14605"/>
                  <wp:docPr id="44" name="图片 44" descr="棕头鸦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棕头鸦雀"/>
                          <pic:cNvPicPr>
                            <a:picLocks noChangeAspect="1"/>
                          </pic:cNvPicPr>
                        </pic:nvPicPr>
                        <pic:blipFill>
                          <a:blip r:embed="rId129"/>
                          <a:stretch>
                            <a:fillRect/>
                          </a:stretch>
                        </pic:blipFill>
                        <pic:spPr>
                          <a:xfrm>
                            <a:off x="0" y="0"/>
                            <a:ext cx="2571115" cy="1928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棕背伯劳</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Lanius</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schach</w:t>
            </w:r>
          </w:p>
        </w:tc>
        <w:tc>
          <w:tcPr>
            <w:tcW w:w="4261" w:type="dxa"/>
            <w:tcBorders>
              <w:top w:val="nil"/>
              <w:left w:val="nil"/>
              <w:bottom w:val="nil"/>
              <w:right w:val="nil"/>
            </w:tcBorders>
            <w:vAlign w:val="top"/>
          </w:tcPr>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棕头鸦雀</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Sinosuthora</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i/>
                <w:iCs/>
                <w:color w:val="auto"/>
                <w:highlight w:val="none"/>
                <w:lang w:val="en-US" w:eastAsia="zh-CN"/>
              </w:rPr>
              <w:t>webbiana</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4.</w:t>
      </w:r>
      <w:r>
        <w:rPr>
          <w:rFonts w:hint="default" w:cs="Times New Roman"/>
          <w:b/>
          <w:bCs/>
          <w:color w:val="auto"/>
          <w:kern w:val="0"/>
          <w:sz w:val="28"/>
          <w:szCs w:val="28"/>
          <w:highlight w:val="none"/>
          <w:lang w:val="en-US" w:eastAsia="zh-CN"/>
        </w:rPr>
        <w:t>5.4水生生态现状</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97" w:name="_Toc9256"/>
      <w:r>
        <w:rPr>
          <w:rFonts w:hint="default" w:cs="Times New Roman"/>
          <w:b/>
          <w:bCs/>
          <w:color w:val="auto"/>
          <w:kern w:val="0"/>
          <w:sz w:val="28"/>
          <w:szCs w:val="28"/>
          <w:highlight w:val="none"/>
          <w:lang w:val="en-US" w:eastAsia="zh-CN"/>
        </w:rPr>
        <w:t>4.5.4.1水生生境现状</w:t>
      </w:r>
      <w:bookmarkEnd w:id="97"/>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（1）调查时间和采样点</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outlineLvl w:val="9"/>
        <w:rPr>
          <w:rFonts w:hint="eastAsia" w:ascii="Times New Roman" w:hAnsi="Times New Roman" w:eastAsia="宋体" w:cs="Times New Roman"/>
          <w:color w:val="auto"/>
          <w:sz w:val="24"/>
          <w:szCs w:val="24"/>
          <w:highlight w:val="none"/>
          <w:lang w:eastAsia="zh-CN"/>
        </w:rPr>
      </w:pPr>
      <w:bookmarkStart w:id="98" w:name="_Toc86832427"/>
      <w:bookmarkStart w:id="99" w:name="_Hlk114926976"/>
      <w:r>
        <w:rPr>
          <w:rFonts w:hint="default" w:ascii="Times New Roman" w:hAnsi="Times New Roman" w:cs="Times New Roman"/>
          <w:color w:val="auto"/>
          <w:sz w:val="24"/>
          <w:szCs w:val="24"/>
          <w:highlight w:val="none"/>
        </w:rPr>
        <w:t>本项目调查采样点选取遵循控制性，代表性，整体性原则，在工程区域及上下游1km处，分别设置5个调查断面，其中工程区域有3个调查点，上下游1km有2个调查点。项目组分别于2023年5月</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11月对调查区进行水生生境、水生生物调查等。各采样点环境因子见</w:t>
      </w:r>
      <w:r>
        <w:rPr>
          <w:rFonts w:hint="default" w:cs="Times New Roman"/>
          <w:color w:val="auto"/>
          <w:sz w:val="24"/>
          <w:szCs w:val="24"/>
          <w:highlight w:val="none"/>
          <w:lang w:val="en-US" w:eastAsia="zh-CN"/>
        </w:rPr>
        <w:t>下</w:t>
      </w:r>
      <w:r>
        <w:rPr>
          <w:rFonts w:hint="default" w:ascii="Times New Roman" w:hAnsi="Times New Roman" w:cs="Times New Roman"/>
          <w:color w:val="auto"/>
          <w:sz w:val="24"/>
          <w:szCs w:val="24"/>
          <w:highlight w:val="none"/>
        </w:rPr>
        <w:t>表4.</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-15。5月为湘江丰水期、11月为湘江枯水期，鱼类历史资料来源调查日期为2018年3月、7月、11月和2021年12月，包含鱼类繁殖期。因此调查时间基本满足水生生态一级的评价要求</w:t>
      </w:r>
      <w:r>
        <w:rPr>
          <w:rFonts w:hint="eastAsia"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4.5-15</w:t>
      </w:r>
      <w:r>
        <w:rPr>
          <w:rFonts w:hint="default" w:ascii="Times New Roman" w:hAnsi="Times New Roman" w:cs="Times New Roman"/>
          <w:b/>
          <w:color w:val="auto"/>
          <w:highlight w:val="none"/>
          <w:lang w:val="en-US" w:eastAsia="zh-CN"/>
        </w:rPr>
        <w:t xml:space="preserve"> 水生生物采样断面环境因子表</w:t>
      </w:r>
    </w:p>
    <w:tbl>
      <w:tblPr>
        <w:tblStyle w:val="22"/>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8"/>
        <w:gridCol w:w="1703"/>
        <w:gridCol w:w="1917"/>
        <w:gridCol w:w="850"/>
        <w:gridCol w:w="933"/>
        <w:gridCol w:w="697"/>
        <w:gridCol w:w="792"/>
        <w:gridCol w:w="79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tblHeader/>
          <w:jc w:val="center"/>
        </w:trPr>
        <w:tc>
          <w:tcPr>
            <w:tcW w:w="838" w:type="dxa"/>
            <w:vMerge w:val="restart"/>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编号</w:t>
            </w:r>
          </w:p>
        </w:tc>
        <w:tc>
          <w:tcPr>
            <w:tcW w:w="1703" w:type="dxa"/>
            <w:vMerge w:val="restart"/>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采样点</w:t>
            </w:r>
          </w:p>
        </w:tc>
        <w:tc>
          <w:tcPr>
            <w:tcW w:w="1917" w:type="dxa"/>
            <w:vMerge w:val="restart"/>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经纬度</w:t>
            </w:r>
          </w:p>
        </w:tc>
        <w:tc>
          <w:tcPr>
            <w:tcW w:w="850" w:type="dxa"/>
            <w:vMerge w:val="restart"/>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海拔m</w:t>
            </w:r>
          </w:p>
        </w:tc>
        <w:tc>
          <w:tcPr>
            <w:tcW w:w="933" w:type="dxa"/>
            <w:vMerge w:val="restart"/>
            <w:tcBorders>
              <w:tl2br w:val="nil"/>
              <w:tr2bl w:val="nil"/>
            </w:tcBorders>
            <w:shd w:val="clear" w:color="auto" w:fill="auto"/>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底质</w:t>
            </w:r>
          </w:p>
        </w:tc>
        <w:tc>
          <w:tcPr>
            <w:tcW w:w="697" w:type="dxa"/>
            <w:vMerge w:val="restart"/>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pH</w:t>
            </w:r>
          </w:p>
        </w:tc>
        <w:tc>
          <w:tcPr>
            <w:tcW w:w="1584" w:type="dxa"/>
            <w:gridSpan w:val="2"/>
            <w:tcBorders>
              <w:tl2br w:val="nil"/>
              <w:tr2bl w:val="nil"/>
            </w:tcBorders>
            <w:shd w:val="clear" w:color="auto" w:fill="auto"/>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水温℃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tblHeader/>
          <w:jc w:val="center"/>
        </w:trPr>
        <w:tc>
          <w:tcPr>
            <w:tcW w:w="838" w:type="dxa"/>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c>
          <w:tcPr>
            <w:tcW w:w="1703" w:type="dxa"/>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c>
          <w:tcPr>
            <w:tcW w:w="1917" w:type="dxa"/>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c>
          <w:tcPr>
            <w:tcW w:w="850" w:type="dxa"/>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c>
          <w:tcPr>
            <w:tcW w:w="933" w:type="dxa"/>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c>
          <w:tcPr>
            <w:tcW w:w="697" w:type="dxa"/>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c>
          <w:tcPr>
            <w:tcW w:w="792" w:type="dxa"/>
            <w:tcBorders>
              <w:tl2br w:val="nil"/>
              <w:tr2bl w:val="nil"/>
            </w:tcBorders>
            <w:shd w:val="clear" w:color="auto" w:fill="auto"/>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11月</w:t>
            </w:r>
          </w:p>
        </w:tc>
        <w:tc>
          <w:tcPr>
            <w:tcW w:w="792" w:type="dxa"/>
            <w:tcBorders>
              <w:tl2br w:val="nil"/>
              <w:tr2bl w:val="nil"/>
            </w:tcBorders>
            <w:shd w:val="clear" w:color="auto" w:fill="auto"/>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5月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1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工程上游1km</w:t>
            </w:r>
          </w:p>
        </w:tc>
        <w:tc>
          <w:tcPr>
            <w:tcW w:w="1917"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112.651062012E</w:t>
            </w:r>
          </w:p>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26.865080666N</w:t>
            </w:r>
          </w:p>
        </w:tc>
        <w:tc>
          <w:tcPr>
            <w:tcW w:w="850"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93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淤泥</w:t>
            </w:r>
          </w:p>
        </w:tc>
        <w:tc>
          <w:tcPr>
            <w:tcW w:w="697" w:type="dxa"/>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7.2</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w:t>
            </w:r>
          </w:p>
        </w:tc>
        <w:tc>
          <w:tcPr>
            <w:tcW w:w="1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蒸水河口</w:t>
            </w:r>
          </w:p>
        </w:tc>
        <w:tc>
          <w:tcPr>
            <w:tcW w:w="1917"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112.613832951,E</w:t>
            </w:r>
          </w:p>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26.914411854N</w:t>
            </w:r>
          </w:p>
        </w:tc>
        <w:tc>
          <w:tcPr>
            <w:tcW w:w="850"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93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淤泥</w:t>
            </w:r>
          </w:p>
        </w:tc>
        <w:tc>
          <w:tcPr>
            <w:tcW w:w="697" w:type="dxa"/>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7.2</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w:t>
            </w:r>
          </w:p>
        </w:tc>
        <w:tc>
          <w:tcPr>
            <w:tcW w:w="1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工程区右岸1</w:t>
            </w:r>
          </w:p>
        </w:tc>
        <w:tc>
          <w:tcPr>
            <w:tcW w:w="1917"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112.637565136E</w:t>
            </w:r>
          </w:p>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26.872547936N</w:t>
            </w:r>
          </w:p>
        </w:tc>
        <w:tc>
          <w:tcPr>
            <w:tcW w:w="850"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54</w:t>
            </w:r>
          </w:p>
        </w:tc>
        <w:tc>
          <w:tcPr>
            <w:tcW w:w="93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淤泥</w:t>
            </w:r>
          </w:p>
        </w:tc>
        <w:tc>
          <w:tcPr>
            <w:tcW w:w="697" w:type="dxa"/>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7.1</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w:t>
            </w:r>
          </w:p>
        </w:tc>
        <w:tc>
          <w:tcPr>
            <w:tcW w:w="1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工程区右岸2</w:t>
            </w:r>
          </w:p>
        </w:tc>
        <w:tc>
          <w:tcPr>
            <w:tcW w:w="1917"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112.626321316E</w:t>
            </w:r>
          </w:p>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26.875637840N</w:t>
            </w:r>
          </w:p>
        </w:tc>
        <w:tc>
          <w:tcPr>
            <w:tcW w:w="850"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51</w:t>
            </w:r>
          </w:p>
        </w:tc>
        <w:tc>
          <w:tcPr>
            <w:tcW w:w="93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淤泥</w:t>
            </w:r>
          </w:p>
        </w:tc>
        <w:tc>
          <w:tcPr>
            <w:tcW w:w="697" w:type="dxa"/>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7.5</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w:t>
            </w:r>
          </w:p>
        </w:tc>
        <w:tc>
          <w:tcPr>
            <w:tcW w:w="1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工程区左岸</w:t>
            </w:r>
          </w:p>
        </w:tc>
        <w:tc>
          <w:tcPr>
            <w:tcW w:w="1917"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112.623596191E</w:t>
            </w:r>
          </w:p>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26.873964142N</w:t>
            </w:r>
          </w:p>
        </w:tc>
        <w:tc>
          <w:tcPr>
            <w:tcW w:w="850"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51</w:t>
            </w:r>
          </w:p>
        </w:tc>
        <w:tc>
          <w:tcPr>
            <w:tcW w:w="93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淤泥</w:t>
            </w:r>
          </w:p>
        </w:tc>
        <w:tc>
          <w:tcPr>
            <w:tcW w:w="697" w:type="dxa"/>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7.1</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w:t>
            </w:r>
          </w:p>
        </w:tc>
        <w:tc>
          <w:tcPr>
            <w:tcW w:w="79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21</w:t>
            </w:r>
          </w:p>
        </w:tc>
      </w:tr>
    </w:tbl>
    <w:p>
      <w:pPr>
        <w:pStyle w:val="65"/>
        <w:ind w:firstLine="199" w:firstLineChars="83"/>
        <w:rPr>
          <w:rFonts w:hint="default" w:ascii="Times New Roman" w:hAnsi="Times New Roman" w:cs="Times New Roman"/>
          <w:color w:val="auto"/>
          <w:sz w:val="24"/>
          <w:szCs w:val="24"/>
          <w:highlight w:val="none"/>
        </w:rPr>
      </w:pPr>
    </w:p>
    <w:tbl>
      <w:tblPr>
        <w:tblStyle w:val="22"/>
        <w:tblW w:w="0" w:type="auto"/>
        <w:jc w:val="center"/>
        <w:tblLayout w:type="autofit"/>
        <w:tblCellMar>
          <w:top w:w="0" w:type="dxa"/>
          <w:left w:w="108" w:type="dxa"/>
          <w:bottom w:w="0" w:type="dxa"/>
          <w:right w:w="108" w:type="dxa"/>
        </w:tblCellMar>
      </w:tblPr>
      <w:tblGrid>
        <w:gridCol w:w="4119"/>
        <w:gridCol w:w="4117"/>
      </w:tblGrid>
      <w:tr>
        <w:tblPrEx>
          <w:tblCellMar>
            <w:top w:w="0" w:type="dxa"/>
            <w:left w:w="108" w:type="dxa"/>
            <w:bottom w:w="0" w:type="dxa"/>
            <w:right w:w="108" w:type="dxa"/>
          </w:tblCellMar>
        </w:tblPrEx>
        <w:trPr>
          <w:trHeight w:val="2871" w:hRule="atLeast"/>
          <w:jc w:val="center"/>
        </w:trPr>
        <w:tc>
          <w:tcPr>
            <w:tcW w:w="4119" w:type="dxa"/>
            <w:vAlign w:val="center"/>
          </w:tcPr>
          <w:p>
            <w:pPr>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inline distT="0" distB="0" distL="114300" distR="114300">
                  <wp:extent cx="2476500" cy="1857375"/>
                  <wp:effectExtent l="0" t="0" r="0" b="9525"/>
                  <wp:docPr id="77" name="图片 77" descr="工程区上游1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工程区上游1km"/>
                          <pic:cNvPicPr>
                            <a:picLocks noChangeAspect="1"/>
                          </pic:cNvPicPr>
                        </pic:nvPicPr>
                        <pic:blipFill>
                          <a:blip r:embed="rId130"/>
                          <a:stretch>
                            <a:fillRect/>
                          </a:stretch>
                        </pic:blipFill>
                        <pic:spPr>
                          <a:xfrm>
                            <a:off x="0" y="0"/>
                            <a:ext cx="2476500" cy="1857375"/>
                          </a:xfrm>
                          <a:prstGeom prst="rect">
                            <a:avLst/>
                          </a:prstGeom>
                        </pic:spPr>
                      </pic:pic>
                    </a:graphicData>
                  </a:graphic>
                </wp:inline>
              </w:drawing>
            </w:r>
          </w:p>
        </w:tc>
        <w:tc>
          <w:tcPr>
            <w:tcW w:w="4117" w:type="dxa"/>
            <w:vAlign w:val="center"/>
          </w:tcPr>
          <w:p>
            <w:pPr>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inline distT="0" distB="0" distL="114300" distR="114300">
                  <wp:extent cx="2476500" cy="1857375"/>
                  <wp:effectExtent l="0" t="0" r="0" b="9525"/>
                  <wp:docPr id="53" name="图片 53" descr="蒸水河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蒸水河口"/>
                          <pic:cNvPicPr>
                            <a:picLocks noChangeAspect="1"/>
                          </pic:cNvPicPr>
                        </pic:nvPicPr>
                        <pic:blipFill>
                          <a:blip r:embed="rId131"/>
                          <a:stretch>
                            <a:fillRect/>
                          </a:stretch>
                        </pic:blipFill>
                        <pic:spPr>
                          <a:xfrm>
                            <a:off x="0" y="0"/>
                            <a:ext cx="2476500" cy="1857375"/>
                          </a:xfrm>
                          <a:prstGeom prst="rect">
                            <a:avLst/>
                          </a:prstGeom>
                        </pic:spPr>
                      </pic:pic>
                    </a:graphicData>
                  </a:graphic>
                </wp:inline>
              </w:drawing>
            </w:r>
          </w:p>
        </w:tc>
      </w:tr>
      <w:tr>
        <w:tblPrEx>
          <w:tblCellMar>
            <w:top w:w="0" w:type="dxa"/>
            <w:left w:w="108" w:type="dxa"/>
            <w:bottom w:w="0" w:type="dxa"/>
            <w:right w:w="108" w:type="dxa"/>
          </w:tblCellMar>
        </w:tblPrEx>
        <w:trPr>
          <w:trHeight w:val="309" w:hRule="atLeast"/>
          <w:jc w:val="center"/>
        </w:trPr>
        <w:tc>
          <w:tcPr>
            <w:tcW w:w="4119" w:type="dxa"/>
            <w:vAlign w:val="center"/>
          </w:tcPr>
          <w:p>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工程上游1km</w:t>
            </w:r>
          </w:p>
        </w:tc>
        <w:tc>
          <w:tcPr>
            <w:tcW w:w="4117" w:type="dxa"/>
            <w:vAlign w:val="center"/>
          </w:tcPr>
          <w:p>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蒸水河口</w:t>
            </w:r>
          </w:p>
        </w:tc>
      </w:tr>
      <w:tr>
        <w:tblPrEx>
          <w:tblCellMar>
            <w:top w:w="0" w:type="dxa"/>
            <w:left w:w="108" w:type="dxa"/>
            <w:bottom w:w="0" w:type="dxa"/>
            <w:right w:w="108" w:type="dxa"/>
          </w:tblCellMar>
        </w:tblPrEx>
        <w:trPr>
          <w:trHeight w:val="2871" w:hRule="atLeast"/>
          <w:jc w:val="center"/>
        </w:trPr>
        <w:tc>
          <w:tcPr>
            <w:tcW w:w="4119" w:type="dxa"/>
            <w:vAlign w:val="center"/>
          </w:tcPr>
          <w:p>
            <w:pPr>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inline distT="0" distB="0" distL="114300" distR="114300">
                  <wp:extent cx="2476500" cy="1857375"/>
                  <wp:effectExtent l="0" t="0" r="0" b="9525"/>
                  <wp:docPr id="78" name="图片 78" descr="工程区右岸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工程区右岸11"/>
                          <pic:cNvPicPr>
                            <a:picLocks noChangeAspect="1"/>
                          </pic:cNvPicPr>
                        </pic:nvPicPr>
                        <pic:blipFill>
                          <a:blip r:embed="rId132"/>
                          <a:stretch>
                            <a:fillRect/>
                          </a:stretch>
                        </pic:blipFill>
                        <pic:spPr>
                          <a:xfrm>
                            <a:off x="0" y="0"/>
                            <a:ext cx="2476500" cy="1857375"/>
                          </a:xfrm>
                          <a:prstGeom prst="rect">
                            <a:avLst/>
                          </a:prstGeom>
                        </pic:spPr>
                      </pic:pic>
                    </a:graphicData>
                  </a:graphic>
                </wp:inline>
              </w:drawing>
            </w:r>
          </w:p>
        </w:tc>
        <w:tc>
          <w:tcPr>
            <w:tcW w:w="4117" w:type="dxa"/>
            <w:vAlign w:val="center"/>
          </w:tcPr>
          <w:p>
            <w:pPr>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inline distT="0" distB="0" distL="114300" distR="114300">
                  <wp:extent cx="2476500" cy="1857375"/>
                  <wp:effectExtent l="0" t="0" r="0" b="9525"/>
                  <wp:docPr id="79" name="图片 79" descr="工程区右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工程区右岸2"/>
                          <pic:cNvPicPr>
                            <a:picLocks noChangeAspect="1"/>
                          </pic:cNvPicPr>
                        </pic:nvPicPr>
                        <pic:blipFill>
                          <a:blip r:embed="rId133"/>
                          <a:stretch>
                            <a:fillRect/>
                          </a:stretch>
                        </pic:blipFill>
                        <pic:spPr>
                          <a:xfrm>
                            <a:off x="0" y="0"/>
                            <a:ext cx="2476500" cy="1857375"/>
                          </a:xfrm>
                          <a:prstGeom prst="rect">
                            <a:avLst/>
                          </a:prstGeom>
                        </pic:spPr>
                      </pic:pic>
                    </a:graphicData>
                  </a:graphic>
                </wp:inline>
              </w:drawing>
            </w:r>
          </w:p>
        </w:tc>
      </w:tr>
      <w:tr>
        <w:tblPrEx>
          <w:tblCellMar>
            <w:top w:w="0" w:type="dxa"/>
            <w:left w:w="108" w:type="dxa"/>
            <w:bottom w:w="0" w:type="dxa"/>
            <w:right w:w="108" w:type="dxa"/>
          </w:tblCellMar>
        </w:tblPrEx>
        <w:trPr>
          <w:trHeight w:val="309" w:hRule="atLeast"/>
          <w:jc w:val="center"/>
        </w:trPr>
        <w:tc>
          <w:tcPr>
            <w:tcW w:w="4119" w:type="dxa"/>
            <w:vAlign w:val="center"/>
          </w:tcPr>
          <w:p>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工程区右岸1</w:t>
            </w:r>
          </w:p>
        </w:tc>
        <w:tc>
          <w:tcPr>
            <w:tcW w:w="4117" w:type="dxa"/>
            <w:vAlign w:val="center"/>
          </w:tcPr>
          <w:p>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工程区右岸2</w:t>
            </w:r>
          </w:p>
        </w:tc>
      </w:tr>
      <w:tr>
        <w:tblPrEx>
          <w:tblCellMar>
            <w:top w:w="0" w:type="dxa"/>
            <w:left w:w="108" w:type="dxa"/>
            <w:bottom w:w="0" w:type="dxa"/>
            <w:right w:w="108" w:type="dxa"/>
          </w:tblCellMar>
        </w:tblPrEx>
        <w:trPr>
          <w:trHeight w:val="2911" w:hRule="atLeast"/>
          <w:jc w:val="center"/>
        </w:trPr>
        <w:tc>
          <w:tcPr>
            <w:tcW w:w="4119" w:type="dxa"/>
            <w:vAlign w:val="center"/>
          </w:tcPr>
          <w:p>
            <w:pPr>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drawing>
                <wp:inline distT="0" distB="0" distL="114300" distR="114300">
                  <wp:extent cx="2476500" cy="1857375"/>
                  <wp:effectExtent l="0" t="0" r="0" b="9525"/>
                  <wp:docPr id="52" name="图片 52" descr="工程区左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工程区左岸"/>
                          <pic:cNvPicPr>
                            <a:picLocks noChangeAspect="1"/>
                          </pic:cNvPicPr>
                        </pic:nvPicPr>
                        <pic:blipFill>
                          <a:blip r:embed="rId134"/>
                          <a:stretch>
                            <a:fillRect/>
                          </a:stretch>
                        </pic:blipFill>
                        <pic:spPr>
                          <a:xfrm>
                            <a:off x="0" y="0"/>
                            <a:ext cx="2476500" cy="1857375"/>
                          </a:xfrm>
                          <a:prstGeom prst="rect">
                            <a:avLst/>
                          </a:prstGeom>
                        </pic:spPr>
                      </pic:pic>
                    </a:graphicData>
                  </a:graphic>
                </wp:inline>
              </w:drawing>
            </w:r>
          </w:p>
        </w:tc>
        <w:tc>
          <w:tcPr>
            <w:tcW w:w="4117" w:type="dxa"/>
            <w:vAlign w:val="center"/>
          </w:tcPr>
          <w:p>
            <w:pPr>
              <w:jc w:val="center"/>
              <w:rPr>
                <w:rFonts w:hint="default" w:ascii="Times New Roman" w:hAnsi="Times New Roman" w:cs="Times New Roman"/>
                <w:b/>
                <w:bCs/>
                <w:color w:val="auto"/>
                <w:sz w:val="21"/>
                <w:szCs w:val="21"/>
                <w:highlight w:val="none"/>
              </w:rPr>
            </w:pPr>
          </w:p>
        </w:tc>
      </w:tr>
      <w:tr>
        <w:tblPrEx>
          <w:tblCellMar>
            <w:top w:w="0" w:type="dxa"/>
            <w:left w:w="108" w:type="dxa"/>
            <w:bottom w:w="0" w:type="dxa"/>
            <w:right w:w="108" w:type="dxa"/>
          </w:tblCellMar>
        </w:tblPrEx>
        <w:trPr>
          <w:trHeight w:val="316" w:hRule="atLeast"/>
          <w:jc w:val="center"/>
        </w:trPr>
        <w:tc>
          <w:tcPr>
            <w:tcW w:w="4119" w:type="dxa"/>
            <w:vAlign w:val="center"/>
          </w:tcPr>
          <w:p>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工程区左岸</w:t>
            </w:r>
          </w:p>
        </w:tc>
        <w:tc>
          <w:tcPr>
            <w:tcW w:w="4117" w:type="dxa"/>
            <w:vAlign w:val="center"/>
          </w:tcPr>
          <w:p>
            <w:pPr>
              <w:jc w:val="center"/>
              <w:rPr>
                <w:rFonts w:hint="default" w:ascii="Times New Roman" w:hAnsi="Times New Roman" w:cs="Times New Roman"/>
                <w:b/>
                <w:bCs/>
                <w:color w:val="auto"/>
                <w:sz w:val="21"/>
                <w:szCs w:val="21"/>
                <w:highlight w:val="none"/>
              </w:rPr>
            </w:pP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00" w:name="_Toc116917268"/>
      <w:bookmarkStart w:id="101" w:name="_Toc18277"/>
      <w:bookmarkStart w:id="102" w:name="_Toc19583"/>
      <w:r>
        <w:rPr>
          <w:rFonts w:hint="default" w:cs="Times New Roman"/>
          <w:b/>
          <w:bCs/>
          <w:color w:val="auto"/>
          <w:kern w:val="0"/>
          <w:sz w:val="28"/>
          <w:szCs w:val="28"/>
          <w:highlight w:val="none"/>
          <w:lang w:val="en-US" w:eastAsia="zh-CN"/>
        </w:rPr>
        <w:t>4.5.4.2浮游植物</w:t>
      </w:r>
      <w:bookmarkEnd w:id="98"/>
      <w:bookmarkEnd w:id="100"/>
      <w:bookmarkEnd w:id="101"/>
      <w:bookmarkEnd w:id="102"/>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（1）种类组成</w:t>
      </w:r>
    </w:p>
    <w:p>
      <w:pPr>
        <w:pStyle w:val="66"/>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2023年5月和11月，调查人员对评价区水域内浮游植物进行了现场采样调查。</w:t>
      </w:r>
    </w:p>
    <w:p>
      <w:pPr>
        <w:spacing w:line="360" w:lineRule="auto"/>
        <w:ind w:firstLine="482"/>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调查河段共检出浮游植物5门46种（附录3-1）。其中硅藻门种类最多，有21种，占总种数的45.7%；其次为绿藻门12种，占总种数的26.1%；蓝藻门8种，占总种数的17.4%；甲藻门3种，占总种数的6.5%。常见种类为直链藻（</w:t>
      </w:r>
      <w:r>
        <w:rPr>
          <w:rFonts w:hint="default" w:ascii="Times New Roman" w:hAnsi="Times New Roman" w:cs="Times New Roman"/>
          <w:i/>
          <w:iCs/>
          <w:color w:val="auto"/>
          <w:sz w:val="24"/>
          <w:szCs w:val="24"/>
          <w:highlight w:val="none"/>
        </w:rPr>
        <w:t xml:space="preserve">Melosira </w:t>
      </w:r>
      <w:r>
        <w:rPr>
          <w:rFonts w:hint="default" w:ascii="Times New Roman" w:hAnsi="Times New Roman" w:cs="Times New Roman"/>
          <w:color w:val="auto"/>
          <w:sz w:val="24"/>
          <w:szCs w:val="24"/>
          <w:highlight w:val="none"/>
        </w:rPr>
        <w:t>sp.）、放射舟形藻（</w:t>
      </w:r>
      <w:r>
        <w:rPr>
          <w:rFonts w:hint="default" w:ascii="Times New Roman" w:hAnsi="Times New Roman" w:cs="Times New Roman"/>
          <w:i/>
          <w:iCs/>
          <w:color w:val="auto"/>
          <w:sz w:val="24"/>
          <w:szCs w:val="24"/>
          <w:highlight w:val="none"/>
        </w:rPr>
        <w:t>Navicula radiosa</w:t>
      </w:r>
      <w:r>
        <w:rPr>
          <w:rFonts w:hint="default" w:ascii="Times New Roman" w:hAnsi="Times New Roman" w:cs="Times New Roman"/>
          <w:color w:val="auto"/>
          <w:sz w:val="24"/>
          <w:szCs w:val="24"/>
          <w:highlight w:val="none"/>
        </w:rPr>
        <w:t>）、新月藻（</w:t>
      </w:r>
      <w:r>
        <w:rPr>
          <w:rFonts w:hint="default" w:ascii="Times New Roman" w:hAnsi="Times New Roman" w:cs="Times New Roman"/>
          <w:i/>
          <w:iCs/>
          <w:color w:val="auto"/>
          <w:sz w:val="24"/>
          <w:szCs w:val="24"/>
          <w:highlight w:val="none"/>
        </w:rPr>
        <w:t>Closterium</w:t>
      </w:r>
      <w:r>
        <w:rPr>
          <w:rFonts w:hint="default" w:ascii="Times New Roman" w:hAnsi="Times New Roman" w:cs="Times New Roman"/>
          <w:color w:val="auto"/>
          <w:sz w:val="24"/>
          <w:szCs w:val="24"/>
          <w:highlight w:val="none"/>
        </w:rPr>
        <w:t xml:space="preserve"> sp.）、席藻（</w:t>
      </w:r>
      <w:r>
        <w:rPr>
          <w:rFonts w:hint="default" w:ascii="Times New Roman" w:hAnsi="Times New Roman" w:cs="Times New Roman"/>
          <w:i/>
          <w:iCs/>
          <w:color w:val="auto"/>
          <w:sz w:val="24"/>
          <w:szCs w:val="24"/>
          <w:highlight w:val="none"/>
        </w:rPr>
        <w:t>Phormidium</w:t>
      </w:r>
      <w:r>
        <w:rPr>
          <w:rFonts w:hint="default" w:ascii="Times New Roman" w:hAnsi="Times New Roman" w:cs="Times New Roman"/>
          <w:color w:val="auto"/>
          <w:sz w:val="24"/>
          <w:szCs w:val="24"/>
          <w:highlight w:val="none"/>
        </w:rPr>
        <w:t xml:space="preserve"> sp.）等。</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4.5-16</w:t>
      </w:r>
      <w:r>
        <w:rPr>
          <w:rFonts w:hint="default" w:ascii="Times New Roman" w:hAnsi="Times New Roman" w:cs="Times New Roman"/>
          <w:b/>
          <w:color w:val="auto"/>
          <w:highlight w:val="none"/>
          <w:lang w:val="en-US" w:eastAsia="zh-CN"/>
        </w:rPr>
        <w:t>各门藻类种类数及所占比例</w:t>
      </w:r>
    </w:p>
    <w:tbl>
      <w:tblPr>
        <w:tblStyle w:val="22"/>
        <w:tblW w:w="454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106"/>
        <w:gridCol w:w="1107"/>
        <w:gridCol w:w="1105"/>
        <w:gridCol w:w="1105"/>
        <w:gridCol w:w="1105"/>
        <w:gridCol w:w="1105"/>
        <w:gridCol w:w="110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3" w:hRule="atLeast"/>
          <w:jc w:val="center"/>
        </w:trPr>
        <w:tc>
          <w:tcPr>
            <w:tcW w:w="7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p>
        </w:tc>
        <w:tc>
          <w:tcPr>
            <w:tcW w:w="7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硅藻门</w:t>
            </w:r>
          </w:p>
        </w:tc>
        <w:tc>
          <w:tcPr>
            <w:tcW w:w="71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绿藻门</w:t>
            </w:r>
          </w:p>
        </w:tc>
        <w:tc>
          <w:tcPr>
            <w:tcW w:w="71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蓝藻门</w:t>
            </w:r>
          </w:p>
        </w:tc>
        <w:tc>
          <w:tcPr>
            <w:tcW w:w="71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甲藻门</w:t>
            </w:r>
          </w:p>
        </w:tc>
        <w:tc>
          <w:tcPr>
            <w:tcW w:w="71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黄藻门</w:t>
            </w:r>
          </w:p>
        </w:tc>
        <w:tc>
          <w:tcPr>
            <w:tcW w:w="71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合计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3" w:hRule="atLeast"/>
          <w:jc w:val="center"/>
        </w:trPr>
        <w:tc>
          <w:tcPr>
            <w:tcW w:w="715" w:type="pc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种类数</w:t>
            </w:r>
          </w:p>
        </w:tc>
        <w:tc>
          <w:tcPr>
            <w:tcW w:w="71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21</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3" w:hRule="atLeast"/>
          <w:jc w:val="center"/>
        </w:trPr>
        <w:tc>
          <w:tcPr>
            <w:tcW w:w="715" w:type="pc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比例（%）</w:t>
            </w:r>
          </w:p>
        </w:tc>
        <w:tc>
          <w:tcPr>
            <w:tcW w:w="71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45.7</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26.1</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17.4</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4.3</w:t>
            </w:r>
          </w:p>
        </w:tc>
        <w:tc>
          <w:tcPr>
            <w:tcW w:w="71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100.0</w:t>
            </w:r>
          </w:p>
        </w:tc>
      </w:tr>
    </w:tbl>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（2）密度和生物量</w:t>
      </w:r>
    </w:p>
    <w:p>
      <w:pPr>
        <w:spacing w:line="360" w:lineRule="auto"/>
        <w:ind w:firstLine="480"/>
        <w:rPr>
          <w:rFonts w:hint="default" w:ascii="Times New Roman" w:hAnsi="Times New Roman" w:cs="Times New Roman"/>
          <w:bCs/>
          <w:color w:val="auto"/>
          <w:sz w:val="24"/>
          <w:szCs w:val="24"/>
          <w:highlight w:val="none"/>
        </w:rPr>
      </w:pPr>
      <w:bookmarkStart w:id="103" w:name="_Hlk114927493"/>
      <w:r>
        <w:rPr>
          <w:rFonts w:hint="default" w:ascii="Times New Roman" w:hAnsi="Times New Roman" w:cs="Times New Roman"/>
          <w:bCs/>
          <w:color w:val="auto"/>
          <w:sz w:val="24"/>
          <w:szCs w:val="24"/>
          <w:highlight w:val="none"/>
        </w:rPr>
        <w:t>各采样点浮游动物密度平均值为10.79×10</w:t>
      </w:r>
      <w:r>
        <w:rPr>
          <w:rFonts w:hint="default" w:ascii="Times New Roman" w:hAnsi="Times New Roman" w:cs="Times New Roman"/>
          <w:bCs/>
          <w:color w:val="auto"/>
          <w:sz w:val="24"/>
          <w:szCs w:val="24"/>
          <w:highlight w:val="none"/>
          <w:vertAlign w:val="superscript"/>
        </w:rPr>
        <w:t>4</w:t>
      </w:r>
      <w:r>
        <w:rPr>
          <w:rFonts w:hint="default" w:ascii="Times New Roman" w:hAnsi="Times New Roman" w:cs="Times New Roman"/>
          <w:bCs/>
          <w:color w:val="auto"/>
          <w:sz w:val="24"/>
          <w:szCs w:val="24"/>
          <w:highlight w:val="none"/>
        </w:rPr>
        <w:t>ind./L，生物量平均值为0.21mg/L。5月份蒸水河口处密度和生物量最高，分别为16.3×10</w:t>
      </w:r>
      <w:r>
        <w:rPr>
          <w:rFonts w:hint="default" w:ascii="Times New Roman" w:hAnsi="Times New Roman" w:cs="Times New Roman"/>
          <w:bCs/>
          <w:color w:val="auto"/>
          <w:sz w:val="24"/>
          <w:szCs w:val="24"/>
          <w:highlight w:val="none"/>
          <w:vertAlign w:val="superscript"/>
        </w:rPr>
        <w:t>4</w:t>
      </w:r>
      <w:r>
        <w:rPr>
          <w:rFonts w:hint="default" w:ascii="Times New Roman" w:hAnsi="Times New Roman" w:cs="Times New Roman"/>
          <w:bCs/>
          <w:color w:val="auto"/>
          <w:sz w:val="24"/>
          <w:szCs w:val="24"/>
          <w:highlight w:val="none"/>
        </w:rPr>
        <w:t>ind./L、0.188mg/L；其次工程上游1km处，分别为11.6×10</w:t>
      </w:r>
      <w:r>
        <w:rPr>
          <w:rFonts w:hint="default" w:ascii="Times New Roman" w:hAnsi="Times New Roman" w:cs="Times New Roman"/>
          <w:bCs/>
          <w:color w:val="auto"/>
          <w:sz w:val="24"/>
          <w:szCs w:val="24"/>
          <w:highlight w:val="none"/>
          <w:vertAlign w:val="superscript"/>
        </w:rPr>
        <w:t>4</w:t>
      </w:r>
      <w:r>
        <w:rPr>
          <w:rFonts w:hint="default" w:ascii="Times New Roman" w:hAnsi="Times New Roman" w:cs="Times New Roman"/>
          <w:bCs/>
          <w:color w:val="auto"/>
          <w:sz w:val="24"/>
          <w:szCs w:val="24"/>
          <w:highlight w:val="none"/>
        </w:rPr>
        <w:t>ind./L、0.325mg/L，11月份密度和生物量存在相似趋势</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表</w:t>
      </w:r>
      <w:r>
        <w:rPr>
          <w:rFonts w:hint="default" w:cs="Times New Roman"/>
          <w:b/>
          <w:color w:val="auto"/>
          <w:highlight w:val="none"/>
          <w:lang w:val="en-US" w:eastAsia="zh-CN"/>
        </w:rPr>
        <w:t>4.5-17</w:t>
      </w:r>
      <w:r>
        <w:rPr>
          <w:rFonts w:hint="default" w:ascii="Times New Roman" w:hAnsi="Times New Roman" w:cs="Times New Roman"/>
          <w:b/>
          <w:color w:val="auto"/>
          <w:highlight w:val="none"/>
          <w:lang w:val="en-US" w:eastAsia="zh-CN"/>
        </w:rPr>
        <w:t xml:space="preserve"> 评价区浮游植物密度（×10</w:t>
      </w:r>
      <w:r>
        <w:rPr>
          <w:rFonts w:hint="default" w:ascii="Times New Roman" w:hAnsi="Times New Roman" w:cs="Times New Roman"/>
          <w:b/>
          <w:color w:val="auto"/>
          <w:highlight w:val="none"/>
          <w:vertAlign w:val="superscript"/>
          <w:lang w:val="en-US" w:eastAsia="zh-CN"/>
        </w:rPr>
        <w:t>4</w:t>
      </w:r>
      <w:r>
        <w:rPr>
          <w:rFonts w:hint="default" w:ascii="Times New Roman" w:hAnsi="Times New Roman" w:cs="Times New Roman"/>
          <w:b/>
          <w:color w:val="auto"/>
          <w:highlight w:val="none"/>
          <w:lang w:val="en-US" w:eastAsia="zh-CN"/>
        </w:rPr>
        <w:t>ind./L）和生物量（mg/L）</w:t>
      </w:r>
    </w:p>
    <w:tbl>
      <w:tblPr>
        <w:tblStyle w:val="22"/>
        <w:tblW w:w="906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02"/>
        <w:gridCol w:w="703"/>
        <w:gridCol w:w="703"/>
        <w:gridCol w:w="703"/>
        <w:gridCol w:w="703"/>
        <w:gridCol w:w="703"/>
        <w:gridCol w:w="724"/>
        <w:gridCol w:w="700"/>
        <w:gridCol w:w="846"/>
        <w:gridCol w:w="810"/>
        <w:gridCol w:w="850"/>
        <w:gridCol w:w="7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0" w:hRule="atLeast"/>
          <w:jc w:val="center"/>
        </w:trPr>
        <w:tc>
          <w:tcPr>
            <w:tcW w:w="902" w:type="dxa"/>
            <w:vMerge w:val="restar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类别</w:t>
            </w:r>
          </w:p>
        </w:tc>
        <w:tc>
          <w:tcPr>
            <w:tcW w:w="1406" w:type="dxa"/>
            <w:gridSpan w:val="2"/>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1#</w:t>
            </w:r>
          </w:p>
        </w:tc>
        <w:tc>
          <w:tcPr>
            <w:tcW w:w="1406" w:type="dxa"/>
            <w:gridSpan w:val="2"/>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2#</w:t>
            </w:r>
          </w:p>
        </w:tc>
        <w:tc>
          <w:tcPr>
            <w:tcW w:w="1427" w:type="dxa"/>
            <w:gridSpan w:val="2"/>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3#</w:t>
            </w:r>
          </w:p>
        </w:tc>
        <w:tc>
          <w:tcPr>
            <w:tcW w:w="1546" w:type="dxa"/>
            <w:gridSpan w:val="2"/>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4#</w:t>
            </w:r>
          </w:p>
        </w:tc>
        <w:tc>
          <w:tcPr>
            <w:tcW w:w="1660" w:type="dxa"/>
            <w:gridSpan w:val="2"/>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5#</w:t>
            </w:r>
          </w:p>
        </w:tc>
        <w:tc>
          <w:tcPr>
            <w:tcW w:w="720" w:type="dxa"/>
            <w:vMerge w:val="restar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均值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0" w:hRule="atLeast"/>
          <w:jc w:val="center"/>
        </w:trPr>
        <w:tc>
          <w:tcPr>
            <w:tcW w:w="902" w:type="dxa"/>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724"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00"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846"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810"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850"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20" w:type="dxa"/>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0" w:hRule="atLeast"/>
          <w:jc w:val="center"/>
        </w:trPr>
        <w:tc>
          <w:tcPr>
            <w:tcW w:w="902"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密度</w:t>
            </w: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11.6</w:t>
            </w: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9.6</w:t>
            </w: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12.6</w:t>
            </w: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10.1</w:t>
            </w:r>
          </w:p>
        </w:tc>
        <w:tc>
          <w:tcPr>
            <w:tcW w:w="703"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9.6</w:t>
            </w:r>
          </w:p>
        </w:tc>
        <w:tc>
          <w:tcPr>
            <w:tcW w:w="724"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8.3</w:t>
            </w:r>
          </w:p>
        </w:tc>
        <w:tc>
          <w:tcPr>
            <w:tcW w:w="700"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8.4</w:t>
            </w:r>
          </w:p>
        </w:tc>
        <w:tc>
          <w:tcPr>
            <w:tcW w:w="846"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6.2</w:t>
            </w:r>
          </w:p>
        </w:tc>
        <w:tc>
          <w:tcPr>
            <w:tcW w:w="810"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16.3</w:t>
            </w:r>
          </w:p>
        </w:tc>
        <w:tc>
          <w:tcPr>
            <w:tcW w:w="850"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15.2</w:t>
            </w:r>
          </w:p>
        </w:tc>
        <w:tc>
          <w:tcPr>
            <w:tcW w:w="720" w:type="dxa"/>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10.79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0" w:hRule="atLeast"/>
          <w:jc w:val="center"/>
        </w:trPr>
        <w:tc>
          <w:tcPr>
            <w:tcW w:w="902"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生物量</w:t>
            </w:r>
          </w:p>
        </w:tc>
        <w:tc>
          <w:tcPr>
            <w:tcW w:w="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0.325</w:t>
            </w:r>
          </w:p>
        </w:tc>
        <w:tc>
          <w:tcPr>
            <w:tcW w:w="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0.235</w:t>
            </w:r>
          </w:p>
        </w:tc>
        <w:tc>
          <w:tcPr>
            <w:tcW w:w="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0.236</w:t>
            </w:r>
          </w:p>
        </w:tc>
        <w:tc>
          <w:tcPr>
            <w:tcW w:w="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0.123</w:t>
            </w:r>
          </w:p>
        </w:tc>
        <w:tc>
          <w:tcPr>
            <w:tcW w:w="703"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0.165</w:t>
            </w:r>
          </w:p>
        </w:tc>
        <w:tc>
          <w:tcPr>
            <w:tcW w:w="724"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w:t>
            </w:r>
          </w:p>
        </w:tc>
        <w:tc>
          <w:tcPr>
            <w:tcW w:w="700"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0.32</w:t>
            </w:r>
          </w:p>
        </w:tc>
        <w:tc>
          <w:tcPr>
            <w:tcW w:w="84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0.26</w:t>
            </w:r>
          </w:p>
        </w:tc>
        <w:tc>
          <w:tcPr>
            <w:tcW w:w="810"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0.188</w:t>
            </w:r>
          </w:p>
        </w:tc>
        <w:tc>
          <w:tcPr>
            <w:tcW w:w="850"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0.168</w:t>
            </w:r>
          </w:p>
        </w:tc>
        <w:tc>
          <w:tcPr>
            <w:tcW w:w="720"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0.21</w:t>
            </w:r>
          </w:p>
        </w:tc>
      </w:tr>
    </w:tbl>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Cs/>
          <w:color w:val="auto"/>
          <w:sz w:val="18"/>
          <w:szCs w:val="18"/>
          <w:highlight w:val="none"/>
        </w:rPr>
        <w:t>注：1#代表工程上游1km处、2#工程区河段右岸1、3#工程区河段右岸2、4#工程区河段左岸、5#蒸水河</w:t>
      </w:r>
    </w:p>
    <w:bookmarkEnd w:id="103"/>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（3）浮游植物多样性指数</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浮游植物调查成果计算</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月和</w:t>
      </w:r>
      <w:r>
        <w:rPr>
          <w:rFonts w:hint="default" w:ascii="Times New Roman" w:hAnsi="Times New Roman" w:cs="Times New Roman"/>
          <w:color w:val="auto"/>
          <w:kern w:val="0"/>
          <w:sz w:val="24"/>
          <w:szCs w:val="24"/>
          <w:highlight w:val="none"/>
          <w:lang w:val="en-US" w:eastAsia="zh-CN"/>
        </w:rPr>
        <w:t>11</w:t>
      </w:r>
      <w:r>
        <w:rPr>
          <w:rFonts w:hint="default" w:ascii="Times New Roman" w:hAnsi="Times New Roman" w:cs="Times New Roman"/>
          <w:color w:val="auto"/>
          <w:kern w:val="0"/>
          <w:sz w:val="24"/>
          <w:szCs w:val="24"/>
          <w:highlight w:val="none"/>
        </w:rPr>
        <w:t>月香农-威纳多样性指数平均值分别为</w:t>
      </w:r>
      <w:r>
        <w:rPr>
          <w:rFonts w:hint="default" w:ascii="Times New Roman" w:hAnsi="Times New Roman" w:cs="Times New Roman"/>
          <w:color w:val="auto"/>
          <w:kern w:val="0"/>
          <w:sz w:val="24"/>
          <w:szCs w:val="24"/>
          <w:highlight w:val="none"/>
          <w:lang w:val="en-US" w:eastAsia="zh-CN"/>
        </w:rPr>
        <w:t>1.17</w:t>
      </w:r>
      <w:r>
        <w:rPr>
          <w:rFonts w:hint="default" w:ascii="Times New Roman" w:hAnsi="Times New Roman" w:cs="Times New Roman"/>
          <w:color w:val="auto"/>
          <w:kern w:val="0"/>
          <w:sz w:val="24"/>
          <w:szCs w:val="24"/>
          <w:highlight w:val="none"/>
        </w:rPr>
        <w:t>和</w:t>
      </w:r>
      <w:r>
        <w:rPr>
          <w:rFonts w:hint="default" w:ascii="Times New Roman" w:hAnsi="Times New Roman" w:cs="Times New Roman"/>
          <w:color w:val="auto"/>
          <w:kern w:val="0"/>
          <w:sz w:val="24"/>
          <w:szCs w:val="24"/>
          <w:highlight w:val="none"/>
          <w:lang w:val="en-US" w:eastAsia="zh-CN"/>
        </w:rPr>
        <w:t>1.18</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月，工程区河段右岸</w:t>
      </w:r>
      <w:r>
        <w:rPr>
          <w:rFonts w:hint="default" w:ascii="Times New Roman" w:hAnsi="Times New Roman" w:cs="Times New Roman"/>
          <w:color w:val="auto"/>
          <w:kern w:val="0"/>
          <w:sz w:val="24"/>
          <w:szCs w:val="24"/>
          <w:highlight w:val="none"/>
          <w:lang w:val="en-US" w:eastAsia="zh-CN"/>
        </w:rPr>
        <w:t>2#点位</w:t>
      </w:r>
      <w:r>
        <w:rPr>
          <w:rFonts w:hint="default" w:ascii="Times New Roman" w:hAnsi="Times New Roman" w:cs="Times New Roman"/>
          <w:color w:val="auto"/>
          <w:kern w:val="0"/>
          <w:sz w:val="24"/>
          <w:szCs w:val="24"/>
          <w:highlight w:val="none"/>
        </w:rPr>
        <w:t>多样性指数最高，工程区河段左岸</w:t>
      </w:r>
      <w:r>
        <w:rPr>
          <w:rFonts w:hint="default" w:ascii="Times New Roman" w:hAnsi="Times New Roman" w:cs="Times New Roman"/>
          <w:color w:val="auto"/>
          <w:kern w:val="0"/>
          <w:sz w:val="24"/>
          <w:szCs w:val="24"/>
          <w:highlight w:val="none"/>
          <w:lang w:val="en-US" w:eastAsia="zh-CN"/>
        </w:rPr>
        <w:t>4#</w:t>
      </w:r>
      <w:r>
        <w:rPr>
          <w:rFonts w:hint="default" w:ascii="Times New Roman" w:hAnsi="Times New Roman" w:cs="Times New Roman"/>
          <w:color w:val="auto"/>
          <w:kern w:val="0"/>
          <w:sz w:val="24"/>
          <w:szCs w:val="24"/>
          <w:highlight w:val="none"/>
        </w:rPr>
        <w:t>点位多样性较低；</w:t>
      </w:r>
      <w:r>
        <w:rPr>
          <w:rFonts w:hint="default" w:ascii="Times New Roman" w:hAnsi="Times New Roman" w:cs="Times New Roman"/>
          <w:color w:val="auto"/>
          <w:kern w:val="0"/>
          <w:sz w:val="24"/>
          <w:szCs w:val="24"/>
          <w:highlight w:val="none"/>
          <w:lang w:val="en-US" w:eastAsia="zh-CN"/>
        </w:rPr>
        <w:t>11</w:t>
      </w:r>
      <w:r>
        <w:rPr>
          <w:rFonts w:hint="default" w:ascii="Times New Roman" w:hAnsi="Times New Roman" w:cs="Times New Roman"/>
          <w:color w:val="auto"/>
          <w:kern w:val="0"/>
          <w:sz w:val="24"/>
          <w:szCs w:val="24"/>
          <w:highlight w:val="none"/>
        </w:rPr>
        <w:t>月，工程区河段左岸4#多样性指数最高，工程区河段右岸</w:t>
      </w:r>
      <w:r>
        <w:rPr>
          <w:rFonts w:hint="default" w:ascii="Times New Roman" w:hAnsi="Times New Roman" w:cs="Times New Roman"/>
          <w:color w:val="auto"/>
          <w:kern w:val="0"/>
          <w:sz w:val="24"/>
          <w:szCs w:val="24"/>
          <w:highlight w:val="none"/>
          <w:lang w:val="en-US" w:eastAsia="zh-CN"/>
        </w:rPr>
        <w:t>3#</w:t>
      </w:r>
      <w:r>
        <w:rPr>
          <w:rFonts w:hint="default" w:ascii="Times New Roman" w:hAnsi="Times New Roman" w:cs="Times New Roman"/>
          <w:color w:val="auto"/>
          <w:kern w:val="0"/>
          <w:sz w:val="24"/>
          <w:szCs w:val="24"/>
          <w:highlight w:val="none"/>
        </w:rPr>
        <w:t>点位多样性较低</w:t>
      </w:r>
      <w:bookmarkStart w:id="104" w:name="_Hlk113974181"/>
      <w:r>
        <w:rPr>
          <w:rFonts w:hint="default" w:ascii="Times New Roman" w:hAnsi="Times New Roman" w:cs="Times New Roman"/>
          <w:color w:val="auto"/>
          <w:kern w:val="0"/>
          <w:sz w:val="24"/>
          <w:szCs w:val="24"/>
          <w:highlight w:val="none"/>
        </w:rPr>
        <w:t>。浮游植物生物多样性指数见</w:t>
      </w:r>
      <w:bookmarkEnd w:id="104"/>
      <w:r>
        <w:rPr>
          <w:rFonts w:hint="default" w:cs="Times New Roman"/>
          <w:color w:val="auto"/>
          <w:kern w:val="0"/>
          <w:sz w:val="24"/>
          <w:szCs w:val="24"/>
          <w:highlight w:val="none"/>
          <w:lang w:val="en-US" w:eastAsia="zh-CN"/>
        </w:rPr>
        <w:t>下</w:t>
      </w:r>
      <w:r>
        <w:rPr>
          <w:rFonts w:hint="default" w:ascii="Times New Roman" w:hAnsi="Times New Roman" w:cs="Times New Roman"/>
          <w:color w:val="auto"/>
          <w:kern w:val="0"/>
          <w:sz w:val="24"/>
          <w:szCs w:val="24"/>
          <w:highlight w:val="none"/>
        </w:rPr>
        <w:t>图。</w:t>
      </w:r>
    </w:p>
    <w:p>
      <w:pPr>
        <w:pStyle w:val="1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color w:val="auto"/>
          <w:szCs w:val="24"/>
          <w:highlight w:val="none"/>
        </w:rPr>
      </w:pPr>
      <w:r>
        <w:rPr>
          <w:rFonts w:hint="default" w:ascii="Times New Roman" w:hAnsi="Times New Roman" w:cs="Times New Roman"/>
          <w:color w:val="auto"/>
          <w:highlight w:val="none"/>
        </w:rPr>
        <w:drawing>
          <wp:inline distT="0" distB="0" distL="114300" distR="114300">
            <wp:extent cx="3833495" cy="2073910"/>
            <wp:effectExtent l="0" t="0" r="14605" b="254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135"/>
                    <a:stretch>
                      <a:fillRect/>
                    </a:stretch>
                  </pic:blipFill>
                  <pic:spPr>
                    <a:xfrm>
                      <a:off x="0" y="0"/>
                      <a:ext cx="3833495" cy="2073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zh-CN" w:eastAsia="zh-CN"/>
        </w:rPr>
      </w:pPr>
      <w:r>
        <w:rPr>
          <w:rFonts w:hint="default" w:ascii="Times New Roman" w:hAnsi="Times New Roman" w:cs="Times New Roman"/>
          <w:b/>
          <w:color w:val="auto"/>
          <w:highlight w:val="none"/>
          <w:lang w:val="zh-CN" w:eastAsia="zh-CN"/>
        </w:rPr>
        <w:t>图</w:t>
      </w:r>
      <w:r>
        <w:rPr>
          <w:rFonts w:hint="default" w:cs="Times New Roman"/>
          <w:b/>
          <w:color w:val="auto"/>
          <w:highlight w:val="none"/>
          <w:lang w:val="en-US" w:eastAsia="zh-CN"/>
        </w:rPr>
        <w:t>4.5-</w:t>
      </w:r>
      <w:r>
        <w:rPr>
          <w:rFonts w:hint="default" w:ascii="Times New Roman" w:hAnsi="Times New Roman" w:cs="Times New Roman"/>
          <w:b/>
          <w:color w:val="auto"/>
          <w:highlight w:val="none"/>
          <w:lang w:val="en-US" w:eastAsia="zh-CN"/>
        </w:rPr>
        <w:t>1</w:t>
      </w:r>
      <w:r>
        <w:rPr>
          <w:rFonts w:hint="default" w:cs="Times New Roman"/>
          <w:b/>
          <w:color w:val="auto"/>
          <w:highlight w:val="none"/>
          <w:lang w:val="en-US" w:eastAsia="zh-CN"/>
        </w:rPr>
        <w:t>7</w:t>
      </w:r>
      <w:r>
        <w:rPr>
          <w:rFonts w:hint="default" w:ascii="Times New Roman" w:hAnsi="Times New Roman" w:cs="Times New Roman"/>
          <w:b/>
          <w:color w:val="auto"/>
          <w:highlight w:val="none"/>
          <w:lang w:val="zh-CN" w:eastAsia="zh-CN"/>
        </w:rPr>
        <w:t xml:space="preserve"> 评价区域浮游植物多样性指数</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（4）现状分析</w:t>
      </w:r>
    </w:p>
    <w:p>
      <w:pPr>
        <w:overflowPunct w:val="0"/>
        <w:spacing w:line="360" w:lineRule="auto"/>
        <w:ind w:firstLine="480" w:firstLineChars="200"/>
        <w:rPr>
          <w:rFonts w:hint="default" w:ascii="Times New Roman" w:hAnsi="Times New Roman" w:cs="Times New Roman"/>
          <w:bCs/>
          <w:color w:val="auto"/>
          <w:sz w:val="24"/>
          <w:szCs w:val="24"/>
          <w:highlight w:val="none"/>
        </w:rPr>
      </w:pPr>
      <w:bookmarkStart w:id="105" w:name="_Hlk138363848"/>
      <w:r>
        <w:rPr>
          <w:rFonts w:hint="default" w:ascii="Times New Roman" w:hAnsi="Times New Roman" w:cs="Times New Roman"/>
          <w:bCs/>
          <w:color w:val="auto"/>
          <w:sz w:val="24"/>
          <w:szCs w:val="24"/>
          <w:highlight w:val="none"/>
        </w:rPr>
        <w:t>评价区域水系属</w:t>
      </w:r>
      <w:r>
        <w:rPr>
          <w:rFonts w:hint="default" w:ascii="Times New Roman" w:hAnsi="Times New Roman" w:cs="Times New Roman"/>
          <w:bCs/>
          <w:color w:val="auto"/>
          <w:sz w:val="24"/>
          <w:szCs w:val="24"/>
          <w:highlight w:val="none"/>
          <w:lang w:val="en-US" w:eastAsia="zh-CN"/>
        </w:rPr>
        <w:t>湘江干流</w:t>
      </w:r>
      <w:r>
        <w:rPr>
          <w:rFonts w:hint="default" w:ascii="Times New Roman" w:hAnsi="Times New Roman" w:cs="Times New Roman"/>
          <w:bCs/>
          <w:color w:val="auto"/>
          <w:sz w:val="24"/>
          <w:szCs w:val="24"/>
          <w:highlight w:val="none"/>
        </w:rPr>
        <w:t>，周边居民和工厂</w:t>
      </w:r>
      <w:r>
        <w:rPr>
          <w:rFonts w:hint="default" w:ascii="Times New Roman" w:hAnsi="Times New Roman" w:cs="Times New Roman"/>
          <w:bCs/>
          <w:color w:val="auto"/>
          <w:sz w:val="24"/>
          <w:szCs w:val="24"/>
          <w:highlight w:val="none"/>
          <w:lang w:val="en-US" w:eastAsia="zh-CN"/>
        </w:rPr>
        <w:t>较多</w:t>
      </w:r>
      <w:r>
        <w:rPr>
          <w:rFonts w:hint="default" w:ascii="Times New Roman" w:hAnsi="Times New Roman" w:cs="Times New Roman"/>
          <w:bCs/>
          <w:color w:val="auto"/>
          <w:sz w:val="24"/>
          <w:szCs w:val="24"/>
          <w:highlight w:val="none"/>
        </w:rPr>
        <w:t>，水质受人为干扰</w:t>
      </w:r>
      <w:r>
        <w:rPr>
          <w:rFonts w:hint="default" w:ascii="Times New Roman" w:hAnsi="Times New Roman" w:cs="Times New Roman"/>
          <w:bCs/>
          <w:color w:val="auto"/>
          <w:sz w:val="24"/>
          <w:szCs w:val="24"/>
          <w:highlight w:val="none"/>
          <w:lang w:val="en-US" w:eastAsia="zh-CN"/>
        </w:rPr>
        <w:t>较多</w:t>
      </w:r>
      <w:r>
        <w:rPr>
          <w:rFonts w:hint="default" w:ascii="Times New Roman" w:hAnsi="Times New Roman" w:cs="Times New Roman"/>
          <w:bCs/>
          <w:color w:val="auto"/>
          <w:sz w:val="24"/>
          <w:szCs w:val="24"/>
          <w:highlight w:val="none"/>
        </w:rPr>
        <w:t>，水体整体处于</w:t>
      </w:r>
      <w:r>
        <w:rPr>
          <w:rFonts w:hint="default" w:ascii="Times New Roman" w:hAnsi="Times New Roman" w:cs="Times New Roman"/>
          <w:bCs/>
          <w:color w:val="auto"/>
          <w:sz w:val="24"/>
          <w:szCs w:val="24"/>
          <w:highlight w:val="none"/>
          <w:lang w:val="en-US" w:eastAsia="zh-CN"/>
        </w:rPr>
        <w:t>中污染水平</w:t>
      </w:r>
      <w:r>
        <w:rPr>
          <w:rFonts w:hint="default" w:ascii="Times New Roman" w:hAnsi="Times New Roman" w:cs="Times New Roman"/>
          <w:bCs/>
          <w:color w:val="auto"/>
          <w:sz w:val="24"/>
          <w:szCs w:val="24"/>
          <w:highlight w:val="none"/>
        </w:rPr>
        <w:t>。浮游植物以喜流水的硅藻为主。</w:t>
      </w:r>
      <w:r>
        <w:rPr>
          <w:rFonts w:hint="default" w:ascii="Times New Roman" w:hAnsi="Times New Roman" w:cs="Times New Roman"/>
          <w:color w:val="auto"/>
          <w:sz w:val="24"/>
          <w:szCs w:val="24"/>
          <w:highlight w:val="none"/>
        </w:rPr>
        <w:t>两次调查结果共检出浮游植物5门</w:t>
      </w:r>
      <w:r>
        <w:rPr>
          <w:rFonts w:hint="default" w:ascii="Times New Roman" w:hAnsi="Times New Roman" w:cs="Times New Roman"/>
          <w:color w:val="auto"/>
          <w:sz w:val="24"/>
          <w:szCs w:val="24"/>
          <w:highlight w:val="none"/>
          <w:lang w:eastAsia="zh-CN"/>
        </w:rPr>
        <w:t>4</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种（属），评价区域常见浮游植物有直链藻、放射舟形藻、新月藻</w:t>
      </w:r>
      <w:r>
        <w:rPr>
          <w:rFonts w:hint="default" w:ascii="Times New Roman" w:hAnsi="Times New Roman" w:cs="Times New Roman"/>
          <w:color w:val="auto"/>
          <w:sz w:val="24"/>
          <w:szCs w:val="24"/>
          <w:highlight w:val="none"/>
          <w:lang w:val="en-US" w:eastAsia="zh-CN"/>
        </w:rPr>
        <w:t>等</w:t>
      </w:r>
      <w:r>
        <w:rPr>
          <w:rFonts w:hint="default" w:ascii="Times New Roman" w:hAnsi="Times New Roman" w:cs="Times New Roman"/>
          <w:color w:val="auto"/>
          <w:sz w:val="24"/>
          <w:szCs w:val="24"/>
          <w:highlight w:val="none"/>
        </w:rPr>
        <w:t>。浮游植物</w:t>
      </w:r>
      <w:r>
        <w:rPr>
          <w:rFonts w:hint="default" w:ascii="Times New Roman" w:hAnsi="Times New Roman" w:cs="Times New Roman"/>
          <w:bCs/>
          <w:color w:val="auto"/>
          <w:sz w:val="24"/>
          <w:szCs w:val="24"/>
          <w:highlight w:val="none"/>
        </w:rPr>
        <w:t>密度平均值为10.79×10</w:t>
      </w:r>
      <w:r>
        <w:rPr>
          <w:rFonts w:hint="default" w:ascii="Times New Roman" w:hAnsi="Times New Roman" w:cs="Times New Roman"/>
          <w:bCs/>
          <w:color w:val="auto"/>
          <w:sz w:val="24"/>
          <w:szCs w:val="24"/>
          <w:highlight w:val="none"/>
          <w:vertAlign w:val="superscript"/>
        </w:rPr>
        <w:t>4</w:t>
      </w:r>
      <w:r>
        <w:rPr>
          <w:rFonts w:hint="default" w:ascii="Times New Roman" w:hAnsi="Times New Roman" w:cs="Times New Roman"/>
          <w:bCs/>
          <w:color w:val="auto"/>
          <w:sz w:val="24"/>
          <w:szCs w:val="24"/>
          <w:highlight w:val="none"/>
        </w:rPr>
        <w:t>ind./L，生物量平均值为0.21mg/L</w:t>
      </w:r>
      <w:r>
        <w:rPr>
          <w:rFonts w:hint="default" w:ascii="Times New Roman" w:hAnsi="Times New Roman" w:cs="Times New Roman"/>
          <w:color w:val="auto"/>
          <w:sz w:val="24"/>
          <w:szCs w:val="24"/>
          <w:highlight w:val="none"/>
        </w:rPr>
        <w:t>。</w:t>
      </w:r>
    </w:p>
    <w:bookmarkEnd w:id="105"/>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06" w:name="_Toc10234"/>
      <w:bookmarkStart w:id="107" w:name="_Toc116917269"/>
      <w:bookmarkStart w:id="108" w:name="_Toc6793"/>
      <w:r>
        <w:rPr>
          <w:rFonts w:hint="default" w:cs="Times New Roman"/>
          <w:b/>
          <w:bCs/>
          <w:color w:val="auto"/>
          <w:kern w:val="0"/>
          <w:sz w:val="28"/>
          <w:szCs w:val="28"/>
          <w:highlight w:val="none"/>
          <w:lang w:val="en-US" w:eastAsia="zh-CN"/>
        </w:rPr>
        <w:t>4.5.4.3浮游动物</w:t>
      </w:r>
      <w:bookmarkEnd w:id="106"/>
      <w:bookmarkEnd w:id="107"/>
      <w:bookmarkEnd w:id="108"/>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cs="Times New Roman"/>
          <w:b/>
          <w:bCs/>
          <w:color w:val="auto"/>
          <w:kern w:val="0"/>
          <w:sz w:val="24"/>
          <w:szCs w:val="24"/>
          <w:highlight w:val="none"/>
          <w:lang w:val="en-US" w:eastAsia="zh-CN" w:bidi="ar"/>
        </w:rPr>
      </w:pPr>
      <w:bookmarkStart w:id="109" w:name="_Hlk138343618"/>
      <w:r>
        <w:rPr>
          <w:rFonts w:hint="default" w:cs="Times New Roman"/>
          <w:b/>
          <w:bCs/>
          <w:color w:val="auto"/>
          <w:kern w:val="0"/>
          <w:sz w:val="24"/>
          <w:szCs w:val="24"/>
          <w:highlight w:val="none"/>
          <w:lang w:val="en-US" w:eastAsia="zh-CN" w:bidi="ar"/>
        </w:rPr>
        <w:t>（1）种类组成</w:t>
      </w:r>
    </w:p>
    <w:bookmarkEnd w:id="109"/>
    <w:p>
      <w:pPr>
        <w:spacing w:line="360" w:lineRule="auto"/>
        <w:ind w:firstLine="48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共采集到浮游动物28种（附录3-2），其中轮虫11种，占总数的39.3%；原生动物8种，占总数的28.6%；桡足类5种，占总数的17.9%；枝角类4种，占总数的14.3%（表3.4-4）。常见种类为瓶砂壳虫（</w:t>
      </w:r>
      <w:r>
        <w:rPr>
          <w:rFonts w:hint="default" w:ascii="Times New Roman" w:hAnsi="Times New Roman" w:cs="Times New Roman"/>
          <w:bCs/>
          <w:i/>
          <w:iCs/>
          <w:color w:val="auto"/>
          <w:sz w:val="24"/>
          <w:szCs w:val="24"/>
          <w:highlight w:val="none"/>
        </w:rPr>
        <w:t>Difflugia urceolata</w:t>
      </w:r>
      <w:r>
        <w:rPr>
          <w:rFonts w:hint="default" w:ascii="Times New Roman" w:hAnsi="Times New Roman" w:cs="Times New Roman"/>
          <w:bCs/>
          <w:color w:val="auto"/>
          <w:sz w:val="24"/>
          <w:szCs w:val="24"/>
          <w:highlight w:val="none"/>
        </w:rPr>
        <w:t>）、壶状臂尾轮虫（</w:t>
      </w:r>
      <w:r>
        <w:rPr>
          <w:rFonts w:hint="default" w:ascii="Times New Roman" w:hAnsi="Times New Roman" w:cs="Times New Roman"/>
          <w:bCs/>
          <w:i/>
          <w:iCs/>
          <w:color w:val="auto"/>
          <w:sz w:val="24"/>
          <w:szCs w:val="24"/>
          <w:highlight w:val="none"/>
        </w:rPr>
        <w:t>Brachionus urceus</w:t>
      </w:r>
      <w:r>
        <w:rPr>
          <w:rFonts w:hint="default" w:ascii="Times New Roman" w:hAnsi="Times New Roman" w:cs="Times New Roman"/>
          <w:bCs/>
          <w:color w:val="auto"/>
          <w:sz w:val="24"/>
          <w:szCs w:val="24"/>
          <w:highlight w:val="none"/>
        </w:rPr>
        <w:t>）、椎尾水轮虫（</w:t>
      </w:r>
      <w:r>
        <w:rPr>
          <w:rFonts w:hint="default" w:ascii="Times New Roman" w:hAnsi="Times New Roman" w:cs="Times New Roman"/>
          <w:bCs/>
          <w:i/>
          <w:iCs/>
          <w:color w:val="auto"/>
          <w:sz w:val="24"/>
          <w:szCs w:val="24"/>
          <w:highlight w:val="none"/>
        </w:rPr>
        <w:t>Epiphanes senta</w:t>
      </w:r>
      <w:r>
        <w:rPr>
          <w:rFonts w:hint="default" w:ascii="Times New Roman" w:hAnsi="Times New Roman" w:cs="Times New Roman"/>
          <w:bCs/>
          <w:color w:val="auto"/>
          <w:sz w:val="24"/>
          <w:szCs w:val="24"/>
          <w:highlight w:val="none"/>
        </w:rPr>
        <w:t>）、无节幼体（Nauplius）。</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zh-CN" w:eastAsia="zh-CN"/>
        </w:rPr>
      </w:pPr>
      <w:r>
        <w:rPr>
          <w:rFonts w:hint="default" w:ascii="Times New Roman" w:hAnsi="Times New Roman" w:cs="Times New Roman"/>
          <w:b/>
          <w:color w:val="auto"/>
          <w:highlight w:val="none"/>
          <w:lang w:val="zh-CN" w:eastAsia="zh-CN"/>
        </w:rPr>
        <w:t>表</w:t>
      </w:r>
      <w:r>
        <w:rPr>
          <w:rFonts w:hint="default" w:ascii="Times New Roman" w:hAnsi="Times New Roman" w:cs="Times New Roman"/>
          <w:b/>
          <w:color w:val="auto"/>
          <w:highlight w:val="none"/>
          <w:lang w:val="en-US" w:eastAsia="zh-CN"/>
        </w:rPr>
        <w:t>4.</w:t>
      </w:r>
      <w:r>
        <w:rPr>
          <w:rFonts w:hint="default" w:cs="Times New Roman"/>
          <w:b/>
          <w:color w:val="auto"/>
          <w:highlight w:val="none"/>
          <w:lang w:val="en-US" w:eastAsia="zh-CN"/>
        </w:rPr>
        <w:t>5</w:t>
      </w:r>
      <w:r>
        <w:rPr>
          <w:rFonts w:hint="default" w:ascii="Times New Roman" w:hAnsi="Times New Roman" w:cs="Times New Roman"/>
          <w:b/>
          <w:color w:val="auto"/>
          <w:highlight w:val="none"/>
          <w:lang w:val="en-US" w:eastAsia="zh-CN"/>
        </w:rPr>
        <w:t xml:space="preserve">-18 </w:t>
      </w:r>
      <w:r>
        <w:rPr>
          <w:rFonts w:hint="default" w:ascii="Times New Roman" w:hAnsi="Times New Roman" w:cs="Times New Roman"/>
          <w:b/>
          <w:color w:val="auto"/>
          <w:highlight w:val="none"/>
          <w:lang w:val="zh-CN" w:eastAsia="zh-CN"/>
        </w:rPr>
        <w:t>各类浮游动物种类数及所占比例</w:t>
      </w:r>
    </w:p>
    <w:tbl>
      <w:tblPr>
        <w:tblStyle w:val="22"/>
        <w:tblW w:w="471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1641"/>
        <w:gridCol w:w="1250"/>
        <w:gridCol w:w="1250"/>
        <w:gridCol w:w="1250"/>
        <w:gridCol w:w="1250"/>
        <w:gridCol w:w="124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52" w:hRule="atLeast"/>
          <w:jc w:val="center"/>
        </w:trPr>
        <w:tc>
          <w:tcPr>
            <w:tcW w:w="1041" w:type="pct"/>
            <w:tcBorders>
              <w:tl2br w:val="nil"/>
              <w:tr2bl w:val="nil"/>
            </w:tcBorders>
            <w:vAlign w:val="center"/>
          </w:tcPr>
          <w:p>
            <w:pPr>
              <w:widowControl/>
              <w:jc w:val="center"/>
              <w:rPr>
                <w:rFonts w:hint="default" w:ascii="Times New Roman" w:hAnsi="Times New Roman" w:cs="Times New Roman"/>
                <w:b/>
                <w:color w:val="auto"/>
                <w:szCs w:val="21"/>
                <w:highlight w:val="none"/>
              </w:rPr>
            </w:pPr>
          </w:p>
        </w:tc>
        <w:tc>
          <w:tcPr>
            <w:tcW w:w="792" w:type="pct"/>
            <w:tcBorders>
              <w:tl2br w:val="nil"/>
              <w:tr2bl w:val="nil"/>
            </w:tcBorders>
            <w:vAlign w:val="center"/>
          </w:tcPr>
          <w:p>
            <w:pPr>
              <w:widowControl/>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轮虫类</w:t>
            </w:r>
          </w:p>
        </w:tc>
        <w:tc>
          <w:tcPr>
            <w:tcW w:w="792" w:type="pct"/>
            <w:tcBorders>
              <w:tl2br w:val="nil"/>
              <w:tr2bl w:val="nil"/>
            </w:tcBorders>
            <w:vAlign w:val="center"/>
          </w:tcPr>
          <w:p>
            <w:pPr>
              <w:widowControl/>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原生动物</w:t>
            </w:r>
          </w:p>
        </w:tc>
        <w:tc>
          <w:tcPr>
            <w:tcW w:w="792" w:type="pct"/>
            <w:tcBorders>
              <w:tl2br w:val="nil"/>
              <w:tr2bl w:val="nil"/>
            </w:tcBorders>
            <w:vAlign w:val="center"/>
          </w:tcPr>
          <w:p>
            <w:pPr>
              <w:widowControl/>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桡足类</w:t>
            </w:r>
          </w:p>
        </w:tc>
        <w:tc>
          <w:tcPr>
            <w:tcW w:w="792" w:type="pct"/>
            <w:tcBorders>
              <w:tl2br w:val="nil"/>
              <w:tr2bl w:val="nil"/>
            </w:tcBorders>
            <w:vAlign w:val="center"/>
          </w:tcPr>
          <w:p>
            <w:pPr>
              <w:widowControl/>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枝角类</w:t>
            </w:r>
          </w:p>
        </w:tc>
        <w:tc>
          <w:tcPr>
            <w:tcW w:w="791" w:type="pct"/>
            <w:tcBorders>
              <w:tl2br w:val="nil"/>
              <w:tr2bl w:val="nil"/>
            </w:tcBorders>
            <w:vAlign w:val="center"/>
          </w:tcPr>
          <w:p>
            <w:pPr>
              <w:widowControl/>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合计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52" w:hRule="atLeast"/>
          <w:jc w:val="center"/>
        </w:trPr>
        <w:tc>
          <w:tcPr>
            <w:tcW w:w="1041" w:type="pct"/>
            <w:tcBorders>
              <w:tl2br w:val="nil"/>
              <w:tr2bl w:val="nil"/>
            </w:tcBorders>
            <w:vAlign w:val="center"/>
          </w:tcPr>
          <w:p>
            <w:pPr>
              <w:widowControl/>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种类数</w:t>
            </w:r>
          </w:p>
        </w:tc>
        <w:tc>
          <w:tcPr>
            <w:tcW w:w="792"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11</w:t>
            </w:r>
          </w:p>
        </w:tc>
        <w:tc>
          <w:tcPr>
            <w:tcW w:w="792"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w:t>
            </w:r>
          </w:p>
        </w:tc>
        <w:tc>
          <w:tcPr>
            <w:tcW w:w="792"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792"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w:t>
            </w:r>
          </w:p>
        </w:tc>
        <w:tc>
          <w:tcPr>
            <w:tcW w:w="791"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52" w:hRule="atLeast"/>
          <w:jc w:val="center"/>
        </w:trPr>
        <w:tc>
          <w:tcPr>
            <w:tcW w:w="1041" w:type="pct"/>
            <w:tcBorders>
              <w:tl2br w:val="nil"/>
              <w:tr2bl w:val="nil"/>
            </w:tcBorders>
            <w:vAlign w:val="center"/>
          </w:tcPr>
          <w:p>
            <w:pPr>
              <w:widowControl/>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比例（%）</w:t>
            </w:r>
          </w:p>
        </w:tc>
        <w:tc>
          <w:tcPr>
            <w:tcW w:w="792"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39.3</w:t>
            </w:r>
          </w:p>
        </w:tc>
        <w:tc>
          <w:tcPr>
            <w:tcW w:w="792"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28.6</w:t>
            </w:r>
          </w:p>
        </w:tc>
        <w:tc>
          <w:tcPr>
            <w:tcW w:w="792"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17.9</w:t>
            </w:r>
          </w:p>
        </w:tc>
        <w:tc>
          <w:tcPr>
            <w:tcW w:w="792"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14.3</w:t>
            </w:r>
          </w:p>
        </w:tc>
        <w:tc>
          <w:tcPr>
            <w:tcW w:w="791" w:type="pct"/>
            <w:tcBorders>
              <w:tl2br w:val="nil"/>
              <w:tr2bl w:val="nil"/>
            </w:tcBorders>
            <w:vAlign w:val="center"/>
          </w:tcPr>
          <w:p>
            <w:pPr>
              <w:widowControl/>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100.0</w:t>
            </w:r>
          </w:p>
        </w:tc>
      </w:tr>
    </w:tbl>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（2）密度和生物量</w:t>
      </w:r>
    </w:p>
    <w:p>
      <w:pPr>
        <w:spacing w:line="360" w:lineRule="auto"/>
        <w:ind w:firstLine="48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各采样点浮游动物密度平均值为89.6ind./L，生物量平均值为0.1mg/L。5月份蒸水河口处密度和生物量最高，分别为112.1ind./L、0.2mg/L；工程区河段左岸最低，分别为57.0ind./L、0.1mg/L。11月份密度和生物量存在相似趋势</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zh-CN" w:eastAsia="zh-CN"/>
        </w:rPr>
      </w:pPr>
      <w:r>
        <w:rPr>
          <w:rFonts w:hint="default" w:ascii="Times New Roman" w:hAnsi="Times New Roman" w:cs="Times New Roman"/>
          <w:b/>
          <w:color w:val="auto"/>
          <w:highlight w:val="none"/>
          <w:lang w:val="zh-CN" w:eastAsia="zh-CN"/>
        </w:rPr>
        <w:t>表</w:t>
      </w:r>
      <w:r>
        <w:rPr>
          <w:rFonts w:hint="default" w:ascii="Times New Roman" w:hAnsi="Times New Roman" w:cs="Times New Roman"/>
          <w:b/>
          <w:color w:val="auto"/>
          <w:highlight w:val="none"/>
          <w:lang w:val="en-US" w:eastAsia="zh-CN"/>
        </w:rPr>
        <w:t>4.</w:t>
      </w:r>
      <w:r>
        <w:rPr>
          <w:rFonts w:hint="default" w:cs="Times New Roman"/>
          <w:b/>
          <w:color w:val="auto"/>
          <w:highlight w:val="none"/>
          <w:lang w:val="en-US" w:eastAsia="zh-CN"/>
        </w:rPr>
        <w:t>5</w:t>
      </w:r>
      <w:r>
        <w:rPr>
          <w:rFonts w:hint="default" w:ascii="Times New Roman" w:hAnsi="Times New Roman" w:cs="Times New Roman"/>
          <w:b/>
          <w:color w:val="auto"/>
          <w:highlight w:val="none"/>
          <w:lang w:val="en-US" w:eastAsia="zh-CN"/>
        </w:rPr>
        <w:t xml:space="preserve">-19 </w:t>
      </w:r>
      <w:r>
        <w:rPr>
          <w:rFonts w:hint="default" w:ascii="Times New Roman" w:hAnsi="Times New Roman" w:cs="Times New Roman"/>
          <w:b/>
          <w:color w:val="auto"/>
          <w:highlight w:val="none"/>
          <w:lang w:val="zh-CN" w:eastAsia="zh-CN"/>
        </w:rPr>
        <w:t>浮游动物密度（ind./L）和生物量（mg/L）</w:t>
      </w:r>
    </w:p>
    <w:tbl>
      <w:tblPr>
        <w:tblStyle w:val="22"/>
        <w:tblW w:w="878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79"/>
        <w:gridCol w:w="676"/>
        <w:gridCol w:w="678"/>
        <w:gridCol w:w="795"/>
        <w:gridCol w:w="681"/>
        <w:gridCol w:w="676"/>
        <w:gridCol w:w="678"/>
        <w:gridCol w:w="676"/>
        <w:gridCol w:w="678"/>
        <w:gridCol w:w="795"/>
        <w:gridCol w:w="801"/>
        <w:gridCol w:w="67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979" w:type="dxa"/>
            <w:vMerge w:val="restart"/>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类别</w:t>
            </w:r>
          </w:p>
        </w:tc>
        <w:tc>
          <w:tcPr>
            <w:tcW w:w="1354" w:type="dxa"/>
            <w:gridSpan w:val="2"/>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1476" w:type="dxa"/>
            <w:gridSpan w:val="2"/>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w:t>
            </w:r>
          </w:p>
        </w:tc>
        <w:tc>
          <w:tcPr>
            <w:tcW w:w="1354" w:type="dxa"/>
            <w:gridSpan w:val="2"/>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w:t>
            </w:r>
          </w:p>
        </w:tc>
        <w:tc>
          <w:tcPr>
            <w:tcW w:w="1354" w:type="dxa"/>
            <w:gridSpan w:val="2"/>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w:t>
            </w:r>
          </w:p>
        </w:tc>
        <w:tc>
          <w:tcPr>
            <w:tcW w:w="1596" w:type="dxa"/>
            <w:gridSpan w:val="2"/>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w:t>
            </w:r>
          </w:p>
        </w:tc>
        <w:tc>
          <w:tcPr>
            <w:tcW w:w="676" w:type="dxa"/>
            <w:vMerge w:val="restart"/>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均值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979" w:type="dxa"/>
            <w:vMerge w:val="continue"/>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67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95"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681"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67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67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95"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801"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676" w:type="dxa"/>
            <w:vMerge w:val="continue"/>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979"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密度</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98.2</w:t>
            </w:r>
          </w:p>
        </w:tc>
        <w:tc>
          <w:tcPr>
            <w:tcW w:w="67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85.7</w:t>
            </w:r>
          </w:p>
        </w:tc>
        <w:tc>
          <w:tcPr>
            <w:tcW w:w="795"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100.2</w:t>
            </w:r>
          </w:p>
        </w:tc>
        <w:tc>
          <w:tcPr>
            <w:tcW w:w="681"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93.8</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90.7</w:t>
            </w:r>
          </w:p>
        </w:tc>
        <w:tc>
          <w:tcPr>
            <w:tcW w:w="67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86.8</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65.8</w:t>
            </w:r>
          </w:p>
        </w:tc>
        <w:tc>
          <w:tcPr>
            <w:tcW w:w="67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57.0</w:t>
            </w:r>
          </w:p>
        </w:tc>
        <w:tc>
          <w:tcPr>
            <w:tcW w:w="795"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112.1</w:t>
            </w:r>
          </w:p>
        </w:tc>
        <w:tc>
          <w:tcPr>
            <w:tcW w:w="801"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105.8</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89.6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979"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生物量</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w:t>
            </w:r>
          </w:p>
        </w:tc>
        <w:tc>
          <w:tcPr>
            <w:tcW w:w="67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w:t>
            </w:r>
          </w:p>
        </w:tc>
        <w:tc>
          <w:tcPr>
            <w:tcW w:w="795"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w:t>
            </w:r>
          </w:p>
        </w:tc>
        <w:tc>
          <w:tcPr>
            <w:tcW w:w="681"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w:t>
            </w:r>
          </w:p>
        </w:tc>
        <w:tc>
          <w:tcPr>
            <w:tcW w:w="67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w:t>
            </w:r>
          </w:p>
        </w:tc>
        <w:tc>
          <w:tcPr>
            <w:tcW w:w="678"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w:t>
            </w:r>
          </w:p>
        </w:tc>
        <w:tc>
          <w:tcPr>
            <w:tcW w:w="795"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w:t>
            </w:r>
          </w:p>
        </w:tc>
        <w:tc>
          <w:tcPr>
            <w:tcW w:w="801"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w:t>
            </w:r>
          </w:p>
        </w:tc>
        <w:tc>
          <w:tcPr>
            <w:tcW w:w="676" w:type="dxa"/>
            <w:tcBorders>
              <w:tl2br w:val="nil"/>
              <w:tr2bl w:val="nil"/>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w:t>
            </w:r>
          </w:p>
        </w:tc>
      </w:tr>
    </w:tbl>
    <w:p>
      <w:pPr>
        <w:jc w:val="center"/>
        <w:rPr>
          <w:rFonts w:hint="default" w:ascii="Times New Roman" w:hAnsi="Times New Roman" w:cs="Times New Roman"/>
          <w:b/>
          <w:color w:val="auto"/>
          <w:szCs w:val="21"/>
          <w:highlight w:val="none"/>
        </w:rPr>
      </w:pPr>
      <w:r>
        <w:rPr>
          <w:rFonts w:hint="default" w:ascii="Times New Roman" w:hAnsi="Times New Roman" w:cs="Times New Roman"/>
          <w:bCs/>
          <w:color w:val="auto"/>
          <w:sz w:val="18"/>
          <w:szCs w:val="18"/>
          <w:highlight w:val="none"/>
        </w:rPr>
        <w:t>注：1#代表工程上游1km处、2#工程区河段右岸1、3#工程区河段右岸2、4#工程区河段左岸、5#蒸水河</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（3）浮游动物多样性指数</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浮游动物调查成果计算</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月和</w:t>
      </w:r>
      <w:r>
        <w:rPr>
          <w:rFonts w:hint="default" w:ascii="Times New Roman" w:hAnsi="Times New Roman" w:cs="Times New Roman"/>
          <w:color w:val="auto"/>
          <w:kern w:val="0"/>
          <w:sz w:val="24"/>
          <w:szCs w:val="24"/>
          <w:highlight w:val="none"/>
          <w:lang w:val="en-US" w:eastAsia="zh-CN"/>
        </w:rPr>
        <w:t>11</w:t>
      </w:r>
      <w:r>
        <w:rPr>
          <w:rFonts w:hint="default" w:ascii="Times New Roman" w:hAnsi="Times New Roman" w:cs="Times New Roman"/>
          <w:color w:val="auto"/>
          <w:kern w:val="0"/>
          <w:sz w:val="24"/>
          <w:szCs w:val="24"/>
          <w:highlight w:val="none"/>
        </w:rPr>
        <w:t>月香农-威纳多样性指数平均值分别为1.</w:t>
      </w:r>
      <w:r>
        <w:rPr>
          <w:rFonts w:hint="default" w:ascii="Times New Roman" w:hAnsi="Times New Roman" w:cs="Times New Roman"/>
          <w:color w:val="auto"/>
          <w:kern w:val="0"/>
          <w:sz w:val="24"/>
          <w:szCs w:val="24"/>
          <w:highlight w:val="none"/>
          <w:lang w:val="en-US" w:eastAsia="zh-CN"/>
        </w:rPr>
        <w:t>0</w:t>
      </w:r>
      <w:r>
        <w:rPr>
          <w:rFonts w:hint="default" w:ascii="Times New Roman" w:hAnsi="Times New Roman" w:cs="Times New Roman"/>
          <w:color w:val="auto"/>
          <w:kern w:val="0"/>
          <w:sz w:val="24"/>
          <w:szCs w:val="24"/>
          <w:highlight w:val="none"/>
        </w:rPr>
        <w:t>8和1.</w:t>
      </w:r>
      <w:r>
        <w:rPr>
          <w:rFonts w:hint="default" w:ascii="Times New Roman" w:hAnsi="Times New Roman" w:cs="Times New Roman"/>
          <w:color w:val="auto"/>
          <w:kern w:val="0"/>
          <w:sz w:val="24"/>
          <w:szCs w:val="24"/>
          <w:highlight w:val="none"/>
          <w:lang w:val="en-US" w:eastAsia="zh-CN"/>
        </w:rPr>
        <w:t>21</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月，工程区河段右岸</w:t>
      </w:r>
      <w:r>
        <w:rPr>
          <w:rFonts w:hint="default" w:ascii="Times New Roman" w:hAnsi="Times New Roman" w:cs="Times New Roman"/>
          <w:color w:val="auto"/>
          <w:kern w:val="0"/>
          <w:sz w:val="24"/>
          <w:szCs w:val="24"/>
          <w:highlight w:val="none"/>
          <w:lang w:val="en-US" w:eastAsia="zh-CN"/>
        </w:rPr>
        <w:t>2#点位</w:t>
      </w:r>
      <w:r>
        <w:rPr>
          <w:rFonts w:hint="default" w:ascii="Times New Roman" w:hAnsi="Times New Roman" w:cs="Times New Roman"/>
          <w:color w:val="auto"/>
          <w:kern w:val="0"/>
          <w:sz w:val="24"/>
          <w:szCs w:val="24"/>
          <w:highlight w:val="none"/>
        </w:rPr>
        <w:t>多样性指数最高，蒸水河口</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点位多样性较低。</w:t>
      </w:r>
      <w:r>
        <w:rPr>
          <w:rFonts w:hint="default" w:ascii="Times New Roman" w:hAnsi="Times New Roman" w:cs="Times New Roman"/>
          <w:color w:val="auto"/>
          <w:kern w:val="0"/>
          <w:sz w:val="24"/>
          <w:szCs w:val="24"/>
          <w:highlight w:val="none"/>
          <w:lang w:val="en-US" w:eastAsia="zh-CN"/>
        </w:rPr>
        <w:t>11</w:t>
      </w:r>
      <w:r>
        <w:rPr>
          <w:rFonts w:hint="default" w:ascii="Times New Roman" w:hAnsi="Times New Roman" w:cs="Times New Roman"/>
          <w:color w:val="auto"/>
          <w:kern w:val="0"/>
          <w:sz w:val="24"/>
          <w:szCs w:val="24"/>
          <w:highlight w:val="none"/>
        </w:rPr>
        <w:t>月，工程区河段左岸</w:t>
      </w:r>
      <w:r>
        <w:rPr>
          <w:rFonts w:hint="default" w:ascii="Times New Roman" w:hAnsi="Times New Roman" w:cs="Times New Roman"/>
          <w:color w:val="auto"/>
          <w:kern w:val="0"/>
          <w:sz w:val="24"/>
          <w:szCs w:val="24"/>
          <w:highlight w:val="none"/>
          <w:lang w:val="en-US" w:eastAsia="zh-CN"/>
        </w:rPr>
        <w:t>4#点位</w:t>
      </w:r>
      <w:r>
        <w:rPr>
          <w:rFonts w:hint="default" w:ascii="Times New Roman" w:hAnsi="Times New Roman" w:cs="Times New Roman"/>
          <w:color w:val="auto"/>
          <w:kern w:val="0"/>
          <w:sz w:val="24"/>
          <w:szCs w:val="24"/>
          <w:highlight w:val="none"/>
        </w:rPr>
        <w:t>多样性指数最高，工程上游1km处</w:t>
      </w:r>
      <w:r>
        <w:rPr>
          <w:rFonts w:hint="default" w:ascii="Times New Roman" w:hAnsi="Times New Roman" w:cs="Times New Roman"/>
          <w:color w:val="auto"/>
          <w:kern w:val="0"/>
          <w:sz w:val="24"/>
          <w:szCs w:val="24"/>
          <w:highlight w:val="none"/>
          <w:lang w:val="en-US" w:eastAsia="zh-CN"/>
        </w:rPr>
        <w:t>1#和</w:t>
      </w:r>
      <w:r>
        <w:rPr>
          <w:rFonts w:hint="default" w:ascii="Times New Roman" w:hAnsi="Times New Roman" w:cs="Times New Roman"/>
          <w:color w:val="auto"/>
          <w:kern w:val="0"/>
          <w:sz w:val="24"/>
          <w:szCs w:val="24"/>
          <w:highlight w:val="none"/>
        </w:rPr>
        <w:t>工程区河段右岸</w:t>
      </w:r>
      <w:r>
        <w:rPr>
          <w:rFonts w:hint="default" w:ascii="Times New Roman" w:hAnsi="Times New Roman" w:cs="Times New Roman"/>
          <w:color w:val="auto"/>
          <w:kern w:val="0"/>
          <w:sz w:val="24"/>
          <w:szCs w:val="24"/>
          <w:highlight w:val="none"/>
          <w:lang w:val="en-US" w:eastAsia="zh-CN"/>
        </w:rPr>
        <w:t>3#</w:t>
      </w:r>
      <w:r>
        <w:rPr>
          <w:rFonts w:hint="default" w:ascii="Times New Roman" w:hAnsi="Times New Roman" w:cs="Times New Roman"/>
          <w:color w:val="auto"/>
          <w:kern w:val="0"/>
          <w:sz w:val="24"/>
          <w:szCs w:val="24"/>
          <w:highlight w:val="none"/>
        </w:rPr>
        <w:t>点位多样性较低。浮游动物生物多样性指数见</w:t>
      </w:r>
      <w:r>
        <w:rPr>
          <w:rFonts w:hint="default" w:cs="Times New Roman"/>
          <w:color w:val="auto"/>
          <w:kern w:val="0"/>
          <w:sz w:val="24"/>
          <w:szCs w:val="24"/>
          <w:highlight w:val="none"/>
          <w:lang w:val="en-US" w:eastAsia="zh-CN"/>
        </w:rPr>
        <w:t>下</w:t>
      </w:r>
      <w:r>
        <w:rPr>
          <w:rFonts w:hint="default" w:ascii="Times New Roman" w:hAnsi="Times New Roman" w:cs="Times New Roman"/>
          <w:color w:val="auto"/>
          <w:kern w:val="0"/>
          <w:sz w:val="24"/>
          <w:szCs w:val="24"/>
          <w:highlight w:val="none"/>
        </w:rPr>
        <w:t>图。</w:t>
      </w:r>
    </w:p>
    <w:p>
      <w:pPr>
        <w:pStyle w:val="11"/>
        <w:spacing w:line="240" w:lineRule="auto"/>
        <w:ind w:firstLine="0" w:firstLineChars="0"/>
        <w:rPr>
          <w:rFonts w:hint="default" w:ascii="Times New Roman" w:hAnsi="Times New Roman" w:cs="Times New Roman"/>
          <w:color w:val="auto"/>
          <w:highlight w:val="none"/>
        </w:rPr>
      </w:pPr>
    </w:p>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424680" cy="2291080"/>
            <wp:effectExtent l="0" t="0" r="13970" b="1397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136"/>
                    <a:stretch>
                      <a:fillRect/>
                    </a:stretch>
                  </pic:blipFill>
                  <pic:spPr>
                    <a:xfrm>
                      <a:off x="0" y="0"/>
                      <a:ext cx="4424680" cy="22910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zh-CN" w:eastAsia="zh-CN"/>
        </w:rPr>
      </w:pPr>
      <w:r>
        <w:rPr>
          <w:rFonts w:hint="default" w:ascii="Times New Roman" w:hAnsi="Times New Roman" w:cs="Times New Roman"/>
          <w:b/>
          <w:color w:val="auto"/>
          <w:highlight w:val="none"/>
          <w:lang w:val="zh-CN" w:eastAsia="zh-CN"/>
        </w:rPr>
        <w:t>图</w:t>
      </w:r>
      <w:r>
        <w:rPr>
          <w:rFonts w:hint="default" w:ascii="Times New Roman" w:hAnsi="Times New Roman" w:cs="Times New Roman"/>
          <w:b/>
          <w:color w:val="auto"/>
          <w:highlight w:val="none"/>
          <w:lang w:val="en-US" w:eastAsia="zh-CN"/>
        </w:rPr>
        <w:t>4.</w:t>
      </w:r>
      <w:r>
        <w:rPr>
          <w:rFonts w:hint="default" w:cs="Times New Roman"/>
          <w:b/>
          <w:color w:val="auto"/>
          <w:highlight w:val="none"/>
          <w:lang w:val="en-US" w:eastAsia="zh-CN"/>
        </w:rPr>
        <w:t>5</w:t>
      </w:r>
      <w:r>
        <w:rPr>
          <w:rFonts w:hint="default" w:ascii="Times New Roman" w:hAnsi="Times New Roman" w:cs="Times New Roman"/>
          <w:b/>
          <w:color w:val="auto"/>
          <w:highlight w:val="none"/>
          <w:lang w:val="en-US" w:eastAsia="zh-CN"/>
        </w:rPr>
        <w:t>-18</w:t>
      </w:r>
      <w:r>
        <w:rPr>
          <w:rFonts w:hint="default" w:ascii="Times New Roman" w:hAnsi="Times New Roman" w:cs="Times New Roman"/>
          <w:b/>
          <w:color w:val="auto"/>
          <w:highlight w:val="none"/>
          <w:lang w:val="zh-CN" w:eastAsia="zh-CN"/>
        </w:rPr>
        <w:t xml:space="preserve"> 评价区域浮游动物多样性指数</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（4）现状分析</w:t>
      </w:r>
    </w:p>
    <w:p>
      <w:pPr>
        <w:pStyle w:val="67"/>
        <w:spacing w:after="62"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评价区域水系属湘江干流，周边居民和工厂较多，水质受人为干扰较多，水体</w:t>
      </w:r>
      <w:r>
        <w:rPr>
          <w:rFonts w:hint="default" w:ascii="Times New Roman" w:hAnsi="Times New Roman" w:cs="Times New Roman"/>
          <w:color w:val="auto"/>
          <w:highlight w:val="none"/>
          <w:lang w:val="en-US" w:eastAsia="zh-CN"/>
        </w:rPr>
        <w:t>基本</w:t>
      </w:r>
      <w:r>
        <w:rPr>
          <w:rFonts w:hint="default" w:ascii="Times New Roman" w:hAnsi="Times New Roman" w:cs="Times New Roman"/>
          <w:color w:val="auto"/>
          <w:highlight w:val="none"/>
        </w:rPr>
        <w:t>整体处于中污染水平。两次调查结果共检出浮游动物2</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种，其中轮虫11种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原生动物8种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桡足类5种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枝角类4种。优势种为瓶砂壳虫、壶状臂尾轮虫、椎尾水轮虫。浮游动物平均密度为</w:t>
      </w:r>
      <w:r>
        <w:rPr>
          <w:rFonts w:hint="default" w:ascii="Times New Roman" w:hAnsi="Times New Roman" w:cs="Times New Roman"/>
          <w:bCs/>
          <w:color w:val="auto"/>
          <w:sz w:val="24"/>
          <w:szCs w:val="24"/>
          <w:highlight w:val="none"/>
        </w:rPr>
        <w:t>89.6ind./L，生物量平均值为0.1mg/L</w:t>
      </w:r>
      <w:r>
        <w:rPr>
          <w:rFonts w:hint="default" w:ascii="Times New Roman" w:hAnsi="Times New Roman" w:cs="Times New Roman"/>
          <w:color w:val="auto"/>
          <w:highlight w:val="none"/>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10" w:name="_Toc5612"/>
      <w:bookmarkStart w:id="111" w:name="_Toc116917270"/>
      <w:bookmarkStart w:id="112" w:name="_Toc13506"/>
      <w:r>
        <w:rPr>
          <w:rFonts w:hint="default" w:cs="Times New Roman"/>
          <w:b/>
          <w:bCs/>
          <w:color w:val="auto"/>
          <w:kern w:val="0"/>
          <w:sz w:val="28"/>
          <w:szCs w:val="28"/>
          <w:highlight w:val="none"/>
          <w:lang w:val="en-US" w:eastAsia="zh-CN"/>
        </w:rPr>
        <w:t>4.5.4.4底栖动物</w:t>
      </w:r>
      <w:bookmarkEnd w:id="110"/>
      <w:bookmarkEnd w:id="111"/>
      <w:bookmarkEnd w:id="112"/>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（1）种类组成</w:t>
      </w:r>
    </w:p>
    <w:p>
      <w:pPr>
        <w:spacing w:line="360" w:lineRule="auto"/>
        <w:ind w:firstLine="480" w:firstLineChars="200"/>
        <w:rPr>
          <w:rFonts w:hint="default" w:ascii="Times New Roman" w:hAnsi="Times New Roman" w:cs="Times New Roman"/>
          <w:color w:val="auto"/>
          <w:sz w:val="24"/>
          <w:szCs w:val="24"/>
          <w:highlight w:val="none"/>
        </w:rPr>
      </w:pPr>
      <w:bookmarkStart w:id="113" w:name="_Toc362249774"/>
      <w:r>
        <w:rPr>
          <w:rFonts w:hint="default" w:ascii="Times New Roman" w:hAnsi="Times New Roman" w:cs="Times New Roman"/>
          <w:color w:val="auto"/>
          <w:sz w:val="24"/>
          <w:szCs w:val="24"/>
          <w:highlight w:val="none"/>
        </w:rPr>
        <w:t>对5个采样点所采集的底栖生物进行分类鉴定，共鉴定出3门13种（附录3-3）。其中，软体动物最多，有8种，占总物种数的61.5%；节肢动物4种，占总物种数的30.8%；环节动物1种，占总物种数的</w:t>
      </w:r>
      <w:r>
        <w:rPr>
          <w:rFonts w:hint="default" w:cs="Times New Roman"/>
          <w:color w:val="auto"/>
          <w:sz w:val="24"/>
          <w:szCs w:val="24"/>
          <w:highlight w:val="none"/>
          <w:lang w:val="en-US" w:eastAsia="zh-CN"/>
        </w:rPr>
        <w:t>7.7</w:t>
      </w:r>
      <w:r>
        <w:rPr>
          <w:rFonts w:hint="default" w:ascii="Times New Roman" w:hAnsi="Times New Roman" w:cs="Times New Roman"/>
          <w:color w:val="auto"/>
          <w:sz w:val="24"/>
          <w:szCs w:val="24"/>
          <w:highlight w:val="none"/>
        </w:rPr>
        <w:t>%。常见种类为中华圆田螺（</w:t>
      </w:r>
      <w:r>
        <w:rPr>
          <w:rFonts w:hint="default" w:ascii="Times New Roman" w:hAnsi="Times New Roman" w:cs="Times New Roman"/>
          <w:i/>
          <w:iCs/>
          <w:color w:val="auto"/>
          <w:sz w:val="24"/>
          <w:szCs w:val="24"/>
          <w:highlight w:val="none"/>
        </w:rPr>
        <w:t>Cipangopaludina cathayensis</w:t>
      </w:r>
      <w:r>
        <w:rPr>
          <w:rFonts w:hint="default" w:ascii="Times New Roman" w:hAnsi="Times New Roman" w:cs="Times New Roman"/>
          <w:color w:val="auto"/>
          <w:sz w:val="24"/>
          <w:szCs w:val="24"/>
          <w:highlight w:val="none"/>
        </w:rPr>
        <w:t>）、日本沼虾（</w:t>
      </w:r>
      <w:r>
        <w:rPr>
          <w:rFonts w:hint="default" w:ascii="Times New Roman" w:hAnsi="Times New Roman" w:cs="Times New Roman"/>
          <w:i/>
          <w:iCs/>
          <w:color w:val="auto"/>
          <w:sz w:val="24"/>
          <w:szCs w:val="24"/>
          <w:highlight w:val="none"/>
        </w:rPr>
        <w:t>Macrobrachium nipponensis</w:t>
      </w:r>
      <w:r>
        <w:rPr>
          <w:rFonts w:hint="default" w:ascii="Times New Roman" w:hAnsi="Times New Roman" w:cs="Times New Roman"/>
          <w:color w:val="auto"/>
          <w:sz w:val="24"/>
          <w:szCs w:val="24"/>
          <w:highlight w:val="none"/>
        </w:rPr>
        <w:t>）、梨形环棱螺（</w:t>
      </w:r>
      <w:r>
        <w:rPr>
          <w:rFonts w:hint="default" w:ascii="Times New Roman" w:hAnsi="Times New Roman" w:cs="Times New Roman"/>
          <w:i/>
          <w:iCs/>
          <w:color w:val="auto"/>
          <w:sz w:val="24"/>
          <w:szCs w:val="24"/>
          <w:highlight w:val="none"/>
        </w:rPr>
        <w:t>Bellamya purificata</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zh-CN" w:eastAsia="zh-CN"/>
        </w:rPr>
      </w:pPr>
      <w:r>
        <w:rPr>
          <w:rFonts w:hint="default" w:ascii="Times New Roman" w:hAnsi="Times New Roman" w:cs="Times New Roman"/>
          <w:b/>
          <w:color w:val="auto"/>
          <w:highlight w:val="none"/>
          <w:lang w:val="zh-CN" w:eastAsia="zh-CN"/>
        </w:rPr>
        <w:t>表</w:t>
      </w:r>
      <w:r>
        <w:rPr>
          <w:rFonts w:hint="default" w:ascii="Times New Roman" w:hAnsi="Times New Roman" w:cs="Times New Roman"/>
          <w:b/>
          <w:color w:val="auto"/>
          <w:highlight w:val="none"/>
          <w:lang w:val="en-US" w:eastAsia="zh-CN"/>
        </w:rPr>
        <w:t>4.</w:t>
      </w:r>
      <w:r>
        <w:rPr>
          <w:rFonts w:hint="default" w:cs="Times New Roman"/>
          <w:b/>
          <w:color w:val="auto"/>
          <w:highlight w:val="none"/>
          <w:lang w:val="en-US" w:eastAsia="zh-CN"/>
        </w:rPr>
        <w:t>5</w:t>
      </w:r>
      <w:r>
        <w:rPr>
          <w:rFonts w:hint="default" w:ascii="Times New Roman" w:hAnsi="Times New Roman" w:cs="Times New Roman"/>
          <w:b/>
          <w:color w:val="auto"/>
          <w:highlight w:val="none"/>
          <w:lang w:val="en-US" w:eastAsia="zh-CN"/>
        </w:rPr>
        <w:t xml:space="preserve">-20 </w:t>
      </w:r>
      <w:r>
        <w:rPr>
          <w:rFonts w:hint="default" w:ascii="Times New Roman" w:hAnsi="Times New Roman" w:cs="Times New Roman"/>
          <w:b/>
          <w:color w:val="auto"/>
          <w:highlight w:val="none"/>
          <w:lang w:val="zh-CN" w:eastAsia="zh-CN"/>
        </w:rPr>
        <w:t>各门底栖动物种类数及所占比例</w:t>
      </w:r>
    </w:p>
    <w:tbl>
      <w:tblPr>
        <w:tblStyle w:val="22"/>
        <w:tblW w:w="425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844"/>
        <w:gridCol w:w="1351"/>
        <w:gridCol w:w="1351"/>
        <w:gridCol w:w="1351"/>
        <w:gridCol w:w="135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8" w:hRule="atLeast"/>
          <w:jc w:val="center"/>
        </w:trPr>
        <w:tc>
          <w:tcPr>
            <w:tcW w:w="1272" w:type="pct"/>
            <w:tcBorders>
              <w:tl2br w:val="nil"/>
              <w:tr2bl w:val="nil"/>
            </w:tcBorders>
            <w:vAlign w:val="center"/>
          </w:tcPr>
          <w:p>
            <w:pPr>
              <w:widowControl/>
              <w:wordWrap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类别</w:t>
            </w:r>
          </w:p>
        </w:tc>
        <w:tc>
          <w:tcPr>
            <w:tcW w:w="932" w:type="pct"/>
            <w:tcBorders>
              <w:tl2br w:val="nil"/>
              <w:tr2bl w:val="nil"/>
            </w:tcBorders>
            <w:vAlign w:val="center"/>
          </w:tcPr>
          <w:p>
            <w:pPr>
              <w:widowControl/>
              <w:wordWrap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软体动物</w:t>
            </w:r>
          </w:p>
        </w:tc>
        <w:tc>
          <w:tcPr>
            <w:tcW w:w="932" w:type="pct"/>
            <w:tcBorders>
              <w:tl2br w:val="nil"/>
              <w:tr2bl w:val="nil"/>
            </w:tcBorders>
            <w:vAlign w:val="center"/>
          </w:tcPr>
          <w:p>
            <w:pPr>
              <w:widowControl/>
              <w:wordWrap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节肢动物</w:t>
            </w:r>
          </w:p>
        </w:tc>
        <w:tc>
          <w:tcPr>
            <w:tcW w:w="932" w:type="pct"/>
            <w:tcBorders>
              <w:tl2br w:val="nil"/>
              <w:tr2bl w:val="nil"/>
            </w:tcBorders>
            <w:vAlign w:val="center"/>
          </w:tcPr>
          <w:p>
            <w:pPr>
              <w:widowControl/>
              <w:wordWrap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环节动物</w:t>
            </w:r>
          </w:p>
        </w:tc>
        <w:tc>
          <w:tcPr>
            <w:tcW w:w="932" w:type="pct"/>
            <w:tcBorders>
              <w:tl2br w:val="nil"/>
              <w:tr2bl w:val="nil"/>
            </w:tcBorders>
            <w:vAlign w:val="center"/>
          </w:tcPr>
          <w:p>
            <w:pPr>
              <w:widowControl/>
              <w:wordWrap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合计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8" w:hRule="atLeast"/>
          <w:jc w:val="center"/>
        </w:trPr>
        <w:tc>
          <w:tcPr>
            <w:tcW w:w="127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种类数</w:t>
            </w:r>
          </w:p>
        </w:tc>
        <w:tc>
          <w:tcPr>
            <w:tcW w:w="93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w:t>
            </w:r>
          </w:p>
        </w:tc>
        <w:tc>
          <w:tcPr>
            <w:tcW w:w="93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w:t>
            </w:r>
          </w:p>
        </w:tc>
        <w:tc>
          <w:tcPr>
            <w:tcW w:w="93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w:t>
            </w:r>
          </w:p>
        </w:tc>
        <w:tc>
          <w:tcPr>
            <w:tcW w:w="93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8" w:hRule="atLeast"/>
          <w:jc w:val="center"/>
        </w:trPr>
        <w:tc>
          <w:tcPr>
            <w:tcW w:w="127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比例（%）</w:t>
            </w:r>
          </w:p>
        </w:tc>
        <w:tc>
          <w:tcPr>
            <w:tcW w:w="93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61.5</w:t>
            </w:r>
          </w:p>
        </w:tc>
        <w:tc>
          <w:tcPr>
            <w:tcW w:w="93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30.8</w:t>
            </w:r>
          </w:p>
        </w:tc>
        <w:tc>
          <w:tcPr>
            <w:tcW w:w="93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7.7</w:t>
            </w:r>
          </w:p>
        </w:tc>
        <w:tc>
          <w:tcPr>
            <w:tcW w:w="932" w:type="pct"/>
            <w:tcBorders>
              <w:tl2br w:val="nil"/>
              <w:tr2bl w:val="nil"/>
            </w:tcBorders>
            <w:vAlign w:val="center"/>
          </w:tcPr>
          <w:p>
            <w:pPr>
              <w:widowControl/>
              <w:wordWrap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100.0</w:t>
            </w:r>
          </w:p>
        </w:tc>
      </w:tr>
      <w:bookmarkEnd w:id="113"/>
    </w:tbl>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（2）密度和生物量</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各采样点底栖动物密度平均值为115.8ind./m</w:t>
      </w:r>
      <w:r>
        <w:rPr>
          <w:rFonts w:hint="default" w:ascii="Times New Roman" w:hAnsi="Times New Roman" w:cs="Times New Roman"/>
          <w:color w:val="auto"/>
          <w:kern w:val="0"/>
          <w:sz w:val="24"/>
          <w:szCs w:val="24"/>
          <w:highlight w:val="none"/>
          <w:vertAlign w:val="superscript"/>
        </w:rPr>
        <w:t>2</w:t>
      </w:r>
      <w:r>
        <w:rPr>
          <w:rFonts w:hint="default" w:ascii="Times New Roman" w:hAnsi="Times New Roman" w:cs="Times New Roman"/>
          <w:color w:val="auto"/>
          <w:kern w:val="0"/>
          <w:sz w:val="24"/>
          <w:szCs w:val="24"/>
          <w:highlight w:val="none"/>
        </w:rPr>
        <w:t>，生物量平均值为74.3g/m</w:t>
      </w:r>
      <w:r>
        <w:rPr>
          <w:rFonts w:hint="default" w:ascii="Times New Roman" w:hAnsi="Times New Roman" w:cs="Times New Roman"/>
          <w:color w:val="auto"/>
          <w:kern w:val="0"/>
          <w:sz w:val="24"/>
          <w:szCs w:val="24"/>
          <w:highlight w:val="none"/>
          <w:vertAlign w:val="superscript"/>
        </w:rPr>
        <w:t>2</w:t>
      </w:r>
      <w:r>
        <w:rPr>
          <w:rFonts w:hint="default" w:ascii="Times New Roman" w:hAnsi="Times New Roman" w:cs="Times New Roman"/>
          <w:color w:val="auto"/>
          <w:kern w:val="0"/>
          <w:sz w:val="24"/>
          <w:szCs w:val="24"/>
          <w:highlight w:val="none"/>
        </w:rPr>
        <w:t>。整体来看，5月份密度和生物量普遍高于11月份。蒸水河口处密度和生物量最高，其次为程上游1km处，工程区河段左岸</w:t>
      </w:r>
      <w:r>
        <w:rPr>
          <w:rFonts w:hint="default" w:ascii="Times New Roman" w:hAnsi="Times New Roman" w:cs="Times New Roman"/>
          <w:color w:val="auto"/>
          <w:sz w:val="24"/>
          <w:szCs w:val="24"/>
          <w:highlight w:val="none"/>
        </w:rPr>
        <w:t>最低。</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zh-CN" w:eastAsia="zh-CN"/>
        </w:rPr>
      </w:pPr>
      <w:r>
        <w:rPr>
          <w:rFonts w:hint="default" w:ascii="Times New Roman" w:hAnsi="Times New Roman" w:cs="Times New Roman"/>
          <w:b/>
          <w:color w:val="auto"/>
          <w:highlight w:val="none"/>
          <w:lang w:val="zh-CN" w:eastAsia="zh-CN"/>
        </w:rPr>
        <w:t>表</w:t>
      </w:r>
      <w:r>
        <w:rPr>
          <w:rFonts w:hint="default" w:cs="Times New Roman"/>
          <w:b/>
          <w:color w:val="auto"/>
          <w:highlight w:val="none"/>
          <w:lang w:val="en-US" w:eastAsia="zh-CN"/>
        </w:rPr>
        <w:t>4.5-21</w:t>
      </w:r>
      <w:r>
        <w:rPr>
          <w:rFonts w:hint="default" w:ascii="Times New Roman" w:hAnsi="Times New Roman" w:cs="Times New Roman"/>
          <w:b/>
          <w:color w:val="auto"/>
          <w:highlight w:val="none"/>
          <w:lang w:val="zh-CN" w:eastAsia="zh-CN"/>
        </w:rPr>
        <w:t xml:space="preserve"> 评价区底栖动物密度（ind/m</w:t>
      </w:r>
      <w:r>
        <w:rPr>
          <w:rFonts w:hint="default" w:ascii="Times New Roman" w:hAnsi="Times New Roman" w:cs="Times New Roman"/>
          <w:b/>
          <w:color w:val="auto"/>
          <w:highlight w:val="none"/>
          <w:vertAlign w:val="superscript"/>
          <w:lang w:val="zh-CN" w:eastAsia="zh-CN"/>
        </w:rPr>
        <w:t>2</w:t>
      </w:r>
      <w:r>
        <w:rPr>
          <w:rFonts w:hint="default" w:ascii="Times New Roman" w:hAnsi="Times New Roman" w:cs="Times New Roman"/>
          <w:b/>
          <w:color w:val="auto"/>
          <w:highlight w:val="none"/>
          <w:lang w:val="zh-CN" w:eastAsia="zh-CN"/>
        </w:rPr>
        <w:t>）及生物量（g/m</w:t>
      </w:r>
      <w:r>
        <w:rPr>
          <w:rFonts w:hint="default" w:ascii="Times New Roman" w:hAnsi="Times New Roman" w:cs="Times New Roman"/>
          <w:b/>
          <w:color w:val="auto"/>
          <w:highlight w:val="none"/>
          <w:vertAlign w:val="superscript"/>
          <w:lang w:val="zh-CN" w:eastAsia="zh-CN"/>
        </w:rPr>
        <w:t>2</w:t>
      </w:r>
      <w:r>
        <w:rPr>
          <w:rFonts w:hint="default" w:ascii="Times New Roman" w:hAnsi="Times New Roman" w:cs="Times New Roman"/>
          <w:b/>
          <w:color w:val="auto"/>
          <w:highlight w:val="none"/>
          <w:lang w:val="zh-CN" w:eastAsia="zh-CN"/>
        </w:rPr>
        <w:t>）</w:t>
      </w:r>
    </w:p>
    <w:tbl>
      <w:tblPr>
        <w:tblStyle w:val="22"/>
        <w:tblW w:w="8898" w:type="dxa"/>
        <w:jc w:val="center"/>
        <w:tblLayout w:type="fixed"/>
        <w:tblCellMar>
          <w:top w:w="0" w:type="dxa"/>
          <w:left w:w="108" w:type="dxa"/>
          <w:bottom w:w="0" w:type="dxa"/>
          <w:right w:w="108" w:type="dxa"/>
        </w:tblCellMar>
      </w:tblPr>
      <w:tblGrid>
        <w:gridCol w:w="1033"/>
        <w:gridCol w:w="723"/>
        <w:gridCol w:w="728"/>
        <w:gridCol w:w="723"/>
        <w:gridCol w:w="728"/>
        <w:gridCol w:w="723"/>
        <w:gridCol w:w="728"/>
        <w:gridCol w:w="613"/>
        <w:gridCol w:w="741"/>
        <w:gridCol w:w="707"/>
        <w:gridCol w:w="728"/>
        <w:gridCol w:w="723"/>
      </w:tblGrid>
      <w:tr>
        <w:tblPrEx>
          <w:tblCellMar>
            <w:top w:w="0" w:type="dxa"/>
            <w:left w:w="108" w:type="dxa"/>
            <w:bottom w:w="0" w:type="dxa"/>
            <w:right w:w="108" w:type="dxa"/>
          </w:tblCellMar>
        </w:tblPrEx>
        <w:trPr>
          <w:trHeight w:val="270" w:hRule="atLeast"/>
          <w:jc w:val="center"/>
        </w:trPr>
        <w:tc>
          <w:tcPr>
            <w:tcW w:w="1033" w:type="dxa"/>
            <w:vMerge w:val="restart"/>
            <w:tcBorders>
              <w:top w:val="single" w:color="auto" w:sz="4" w:space="0"/>
              <w:left w:val="single" w:color="auto" w:sz="4" w:space="0"/>
              <w:right w:val="single" w:color="auto" w:sz="4" w:space="0"/>
            </w:tcBorders>
            <w:shd w:val="clear" w:color="auto" w:fill="auto"/>
            <w:noWrap/>
            <w:vAlign w:val="center"/>
          </w:tcPr>
          <w:p>
            <w:pPr>
              <w:widowControl/>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类别</w:t>
            </w:r>
          </w:p>
        </w:tc>
        <w:tc>
          <w:tcPr>
            <w:tcW w:w="1451"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1451"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w:t>
            </w:r>
          </w:p>
        </w:tc>
        <w:tc>
          <w:tcPr>
            <w:tcW w:w="1451"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w:t>
            </w:r>
          </w:p>
        </w:tc>
        <w:tc>
          <w:tcPr>
            <w:tcW w:w="1354"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w:t>
            </w:r>
          </w:p>
        </w:tc>
        <w:tc>
          <w:tcPr>
            <w:tcW w:w="1435"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w:t>
            </w:r>
          </w:p>
        </w:tc>
        <w:tc>
          <w:tcPr>
            <w:tcW w:w="723" w:type="dxa"/>
            <w:vMerge w:val="restart"/>
            <w:tcBorders>
              <w:top w:val="single" w:color="auto" w:sz="4" w:space="0"/>
              <w:left w:val="nil"/>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均值</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　</w:t>
            </w:r>
          </w:p>
        </w:tc>
      </w:tr>
      <w:tr>
        <w:tblPrEx>
          <w:tblCellMar>
            <w:top w:w="0" w:type="dxa"/>
            <w:left w:w="108" w:type="dxa"/>
            <w:bottom w:w="0" w:type="dxa"/>
            <w:right w:w="108" w:type="dxa"/>
          </w:tblCellMar>
        </w:tblPrEx>
        <w:trPr>
          <w:trHeight w:val="270" w:hRule="atLeast"/>
          <w:jc w:val="center"/>
        </w:trPr>
        <w:tc>
          <w:tcPr>
            <w:tcW w:w="1033" w:type="dxa"/>
            <w:vMerge w:val="continue"/>
            <w:tcBorders>
              <w:left w:val="single" w:color="auto" w:sz="4" w:space="0"/>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61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741"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07"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5月</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11月</w:t>
            </w:r>
          </w:p>
        </w:tc>
        <w:tc>
          <w:tcPr>
            <w:tcW w:w="723" w:type="dxa"/>
            <w:vMerge w:val="continue"/>
            <w:tcBorders>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p>
        </w:tc>
      </w:tr>
      <w:tr>
        <w:tblPrEx>
          <w:tblCellMar>
            <w:top w:w="0" w:type="dxa"/>
            <w:left w:w="108" w:type="dxa"/>
            <w:bottom w:w="0" w:type="dxa"/>
            <w:right w:w="108" w:type="dxa"/>
          </w:tblCellMar>
        </w:tblPrEx>
        <w:trPr>
          <w:trHeight w:val="270" w:hRule="atLeast"/>
          <w:jc w:val="center"/>
        </w:trPr>
        <w:tc>
          <w:tcPr>
            <w:tcW w:w="103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密度</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142.2</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133.6</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125.6</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123.5</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112.7</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101.2</w:t>
            </w:r>
          </w:p>
        </w:tc>
        <w:tc>
          <w:tcPr>
            <w:tcW w:w="61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62.9</w:t>
            </w:r>
          </w:p>
        </w:tc>
        <w:tc>
          <w:tcPr>
            <w:tcW w:w="741"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55.6</w:t>
            </w:r>
          </w:p>
        </w:tc>
        <w:tc>
          <w:tcPr>
            <w:tcW w:w="707"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155.0</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145.8</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115.8</w:t>
            </w:r>
          </w:p>
        </w:tc>
      </w:tr>
      <w:tr>
        <w:tblPrEx>
          <w:tblCellMar>
            <w:top w:w="0" w:type="dxa"/>
            <w:left w:w="108" w:type="dxa"/>
            <w:bottom w:w="0" w:type="dxa"/>
            <w:right w:w="108" w:type="dxa"/>
          </w:tblCellMar>
        </w:tblPrEx>
        <w:trPr>
          <w:trHeight w:val="270" w:hRule="atLeast"/>
          <w:jc w:val="center"/>
        </w:trPr>
        <w:tc>
          <w:tcPr>
            <w:tcW w:w="103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生物量</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88.7</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82.6</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81.4</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78.2</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71.3</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68.9</w:t>
            </w:r>
          </w:p>
        </w:tc>
        <w:tc>
          <w:tcPr>
            <w:tcW w:w="61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43.8</w:t>
            </w:r>
          </w:p>
        </w:tc>
        <w:tc>
          <w:tcPr>
            <w:tcW w:w="741"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36.3</w:t>
            </w:r>
          </w:p>
        </w:tc>
        <w:tc>
          <w:tcPr>
            <w:tcW w:w="707"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100.9</w:t>
            </w:r>
          </w:p>
        </w:tc>
        <w:tc>
          <w:tcPr>
            <w:tcW w:w="728"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90.7</w:t>
            </w:r>
          </w:p>
        </w:tc>
        <w:tc>
          <w:tcPr>
            <w:tcW w:w="723"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74.3</w:t>
            </w:r>
          </w:p>
        </w:tc>
      </w:tr>
    </w:tbl>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default" w:ascii="Times New Roman" w:hAnsi="Times New Roman" w:cs="Times New Roman"/>
          <w:b/>
          <w:bCs/>
          <w:color w:val="auto"/>
          <w:sz w:val="28"/>
          <w:szCs w:val="28"/>
          <w:highlight w:val="none"/>
        </w:rPr>
      </w:pPr>
      <w:r>
        <w:rPr>
          <w:rFonts w:hint="default" w:ascii="Times New Roman" w:hAnsi="Times New Roman" w:cs="Times New Roman"/>
          <w:bCs/>
          <w:color w:val="auto"/>
          <w:sz w:val="18"/>
          <w:szCs w:val="18"/>
          <w:highlight w:val="none"/>
        </w:rPr>
        <w:t>注：1#代表工程上游1km处、2#工程区河段右岸1、3#工程区河段右岸2、4#工程区河段左岸、5#蒸水河</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（3）底栖动物多样性指数</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kern w:val="0"/>
          <w:sz w:val="24"/>
          <w:szCs w:val="24"/>
          <w:highlight w:val="none"/>
          <w:lang w:val="en-US" w:eastAsia="zh-CN"/>
        </w:rPr>
        <w:t>底栖动物</w:t>
      </w:r>
      <w:r>
        <w:rPr>
          <w:rFonts w:hint="default" w:ascii="Times New Roman" w:hAnsi="Times New Roman" w:cs="Times New Roman"/>
          <w:color w:val="auto"/>
          <w:kern w:val="0"/>
          <w:sz w:val="24"/>
          <w:szCs w:val="24"/>
          <w:highlight w:val="none"/>
        </w:rPr>
        <w:t>调查成果计算</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月和</w:t>
      </w:r>
      <w:r>
        <w:rPr>
          <w:rFonts w:hint="default" w:ascii="Times New Roman" w:hAnsi="Times New Roman" w:cs="Times New Roman"/>
          <w:color w:val="auto"/>
          <w:kern w:val="0"/>
          <w:sz w:val="24"/>
          <w:szCs w:val="24"/>
          <w:highlight w:val="none"/>
          <w:lang w:val="en-US" w:eastAsia="zh-CN"/>
        </w:rPr>
        <w:t>11</w:t>
      </w:r>
      <w:r>
        <w:rPr>
          <w:rFonts w:hint="default" w:ascii="Times New Roman" w:hAnsi="Times New Roman" w:cs="Times New Roman"/>
          <w:color w:val="auto"/>
          <w:kern w:val="0"/>
          <w:sz w:val="24"/>
          <w:szCs w:val="24"/>
          <w:highlight w:val="none"/>
        </w:rPr>
        <w:t>月香农-威纳多样性指数平均值分别为</w:t>
      </w:r>
      <w:r>
        <w:rPr>
          <w:rFonts w:hint="default" w:ascii="Times New Roman" w:hAnsi="Times New Roman" w:cs="Times New Roman"/>
          <w:color w:val="auto"/>
          <w:kern w:val="0"/>
          <w:sz w:val="24"/>
          <w:szCs w:val="24"/>
          <w:highlight w:val="none"/>
          <w:lang w:val="en-US" w:eastAsia="zh-CN"/>
        </w:rPr>
        <w:t>0.97</w:t>
      </w:r>
      <w:r>
        <w:rPr>
          <w:rFonts w:hint="default" w:ascii="Times New Roman" w:hAnsi="Times New Roman" w:cs="Times New Roman"/>
          <w:color w:val="auto"/>
          <w:kern w:val="0"/>
          <w:sz w:val="24"/>
          <w:szCs w:val="24"/>
          <w:highlight w:val="none"/>
        </w:rPr>
        <w:t>和</w:t>
      </w:r>
      <w:r>
        <w:rPr>
          <w:rFonts w:hint="default" w:ascii="Times New Roman" w:hAnsi="Times New Roman" w:cs="Times New Roman"/>
          <w:color w:val="auto"/>
          <w:kern w:val="0"/>
          <w:sz w:val="24"/>
          <w:szCs w:val="24"/>
          <w:highlight w:val="none"/>
          <w:lang w:val="en-US" w:eastAsia="zh-CN"/>
        </w:rPr>
        <w:t>0.98</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月，工程区河段左岸</w:t>
      </w:r>
      <w:r>
        <w:rPr>
          <w:rFonts w:hint="default" w:ascii="Times New Roman" w:hAnsi="Times New Roman" w:cs="Times New Roman"/>
          <w:color w:val="auto"/>
          <w:kern w:val="0"/>
          <w:sz w:val="24"/>
          <w:szCs w:val="24"/>
          <w:highlight w:val="none"/>
          <w:lang w:val="en-US" w:eastAsia="zh-CN"/>
        </w:rPr>
        <w:t>4#</w:t>
      </w:r>
      <w:r>
        <w:rPr>
          <w:rFonts w:hint="default" w:ascii="Times New Roman" w:hAnsi="Times New Roman" w:cs="Times New Roman"/>
          <w:color w:val="auto"/>
          <w:kern w:val="0"/>
          <w:sz w:val="24"/>
          <w:szCs w:val="24"/>
          <w:highlight w:val="none"/>
        </w:rPr>
        <w:t>多样性指数最高，工程区河段右岸</w:t>
      </w:r>
      <w:r>
        <w:rPr>
          <w:rFonts w:hint="default" w:ascii="Times New Roman" w:hAnsi="Times New Roman" w:cs="Times New Roman"/>
          <w:color w:val="auto"/>
          <w:kern w:val="0"/>
          <w:sz w:val="24"/>
          <w:szCs w:val="24"/>
          <w:highlight w:val="none"/>
          <w:lang w:val="en-US" w:eastAsia="zh-CN"/>
        </w:rPr>
        <w:t>3#</w:t>
      </w:r>
      <w:r>
        <w:rPr>
          <w:rFonts w:hint="default" w:ascii="Times New Roman" w:hAnsi="Times New Roman" w:cs="Times New Roman"/>
          <w:color w:val="auto"/>
          <w:kern w:val="0"/>
          <w:sz w:val="24"/>
          <w:szCs w:val="24"/>
          <w:highlight w:val="none"/>
        </w:rPr>
        <w:t>点位多样性较低；</w:t>
      </w:r>
      <w:r>
        <w:rPr>
          <w:rFonts w:hint="default" w:ascii="Times New Roman" w:hAnsi="Times New Roman" w:cs="Times New Roman"/>
          <w:color w:val="auto"/>
          <w:kern w:val="0"/>
          <w:sz w:val="24"/>
          <w:szCs w:val="24"/>
          <w:highlight w:val="none"/>
          <w:lang w:val="en-US" w:eastAsia="zh-CN"/>
        </w:rPr>
        <w:t>11</w:t>
      </w:r>
      <w:r>
        <w:rPr>
          <w:rFonts w:hint="default" w:ascii="Times New Roman" w:hAnsi="Times New Roman" w:cs="Times New Roman"/>
          <w:color w:val="auto"/>
          <w:kern w:val="0"/>
          <w:sz w:val="24"/>
          <w:szCs w:val="24"/>
          <w:highlight w:val="none"/>
        </w:rPr>
        <w:t>月，工程区河段左岸4#多样性指数最高，工程上游1km处点位多样性较低</w:t>
      </w:r>
      <w:r>
        <w:rPr>
          <w:rFonts w:hint="default" w:ascii="Times New Roman" w:hAnsi="Times New Roman" w:cs="Times New Roman"/>
          <w:color w:val="auto"/>
          <w:kern w:val="0"/>
          <w:sz w:val="24"/>
          <w:szCs w:val="24"/>
          <w:highlight w:val="none"/>
          <w:lang w:val="en-US" w:eastAsia="zh-CN"/>
        </w:rPr>
        <w:t>底栖动物</w:t>
      </w:r>
      <w:r>
        <w:rPr>
          <w:rFonts w:hint="default" w:ascii="Times New Roman" w:hAnsi="Times New Roman" w:cs="Times New Roman"/>
          <w:color w:val="auto"/>
          <w:kern w:val="0"/>
          <w:sz w:val="24"/>
          <w:szCs w:val="24"/>
          <w:highlight w:val="none"/>
        </w:rPr>
        <w:t>生物多样性指数见图3.4-</w:t>
      </w:r>
      <w:r>
        <w:rPr>
          <w:rFonts w:hint="default" w:ascii="Times New Roman" w:hAnsi="Times New Roman"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rPr>
        <w:t>。</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567555" cy="2386330"/>
            <wp:effectExtent l="0" t="0" r="4445" b="13970"/>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137"/>
                    <a:stretch>
                      <a:fillRect/>
                    </a:stretch>
                  </pic:blipFill>
                  <pic:spPr>
                    <a:xfrm>
                      <a:off x="0" y="0"/>
                      <a:ext cx="4567555" cy="23863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zh-CN" w:eastAsia="zh-CN"/>
        </w:rPr>
      </w:pPr>
      <w:r>
        <w:rPr>
          <w:rFonts w:hint="default" w:ascii="Times New Roman" w:hAnsi="Times New Roman" w:cs="Times New Roman"/>
          <w:b/>
          <w:color w:val="auto"/>
          <w:highlight w:val="none"/>
          <w:lang w:val="zh-CN" w:eastAsia="zh-CN"/>
        </w:rPr>
        <w:t>图</w:t>
      </w:r>
      <w:r>
        <w:rPr>
          <w:rFonts w:hint="default" w:cs="Times New Roman"/>
          <w:b/>
          <w:color w:val="auto"/>
          <w:highlight w:val="none"/>
          <w:lang w:val="en-US" w:eastAsia="zh-CN"/>
        </w:rPr>
        <w:t>4.5-19</w:t>
      </w:r>
      <w:r>
        <w:rPr>
          <w:rFonts w:hint="default" w:ascii="Times New Roman" w:hAnsi="Times New Roman" w:cs="Times New Roman"/>
          <w:b/>
          <w:color w:val="auto"/>
          <w:highlight w:val="none"/>
          <w:lang w:val="zh-CN" w:eastAsia="zh-CN"/>
        </w:rPr>
        <w:t xml:space="preserve"> 评价区域</w:t>
      </w:r>
      <w:r>
        <w:rPr>
          <w:rFonts w:hint="default" w:ascii="Times New Roman" w:hAnsi="Times New Roman" w:cs="Times New Roman"/>
          <w:b/>
          <w:color w:val="auto"/>
          <w:highlight w:val="none"/>
          <w:lang w:val="en-US" w:eastAsia="zh-CN"/>
        </w:rPr>
        <w:t>底栖动物</w:t>
      </w:r>
      <w:r>
        <w:rPr>
          <w:rFonts w:hint="default" w:ascii="Times New Roman" w:hAnsi="Times New Roman" w:cs="Times New Roman"/>
          <w:b/>
          <w:color w:val="auto"/>
          <w:highlight w:val="none"/>
          <w:lang w:val="zh-CN" w:eastAsia="zh-CN"/>
        </w:rPr>
        <w:t>多样性指数</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bookmarkStart w:id="114" w:name="_Hlk138346557"/>
      <w:r>
        <w:rPr>
          <w:rFonts w:hint="default" w:ascii="Times New Roman" w:hAnsi="Times New Roman" w:eastAsia="宋体" w:cs="Times New Roman"/>
          <w:b/>
          <w:bCs/>
          <w:color w:val="auto"/>
          <w:kern w:val="0"/>
          <w:sz w:val="24"/>
          <w:szCs w:val="24"/>
          <w:highlight w:val="none"/>
          <w:lang w:val="en-US" w:eastAsia="zh-CN" w:bidi="ar"/>
        </w:rPr>
        <w:t>（4）现状分析</w:t>
      </w:r>
    </w:p>
    <w:bookmarkEnd w:id="114"/>
    <w:p>
      <w:pPr>
        <w:pStyle w:val="66"/>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评价区域水系属湘江干流，周边居民和工厂较多，水质受人为干扰较多，水体</w:t>
      </w:r>
      <w:r>
        <w:rPr>
          <w:rFonts w:hint="default" w:ascii="Times New Roman" w:hAnsi="Times New Roman" w:cs="Times New Roman"/>
          <w:color w:val="auto"/>
          <w:sz w:val="24"/>
          <w:szCs w:val="24"/>
          <w:highlight w:val="none"/>
          <w:lang w:val="en-US" w:eastAsia="zh-CN"/>
        </w:rPr>
        <w:t>基本</w:t>
      </w:r>
      <w:r>
        <w:rPr>
          <w:rFonts w:hint="default" w:ascii="Times New Roman" w:hAnsi="Times New Roman" w:cs="Times New Roman"/>
          <w:color w:val="auto"/>
          <w:sz w:val="24"/>
          <w:szCs w:val="24"/>
          <w:highlight w:val="none"/>
        </w:rPr>
        <w:t>整体处于</w:t>
      </w:r>
      <w:r>
        <w:rPr>
          <w:rFonts w:hint="default" w:ascii="Times New Roman" w:hAnsi="Times New Roman" w:cs="Times New Roman"/>
          <w:color w:val="auto"/>
          <w:sz w:val="24"/>
          <w:szCs w:val="24"/>
          <w:highlight w:val="none"/>
          <w:lang w:val="en-US" w:eastAsia="zh-CN"/>
        </w:rPr>
        <w:t>中-重</w:t>
      </w:r>
      <w:r>
        <w:rPr>
          <w:rFonts w:hint="default" w:ascii="Times New Roman" w:hAnsi="Times New Roman" w:cs="Times New Roman"/>
          <w:color w:val="auto"/>
          <w:sz w:val="24"/>
          <w:szCs w:val="24"/>
          <w:highlight w:val="none"/>
        </w:rPr>
        <w:t>污染水平。两次调查结果共检出</w:t>
      </w:r>
      <w:r>
        <w:rPr>
          <w:rFonts w:hint="default" w:ascii="Times New Roman" w:hAnsi="Times New Roman" w:cs="Times New Roman"/>
          <w:color w:val="auto"/>
          <w:sz w:val="24"/>
          <w:szCs w:val="24"/>
          <w:highlight w:val="none"/>
          <w:lang w:val="en-US" w:eastAsia="zh-CN"/>
        </w:rPr>
        <w:t>底栖动物</w:t>
      </w:r>
      <w:r>
        <w:rPr>
          <w:rFonts w:hint="default" w:ascii="Times New Roman" w:hAnsi="Times New Roman" w:cs="Times New Roman"/>
          <w:color w:val="auto"/>
          <w:sz w:val="24"/>
          <w:szCs w:val="24"/>
          <w:highlight w:val="none"/>
        </w:rPr>
        <w:t>3门13种。其中，软体动物8种，节肢动物4种，环节动物1种。常见种类为中华圆田螺、日本沼虾、梨形环棱螺。</w:t>
      </w:r>
      <w:r>
        <w:rPr>
          <w:rFonts w:hint="default" w:ascii="Times New Roman" w:hAnsi="Times New Roman" w:cs="Times New Roman"/>
          <w:color w:val="auto"/>
          <w:sz w:val="24"/>
          <w:szCs w:val="24"/>
          <w:highlight w:val="none"/>
          <w:lang w:val="en-US" w:eastAsia="zh-CN"/>
        </w:rPr>
        <w:t>底栖</w:t>
      </w:r>
      <w:r>
        <w:rPr>
          <w:rFonts w:hint="default" w:ascii="Times New Roman" w:hAnsi="Times New Roman" w:cs="Times New Roman"/>
          <w:color w:val="auto"/>
          <w:sz w:val="24"/>
          <w:szCs w:val="24"/>
          <w:highlight w:val="none"/>
        </w:rPr>
        <w:t>动物平均密度为</w:t>
      </w:r>
      <w:r>
        <w:rPr>
          <w:rFonts w:hint="default" w:ascii="Times New Roman" w:hAnsi="Times New Roman" w:cs="Times New Roman"/>
          <w:color w:val="auto"/>
          <w:kern w:val="0"/>
          <w:sz w:val="24"/>
          <w:szCs w:val="24"/>
          <w:highlight w:val="none"/>
        </w:rPr>
        <w:t>115.8ind./m</w:t>
      </w:r>
      <w:r>
        <w:rPr>
          <w:rFonts w:hint="default" w:ascii="Times New Roman" w:hAnsi="Times New Roman" w:cs="Times New Roman"/>
          <w:color w:val="auto"/>
          <w:kern w:val="0"/>
          <w:sz w:val="24"/>
          <w:szCs w:val="24"/>
          <w:highlight w:val="none"/>
          <w:vertAlign w:val="superscript"/>
        </w:rPr>
        <w:t>2</w:t>
      </w:r>
      <w:r>
        <w:rPr>
          <w:rFonts w:hint="default" w:ascii="Times New Roman" w:hAnsi="Times New Roman" w:cs="Times New Roman"/>
          <w:color w:val="auto"/>
          <w:kern w:val="0"/>
          <w:sz w:val="24"/>
          <w:szCs w:val="24"/>
          <w:highlight w:val="none"/>
        </w:rPr>
        <w:t>，生物量平均值为74.3g/m</w:t>
      </w:r>
      <w:r>
        <w:rPr>
          <w:rFonts w:hint="default" w:ascii="Times New Roman" w:hAnsi="Times New Roman" w:cs="Times New Roman"/>
          <w:color w:val="auto"/>
          <w:kern w:val="0"/>
          <w:sz w:val="24"/>
          <w:szCs w:val="24"/>
          <w:highlight w:val="none"/>
          <w:vertAlign w:val="superscript"/>
        </w:rPr>
        <w:t>2</w:t>
      </w:r>
      <w:r>
        <w:rPr>
          <w:rFonts w:hint="default" w:ascii="Times New Roman" w:hAnsi="Times New Roman" w:cs="Times New Roman"/>
          <w:color w:val="auto"/>
          <w:sz w:val="24"/>
          <w:szCs w:val="24"/>
          <w:highlight w:val="none"/>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15" w:name="_Toc116917271"/>
      <w:bookmarkStart w:id="116" w:name="_Toc809"/>
      <w:bookmarkStart w:id="117" w:name="_Toc19589"/>
      <w:r>
        <w:rPr>
          <w:rFonts w:hint="default" w:cs="Times New Roman"/>
          <w:b/>
          <w:bCs/>
          <w:color w:val="auto"/>
          <w:kern w:val="0"/>
          <w:sz w:val="28"/>
          <w:szCs w:val="28"/>
          <w:highlight w:val="none"/>
          <w:lang w:val="en-US" w:eastAsia="zh-CN"/>
        </w:rPr>
        <w:t>4.5.4.5水生维管植物</w:t>
      </w:r>
      <w:bookmarkEnd w:id="115"/>
      <w:bookmarkEnd w:id="116"/>
      <w:bookmarkEnd w:id="117"/>
    </w:p>
    <w:p>
      <w:pPr>
        <w:spacing w:line="360" w:lineRule="auto"/>
        <w:ind w:firstLine="480"/>
        <w:rPr>
          <w:rFonts w:hint="default" w:ascii="Times New Roman" w:hAnsi="Times New Roman" w:cs="Times New Roman"/>
          <w:bCs/>
          <w:color w:val="auto"/>
          <w:sz w:val="24"/>
          <w:szCs w:val="24"/>
          <w:highlight w:val="none"/>
        </w:rPr>
      </w:pPr>
      <w:r>
        <w:rPr>
          <w:rFonts w:hint="default" w:ascii="Times New Roman" w:hAnsi="Times New Roman" w:cs="Times New Roman"/>
          <w:snapToGrid w:val="0"/>
          <w:color w:val="auto"/>
          <w:sz w:val="24"/>
          <w:szCs w:val="24"/>
          <w:highlight w:val="none"/>
        </w:rPr>
        <w:t>评价区水域为湘江干流，水生植被以挺水植物和漂浮植物种类为主。根据现场调查，评价范围水域附近分布较多的主要有芦苇、喜旱莲子草、凤眼莲、大薸、金鱼藻、菹草等。</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18" w:name="_Toc11632"/>
      <w:bookmarkStart w:id="119" w:name="_Toc116917272"/>
      <w:bookmarkStart w:id="120" w:name="_Toc11737"/>
      <w:r>
        <w:rPr>
          <w:rFonts w:hint="default" w:cs="Times New Roman"/>
          <w:b/>
          <w:bCs/>
          <w:color w:val="auto"/>
          <w:kern w:val="0"/>
          <w:sz w:val="28"/>
          <w:szCs w:val="28"/>
          <w:highlight w:val="none"/>
          <w:lang w:val="en-US" w:eastAsia="zh-CN"/>
        </w:rPr>
        <w:t>4.5.4.6鱼类</w:t>
      </w:r>
      <w:bookmarkEnd w:id="118"/>
      <w:bookmarkEnd w:id="119"/>
      <w:bookmarkEnd w:id="120"/>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（1）种类组成</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2021年12月，湖南省水产研究所在</w:t>
      </w:r>
      <w:r>
        <w:rPr>
          <w:rFonts w:hint="default" w:ascii="Times New Roman" w:hAnsi="Times New Roman" w:cs="Times New Roman"/>
          <w:color w:val="auto"/>
          <w:sz w:val="24"/>
          <w:szCs w:val="24"/>
          <w:highlight w:val="none"/>
          <w:lang w:val="en-US" w:eastAsia="zh-CN"/>
        </w:rPr>
        <w:t>湘江</w:t>
      </w:r>
      <w:r>
        <w:rPr>
          <w:rFonts w:hint="default" w:ascii="Times New Roman" w:hAnsi="Times New Roman" w:cs="Times New Roman"/>
          <w:color w:val="auto"/>
          <w:sz w:val="24"/>
          <w:szCs w:val="24"/>
          <w:highlight w:val="none"/>
        </w:rPr>
        <w:t>土谷塘枢纽坝下至耒水河口江段展开现场调查，根据调查结果，湘江共调查到鱼类11种，25尾，15.0kg，数量上以拟尖头鲌占优势，占渔获物总数的44.0%，其它种类数量均较少；重量上以鳙、拟尖头鲌和南方鲇为主，分别占渔获物总重的34.3%、26.3%和15.0%，其它种类重量百分比均在7.0%以下。结合2018年3月、7月、11月及2021年12月湖南省水产研究所相关资料，评价区共有鱼类5目11科81种，以鲤形目为主，占总种类的80.2%。名录详见附录3-4。</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（2）区系组成</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根据史为良《鱼类动物区系复合体学说及其评价》中关于鱼类动物区系复合体学说的评价，评价区域分布鱼类涉及以下</w:t>
      </w:r>
      <w:r>
        <w:rPr>
          <w:rFonts w:hint="default" w:cs="Times New Roman"/>
          <w:color w:val="auto"/>
          <w:kern w:val="0"/>
          <w:sz w:val="24"/>
          <w:szCs w:val="24"/>
          <w:highlight w:val="none"/>
          <w:lang w:val="en-US" w:eastAsia="zh-CN"/>
        </w:rPr>
        <w:t>4</w:t>
      </w:r>
      <w:r>
        <w:rPr>
          <w:rFonts w:hint="default" w:ascii="Times New Roman" w:hAnsi="Times New Roman" w:cs="Times New Roman"/>
          <w:color w:val="auto"/>
          <w:kern w:val="0"/>
          <w:sz w:val="24"/>
          <w:szCs w:val="24"/>
          <w:highlight w:val="none"/>
        </w:rPr>
        <w:t>个区系类群：</w:t>
      </w:r>
    </w:p>
    <w:p>
      <w:pPr>
        <w:numPr>
          <w:ilvl w:val="0"/>
          <w:numId w:val="17"/>
        </w:num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中国平原区系复合体：评价区域有青鱼、草鱼、鲢、鳙等。</w:t>
      </w:r>
    </w:p>
    <w:p>
      <w:pPr>
        <w:numPr>
          <w:ilvl w:val="0"/>
          <w:numId w:val="17"/>
        </w:num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南方平原区系复合体：评价区域侧条光唇鱼、黄鳝等。</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（3）北方平原区系复合体：评价区域麦穗鱼等。它们耐寒，较耐盐碱，产卵季节较早，在地层中出现得比中国平原复合体靠下，在高纬度分布较广，随着纬度的降低，这一复合体种的数目和种群数量逐渐减少。</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w:t>
      </w:r>
      <w:r>
        <w:rPr>
          <w:rFonts w:hint="default" w:cs="Times New Roman"/>
          <w:color w:val="auto"/>
          <w:kern w:val="0"/>
          <w:sz w:val="24"/>
          <w:szCs w:val="24"/>
          <w:highlight w:val="none"/>
          <w:lang w:val="en-US" w:eastAsia="zh-CN"/>
        </w:rPr>
        <w:t>4</w:t>
      </w:r>
      <w:r>
        <w:rPr>
          <w:rFonts w:hint="default" w:ascii="Times New Roman" w:hAnsi="Times New Roman" w:cs="Times New Roman"/>
          <w:color w:val="auto"/>
          <w:kern w:val="0"/>
          <w:sz w:val="24"/>
          <w:szCs w:val="24"/>
          <w:highlight w:val="none"/>
        </w:rPr>
        <w:t>）晚第三纪早期区系复合体：评价区域有泥鳅、鲤、鲫属于该区系复合体。该区系复合体被分割成若干不连续的区域，有的种类并存于欧亚。它们共同特征是适应性强，分布广泛，适应静水或缓流水环境，产粘性卵于水草或石砾上，部分种类产卵于软体动物外套膜中，视觉不发达，嗅觉发达，以底栖生物为食者较多，适应于在较浑浊水体中生活。</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（3）食性类型</w:t>
      </w:r>
    </w:p>
    <w:p>
      <w:pPr>
        <w:wordWrap w:val="0"/>
        <w:spacing w:line="360" w:lineRule="auto"/>
        <w:ind w:firstLine="480" w:firstLineChars="200"/>
        <w:rPr>
          <w:rFonts w:hint="default" w:ascii="Times New Roman" w:hAnsi="Times New Roman" w:eastAsia="宋体" w:cs="Times New Roman"/>
          <w:bCs/>
          <w:iCs/>
          <w:color w:val="auto"/>
          <w:sz w:val="24"/>
          <w:highlight w:val="none"/>
        </w:rPr>
      </w:pPr>
      <w:r>
        <w:rPr>
          <w:rFonts w:hint="default" w:ascii="Times New Roman" w:hAnsi="Times New Roman" w:eastAsia="宋体" w:cs="Times New Roman"/>
          <w:bCs/>
          <w:iCs/>
          <w:color w:val="auto"/>
          <w:sz w:val="24"/>
          <w:highlight w:val="none"/>
        </w:rPr>
        <w:t>根据评价区成鱼的摄食对象，可以将评价区鱼类划分为3类：</w:t>
      </w:r>
    </w:p>
    <w:p>
      <w:pPr>
        <w:wordWrap w:val="0"/>
        <w:spacing w:line="360" w:lineRule="auto"/>
        <w:ind w:firstLine="480" w:firstLineChars="200"/>
        <w:rPr>
          <w:rFonts w:hint="default" w:ascii="Times New Roman" w:hAnsi="Times New Roman" w:eastAsia="宋体" w:cs="Times New Roman"/>
          <w:bCs/>
          <w:iCs/>
          <w:color w:val="auto"/>
          <w:sz w:val="24"/>
          <w:highlight w:val="none"/>
        </w:rPr>
      </w:pPr>
      <w:r>
        <w:rPr>
          <w:rFonts w:hint="default" w:cs="Times New Roman"/>
          <w:bCs/>
          <w:iCs/>
          <w:color w:val="auto"/>
          <w:sz w:val="24"/>
          <w:highlight w:val="none"/>
          <w:lang w:eastAsia="zh-CN"/>
        </w:rPr>
        <w:t>（</w:t>
      </w:r>
      <w:r>
        <w:rPr>
          <w:rFonts w:hint="default" w:cs="Times New Roman"/>
          <w:bCs/>
          <w:iCs/>
          <w:color w:val="auto"/>
          <w:sz w:val="24"/>
          <w:highlight w:val="none"/>
          <w:lang w:val="en-US" w:eastAsia="zh-CN"/>
        </w:rPr>
        <w:t>1</w:t>
      </w:r>
      <w:r>
        <w:rPr>
          <w:rFonts w:hint="default" w:cs="Times New Roman"/>
          <w:bCs/>
          <w:iCs/>
          <w:color w:val="auto"/>
          <w:sz w:val="24"/>
          <w:highlight w:val="none"/>
          <w:lang w:eastAsia="zh-CN"/>
        </w:rPr>
        <w:t>）</w:t>
      </w:r>
      <w:r>
        <w:rPr>
          <w:rFonts w:hint="default" w:ascii="Times New Roman" w:hAnsi="Times New Roman" w:eastAsia="宋体" w:cs="Times New Roman"/>
          <w:bCs/>
          <w:iCs/>
          <w:color w:val="auto"/>
          <w:sz w:val="24"/>
          <w:highlight w:val="none"/>
        </w:rPr>
        <w:t>植食性鱼类：包括以维管植物为食的草鱼和以周丛植物为食的鲴亚科鱼类如黄尾鲴</w:t>
      </w:r>
      <w:r>
        <w:rPr>
          <w:rFonts w:hint="default" w:ascii="Times New Roman" w:hAnsi="Times New Roman" w:eastAsia="宋体" w:cs="Times New Roman"/>
          <w:bCs/>
          <w:iCs/>
          <w:color w:val="auto"/>
          <w:sz w:val="24"/>
          <w:highlight w:val="none"/>
          <w:lang w:eastAsia="zh-CN"/>
        </w:rPr>
        <w:t>、</w:t>
      </w:r>
      <w:r>
        <w:rPr>
          <w:rFonts w:hint="default" w:ascii="Times New Roman" w:hAnsi="Times New Roman" w:eastAsia="宋体" w:cs="Times New Roman"/>
          <w:bCs/>
          <w:iCs/>
          <w:color w:val="auto"/>
          <w:sz w:val="24"/>
          <w:highlight w:val="none"/>
          <w:lang w:val="en-US" w:eastAsia="zh-CN"/>
        </w:rPr>
        <w:t>银鲴</w:t>
      </w:r>
      <w:r>
        <w:rPr>
          <w:rFonts w:hint="default" w:ascii="Times New Roman" w:hAnsi="Times New Roman" w:eastAsia="宋体" w:cs="Times New Roman"/>
          <w:bCs/>
          <w:iCs/>
          <w:color w:val="auto"/>
          <w:sz w:val="24"/>
          <w:highlight w:val="none"/>
        </w:rPr>
        <w:t>。</w:t>
      </w:r>
    </w:p>
    <w:p>
      <w:pPr>
        <w:wordWrap w:val="0"/>
        <w:spacing w:line="360" w:lineRule="auto"/>
        <w:ind w:firstLine="480" w:firstLineChars="200"/>
        <w:rPr>
          <w:rFonts w:hint="default" w:ascii="Times New Roman" w:hAnsi="Times New Roman" w:eastAsia="宋体" w:cs="Times New Roman"/>
          <w:bCs/>
          <w:iCs/>
          <w:color w:val="auto"/>
          <w:sz w:val="24"/>
          <w:highlight w:val="none"/>
        </w:rPr>
      </w:pPr>
      <w:r>
        <w:rPr>
          <w:rFonts w:hint="default" w:cs="Times New Roman"/>
          <w:bCs/>
          <w:iCs/>
          <w:color w:val="auto"/>
          <w:sz w:val="24"/>
          <w:highlight w:val="none"/>
          <w:lang w:eastAsia="zh-CN"/>
        </w:rPr>
        <w:t>（</w:t>
      </w:r>
      <w:r>
        <w:rPr>
          <w:rFonts w:hint="default" w:cs="Times New Roman"/>
          <w:bCs/>
          <w:iCs/>
          <w:color w:val="auto"/>
          <w:sz w:val="24"/>
          <w:highlight w:val="none"/>
          <w:lang w:val="en-US" w:eastAsia="zh-CN"/>
        </w:rPr>
        <w:t>2</w:t>
      </w:r>
      <w:r>
        <w:rPr>
          <w:rFonts w:hint="default" w:cs="Times New Roman"/>
          <w:bCs/>
          <w:iCs/>
          <w:color w:val="auto"/>
          <w:sz w:val="24"/>
          <w:highlight w:val="none"/>
          <w:lang w:eastAsia="zh-CN"/>
        </w:rPr>
        <w:t>）</w:t>
      </w:r>
      <w:r>
        <w:rPr>
          <w:rFonts w:hint="default" w:ascii="Times New Roman" w:hAnsi="Times New Roman" w:eastAsia="宋体" w:cs="Times New Roman"/>
          <w:bCs/>
          <w:iCs/>
          <w:color w:val="auto"/>
          <w:sz w:val="24"/>
          <w:highlight w:val="none"/>
        </w:rPr>
        <w:t>肉食性鱼类：包括以鱼类为主要捕食对象的鲇及以底栖动物、浮游动物为食的青鱼、翘嘴鲌</w:t>
      </w:r>
      <w:r>
        <w:rPr>
          <w:rFonts w:hint="default" w:ascii="Times New Roman" w:hAnsi="Times New Roman" w:eastAsia="宋体" w:cs="Times New Roman"/>
          <w:bCs/>
          <w:iCs/>
          <w:color w:val="auto"/>
          <w:sz w:val="24"/>
          <w:highlight w:val="none"/>
          <w:lang w:eastAsia="zh-CN"/>
        </w:rPr>
        <w:t>、</w:t>
      </w:r>
      <w:r>
        <w:rPr>
          <w:rFonts w:hint="default" w:ascii="Times New Roman" w:hAnsi="Times New Roman" w:eastAsia="宋体" w:cs="Times New Roman"/>
          <w:bCs/>
          <w:iCs/>
          <w:color w:val="auto"/>
          <w:sz w:val="24"/>
          <w:highlight w:val="none"/>
          <w:lang w:val="en-US" w:eastAsia="zh-CN"/>
        </w:rPr>
        <w:t>蒙古鲌</w:t>
      </w:r>
      <w:r>
        <w:rPr>
          <w:rFonts w:hint="default" w:ascii="Times New Roman" w:hAnsi="Times New Roman" w:eastAsia="宋体" w:cs="Times New Roman"/>
          <w:bCs/>
          <w:iCs/>
          <w:color w:val="auto"/>
          <w:sz w:val="24"/>
          <w:highlight w:val="none"/>
        </w:rPr>
        <w:t>等。</w:t>
      </w:r>
    </w:p>
    <w:p>
      <w:pPr>
        <w:spacing w:line="360" w:lineRule="auto"/>
        <w:ind w:firstLine="480"/>
        <w:rPr>
          <w:rFonts w:hint="default" w:ascii="Times New Roman" w:hAnsi="Times New Roman" w:cs="Times New Roman"/>
          <w:bCs/>
          <w:color w:val="auto"/>
          <w:sz w:val="24"/>
          <w:szCs w:val="24"/>
          <w:highlight w:val="none"/>
        </w:rPr>
      </w:pPr>
      <w:r>
        <w:rPr>
          <w:rFonts w:hint="default" w:cs="Times New Roman"/>
          <w:bCs/>
          <w:iCs/>
          <w:color w:val="auto"/>
          <w:sz w:val="24"/>
          <w:highlight w:val="none"/>
          <w:lang w:eastAsia="zh-CN"/>
        </w:rPr>
        <w:t>（</w:t>
      </w:r>
      <w:r>
        <w:rPr>
          <w:rFonts w:hint="default" w:cs="Times New Roman"/>
          <w:bCs/>
          <w:iCs/>
          <w:color w:val="auto"/>
          <w:sz w:val="24"/>
          <w:highlight w:val="none"/>
          <w:lang w:val="en-US" w:eastAsia="zh-CN"/>
        </w:rPr>
        <w:t>3</w:t>
      </w:r>
      <w:r>
        <w:rPr>
          <w:rFonts w:hint="default" w:cs="Times New Roman"/>
          <w:bCs/>
          <w:iCs/>
          <w:color w:val="auto"/>
          <w:sz w:val="24"/>
          <w:highlight w:val="none"/>
          <w:lang w:eastAsia="zh-CN"/>
        </w:rPr>
        <w:t>）</w:t>
      </w:r>
      <w:r>
        <w:rPr>
          <w:rFonts w:hint="default" w:ascii="Times New Roman" w:hAnsi="Times New Roman" w:eastAsia="宋体" w:cs="Times New Roman"/>
          <w:bCs/>
          <w:iCs/>
          <w:color w:val="auto"/>
          <w:sz w:val="24"/>
          <w:highlight w:val="none"/>
        </w:rPr>
        <w:t>杂食性鱼类：该类鱼食谱广，包括小型动物、植物及其碎屑，其食性在不同环境水体和不同季节有明显变化。包括鲤、鲫、泥鳅等。</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（4）产卵类型</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评价区域分布鱼类依繁殖习性可分为</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个类群。</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481" w:leftChars="229" w:firstLine="0" w:firstLineChars="0"/>
        <w:jc w:val="left"/>
        <w:textAlignment w:val="auto"/>
        <w:rPr>
          <w:rFonts w:hint="default" w:ascii="Times New Roman" w:hAnsi="Times New Roman"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①</w:t>
      </w:r>
      <w:r>
        <w:rPr>
          <w:rFonts w:hint="default" w:ascii="Times New Roman" w:hAnsi="Times New Roman" w:cs="Times New Roman"/>
          <w:b/>
          <w:bCs/>
          <w:color w:val="auto"/>
          <w:sz w:val="24"/>
          <w:szCs w:val="24"/>
          <w:highlight w:val="none"/>
        </w:rPr>
        <w:t>产粘沉性卵类群</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产卵季节多为春夏间，也有部分种类晚至秋季，且对产卵水域流态底质有不同的适应性，多数种类都需要一定的流水刺激。产出的卵或粘附于石砾、水草发育，或落于石缝间在激流冲击下发育。评价区内有泥鳅、鲤、鲫、鲇等。</w:t>
      </w:r>
    </w:p>
    <w:p>
      <w:pPr>
        <w:spacing w:line="360" w:lineRule="auto"/>
        <w:ind w:firstLine="480"/>
        <w:rPr>
          <w:rFonts w:hint="default" w:ascii="Times New Roman" w:hAnsi="Times New Roman"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②</w:t>
      </w:r>
      <w:r>
        <w:rPr>
          <w:rFonts w:hint="default" w:ascii="Times New Roman" w:hAnsi="Times New Roman" w:cs="Times New Roman"/>
          <w:b/>
          <w:bCs/>
          <w:color w:val="auto"/>
          <w:sz w:val="24"/>
          <w:szCs w:val="24"/>
          <w:highlight w:val="none"/>
        </w:rPr>
        <w:t>产漂流性卵类群</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产漂流性卵鱼类产卵需要湍急的水流条件，通常在汛期洪峰发生后产卵。这一类鱼卵比重略大于水，但产出后卵膜吸水膨胀，在水流的外力作用下，鱼卵悬浮在水层中顺水漂流。孵化出的早期仔鱼，仍然要顺水漂流，待身体发育到具备较强的溯游能力后，才能游到浅水或缓流处停歇。评价区产漂流性卵类群鱼类有这类鱼有鲢、鳙、草鱼等。</w:t>
      </w:r>
    </w:p>
    <w:p>
      <w:pPr>
        <w:spacing w:line="360" w:lineRule="auto"/>
        <w:ind w:firstLine="480"/>
        <w:rPr>
          <w:rFonts w:hint="default" w:ascii="Times New Roman" w:hAnsi="Times New Roman"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③</w:t>
      </w:r>
      <w:r>
        <w:rPr>
          <w:rFonts w:hint="default" w:ascii="Times New Roman" w:hAnsi="Times New Roman" w:cs="Times New Roman"/>
          <w:b/>
          <w:bCs/>
          <w:color w:val="auto"/>
          <w:sz w:val="24"/>
          <w:szCs w:val="24"/>
          <w:highlight w:val="none"/>
        </w:rPr>
        <w:t>产浮性卵类群</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鳜</w:t>
      </w:r>
      <w:r>
        <w:rPr>
          <w:rFonts w:hint="default" w:ascii="Times New Roman" w:hAnsi="Times New Roman" w:cs="Times New Roman"/>
          <w:color w:val="auto"/>
          <w:sz w:val="24"/>
          <w:szCs w:val="24"/>
          <w:highlight w:val="none"/>
          <w:lang w:val="en-US" w:eastAsia="zh-CN"/>
        </w:rPr>
        <w:t>属</w:t>
      </w:r>
      <w:r>
        <w:rPr>
          <w:rFonts w:hint="default" w:ascii="Times New Roman" w:hAnsi="Times New Roman" w:cs="Times New Roman"/>
          <w:color w:val="auto"/>
          <w:sz w:val="24"/>
          <w:szCs w:val="24"/>
          <w:highlight w:val="none"/>
        </w:rPr>
        <w:t>鱼类的卵具油球，在水中漂浮发育。</w:t>
      </w:r>
    </w:p>
    <w:p>
      <w:pPr>
        <w:spacing w:line="360" w:lineRule="auto"/>
        <w:ind w:firstLine="480"/>
        <w:rPr>
          <w:rFonts w:hint="default" w:ascii="Times New Roman" w:hAnsi="Times New Roman"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④</w:t>
      </w:r>
      <w:r>
        <w:rPr>
          <w:rFonts w:hint="default" w:ascii="Times New Roman" w:hAnsi="Times New Roman" w:cs="Times New Roman"/>
          <w:b/>
          <w:bCs/>
          <w:color w:val="auto"/>
          <w:sz w:val="24"/>
          <w:szCs w:val="24"/>
          <w:highlight w:val="none"/>
        </w:rPr>
        <w:t>特异性产卵类群</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中华鰟鮍、高体鳑鲏多产卵于蚌类的鳃瓣中发育。</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（5）鱼类重要生境</w:t>
      </w:r>
    </w:p>
    <w:p>
      <w:pPr>
        <w:spacing w:line="360" w:lineRule="auto"/>
        <w:ind w:firstLine="480"/>
        <w:rPr>
          <w:rFonts w:hint="default" w:ascii="Times New Roman" w:hAnsi="Times New Roman" w:cs="Times New Roman"/>
          <w:color w:val="auto"/>
          <w:kern w:val="0"/>
          <w:sz w:val="24"/>
          <w:szCs w:val="24"/>
          <w:highlight w:val="none"/>
        </w:rPr>
      </w:pPr>
      <w:bookmarkStart w:id="121" w:name="_Hlk133117302"/>
      <w:r>
        <w:rPr>
          <w:rFonts w:hint="default" w:ascii="Times New Roman" w:hAnsi="Times New Roman" w:cs="Times New Roman"/>
          <w:color w:val="auto"/>
          <w:kern w:val="0"/>
          <w:sz w:val="24"/>
          <w:szCs w:val="24"/>
          <w:highlight w:val="none"/>
        </w:rPr>
        <w:t>产卵场、索饵场、越冬场是鱼类周年活动的主要场所，三场调查对掌握鱼类的活动规律</w:t>
      </w:r>
      <w:r>
        <w:rPr>
          <w:rFonts w:hint="default" w:ascii="Times New Roman" w:hAnsi="Times New Roman" w:cs="Times New Roman"/>
          <w:color w:val="auto"/>
          <w:sz w:val="24"/>
          <w:szCs w:val="24"/>
          <w:highlight w:val="none"/>
        </w:rPr>
        <w:t>并提出相应的</w:t>
      </w:r>
      <w:r>
        <w:rPr>
          <w:rFonts w:hint="default" w:ascii="Times New Roman" w:hAnsi="Times New Roman" w:cs="Times New Roman"/>
          <w:color w:val="auto"/>
          <w:kern w:val="0"/>
          <w:sz w:val="24"/>
          <w:szCs w:val="24"/>
          <w:highlight w:val="none"/>
        </w:rPr>
        <w:t>保护措施具有重要意义。</w:t>
      </w:r>
    </w:p>
    <w:p>
      <w:pPr>
        <w:spacing w:line="360" w:lineRule="auto"/>
        <w:ind w:firstLine="482"/>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①产卵场</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根据《衡阳市湘江南岸水环境水安全治理工程对湘江衡阳段四大家鱼国家级水产种质资源保护区影响专题论证报告》等相关资料，</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四大家鱼</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等典型漂浮卵鱼为产卵场已受到破坏，现仅存产卵场两处，即</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柏枋—大渔湾—松柏产卵场</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，湘江衡阳常宁江段，长度包括湘江干流19km江段，每次家鱼产卵汛期其产卵规模为1000万粒以下（874万粒）；</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丛洲—云集—车江产卵场</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处湘江衡阳衡南江段，长度包括湘江干流20km江段，每次家鱼产卵汛期其产卵规模为500万粒以下（470万粒）。两处产卵场均位于工程区水域上游，距离较远。距离本工程最近的为丛洲—云集—车江产卵场，约18km。</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lang w:val="en-US" w:eastAsia="zh-CN"/>
        </w:rPr>
        <w:t>衡阳市湘江</w:t>
      </w:r>
      <w:r>
        <w:rPr>
          <w:rFonts w:hint="default" w:ascii="Times New Roman" w:hAnsi="Times New Roman" w:cs="Times New Roman"/>
          <w:color w:val="auto"/>
          <w:kern w:val="0"/>
          <w:sz w:val="24"/>
          <w:szCs w:val="24"/>
          <w:highlight w:val="none"/>
        </w:rPr>
        <w:t>江段有粘性卵、浮性卵鱼类产卵场9处，从上游到下游依次为柏坊、松柏、茭河口、落沙洲、周丫塘、东洲、彭家老屋，其中东洲产卵场位于</w:t>
      </w:r>
      <w:r>
        <w:rPr>
          <w:rFonts w:hint="default" w:cs="Times New Roman"/>
          <w:color w:val="auto"/>
          <w:kern w:val="0"/>
          <w:sz w:val="24"/>
          <w:szCs w:val="24"/>
          <w:highlight w:val="none"/>
          <w:lang w:val="en-US" w:eastAsia="zh-CN"/>
        </w:rPr>
        <w:t>东洲岛下游</w:t>
      </w:r>
      <w:r>
        <w:rPr>
          <w:rFonts w:hint="default" w:ascii="Times New Roman" w:hAnsi="Times New Roman" w:cs="Times New Roman"/>
          <w:color w:val="auto"/>
          <w:kern w:val="0"/>
          <w:sz w:val="24"/>
          <w:szCs w:val="24"/>
          <w:highlight w:val="none"/>
        </w:rPr>
        <w:t>约</w:t>
      </w:r>
      <w:r>
        <w:rPr>
          <w:rFonts w:hint="eastAsia" w:cs="Times New Roman"/>
          <w:color w:val="auto"/>
          <w:kern w:val="0"/>
          <w:sz w:val="24"/>
          <w:szCs w:val="24"/>
          <w:highlight w:val="none"/>
          <w:lang w:val="en-US" w:eastAsia="zh-CN"/>
        </w:rPr>
        <w:t>600</w:t>
      </w:r>
      <w:r>
        <w:rPr>
          <w:rFonts w:hint="default" w:ascii="Times New Roman" w:hAnsi="Times New Roman" w:cs="Times New Roman"/>
          <w:color w:val="auto"/>
          <w:kern w:val="0"/>
          <w:sz w:val="24"/>
          <w:szCs w:val="24"/>
          <w:highlight w:val="none"/>
        </w:rPr>
        <w:t>m，</w:t>
      </w:r>
      <w:r>
        <w:rPr>
          <w:rFonts w:hint="eastAsia" w:cs="Times New Roman"/>
          <w:color w:val="auto"/>
          <w:kern w:val="0"/>
          <w:sz w:val="24"/>
          <w:szCs w:val="24"/>
          <w:highlight w:val="none"/>
          <w:lang w:val="en-US" w:eastAsia="zh-CN"/>
        </w:rPr>
        <w:t>详见图4.4-2。</w:t>
      </w:r>
      <w:r>
        <w:rPr>
          <w:rFonts w:hint="default" w:ascii="Times New Roman" w:hAnsi="Times New Roman" w:cs="Times New Roman"/>
          <w:color w:val="auto"/>
          <w:kern w:val="0"/>
          <w:sz w:val="24"/>
          <w:szCs w:val="24"/>
          <w:highlight w:val="none"/>
        </w:rPr>
        <w:t>其他距离工程区域较远。</w:t>
      </w:r>
    </w:p>
    <w:p>
      <w:pPr>
        <w:spacing w:line="360" w:lineRule="auto"/>
        <w:ind w:firstLine="482"/>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②索饵场</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索饵或育幼场，常取决于鱼类食性，通常分布在产卵场附近，这些区域水流复杂，水草丰茂，有利于幼鱼索饵。根据《衡阳市湘江南岸水环境水安全治理工程对湘江衡阳段四大家鱼国家级水产种质资源保护区影响专题论证报告》等相关资料，衡阳市湘江江段主要经济鱼类索饵场一般分布在粘性卵鱼类产卵场、支流入口处附近，但索饵场分布面积较产卵场大。衡阳市湘江段分布有主要经济鱼类索饵场9处，其中东洲索饵场距离工程区最近</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详见图4.4-2</w:t>
      </w:r>
      <w:r>
        <w:rPr>
          <w:rFonts w:hint="default" w:ascii="Times New Roman" w:hAnsi="Times New Roman" w:cs="Times New Roman"/>
          <w:color w:val="auto"/>
          <w:kern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cs="Times New Roman"/>
          <w:b/>
          <w:color w:val="auto"/>
          <w:highlight w:val="none"/>
          <w:lang w:val="zh-CN" w:eastAsia="zh-CN"/>
        </w:rPr>
      </w:pPr>
      <w:r>
        <w:rPr>
          <w:rFonts w:hint="default" w:ascii="Times New Roman" w:hAnsi="Times New Roman" w:cs="Times New Roman"/>
          <w:b/>
          <w:color w:val="auto"/>
          <w:highlight w:val="none"/>
          <w:lang w:val="zh-CN" w:eastAsia="zh-CN"/>
        </w:rPr>
        <w:t>表</w:t>
      </w:r>
      <w:r>
        <w:rPr>
          <w:rFonts w:hint="default" w:cs="Times New Roman"/>
          <w:b/>
          <w:color w:val="auto"/>
          <w:highlight w:val="none"/>
          <w:lang w:val="en-US" w:eastAsia="zh-CN"/>
        </w:rPr>
        <w:t>4.5-22</w:t>
      </w:r>
      <w:r>
        <w:rPr>
          <w:rFonts w:hint="default" w:ascii="Times New Roman" w:hAnsi="Times New Roman" w:cs="Times New Roman"/>
          <w:b/>
          <w:color w:val="auto"/>
          <w:highlight w:val="none"/>
          <w:lang w:val="zh-CN" w:eastAsia="zh-CN"/>
        </w:rPr>
        <w:t xml:space="preserve"> </w:t>
      </w:r>
      <w:r>
        <w:rPr>
          <w:rFonts w:hint="default" w:ascii="Times New Roman" w:hAnsi="Times New Roman" w:cs="Times New Roman"/>
          <w:b/>
          <w:color w:val="auto"/>
          <w:highlight w:val="none"/>
          <w:lang w:val="en-US" w:eastAsia="zh-CN"/>
        </w:rPr>
        <w:t>衡阳市湘江</w:t>
      </w:r>
      <w:r>
        <w:rPr>
          <w:rFonts w:hint="default" w:ascii="Times New Roman" w:hAnsi="Times New Roman" w:cs="Times New Roman"/>
          <w:b/>
          <w:color w:val="auto"/>
          <w:highlight w:val="none"/>
          <w:lang w:val="zh-CN" w:eastAsia="zh-CN"/>
        </w:rPr>
        <w:t>江段粘性卵鱼类产卵场、主要经济鱼类索饵场现状分布表</w:t>
      </w:r>
    </w:p>
    <w:tbl>
      <w:tblPr>
        <w:tblStyle w:val="22"/>
        <w:tblW w:w="888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810"/>
        <w:gridCol w:w="5278"/>
        <w:gridCol w:w="17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名称</w:t>
            </w:r>
          </w:p>
        </w:tc>
        <w:tc>
          <w:tcPr>
            <w:tcW w:w="527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主要产卵群体、索饵群体组成</w:t>
            </w:r>
          </w:p>
        </w:tc>
        <w:tc>
          <w:tcPr>
            <w:tcW w:w="179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spacing w:val="-2"/>
                <w:kern w:val="0"/>
                <w:sz w:val="21"/>
                <w:szCs w:val="21"/>
                <w:highlight w:val="none"/>
              </w:rPr>
              <w:t>工程位置关</w:t>
            </w:r>
            <w:r>
              <w:rPr>
                <w:rFonts w:hint="default" w:ascii="Times New Roman" w:hAnsi="Times New Roman" w:eastAsia="宋体" w:cs="Times New Roman"/>
                <w:b/>
                <w:bCs/>
                <w:color w:val="auto"/>
                <w:kern w:val="0"/>
                <w:sz w:val="21"/>
                <w:szCs w:val="21"/>
                <w:highlight w:val="none"/>
              </w:rPr>
              <w:t>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3"/>
                <w:kern w:val="0"/>
                <w:sz w:val="21"/>
                <w:szCs w:val="21"/>
                <w:highlight w:val="none"/>
              </w:rPr>
              <w:t>柏坊</w:t>
            </w:r>
          </w:p>
        </w:tc>
        <w:tc>
          <w:tcPr>
            <w:tcW w:w="5278"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2"/>
                <w:kern w:val="0"/>
                <w:sz w:val="21"/>
                <w:szCs w:val="21"/>
                <w:highlight w:val="none"/>
              </w:rPr>
              <w:t>产卵群体：鲴、鲌、鲤、鳊鲂等短距离洄</w:t>
            </w:r>
            <w:r>
              <w:rPr>
                <w:rFonts w:hint="default" w:ascii="Times New Roman" w:hAnsi="Times New Roman" w:eastAsia="宋体" w:cs="Times New Roman"/>
                <w:color w:val="auto"/>
                <w:spacing w:val="-6"/>
                <w:kern w:val="0"/>
                <w:sz w:val="21"/>
                <w:szCs w:val="21"/>
                <w:highlight w:val="none"/>
              </w:rPr>
              <w:t>游鱼类和定居性鱼类；</w:t>
            </w:r>
          </w:p>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3"/>
                <w:kern w:val="0"/>
                <w:sz w:val="21"/>
                <w:szCs w:val="21"/>
                <w:highlight w:val="none"/>
              </w:rPr>
              <w:t>索饵群体：四大家鱼、鲤、鲫、鳊、鲴、</w:t>
            </w:r>
            <w:r>
              <w:rPr>
                <w:rFonts w:hint="default" w:ascii="Times New Roman" w:hAnsi="Times New Roman" w:eastAsia="宋体" w:cs="Times New Roman"/>
                <w:color w:val="auto"/>
                <w:spacing w:val="-1"/>
                <w:kern w:val="0"/>
                <w:sz w:val="21"/>
                <w:szCs w:val="21"/>
                <w:highlight w:val="none"/>
              </w:rPr>
              <w:t>鲌、鮈、鳜等各种鱼类</w:t>
            </w:r>
          </w:p>
        </w:tc>
        <w:tc>
          <w:tcPr>
            <w:tcW w:w="1794"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2"/>
                <w:kern w:val="0"/>
                <w:sz w:val="21"/>
                <w:szCs w:val="21"/>
                <w:highlight w:val="none"/>
              </w:rPr>
            </w:pPr>
            <w:r>
              <w:rPr>
                <w:rFonts w:hint="default" w:ascii="Times New Roman" w:hAnsi="Times New Roman" w:eastAsia="宋体" w:cs="Times New Roman"/>
                <w:color w:val="auto"/>
                <w:spacing w:val="-2"/>
                <w:kern w:val="0"/>
                <w:sz w:val="21"/>
                <w:szCs w:val="21"/>
                <w:highlight w:val="none"/>
              </w:rPr>
              <w:t>位于工程区上游，距离较远。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3"/>
                <w:kern w:val="0"/>
                <w:sz w:val="21"/>
                <w:szCs w:val="21"/>
                <w:highlight w:val="none"/>
              </w:rPr>
              <w:t>松柏</w:t>
            </w:r>
          </w:p>
        </w:tc>
        <w:tc>
          <w:tcPr>
            <w:tcW w:w="5278" w:type="dxa"/>
            <w:vMerge w:val="continue"/>
            <w:tcBorders>
              <w:tl2br w:val="nil"/>
              <w:tr2bl w:val="nil"/>
            </w:tcBorders>
            <w:vAlign w:val="center"/>
          </w:tcPr>
          <w:p>
            <w:pPr>
              <w:keepNext w:val="0"/>
              <w:keepLines w:val="0"/>
              <w:pageBreakBefore w:val="0"/>
              <w:widowControl/>
              <w:wordWrap/>
              <w:overflowPunct/>
              <w:topLinePunct w:val="0"/>
              <w:bidi w:val="0"/>
              <w:ind w:left="0" w:right="0" w:firstLine="0"/>
              <w:jc w:val="center"/>
              <w:rPr>
                <w:rFonts w:hint="default" w:ascii="Times New Roman" w:hAnsi="Times New Roman" w:eastAsia="宋体" w:cs="Times New Roman"/>
                <w:color w:val="auto"/>
                <w:kern w:val="0"/>
                <w:sz w:val="21"/>
                <w:szCs w:val="21"/>
                <w:highlight w:val="none"/>
              </w:rPr>
            </w:pPr>
          </w:p>
        </w:tc>
        <w:tc>
          <w:tcPr>
            <w:tcW w:w="179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2"/>
                <w:kern w:val="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4"/>
                <w:kern w:val="0"/>
                <w:sz w:val="21"/>
                <w:szCs w:val="21"/>
                <w:highlight w:val="none"/>
              </w:rPr>
              <w:t>茭河口</w:t>
            </w:r>
          </w:p>
        </w:tc>
        <w:tc>
          <w:tcPr>
            <w:tcW w:w="5278" w:type="dxa"/>
            <w:vMerge w:val="continue"/>
            <w:tcBorders>
              <w:tl2br w:val="nil"/>
              <w:tr2bl w:val="nil"/>
            </w:tcBorders>
            <w:vAlign w:val="center"/>
          </w:tcPr>
          <w:p>
            <w:pPr>
              <w:keepNext w:val="0"/>
              <w:keepLines w:val="0"/>
              <w:pageBreakBefore w:val="0"/>
              <w:widowControl/>
              <w:wordWrap/>
              <w:overflowPunct/>
              <w:topLinePunct w:val="0"/>
              <w:bidi w:val="0"/>
              <w:ind w:left="0" w:right="0" w:firstLine="0"/>
              <w:jc w:val="center"/>
              <w:rPr>
                <w:rFonts w:hint="default" w:ascii="Times New Roman" w:hAnsi="Times New Roman" w:eastAsia="宋体" w:cs="Times New Roman"/>
                <w:color w:val="auto"/>
                <w:kern w:val="0"/>
                <w:sz w:val="21"/>
                <w:szCs w:val="21"/>
                <w:highlight w:val="none"/>
              </w:rPr>
            </w:pPr>
          </w:p>
        </w:tc>
        <w:tc>
          <w:tcPr>
            <w:tcW w:w="179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2"/>
                <w:kern w:val="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3"/>
                <w:kern w:val="0"/>
                <w:sz w:val="21"/>
                <w:szCs w:val="21"/>
                <w:highlight w:val="none"/>
              </w:rPr>
              <w:t>落沙洲</w:t>
            </w:r>
          </w:p>
        </w:tc>
        <w:tc>
          <w:tcPr>
            <w:tcW w:w="5278" w:type="dxa"/>
            <w:vMerge w:val="continue"/>
            <w:tcBorders>
              <w:tl2br w:val="nil"/>
              <w:tr2bl w:val="nil"/>
            </w:tcBorders>
            <w:vAlign w:val="center"/>
          </w:tcPr>
          <w:p>
            <w:pPr>
              <w:keepNext w:val="0"/>
              <w:keepLines w:val="0"/>
              <w:pageBreakBefore w:val="0"/>
              <w:widowControl/>
              <w:wordWrap/>
              <w:overflowPunct/>
              <w:topLinePunct w:val="0"/>
              <w:bidi w:val="0"/>
              <w:ind w:left="0" w:right="0" w:firstLine="0"/>
              <w:jc w:val="center"/>
              <w:rPr>
                <w:rFonts w:hint="default" w:ascii="Times New Roman" w:hAnsi="Times New Roman" w:eastAsia="宋体" w:cs="Times New Roman"/>
                <w:color w:val="auto"/>
                <w:kern w:val="0"/>
                <w:sz w:val="21"/>
                <w:szCs w:val="21"/>
                <w:highlight w:val="none"/>
              </w:rPr>
            </w:pPr>
          </w:p>
        </w:tc>
        <w:tc>
          <w:tcPr>
            <w:tcW w:w="179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2"/>
                <w:kern w:val="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3"/>
                <w:kern w:val="0"/>
                <w:sz w:val="21"/>
                <w:szCs w:val="21"/>
                <w:highlight w:val="none"/>
              </w:rPr>
              <w:t>周丫塘</w:t>
            </w:r>
          </w:p>
        </w:tc>
        <w:tc>
          <w:tcPr>
            <w:tcW w:w="5278" w:type="dxa"/>
            <w:vMerge w:val="continue"/>
            <w:tcBorders>
              <w:tl2br w:val="nil"/>
              <w:tr2bl w:val="nil"/>
            </w:tcBorders>
            <w:vAlign w:val="center"/>
          </w:tcPr>
          <w:p>
            <w:pPr>
              <w:keepNext w:val="0"/>
              <w:keepLines w:val="0"/>
              <w:pageBreakBefore w:val="0"/>
              <w:widowControl/>
              <w:wordWrap/>
              <w:overflowPunct/>
              <w:topLinePunct w:val="0"/>
              <w:bidi w:val="0"/>
              <w:ind w:left="0" w:right="0" w:firstLine="0"/>
              <w:jc w:val="center"/>
              <w:rPr>
                <w:rFonts w:hint="default" w:ascii="Times New Roman" w:hAnsi="Times New Roman" w:eastAsia="宋体" w:cs="Times New Roman"/>
                <w:color w:val="auto"/>
                <w:kern w:val="0"/>
                <w:sz w:val="21"/>
                <w:szCs w:val="21"/>
                <w:highlight w:val="none"/>
              </w:rPr>
            </w:pPr>
          </w:p>
        </w:tc>
        <w:tc>
          <w:tcPr>
            <w:tcW w:w="179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2"/>
                <w:kern w:val="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5"/>
                <w:kern w:val="0"/>
                <w:sz w:val="21"/>
                <w:szCs w:val="21"/>
                <w:highlight w:val="none"/>
              </w:rPr>
              <w:t>东洲</w:t>
            </w:r>
          </w:p>
        </w:tc>
        <w:tc>
          <w:tcPr>
            <w:tcW w:w="527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2"/>
                <w:kern w:val="0"/>
                <w:sz w:val="21"/>
                <w:szCs w:val="21"/>
                <w:highlight w:val="none"/>
              </w:rPr>
              <w:t>产卵群体：鲴、鲌、鲤、鳊鲂等短距离洄</w:t>
            </w:r>
            <w:r>
              <w:rPr>
                <w:rFonts w:hint="default" w:ascii="Times New Roman" w:hAnsi="Times New Roman" w:eastAsia="宋体" w:cs="Times New Roman"/>
                <w:color w:val="auto"/>
                <w:spacing w:val="-6"/>
                <w:kern w:val="0"/>
                <w:sz w:val="21"/>
                <w:szCs w:val="21"/>
                <w:highlight w:val="none"/>
              </w:rPr>
              <w:t>游鱼类和定居性鱼类；</w:t>
            </w:r>
          </w:p>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3"/>
                <w:kern w:val="0"/>
                <w:sz w:val="21"/>
                <w:szCs w:val="21"/>
                <w:highlight w:val="none"/>
              </w:rPr>
              <w:t>索饵群体：四大家鱼、鲤、鲫、鳊、鲴、</w:t>
            </w:r>
            <w:r>
              <w:rPr>
                <w:rFonts w:hint="default" w:ascii="Times New Roman" w:hAnsi="Times New Roman" w:eastAsia="宋体" w:cs="Times New Roman"/>
                <w:color w:val="auto"/>
                <w:spacing w:val="-1"/>
                <w:kern w:val="0"/>
                <w:sz w:val="21"/>
                <w:szCs w:val="21"/>
                <w:highlight w:val="none"/>
              </w:rPr>
              <w:t>鲌、鮈、鳜等各种鱼类</w:t>
            </w:r>
          </w:p>
        </w:tc>
        <w:tc>
          <w:tcPr>
            <w:tcW w:w="179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2"/>
                <w:kern w:val="0"/>
                <w:sz w:val="21"/>
                <w:szCs w:val="21"/>
                <w:highlight w:val="none"/>
              </w:rPr>
            </w:pPr>
            <w:r>
              <w:rPr>
                <w:rFonts w:hint="default" w:ascii="Times New Roman" w:hAnsi="Times New Roman" w:eastAsia="宋体" w:cs="Times New Roman"/>
                <w:color w:val="auto"/>
                <w:spacing w:val="-2"/>
                <w:kern w:val="0"/>
                <w:sz w:val="21"/>
                <w:szCs w:val="21"/>
                <w:highlight w:val="none"/>
              </w:rPr>
              <w:t>位于工程区下游，距离较近，约</w:t>
            </w:r>
            <w:r>
              <w:rPr>
                <w:rFonts w:hint="default" w:cs="Times New Roman"/>
                <w:color w:val="auto"/>
                <w:spacing w:val="-2"/>
                <w:kern w:val="0"/>
                <w:sz w:val="21"/>
                <w:szCs w:val="21"/>
                <w:highlight w:val="none"/>
                <w:lang w:val="en-US" w:eastAsia="zh-CN"/>
              </w:rPr>
              <w:t>1k</w:t>
            </w:r>
            <w:r>
              <w:rPr>
                <w:rFonts w:hint="default" w:ascii="Times New Roman" w:hAnsi="Times New Roman" w:eastAsia="宋体" w:cs="Times New Roman"/>
                <w:color w:val="auto"/>
                <w:spacing w:val="-2"/>
                <w:kern w:val="0"/>
                <w:sz w:val="21"/>
                <w:szCs w:val="21"/>
                <w:highlight w:val="none"/>
              </w:rPr>
              <w:t>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4"/>
                <w:kern w:val="0"/>
                <w:sz w:val="21"/>
                <w:szCs w:val="21"/>
                <w:highlight w:val="none"/>
              </w:rPr>
              <w:t>彭家老</w:t>
            </w:r>
            <w:r>
              <w:rPr>
                <w:rFonts w:hint="default" w:ascii="Times New Roman" w:hAnsi="Times New Roman" w:eastAsia="宋体" w:cs="Times New Roman"/>
                <w:color w:val="auto"/>
                <w:kern w:val="0"/>
                <w:sz w:val="21"/>
                <w:szCs w:val="21"/>
                <w:highlight w:val="none"/>
              </w:rPr>
              <w:t>屋</w:t>
            </w:r>
          </w:p>
        </w:tc>
        <w:tc>
          <w:tcPr>
            <w:tcW w:w="5278"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color w:val="auto"/>
                <w:spacing w:val="-2"/>
                <w:kern w:val="0"/>
                <w:sz w:val="21"/>
                <w:szCs w:val="21"/>
                <w:highlight w:val="none"/>
              </w:rPr>
              <w:t>产卵群体：鲴、鲌、鲤、鳊鲂等短距离洄</w:t>
            </w:r>
            <w:r>
              <w:rPr>
                <w:rFonts w:hint="default" w:ascii="Times New Roman" w:hAnsi="Times New Roman" w:eastAsia="宋体" w:cs="Times New Roman"/>
                <w:color w:val="auto"/>
                <w:spacing w:val="-6"/>
                <w:kern w:val="0"/>
                <w:sz w:val="21"/>
                <w:szCs w:val="21"/>
                <w:highlight w:val="none"/>
              </w:rPr>
              <w:t>游鱼类和定居性鱼类；</w:t>
            </w:r>
          </w:p>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3"/>
                <w:kern w:val="0"/>
                <w:sz w:val="21"/>
                <w:szCs w:val="21"/>
                <w:highlight w:val="none"/>
              </w:rPr>
              <w:t>索饵群体：四大家鱼、鲤、鲫、鳊、鲴、</w:t>
            </w:r>
            <w:r>
              <w:rPr>
                <w:rFonts w:hint="default" w:ascii="Times New Roman" w:hAnsi="Times New Roman" w:eastAsia="宋体" w:cs="Times New Roman"/>
                <w:color w:val="auto"/>
                <w:spacing w:val="-1"/>
                <w:kern w:val="0"/>
                <w:sz w:val="21"/>
                <w:szCs w:val="21"/>
                <w:highlight w:val="none"/>
              </w:rPr>
              <w:t>鲌、鮈、鳜等各种鱼类</w:t>
            </w:r>
          </w:p>
        </w:tc>
        <w:tc>
          <w:tcPr>
            <w:tcW w:w="1794"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2"/>
                <w:kern w:val="0"/>
                <w:sz w:val="21"/>
                <w:szCs w:val="21"/>
                <w:highlight w:val="none"/>
              </w:rPr>
            </w:pPr>
            <w:r>
              <w:rPr>
                <w:rFonts w:hint="default" w:ascii="Times New Roman" w:hAnsi="Times New Roman" w:eastAsia="宋体" w:cs="Times New Roman"/>
                <w:color w:val="auto"/>
                <w:spacing w:val="-2"/>
                <w:kern w:val="0"/>
                <w:sz w:val="21"/>
                <w:szCs w:val="21"/>
                <w:highlight w:val="none"/>
              </w:rPr>
              <w:t>位于工程区下游，距离较远。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5"/>
                <w:kern w:val="0"/>
                <w:sz w:val="21"/>
                <w:szCs w:val="21"/>
                <w:highlight w:val="none"/>
              </w:rPr>
              <w:t>耒水河</w:t>
            </w:r>
            <w:r>
              <w:rPr>
                <w:rFonts w:hint="default" w:ascii="Times New Roman" w:hAnsi="Times New Roman" w:eastAsia="宋体" w:cs="Times New Roman"/>
                <w:color w:val="auto"/>
                <w:kern w:val="0"/>
                <w:sz w:val="21"/>
                <w:szCs w:val="21"/>
                <w:highlight w:val="none"/>
              </w:rPr>
              <w:t>口</w:t>
            </w:r>
          </w:p>
        </w:tc>
        <w:tc>
          <w:tcPr>
            <w:tcW w:w="5278" w:type="dxa"/>
            <w:vMerge w:val="continue"/>
            <w:tcBorders>
              <w:tl2br w:val="nil"/>
              <w:tr2bl w:val="nil"/>
            </w:tcBorders>
            <w:vAlign w:val="center"/>
          </w:tcPr>
          <w:p>
            <w:pPr>
              <w:keepNext w:val="0"/>
              <w:keepLines w:val="0"/>
              <w:pageBreakBefore w:val="0"/>
              <w:widowControl/>
              <w:wordWrap/>
              <w:overflowPunct/>
              <w:topLinePunct w:val="0"/>
              <w:bidi w:val="0"/>
              <w:ind w:left="0" w:right="0" w:firstLine="0"/>
              <w:jc w:val="center"/>
              <w:rPr>
                <w:rFonts w:hint="default" w:ascii="Times New Roman" w:hAnsi="Times New Roman" w:eastAsia="宋体" w:cs="Times New Roman"/>
                <w:color w:val="auto"/>
                <w:kern w:val="0"/>
                <w:sz w:val="21"/>
                <w:szCs w:val="21"/>
                <w:highlight w:val="none"/>
              </w:rPr>
            </w:pPr>
          </w:p>
        </w:tc>
        <w:tc>
          <w:tcPr>
            <w:tcW w:w="179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2"/>
                <w:kern w:val="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8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4"/>
                <w:kern w:val="0"/>
                <w:sz w:val="21"/>
                <w:szCs w:val="21"/>
                <w:highlight w:val="none"/>
              </w:rPr>
              <w:t>成家大</w:t>
            </w:r>
            <w:r>
              <w:rPr>
                <w:rFonts w:hint="default" w:ascii="Times New Roman" w:hAnsi="Times New Roman" w:eastAsia="宋体" w:cs="Times New Roman"/>
                <w:color w:val="auto"/>
                <w:kern w:val="0"/>
                <w:sz w:val="21"/>
                <w:szCs w:val="21"/>
                <w:highlight w:val="none"/>
              </w:rPr>
              <w:t>屋</w:t>
            </w:r>
          </w:p>
        </w:tc>
        <w:tc>
          <w:tcPr>
            <w:tcW w:w="5278" w:type="dxa"/>
            <w:vMerge w:val="continue"/>
            <w:tcBorders>
              <w:tl2br w:val="nil"/>
              <w:tr2bl w:val="nil"/>
            </w:tcBorders>
            <w:vAlign w:val="center"/>
          </w:tcPr>
          <w:p>
            <w:pPr>
              <w:keepNext w:val="0"/>
              <w:keepLines w:val="0"/>
              <w:pageBreakBefore w:val="0"/>
              <w:widowControl/>
              <w:wordWrap/>
              <w:overflowPunct/>
              <w:topLinePunct w:val="0"/>
              <w:bidi w:val="0"/>
              <w:ind w:left="0" w:right="0" w:firstLine="0"/>
              <w:jc w:val="center"/>
              <w:rPr>
                <w:rFonts w:hint="default" w:ascii="Times New Roman" w:hAnsi="Times New Roman" w:eastAsia="宋体" w:cs="Times New Roman"/>
                <w:color w:val="auto"/>
                <w:kern w:val="0"/>
                <w:sz w:val="21"/>
                <w:szCs w:val="21"/>
                <w:highlight w:val="none"/>
              </w:rPr>
            </w:pPr>
          </w:p>
        </w:tc>
        <w:tc>
          <w:tcPr>
            <w:tcW w:w="179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ind w:left="0" w:right="0" w:firstLine="0"/>
              <w:jc w:val="center"/>
              <w:textAlignment w:val="baseline"/>
              <w:rPr>
                <w:rFonts w:hint="default" w:ascii="Times New Roman" w:hAnsi="Times New Roman" w:eastAsia="宋体" w:cs="Times New Roman"/>
                <w:color w:val="auto"/>
                <w:spacing w:val="-2"/>
                <w:kern w:val="0"/>
                <w:sz w:val="21"/>
                <w:szCs w:val="21"/>
                <w:highlight w:val="none"/>
              </w:rPr>
            </w:pPr>
            <w:r>
              <w:rPr>
                <w:rFonts w:hint="default" w:ascii="Times New Roman" w:hAnsi="Times New Roman" w:eastAsia="宋体" w:cs="Times New Roman"/>
                <w:color w:val="auto"/>
                <w:spacing w:val="-2"/>
                <w:kern w:val="0"/>
                <w:sz w:val="21"/>
                <w:szCs w:val="21"/>
                <w:highlight w:val="none"/>
              </w:rPr>
              <w:t>位于工程区下游，距离较远。</w:t>
            </w:r>
          </w:p>
        </w:tc>
      </w:tr>
    </w:tbl>
    <w:p>
      <w:pPr>
        <w:spacing w:line="360" w:lineRule="auto"/>
        <w:ind w:firstLine="482"/>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③越冬场</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冬季气温和水温逐渐降低，鱼类活动能力减弱，部分鱼类为保证在寒冷季节有适宜的栖息条件，往往由支流和浅水区进入干流、深潭和湖库深水区越冬。鱼类的越冬场主要分布于河道的深槽或坑穴中。根据《衡阳市湘江南岸水环境水安全治理工程对湘江衡阳段四大家鱼国家级水产种质资源保护区影响专题论证报告》等相关资料，</w:t>
      </w:r>
      <w:r>
        <w:rPr>
          <w:rFonts w:hint="default" w:ascii="Times New Roman" w:hAnsi="Times New Roman" w:cs="Times New Roman"/>
          <w:color w:val="auto"/>
          <w:kern w:val="0"/>
          <w:sz w:val="24"/>
          <w:szCs w:val="24"/>
          <w:highlight w:val="none"/>
          <w:lang w:val="en-US" w:eastAsia="zh-CN"/>
        </w:rPr>
        <w:t>衡阳市湘江</w:t>
      </w:r>
      <w:r>
        <w:rPr>
          <w:rFonts w:hint="default" w:ascii="Times New Roman" w:hAnsi="Times New Roman" w:cs="Times New Roman"/>
          <w:color w:val="auto"/>
          <w:kern w:val="0"/>
          <w:sz w:val="24"/>
          <w:szCs w:val="24"/>
          <w:highlight w:val="none"/>
        </w:rPr>
        <w:t>江段（近尾洲至大源渡航电枢纽江段）分布有鲤鱼潭（常宁）、大渔湾潭（常宁）、云集潭（衡南）、白渔潭（耒水口）、樟木潭（坝前）等主要经济鱼类越冬场5个，白渔潭（耒水口</w:t>
      </w:r>
      <w:r>
        <w:rPr>
          <w:rFonts w:hint="default" w:cs="Times New Roman"/>
          <w:color w:val="auto"/>
          <w:kern w:val="0"/>
          <w:sz w:val="24"/>
          <w:szCs w:val="24"/>
          <w:highlight w:val="none"/>
          <w:lang w:eastAsia="zh-CN"/>
        </w:rPr>
        <w:t>）</w:t>
      </w:r>
      <w:r>
        <w:rPr>
          <w:rFonts w:hint="default" w:cs="Times New Roman"/>
          <w:color w:val="auto"/>
          <w:kern w:val="0"/>
          <w:sz w:val="24"/>
          <w:szCs w:val="24"/>
          <w:highlight w:val="none"/>
          <w:lang w:val="en-US" w:eastAsia="zh-CN"/>
        </w:rPr>
        <w:t>位于项目区下游</w:t>
      </w:r>
      <w:r>
        <w:rPr>
          <w:rFonts w:hint="eastAsia" w:ascii="Times New Roman" w:hAnsi="Times New Roman" w:cs="Times New Roman"/>
          <w:color w:val="auto"/>
          <w:kern w:val="0"/>
          <w:sz w:val="24"/>
          <w:szCs w:val="24"/>
          <w:highlight w:val="none"/>
          <w:lang w:val="en-US" w:eastAsia="zh-CN"/>
        </w:rPr>
        <w:t>约</w:t>
      </w:r>
      <w:r>
        <w:rPr>
          <w:rFonts w:hint="eastAsia" w:cs="Times New Roman"/>
          <w:color w:val="auto"/>
          <w:kern w:val="0"/>
          <w:sz w:val="24"/>
          <w:szCs w:val="24"/>
          <w:highlight w:val="none"/>
          <w:lang w:val="en-US" w:eastAsia="zh-CN"/>
        </w:rPr>
        <w:t>1</w:t>
      </w:r>
      <w:r>
        <w:rPr>
          <w:rFonts w:hint="default" w:cs="Times New Roman"/>
          <w:color w:val="auto"/>
          <w:kern w:val="0"/>
          <w:sz w:val="24"/>
          <w:szCs w:val="24"/>
          <w:highlight w:val="none"/>
          <w:lang w:val="en-US" w:eastAsia="zh-CN"/>
        </w:rPr>
        <w:t>km区域，</w:t>
      </w:r>
      <w:r>
        <w:rPr>
          <w:rFonts w:hint="eastAsia" w:cs="Times New Roman"/>
          <w:color w:val="auto"/>
          <w:kern w:val="0"/>
          <w:sz w:val="24"/>
          <w:szCs w:val="24"/>
          <w:highlight w:val="none"/>
          <w:lang w:val="en-US" w:eastAsia="zh-CN"/>
        </w:rPr>
        <w:t>详见图4.4-2，</w:t>
      </w:r>
      <w:r>
        <w:rPr>
          <w:rFonts w:hint="default" w:cs="Times New Roman"/>
          <w:color w:val="auto"/>
          <w:kern w:val="0"/>
          <w:sz w:val="24"/>
          <w:szCs w:val="24"/>
          <w:highlight w:val="none"/>
          <w:lang w:val="en-US" w:eastAsia="zh-CN"/>
        </w:rPr>
        <w:t>其余4处越冬场远离项目区</w:t>
      </w:r>
      <w:r>
        <w:rPr>
          <w:rFonts w:hint="default" w:ascii="Times New Roman" w:hAnsi="Times New Roman" w:cs="Times New Roman"/>
          <w:color w:val="auto"/>
          <w:kern w:val="0"/>
          <w:sz w:val="24"/>
          <w:szCs w:val="24"/>
          <w:highlight w:val="none"/>
        </w:rPr>
        <w:t>。</w:t>
      </w:r>
    </w:p>
    <w:p>
      <w:pPr>
        <w:spacing w:line="360" w:lineRule="auto"/>
        <w:ind w:firstLine="482"/>
        <w:jc w:val="left"/>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④</w:t>
      </w:r>
      <w:r>
        <w:rPr>
          <w:rFonts w:hint="default" w:ascii="Times New Roman" w:hAnsi="Times New Roman" w:eastAsia="宋体" w:cs="Times New Roman"/>
          <w:b/>
          <w:bCs/>
          <w:color w:val="auto"/>
          <w:sz w:val="24"/>
          <w:szCs w:val="24"/>
          <w:highlight w:val="none"/>
          <w:lang w:val="en-US" w:eastAsia="zh-CN"/>
        </w:rPr>
        <w:t>洄游通道</w:t>
      </w:r>
    </w:p>
    <w:p>
      <w:pPr>
        <w:pStyle w:val="8"/>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湘江常宁近尾洲以下江段是鱼类重要的洄游通道，青鱼、草鱼、鲢、鳙等重要经济鱼类繁殖季节从下游及洞庭湖上溯洄游到常宁大渔湾江段产卵繁殖，鱼卵随水漂流孵化，进入河湾及洞庭湖摄食生长。本工程所在水域位于近尾洲以下江段，属于鱼类洄游通道一部分。</w:t>
      </w:r>
    </w:p>
    <w:bookmarkEnd w:id="121"/>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（6）重要水生生物</w:t>
      </w:r>
    </w:p>
    <w:bookmarkEnd w:id="99"/>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结合历史资料，评价区内未发现国家重点保护野生动物</w:t>
      </w:r>
      <w:r>
        <w:rPr>
          <w:rFonts w:hint="default" w:ascii="Times New Roman" w:hAnsi="Times New Roman" w:cs="Times New Roman"/>
          <w:color w:val="auto"/>
          <w:kern w:val="0"/>
          <w:sz w:val="24"/>
          <w:szCs w:val="24"/>
          <w:highlight w:val="none"/>
          <w:lang w:val="en-US" w:eastAsia="zh-CN"/>
        </w:rPr>
        <w:t>和列入《中国濒危动物红皮书》物种</w:t>
      </w:r>
      <w:r>
        <w:rPr>
          <w:rFonts w:hint="default" w:ascii="Times New Roman" w:hAnsi="Times New Roman" w:cs="Times New Roman"/>
          <w:color w:val="auto"/>
          <w:kern w:val="0"/>
          <w:sz w:val="24"/>
          <w:szCs w:val="24"/>
          <w:highlight w:val="none"/>
        </w:rPr>
        <w:t>，列入《湖南省地方重点保护野生动植物名录》鱼类有6种，分别为衡阳薄鳅（</w:t>
      </w:r>
      <w:r>
        <w:rPr>
          <w:rFonts w:hint="default" w:ascii="Times New Roman" w:hAnsi="Times New Roman" w:cs="Times New Roman"/>
          <w:i/>
          <w:iCs/>
          <w:color w:val="auto"/>
          <w:kern w:val="0"/>
          <w:sz w:val="24"/>
          <w:szCs w:val="24"/>
          <w:highlight w:val="none"/>
        </w:rPr>
        <w:t>Leptobotia</w:t>
      </w:r>
      <w:r>
        <w:rPr>
          <w:rFonts w:hint="default" w:ascii="Times New Roman" w:hAnsi="Times New Roman" w:cs="Times New Roman"/>
          <w:i/>
          <w:iCs/>
          <w:color w:val="auto"/>
          <w:kern w:val="0"/>
          <w:sz w:val="24"/>
          <w:szCs w:val="24"/>
          <w:highlight w:val="none"/>
          <w:lang w:val="en-US" w:eastAsia="zh-CN"/>
        </w:rPr>
        <w:t xml:space="preserve"> </w:t>
      </w:r>
      <w:r>
        <w:rPr>
          <w:rFonts w:hint="default" w:ascii="Times New Roman" w:hAnsi="Times New Roman" w:cs="Times New Roman"/>
          <w:i/>
          <w:iCs/>
          <w:color w:val="auto"/>
          <w:kern w:val="0"/>
          <w:sz w:val="24"/>
          <w:szCs w:val="24"/>
          <w:highlight w:val="none"/>
        </w:rPr>
        <w:t>hengyangensis</w:t>
      </w:r>
      <w:r>
        <w:rPr>
          <w:rFonts w:hint="default" w:ascii="Times New Roman" w:hAnsi="Times New Roman" w:cs="Times New Roman"/>
          <w:color w:val="auto"/>
          <w:kern w:val="0"/>
          <w:sz w:val="24"/>
          <w:szCs w:val="24"/>
          <w:highlight w:val="none"/>
        </w:rPr>
        <w:t>）、鳤（</w:t>
      </w:r>
      <w:r>
        <w:rPr>
          <w:rFonts w:hint="default" w:ascii="Times New Roman" w:hAnsi="Times New Roman" w:cs="Times New Roman"/>
          <w:i/>
          <w:iCs/>
          <w:color w:val="auto"/>
          <w:kern w:val="0"/>
          <w:sz w:val="24"/>
          <w:szCs w:val="24"/>
          <w:highlight w:val="none"/>
        </w:rPr>
        <w:t>Ochetobius</w:t>
      </w:r>
      <w:r>
        <w:rPr>
          <w:rFonts w:hint="default" w:ascii="Times New Roman" w:hAnsi="Times New Roman" w:cs="Times New Roman"/>
          <w:i/>
          <w:iCs/>
          <w:color w:val="auto"/>
          <w:kern w:val="0"/>
          <w:sz w:val="24"/>
          <w:szCs w:val="24"/>
          <w:highlight w:val="none"/>
          <w:lang w:val="en-US" w:eastAsia="zh-CN"/>
        </w:rPr>
        <w:t xml:space="preserve"> </w:t>
      </w:r>
      <w:r>
        <w:rPr>
          <w:rFonts w:hint="default" w:ascii="Times New Roman" w:hAnsi="Times New Roman" w:cs="Times New Roman"/>
          <w:i/>
          <w:iCs/>
          <w:color w:val="auto"/>
          <w:kern w:val="0"/>
          <w:sz w:val="24"/>
          <w:szCs w:val="24"/>
          <w:highlight w:val="none"/>
        </w:rPr>
        <w:t>elongates</w:t>
      </w:r>
      <w:r>
        <w:rPr>
          <w:rFonts w:hint="default" w:ascii="Times New Roman" w:hAnsi="Times New Roman" w:cs="Times New Roman"/>
          <w:color w:val="auto"/>
          <w:kern w:val="0"/>
          <w:sz w:val="24"/>
          <w:szCs w:val="24"/>
          <w:highlight w:val="none"/>
        </w:rPr>
        <w:t>）、瓣结鱼（</w:t>
      </w:r>
      <w:r>
        <w:rPr>
          <w:rFonts w:hint="default" w:ascii="Times New Roman" w:hAnsi="Times New Roman" w:cs="Times New Roman"/>
          <w:i/>
          <w:iCs/>
          <w:color w:val="auto"/>
          <w:kern w:val="0"/>
          <w:sz w:val="24"/>
          <w:szCs w:val="24"/>
          <w:highlight w:val="none"/>
        </w:rPr>
        <w:t>Torbrevifilis</w:t>
      </w:r>
      <w:r>
        <w:rPr>
          <w:rFonts w:hint="default" w:ascii="Times New Roman" w:hAnsi="Times New Roman" w:cs="Times New Roman"/>
          <w:i/>
          <w:iCs/>
          <w:color w:val="auto"/>
          <w:kern w:val="0"/>
          <w:sz w:val="24"/>
          <w:szCs w:val="24"/>
          <w:highlight w:val="none"/>
          <w:lang w:val="en-US" w:eastAsia="zh-CN"/>
        </w:rPr>
        <w:t xml:space="preserve"> </w:t>
      </w:r>
      <w:r>
        <w:rPr>
          <w:rFonts w:hint="default" w:ascii="Times New Roman" w:hAnsi="Times New Roman" w:cs="Times New Roman"/>
          <w:i/>
          <w:iCs/>
          <w:color w:val="auto"/>
          <w:kern w:val="0"/>
          <w:sz w:val="24"/>
          <w:szCs w:val="24"/>
          <w:highlight w:val="none"/>
        </w:rPr>
        <w:t>brevifilis</w:t>
      </w:r>
      <w:r>
        <w:rPr>
          <w:rFonts w:hint="default" w:ascii="Times New Roman" w:hAnsi="Times New Roman" w:cs="Times New Roman"/>
          <w:color w:val="auto"/>
          <w:kern w:val="0"/>
          <w:sz w:val="24"/>
          <w:szCs w:val="24"/>
          <w:highlight w:val="none"/>
        </w:rPr>
        <w:t>）、犁头鳅（</w:t>
      </w:r>
      <w:r>
        <w:rPr>
          <w:rFonts w:hint="default" w:ascii="Times New Roman" w:hAnsi="Times New Roman" w:cs="Times New Roman"/>
          <w:i/>
          <w:iCs/>
          <w:color w:val="auto"/>
          <w:kern w:val="0"/>
          <w:sz w:val="24"/>
          <w:szCs w:val="24"/>
          <w:highlight w:val="none"/>
        </w:rPr>
        <w:t>Lepturichthys</w:t>
      </w:r>
      <w:r>
        <w:rPr>
          <w:rFonts w:hint="default" w:ascii="Times New Roman" w:hAnsi="Times New Roman" w:cs="Times New Roman"/>
          <w:i/>
          <w:iCs/>
          <w:color w:val="auto"/>
          <w:kern w:val="0"/>
          <w:sz w:val="24"/>
          <w:szCs w:val="24"/>
          <w:highlight w:val="none"/>
          <w:lang w:val="en-US" w:eastAsia="zh-CN"/>
        </w:rPr>
        <w:t xml:space="preserve"> </w:t>
      </w:r>
      <w:r>
        <w:rPr>
          <w:rFonts w:hint="default" w:ascii="Times New Roman" w:hAnsi="Times New Roman" w:cs="Times New Roman"/>
          <w:i/>
          <w:iCs/>
          <w:color w:val="auto"/>
          <w:kern w:val="0"/>
          <w:sz w:val="24"/>
          <w:szCs w:val="24"/>
          <w:highlight w:val="none"/>
        </w:rPr>
        <w:t>fimbriata</w:t>
      </w:r>
      <w:r>
        <w:rPr>
          <w:rFonts w:hint="default" w:ascii="Times New Roman" w:hAnsi="Times New Roman" w:cs="Times New Roman"/>
          <w:color w:val="auto"/>
          <w:kern w:val="0"/>
          <w:sz w:val="24"/>
          <w:szCs w:val="24"/>
          <w:highlight w:val="none"/>
        </w:rPr>
        <w:t>）、南方鳅鮀（</w:t>
      </w:r>
      <w:r>
        <w:rPr>
          <w:rFonts w:hint="default" w:ascii="Times New Roman" w:hAnsi="Times New Roman" w:cs="Times New Roman"/>
          <w:i/>
          <w:iCs/>
          <w:color w:val="auto"/>
          <w:kern w:val="0"/>
          <w:sz w:val="24"/>
          <w:szCs w:val="24"/>
          <w:highlight w:val="none"/>
        </w:rPr>
        <w:t>Gobiobotia</w:t>
      </w:r>
      <w:r>
        <w:rPr>
          <w:rFonts w:hint="default" w:ascii="Times New Roman" w:hAnsi="Times New Roman" w:cs="Times New Roman"/>
          <w:i/>
          <w:iCs/>
          <w:color w:val="auto"/>
          <w:kern w:val="0"/>
          <w:sz w:val="24"/>
          <w:szCs w:val="24"/>
          <w:highlight w:val="none"/>
          <w:lang w:val="en-US" w:eastAsia="zh-CN"/>
        </w:rPr>
        <w:t xml:space="preserve"> </w:t>
      </w:r>
      <w:r>
        <w:rPr>
          <w:rFonts w:hint="default" w:ascii="Times New Roman" w:hAnsi="Times New Roman" w:cs="Times New Roman"/>
          <w:i/>
          <w:iCs/>
          <w:color w:val="auto"/>
          <w:kern w:val="0"/>
          <w:sz w:val="24"/>
          <w:szCs w:val="24"/>
          <w:highlight w:val="none"/>
        </w:rPr>
        <w:t>meridionalis</w:t>
      </w:r>
      <w:r>
        <w:rPr>
          <w:rFonts w:hint="default" w:ascii="Times New Roman" w:hAnsi="Times New Roman" w:cs="Times New Roman"/>
          <w:color w:val="auto"/>
          <w:kern w:val="0"/>
          <w:sz w:val="24"/>
          <w:szCs w:val="24"/>
          <w:highlight w:val="none"/>
        </w:rPr>
        <w:t>）、宜昌鳅鮀（</w:t>
      </w:r>
      <w:r>
        <w:rPr>
          <w:rFonts w:hint="default" w:ascii="Times New Roman" w:hAnsi="Times New Roman" w:cs="Times New Roman"/>
          <w:i/>
          <w:iCs/>
          <w:color w:val="auto"/>
          <w:kern w:val="0"/>
          <w:sz w:val="24"/>
          <w:szCs w:val="24"/>
          <w:highlight w:val="none"/>
        </w:rPr>
        <w:t>Gobiobotia</w:t>
      </w:r>
      <w:r>
        <w:rPr>
          <w:rFonts w:hint="default" w:ascii="Times New Roman" w:hAnsi="Times New Roman" w:cs="Times New Roman"/>
          <w:i/>
          <w:iCs/>
          <w:color w:val="auto"/>
          <w:kern w:val="0"/>
          <w:sz w:val="24"/>
          <w:szCs w:val="24"/>
          <w:highlight w:val="none"/>
          <w:lang w:val="en-US" w:eastAsia="zh-CN"/>
        </w:rPr>
        <w:t xml:space="preserve"> </w:t>
      </w:r>
      <w:r>
        <w:rPr>
          <w:rFonts w:hint="default" w:ascii="Times New Roman" w:hAnsi="Times New Roman" w:cs="Times New Roman"/>
          <w:i/>
          <w:iCs/>
          <w:color w:val="auto"/>
          <w:kern w:val="0"/>
          <w:sz w:val="24"/>
          <w:szCs w:val="24"/>
          <w:highlight w:val="none"/>
        </w:rPr>
        <w:t>filifer</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列入《</w:t>
      </w:r>
      <w:r>
        <w:rPr>
          <w:rFonts w:hint="default" w:ascii="Times New Roman" w:hAnsi="Times New Roman" w:cs="Times New Roman"/>
          <w:color w:val="auto"/>
          <w:kern w:val="0"/>
          <w:sz w:val="24"/>
          <w:szCs w:val="24"/>
          <w:highlight w:val="none"/>
        </w:rPr>
        <w:t>中国生物多样性红色名录</w:t>
      </w:r>
      <w:r>
        <w:rPr>
          <w:rFonts w:hint="default" w:cs="Times New Roman"/>
          <w:color w:val="auto"/>
          <w:kern w:val="0"/>
          <w:sz w:val="24"/>
          <w:szCs w:val="24"/>
          <w:highlight w:val="none"/>
          <w:lang w:val="en-US" w:eastAsia="zh-CN"/>
        </w:rPr>
        <w:t xml:space="preserve"> </w:t>
      </w:r>
      <w:r>
        <w:rPr>
          <w:rFonts w:hint="default" w:ascii="Times New Roman" w:hAnsi="Times New Roman" w:cs="Times New Roman"/>
          <w:color w:val="auto"/>
          <w:kern w:val="0"/>
          <w:sz w:val="24"/>
          <w:szCs w:val="24"/>
          <w:highlight w:val="none"/>
          <w:lang w:val="en-US" w:eastAsia="zh-CN"/>
        </w:rPr>
        <w:t>脊椎动物卷》（2020）</w:t>
      </w:r>
      <w:r>
        <w:rPr>
          <w:rFonts w:hint="default" w:ascii="Times New Roman" w:hAnsi="Times New Roman" w:cs="Times New Roman"/>
          <w:color w:val="auto"/>
          <w:sz w:val="24"/>
          <w:szCs w:val="24"/>
          <w:highlight w:val="none"/>
        </w:rPr>
        <w:t>评级为</w:t>
      </w:r>
      <w:r>
        <w:rPr>
          <w:rFonts w:hint="default" w:ascii="Times New Roman" w:hAnsi="Times New Roman" w:eastAsia="宋体" w:cs="Times New Roman"/>
          <w:color w:val="auto"/>
          <w:sz w:val="24"/>
          <w:szCs w:val="24"/>
          <w:highlight w:val="none"/>
          <w:lang w:val="en-US" w:eastAsia="zh-CN"/>
        </w:rPr>
        <w:t>极</w:t>
      </w:r>
      <w:r>
        <w:rPr>
          <w:rFonts w:hint="default" w:ascii="Times New Roman" w:hAnsi="Times New Roman" w:cs="Times New Roman"/>
          <w:color w:val="auto"/>
          <w:sz w:val="24"/>
          <w:szCs w:val="24"/>
          <w:highlight w:val="none"/>
          <w:lang w:val="en-US" w:eastAsia="zh-CN"/>
        </w:rPr>
        <w:t>危（CR）的鱼类有</w:t>
      </w:r>
      <w:r>
        <w:rPr>
          <w:rFonts w:hint="default" w:ascii="Times New Roman" w:hAnsi="Times New Roman" w:eastAsia="宋体" w:cs="Times New Roman"/>
          <w:color w:val="auto"/>
          <w:sz w:val="24"/>
          <w:szCs w:val="24"/>
          <w:highlight w:val="none"/>
          <w:lang w:val="en-US" w:eastAsia="zh-CN"/>
        </w:rPr>
        <w:t>1种，</w:t>
      </w:r>
      <w:r>
        <w:rPr>
          <w:rFonts w:hint="default" w:ascii="Times New Roman" w:hAnsi="Times New Roman" w:cs="Times New Roman"/>
          <w:color w:val="auto"/>
          <w:spacing w:val="-1"/>
          <w:kern w:val="0"/>
          <w:sz w:val="24"/>
          <w:szCs w:val="24"/>
          <w:highlight w:val="none"/>
        </w:rPr>
        <w:t>鳤</w:t>
      </w:r>
      <w:r>
        <w:rPr>
          <w:rFonts w:hint="default" w:ascii="Times New Roman" w:hAnsi="Times New Roman" w:cs="Times New Roman"/>
          <w:color w:val="auto"/>
          <w:spacing w:val="-38"/>
          <w:kern w:val="0"/>
          <w:sz w:val="24"/>
          <w:szCs w:val="24"/>
          <w:highlight w:val="none"/>
          <w:lang w:eastAsia="zh-CN"/>
        </w:rPr>
        <w:t>（</w:t>
      </w:r>
      <w:r>
        <w:rPr>
          <w:rFonts w:hint="default" w:ascii="Times New Roman" w:hAnsi="Times New Roman" w:cs="Times New Roman"/>
          <w:i/>
          <w:iCs/>
          <w:color w:val="auto"/>
          <w:spacing w:val="-1"/>
          <w:kern w:val="0"/>
          <w:sz w:val="24"/>
          <w:szCs w:val="24"/>
          <w:highlight w:val="none"/>
        </w:rPr>
        <w:t>Ochetobius</w:t>
      </w:r>
      <w:r>
        <w:rPr>
          <w:rFonts w:hint="default" w:ascii="Times New Roman" w:hAnsi="Times New Roman" w:cs="Times New Roman"/>
          <w:i/>
          <w:iCs/>
          <w:color w:val="auto"/>
          <w:spacing w:val="-1"/>
          <w:kern w:val="0"/>
          <w:sz w:val="24"/>
          <w:szCs w:val="24"/>
          <w:highlight w:val="none"/>
          <w:lang w:val="en-US" w:eastAsia="zh-CN"/>
        </w:rPr>
        <w:t xml:space="preserve"> </w:t>
      </w:r>
      <w:r>
        <w:rPr>
          <w:rFonts w:hint="default" w:ascii="Times New Roman" w:hAnsi="Times New Roman" w:cs="Times New Roman"/>
          <w:i/>
          <w:iCs/>
          <w:color w:val="auto"/>
          <w:spacing w:val="-1"/>
          <w:kern w:val="0"/>
          <w:sz w:val="24"/>
          <w:szCs w:val="24"/>
          <w:highlight w:val="none"/>
        </w:rPr>
        <w:t>elongatus</w:t>
      </w:r>
      <w:r>
        <w:rPr>
          <w:rFonts w:hint="default" w:ascii="Times New Roman" w:hAnsi="Times New Roman" w:cs="Times New Roman"/>
          <w:color w:val="auto"/>
          <w:spacing w:val="-38"/>
          <w:kern w:val="0"/>
          <w:sz w:val="24"/>
          <w:szCs w:val="24"/>
          <w:highlight w:val="none"/>
          <w:lang w:eastAsia="zh-CN"/>
        </w:rPr>
        <w:t>）</w:t>
      </w:r>
      <w:r>
        <w:rPr>
          <w:rFonts w:hint="default" w:ascii="Times New Roman" w:hAnsi="Times New Roman" w:cs="Times New Roman"/>
          <w:i w:val="0"/>
          <w:iCs w:val="0"/>
          <w:color w:val="auto"/>
          <w:spacing w:val="-1"/>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评级为易危（VU）的</w:t>
      </w:r>
      <w:r>
        <w:rPr>
          <w:rFonts w:hint="default" w:ascii="Times New Roman" w:hAnsi="Times New Roman" w:eastAsia="宋体" w:cs="Times New Roman"/>
          <w:color w:val="auto"/>
          <w:kern w:val="0"/>
          <w:sz w:val="24"/>
          <w:szCs w:val="24"/>
          <w:highlight w:val="none"/>
          <w:lang w:val="en-US" w:eastAsia="zh-CN"/>
        </w:rPr>
        <w:t>鱼类</w:t>
      </w:r>
      <w:r>
        <w:rPr>
          <w:rFonts w:hint="default" w:ascii="Times New Roman" w:hAnsi="Times New Roman" w:cs="Times New Roman"/>
          <w:color w:val="auto"/>
          <w:kern w:val="0"/>
          <w:sz w:val="24"/>
          <w:szCs w:val="24"/>
          <w:highlight w:val="none"/>
          <w:lang w:val="en-US" w:eastAsia="zh-CN"/>
        </w:rPr>
        <w:t>有</w:t>
      </w:r>
      <w:r>
        <w:rPr>
          <w:rFonts w:hint="default" w:ascii="Times New Roman" w:hAnsi="Times New Roman" w:eastAsia="宋体" w:cs="Times New Roman"/>
          <w:color w:val="auto"/>
          <w:kern w:val="0"/>
          <w:sz w:val="24"/>
          <w:szCs w:val="24"/>
          <w:highlight w:val="none"/>
          <w:lang w:val="en-US" w:eastAsia="zh-CN"/>
        </w:rPr>
        <w:t>3种，分别为</w:t>
      </w:r>
      <w:r>
        <w:rPr>
          <w:rFonts w:hint="default" w:ascii="Times New Roman" w:hAnsi="Times New Roman" w:cs="Times New Roman"/>
          <w:color w:val="auto"/>
          <w:spacing w:val="-1"/>
          <w:kern w:val="0"/>
          <w:sz w:val="24"/>
          <w:szCs w:val="24"/>
          <w:highlight w:val="none"/>
        </w:rPr>
        <w:t>衡阳薄鳅</w:t>
      </w:r>
      <w:r>
        <w:rPr>
          <w:rFonts w:hint="default" w:ascii="Times New Roman" w:hAnsi="Times New Roman" w:eastAsia="宋体" w:cs="Times New Roman"/>
          <w:color w:val="auto"/>
          <w:spacing w:val="-1"/>
          <w:kern w:val="0"/>
          <w:sz w:val="24"/>
          <w:szCs w:val="24"/>
          <w:highlight w:val="none"/>
          <w:lang w:eastAsia="zh-CN"/>
        </w:rPr>
        <w:t>（</w:t>
      </w:r>
      <w:r>
        <w:rPr>
          <w:rFonts w:hint="default" w:ascii="Times New Roman" w:hAnsi="Times New Roman" w:cs="Times New Roman"/>
          <w:i/>
          <w:iCs/>
          <w:color w:val="auto"/>
          <w:spacing w:val="-1"/>
          <w:kern w:val="0"/>
          <w:sz w:val="24"/>
          <w:szCs w:val="24"/>
          <w:highlight w:val="none"/>
        </w:rPr>
        <w:t>Leptobotia</w:t>
      </w:r>
      <w:r>
        <w:rPr>
          <w:rFonts w:hint="default" w:ascii="Times New Roman" w:hAnsi="Times New Roman" w:cs="Times New Roman"/>
          <w:i/>
          <w:iCs/>
          <w:color w:val="auto"/>
          <w:spacing w:val="-1"/>
          <w:kern w:val="0"/>
          <w:sz w:val="24"/>
          <w:szCs w:val="24"/>
          <w:highlight w:val="none"/>
          <w:lang w:val="en-US" w:eastAsia="zh-CN"/>
        </w:rPr>
        <w:t xml:space="preserve"> </w:t>
      </w:r>
      <w:r>
        <w:rPr>
          <w:rFonts w:hint="default" w:ascii="Times New Roman" w:hAnsi="Times New Roman" w:cs="Times New Roman"/>
          <w:i/>
          <w:iCs/>
          <w:color w:val="auto"/>
          <w:spacing w:val="-1"/>
          <w:kern w:val="0"/>
          <w:sz w:val="24"/>
          <w:szCs w:val="24"/>
          <w:highlight w:val="none"/>
        </w:rPr>
        <w:t>hengyangensis</w:t>
      </w:r>
      <w:r>
        <w:rPr>
          <w:rFonts w:hint="default" w:ascii="Times New Roman" w:hAnsi="Times New Roman" w:eastAsia="宋体" w:cs="Times New Roman"/>
          <w:color w:val="auto"/>
          <w:spacing w:val="-1"/>
          <w:kern w:val="0"/>
          <w:sz w:val="24"/>
          <w:szCs w:val="24"/>
          <w:highlight w:val="none"/>
          <w:lang w:eastAsia="zh-CN"/>
        </w:rPr>
        <w:t>）</w:t>
      </w:r>
      <w:r>
        <w:rPr>
          <w:rFonts w:hint="default" w:ascii="Times New Roman" w:hAnsi="Times New Roman" w:cs="Times New Roman"/>
          <w:i/>
          <w:iCs/>
          <w:color w:val="auto"/>
          <w:spacing w:val="-1"/>
          <w:kern w:val="0"/>
          <w:sz w:val="24"/>
          <w:szCs w:val="24"/>
          <w:highlight w:val="none"/>
          <w:lang w:eastAsia="zh-CN"/>
        </w:rPr>
        <w:t>、</w:t>
      </w:r>
      <w:r>
        <w:rPr>
          <w:rFonts w:hint="default" w:ascii="Times New Roman" w:hAnsi="Times New Roman" w:cs="Times New Roman"/>
          <w:color w:val="auto"/>
          <w:spacing w:val="-1"/>
          <w:kern w:val="0"/>
          <w:sz w:val="24"/>
          <w:szCs w:val="24"/>
          <w:highlight w:val="none"/>
        </w:rPr>
        <w:t>紫薄鳅</w:t>
      </w:r>
      <w:r>
        <w:rPr>
          <w:rFonts w:hint="default" w:ascii="Times New Roman" w:hAnsi="Times New Roman" w:cs="Times New Roman"/>
          <w:color w:val="auto"/>
          <w:spacing w:val="-42"/>
          <w:kern w:val="0"/>
          <w:sz w:val="24"/>
          <w:szCs w:val="24"/>
          <w:highlight w:val="none"/>
          <w:lang w:eastAsia="zh-CN"/>
        </w:rPr>
        <w:t>（</w:t>
      </w:r>
      <w:r>
        <w:rPr>
          <w:rFonts w:hint="default" w:ascii="Times New Roman" w:hAnsi="Times New Roman" w:cs="Times New Roman"/>
          <w:i/>
          <w:iCs/>
          <w:color w:val="auto"/>
          <w:spacing w:val="-1"/>
          <w:kern w:val="0"/>
          <w:sz w:val="24"/>
          <w:szCs w:val="24"/>
          <w:highlight w:val="none"/>
        </w:rPr>
        <w:t>Leptobotia</w:t>
      </w:r>
      <w:r>
        <w:rPr>
          <w:rFonts w:hint="default" w:ascii="Times New Roman" w:hAnsi="Times New Roman" w:cs="Times New Roman"/>
          <w:i/>
          <w:iCs/>
          <w:color w:val="auto"/>
          <w:spacing w:val="-1"/>
          <w:kern w:val="0"/>
          <w:sz w:val="24"/>
          <w:szCs w:val="24"/>
          <w:highlight w:val="none"/>
          <w:lang w:val="en-US" w:eastAsia="zh-CN"/>
        </w:rPr>
        <w:t xml:space="preserve"> </w:t>
      </w:r>
      <w:r>
        <w:rPr>
          <w:rFonts w:hint="default" w:ascii="Times New Roman" w:hAnsi="Times New Roman" w:cs="Times New Roman"/>
          <w:i/>
          <w:iCs/>
          <w:color w:val="auto"/>
          <w:spacing w:val="-1"/>
          <w:kern w:val="0"/>
          <w:sz w:val="24"/>
          <w:szCs w:val="24"/>
          <w:highlight w:val="none"/>
        </w:rPr>
        <w:t>t</w:t>
      </w:r>
      <w:r>
        <w:rPr>
          <w:rFonts w:hint="default" w:ascii="Times New Roman" w:hAnsi="Times New Roman" w:cs="Times New Roman"/>
          <w:i/>
          <w:iCs/>
          <w:color w:val="auto"/>
          <w:spacing w:val="-2"/>
          <w:kern w:val="0"/>
          <w:sz w:val="24"/>
          <w:szCs w:val="24"/>
          <w:highlight w:val="none"/>
        </w:rPr>
        <w:t>aeniops</w:t>
      </w:r>
      <w:r>
        <w:rPr>
          <w:rFonts w:hint="default" w:ascii="Times New Roman" w:hAnsi="Times New Roman" w:eastAsia="宋体" w:cs="Times New Roman"/>
          <w:color w:val="auto"/>
          <w:spacing w:val="-1"/>
          <w:kern w:val="0"/>
          <w:sz w:val="24"/>
          <w:szCs w:val="24"/>
          <w:highlight w:val="none"/>
          <w:lang w:eastAsia="zh-CN"/>
        </w:rPr>
        <w:t>）</w:t>
      </w:r>
      <w:r>
        <w:rPr>
          <w:rFonts w:hint="default" w:ascii="Times New Roman" w:hAnsi="Times New Roman" w:cs="Times New Roman"/>
          <w:i/>
          <w:iCs/>
          <w:color w:val="auto"/>
          <w:spacing w:val="-2"/>
          <w:kern w:val="0"/>
          <w:sz w:val="24"/>
          <w:szCs w:val="24"/>
          <w:highlight w:val="none"/>
          <w:lang w:eastAsia="zh-CN"/>
        </w:rPr>
        <w:t>、</w:t>
      </w:r>
      <w:r>
        <w:rPr>
          <w:rFonts w:hint="default" w:ascii="Times New Roman" w:hAnsi="Times New Roman" w:cs="Times New Roman"/>
          <w:color w:val="auto"/>
          <w:spacing w:val="-3"/>
          <w:kern w:val="0"/>
          <w:sz w:val="24"/>
          <w:szCs w:val="24"/>
          <w:highlight w:val="none"/>
        </w:rPr>
        <w:t>白缘䱀</w:t>
      </w:r>
      <w:r>
        <w:rPr>
          <w:rFonts w:hint="default" w:ascii="Times New Roman" w:hAnsi="Times New Roman" w:eastAsia="宋体" w:cs="Times New Roman"/>
          <w:color w:val="auto"/>
          <w:spacing w:val="-3"/>
          <w:kern w:val="0"/>
          <w:sz w:val="24"/>
          <w:szCs w:val="24"/>
          <w:highlight w:val="none"/>
          <w:lang w:eastAsia="zh-CN"/>
        </w:rPr>
        <w:t>（</w:t>
      </w:r>
      <w:r>
        <w:rPr>
          <w:rFonts w:hint="default" w:ascii="Times New Roman" w:hAnsi="Times New Roman" w:cs="Times New Roman"/>
          <w:i/>
          <w:iCs/>
          <w:color w:val="auto"/>
          <w:spacing w:val="-3"/>
          <w:kern w:val="0"/>
          <w:sz w:val="24"/>
          <w:szCs w:val="24"/>
          <w:highlight w:val="none"/>
        </w:rPr>
        <w:t>Liobagrus</w:t>
      </w:r>
      <w:r>
        <w:rPr>
          <w:rFonts w:hint="default" w:ascii="Times New Roman" w:hAnsi="Times New Roman" w:cs="Times New Roman"/>
          <w:i/>
          <w:iCs/>
          <w:color w:val="auto"/>
          <w:spacing w:val="-3"/>
          <w:kern w:val="0"/>
          <w:sz w:val="24"/>
          <w:szCs w:val="24"/>
          <w:highlight w:val="none"/>
          <w:lang w:val="en-US" w:eastAsia="zh-CN"/>
        </w:rPr>
        <w:t xml:space="preserve"> </w:t>
      </w:r>
      <w:r>
        <w:rPr>
          <w:rFonts w:hint="default" w:ascii="Times New Roman" w:hAnsi="Times New Roman" w:cs="Times New Roman"/>
          <w:i/>
          <w:iCs/>
          <w:color w:val="auto"/>
          <w:spacing w:val="-3"/>
          <w:kern w:val="0"/>
          <w:sz w:val="24"/>
          <w:szCs w:val="24"/>
          <w:highlight w:val="none"/>
        </w:rPr>
        <w:t>marginatus</w:t>
      </w:r>
      <w:r>
        <w:rPr>
          <w:rFonts w:hint="default" w:ascii="Times New Roman" w:hAnsi="Times New Roman" w:eastAsia="宋体" w:cs="Times New Roman"/>
          <w:color w:val="auto"/>
          <w:spacing w:val="-3"/>
          <w:kern w:val="0"/>
          <w:sz w:val="24"/>
          <w:szCs w:val="24"/>
          <w:highlight w:val="none"/>
          <w:lang w:eastAsia="zh-CN"/>
        </w:rPr>
        <w:t>）</w:t>
      </w:r>
      <w:r>
        <w:rPr>
          <w:rFonts w:hint="default" w:ascii="Times New Roman" w:hAnsi="Times New Roman" w:cs="Times New Roman"/>
          <w:color w:val="auto"/>
          <w:spacing w:val="-3"/>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中国特有种鱼类有33种，有大眼华鳊（</w:t>
      </w:r>
      <w:r>
        <w:rPr>
          <w:rFonts w:hint="default" w:ascii="Times New Roman" w:hAnsi="Times New Roman" w:eastAsia="宋体" w:cs="Times New Roman"/>
          <w:i/>
          <w:iCs/>
          <w:color w:val="auto"/>
          <w:kern w:val="0"/>
          <w:sz w:val="24"/>
          <w:szCs w:val="24"/>
          <w:highlight w:val="none"/>
          <w:lang w:val="en-US" w:eastAsia="zh-CN"/>
        </w:rPr>
        <w:t>Sinibrama</w:t>
      </w:r>
      <w:r>
        <w:rPr>
          <w:rFonts w:hint="default" w:ascii="Times New Roman" w:hAnsi="Times New Roman" w:cs="Times New Roman"/>
          <w:i/>
          <w:iCs/>
          <w:color w:val="auto"/>
          <w:kern w:val="0"/>
          <w:sz w:val="24"/>
          <w:szCs w:val="24"/>
          <w:highlight w:val="none"/>
          <w:lang w:val="en-US" w:eastAsia="zh-CN"/>
        </w:rPr>
        <w:t xml:space="preserve"> </w:t>
      </w:r>
      <w:r>
        <w:rPr>
          <w:rFonts w:hint="default" w:ascii="Times New Roman" w:hAnsi="Times New Roman" w:eastAsia="宋体" w:cs="Times New Roman"/>
          <w:i/>
          <w:iCs/>
          <w:color w:val="auto"/>
          <w:kern w:val="0"/>
          <w:sz w:val="24"/>
          <w:szCs w:val="24"/>
          <w:highlight w:val="none"/>
          <w:lang w:val="en-US" w:eastAsia="zh-CN"/>
        </w:rPr>
        <w:t>macrops</w:t>
      </w:r>
      <w:r>
        <w:rPr>
          <w:rFonts w:hint="default" w:ascii="Times New Roman" w:hAnsi="Times New Roman" w:eastAsia="宋体" w:cs="Times New Roman"/>
          <w:color w:val="auto"/>
          <w:kern w:val="0"/>
          <w:sz w:val="24"/>
          <w:szCs w:val="24"/>
          <w:highlight w:val="none"/>
          <w:lang w:val="en-US" w:eastAsia="zh-CN"/>
        </w:rPr>
        <w:t>）、寡鳞飘鱼（</w:t>
      </w:r>
      <w:r>
        <w:rPr>
          <w:rFonts w:hint="default" w:ascii="Times New Roman" w:hAnsi="Times New Roman" w:eastAsia="宋体" w:cs="Times New Roman"/>
          <w:b w:val="0"/>
          <w:bCs w:val="0"/>
          <w:i/>
          <w:iCs/>
          <w:color w:val="auto"/>
          <w:kern w:val="0"/>
          <w:sz w:val="24"/>
          <w:szCs w:val="24"/>
          <w:highlight w:val="none"/>
          <w:lang w:val="en-US" w:eastAsia="zh-CN"/>
        </w:rPr>
        <w:t>Pseudolaubuca</w:t>
      </w:r>
      <w:r>
        <w:rPr>
          <w:rFonts w:hint="default" w:ascii="Times New Roman" w:hAnsi="Times New Roman" w:cs="Times New Roman"/>
          <w:b w:val="0"/>
          <w:bCs w:val="0"/>
          <w:i/>
          <w:iCs/>
          <w:color w:val="auto"/>
          <w:kern w:val="0"/>
          <w:sz w:val="24"/>
          <w:szCs w:val="24"/>
          <w:highlight w:val="none"/>
          <w:lang w:val="en-US" w:eastAsia="zh-CN"/>
        </w:rPr>
        <w:t xml:space="preserve"> </w:t>
      </w:r>
      <w:r>
        <w:rPr>
          <w:rFonts w:hint="default" w:ascii="Times New Roman" w:hAnsi="Times New Roman" w:eastAsia="宋体" w:cs="Times New Roman"/>
          <w:b w:val="0"/>
          <w:bCs w:val="0"/>
          <w:i/>
          <w:iCs/>
          <w:color w:val="auto"/>
          <w:kern w:val="0"/>
          <w:sz w:val="24"/>
          <w:szCs w:val="24"/>
          <w:highlight w:val="none"/>
          <w:lang w:val="en-US" w:eastAsia="zh-CN"/>
        </w:rPr>
        <w:t>engraulis</w:t>
      </w:r>
      <w:r>
        <w:rPr>
          <w:rFonts w:hint="default" w:ascii="Times New Roman" w:hAnsi="Times New Roman" w:eastAsia="宋体" w:cs="Times New Roman"/>
          <w:color w:val="auto"/>
          <w:kern w:val="0"/>
          <w:sz w:val="24"/>
          <w:szCs w:val="24"/>
          <w:highlight w:val="none"/>
          <w:lang w:val="en-US" w:eastAsia="zh-CN"/>
        </w:rPr>
        <w:t>）、拟尖头鲌（</w:t>
      </w:r>
      <w:r>
        <w:rPr>
          <w:rFonts w:hint="default" w:ascii="Times New Roman" w:hAnsi="Times New Roman" w:eastAsia="宋体" w:cs="Times New Roman"/>
          <w:i/>
          <w:iCs/>
          <w:color w:val="auto"/>
          <w:kern w:val="0"/>
          <w:sz w:val="24"/>
          <w:szCs w:val="24"/>
          <w:highlight w:val="none"/>
          <w:lang w:val="en-US" w:eastAsia="zh-CN"/>
        </w:rPr>
        <w:t>Culter</w:t>
      </w:r>
      <w:r>
        <w:rPr>
          <w:rFonts w:hint="default" w:ascii="Times New Roman" w:hAnsi="Times New Roman" w:cs="Times New Roman"/>
          <w:i/>
          <w:iCs/>
          <w:color w:val="auto"/>
          <w:kern w:val="0"/>
          <w:sz w:val="24"/>
          <w:szCs w:val="24"/>
          <w:highlight w:val="none"/>
          <w:lang w:val="en-US" w:eastAsia="zh-CN"/>
        </w:rPr>
        <w:t xml:space="preserve"> </w:t>
      </w:r>
      <w:r>
        <w:rPr>
          <w:rFonts w:hint="default" w:ascii="Times New Roman" w:hAnsi="Times New Roman" w:eastAsia="宋体" w:cs="Times New Roman"/>
          <w:i/>
          <w:iCs/>
          <w:color w:val="auto"/>
          <w:kern w:val="0"/>
          <w:sz w:val="24"/>
          <w:szCs w:val="24"/>
          <w:highlight w:val="none"/>
          <w:lang w:val="en-US" w:eastAsia="zh-CN"/>
        </w:rPr>
        <w:t>oxycephaloides</w:t>
      </w:r>
      <w:r>
        <w:rPr>
          <w:rFonts w:hint="default" w:ascii="Times New Roman" w:hAnsi="Times New Roman" w:eastAsia="宋体" w:cs="Times New Roman"/>
          <w:color w:val="auto"/>
          <w:kern w:val="0"/>
          <w:sz w:val="24"/>
          <w:szCs w:val="24"/>
          <w:highlight w:val="none"/>
          <w:lang w:val="en-US" w:eastAsia="zh-CN"/>
        </w:rPr>
        <w:t>）等</w:t>
      </w:r>
      <w:r>
        <w:rPr>
          <w:rFonts w:hint="default" w:cs="Times New Roman"/>
          <w:color w:val="auto"/>
          <w:kern w:val="0"/>
          <w:sz w:val="24"/>
          <w:szCs w:val="24"/>
          <w:highlight w:val="none"/>
          <w:lang w:val="en-US" w:eastAsia="zh-CN"/>
        </w:rPr>
        <w:t>。</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hint="default" w:cs="Times New Roman"/>
          <w:b/>
          <w:bCs/>
          <w:color w:val="auto"/>
          <w:kern w:val="0"/>
          <w:sz w:val="30"/>
          <w:szCs w:val="30"/>
          <w:highlight w:val="none"/>
          <w:lang w:val="en-US" w:eastAsia="zh-CN"/>
        </w:rPr>
      </w:pPr>
      <w:bookmarkStart w:id="122" w:name="_Toc32566"/>
      <w:bookmarkStart w:id="123" w:name="_Toc22276"/>
      <w:r>
        <w:rPr>
          <w:rFonts w:hint="default" w:cs="Times New Roman"/>
          <w:b/>
          <w:bCs/>
          <w:color w:val="auto"/>
          <w:kern w:val="0"/>
          <w:sz w:val="30"/>
          <w:szCs w:val="30"/>
          <w:highlight w:val="none"/>
          <w:lang w:val="en-US" w:eastAsia="zh-CN"/>
        </w:rPr>
        <w:t>生态功能区划</w:t>
      </w:r>
      <w:bookmarkEnd w:id="122"/>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124" w:name="_Toc18273"/>
      <w:bookmarkStart w:id="125" w:name="_Toc130573016"/>
      <w:r>
        <w:rPr>
          <w:rFonts w:hint="default" w:cs="Times New Roman"/>
          <w:b/>
          <w:bCs/>
          <w:color w:val="auto"/>
          <w:kern w:val="0"/>
          <w:sz w:val="28"/>
          <w:szCs w:val="28"/>
          <w:highlight w:val="none"/>
          <w:lang w:val="en-US" w:eastAsia="zh-CN"/>
        </w:rPr>
        <w:t>4.6.1项目所在区域的生态功能区划</w:t>
      </w:r>
      <w:bookmarkEnd w:id="124"/>
      <w:bookmarkEnd w:id="125"/>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4.6.1.1全国生态功能区划</w:t>
      </w:r>
    </w:p>
    <w:p>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根据《全国生态功能区划》，</w:t>
      </w:r>
      <w:r>
        <w:rPr>
          <w:rFonts w:hint="default" w:ascii="Times New Roman" w:hAnsi="Times New Roman" w:cs="Times New Roman"/>
          <w:color w:val="auto"/>
          <w:sz w:val="24"/>
          <w:szCs w:val="24"/>
          <w:highlight w:val="none"/>
          <w:lang w:val="en-US" w:eastAsia="zh-CN"/>
        </w:rPr>
        <w:t>项目实施区域</w:t>
      </w:r>
      <w:r>
        <w:rPr>
          <w:rFonts w:hint="default" w:ascii="Times New Roman" w:hAnsi="Times New Roman" w:cs="Times New Roman"/>
          <w:color w:val="auto"/>
          <w:sz w:val="24"/>
          <w:szCs w:val="24"/>
          <w:highlight w:val="none"/>
        </w:rPr>
        <w:t>属于</w:t>
      </w:r>
      <w:r>
        <w:rPr>
          <w:rFonts w:hint="default" w:ascii="Times New Roman" w:hAnsi="Times New Roman" w:eastAsia="宋体" w:cs="Times New Roman"/>
          <w:color w:val="auto"/>
          <w:sz w:val="24"/>
          <w:szCs w:val="24"/>
          <w:highlight w:val="none"/>
        </w:rPr>
        <w:t>湖南中部丘陵农产品提供功能区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不属于全国重要生态功能区，如下图所示。</w:t>
      </w:r>
    </w:p>
    <w:p>
      <w:pPr>
        <w:keepNext w:val="0"/>
        <w:keepLines w:val="0"/>
        <w:pageBreakBefore w:val="0"/>
        <w:widowControl w:val="0"/>
        <w:kinsoku/>
        <w:wordWrap/>
        <w:overflowPunct/>
        <w:topLinePunct w:val="0"/>
        <w:autoSpaceDE w:val="0"/>
        <w:autoSpaceDN w:val="0"/>
        <w:bidi w:val="0"/>
        <w:adjustRightInd w:val="0"/>
        <w:snapToGrid/>
        <w:spacing w:line="240" w:lineRule="auto"/>
        <w:ind w:firstLine="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drawing>
          <wp:inline distT="0" distB="0" distL="114300" distR="114300">
            <wp:extent cx="5511165" cy="3481070"/>
            <wp:effectExtent l="0" t="0" r="5715" b="8890"/>
            <wp:docPr id="4" name="图片 4" descr="《全国生态功能区划（修编版）》-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全国生态功能区划（修编版）》-87"/>
                    <pic:cNvPicPr>
                      <a:picLocks noChangeAspect="1"/>
                    </pic:cNvPicPr>
                  </pic:nvPicPr>
                  <pic:blipFill>
                    <a:blip r:embed="rId138"/>
                    <a:stretch>
                      <a:fillRect/>
                    </a:stretch>
                  </pic:blipFill>
                  <pic:spPr>
                    <a:xfrm>
                      <a:off x="0" y="0"/>
                      <a:ext cx="5511165" cy="3481070"/>
                    </a:xfrm>
                    <a:prstGeom prst="rect">
                      <a:avLst/>
                    </a:prstGeom>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0"/>
        <w:jc w:val="center"/>
        <w:textAlignment w:val="center"/>
        <w:outlineLvl w:val="9"/>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图</w:t>
      </w:r>
      <w:r>
        <w:rPr>
          <w:rFonts w:hint="default" w:cs="Times New Roman"/>
          <w:b/>
          <w:color w:val="auto"/>
          <w:szCs w:val="24"/>
          <w:highlight w:val="none"/>
          <w:lang w:val="en-US" w:eastAsia="zh-CN"/>
        </w:rPr>
        <w:t>4.6-</w:t>
      </w:r>
      <w:r>
        <w:rPr>
          <w:rFonts w:hint="default" w:ascii="Times New Roman" w:hAnsi="Times New Roman" w:cs="Times New Roman"/>
          <w:b/>
          <w:color w:val="auto"/>
          <w:szCs w:val="24"/>
          <w:highlight w:val="none"/>
        </w:rPr>
        <w:t xml:space="preserve">1 </w:t>
      </w:r>
      <w:r>
        <w:rPr>
          <w:rFonts w:hint="default" w:ascii="Times New Roman" w:hAnsi="Times New Roman" w:cs="Times New Roman"/>
          <w:b/>
          <w:color w:val="auto"/>
          <w:szCs w:val="24"/>
          <w:highlight w:val="none"/>
          <w:lang w:val="en-US" w:eastAsia="zh-CN"/>
        </w:rPr>
        <w:t>项目</w:t>
      </w:r>
      <w:r>
        <w:rPr>
          <w:rFonts w:hint="default" w:ascii="Times New Roman" w:hAnsi="Times New Roman" w:cs="Times New Roman"/>
          <w:b/>
          <w:color w:val="auto"/>
          <w:szCs w:val="24"/>
          <w:highlight w:val="none"/>
        </w:rPr>
        <w:t>所在区域与全国生态功能区划位置关系图</w:t>
      </w:r>
    </w:p>
    <w:p>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482"/>
        <w:jc w:val="center"/>
        <w:textAlignment w:val="center"/>
        <w:outlineLvl w:val="9"/>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表</w:t>
      </w:r>
      <w:r>
        <w:rPr>
          <w:rFonts w:hint="default" w:cs="Times New Roman"/>
          <w:b/>
          <w:color w:val="auto"/>
          <w:szCs w:val="24"/>
          <w:highlight w:val="none"/>
          <w:lang w:val="en-US" w:eastAsia="zh-CN"/>
        </w:rPr>
        <w:t>4.6</w:t>
      </w:r>
      <w:r>
        <w:rPr>
          <w:rFonts w:hint="default" w:ascii="Times New Roman" w:hAnsi="Times New Roman" w:cs="Times New Roman"/>
          <w:b/>
          <w:color w:val="auto"/>
          <w:szCs w:val="24"/>
          <w:highlight w:val="none"/>
        </w:rPr>
        <w:t>-1 评价区所在生态功能区一览表（依据《全国生态功能区划》）</w:t>
      </w:r>
    </w:p>
    <w:tbl>
      <w:tblPr>
        <w:tblStyle w:val="22"/>
        <w:tblW w:w="941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50"/>
        <w:gridCol w:w="1162"/>
        <w:gridCol w:w="2100"/>
        <w:gridCol w:w="479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350" w:type="dxa"/>
            <w:vAlign w:val="center"/>
          </w:tcPr>
          <w:p>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生态功能区</w:t>
            </w:r>
          </w:p>
        </w:tc>
        <w:tc>
          <w:tcPr>
            <w:tcW w:w="1162" w:type="dxa"/>
            <w:vAlign w:val="center"/>
          </w:tcPr>
          <w:p>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分区</w:t>
            </w:r>
          </w:p>
        </w:tc>
        <w:tc>
          <w:tcPr>
            <w:tcW w:w="2100" w:type="dxa"/>
            <w:vAlign w:val="center"/>
          </w:tcPr>
          <w:p>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主要生态问题</w:t>
            </w:r>
          </w:p>
        </w:tc>
        <w:tc>
          <w:tcPr>
            <w:tcW w:w="4798" w:type="dxa"/>
            <w:vAlign w:val="center"/>
          </w:tcPr>
          <w:p>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生态保护主要措施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35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农产品提供功能区</w:t>
            </w:r>
          </w:p>
        </w:tc>
        <w:tc>
          <w:tcPr>
            <w:tcW w:w="1162"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湖南中部丘陵农产品提供功能区</w:t>
            </w:r>
          </w:p>
        </w:tc>
        <w:tc>
          <w:tcPr>
            <w:tcW w:w="2100" w:type="dxa"/>
            <w:vAlign w:val="center"/>
          </w:tcPr>
          <w:p>
            <w:pPr>
              <w:widowControl/>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农田侵占、土壤肥力下降、农业面源污染严重；在草地畜牧业</w:t>
            </w:r>
          </w:p>
          <w:p>
            <w:pPr>
              <w:widowControl/>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区，过度放牧，草地退化沙化，抵御灾害能力低。</w:t>
            </w:r>
          </w:p>
        </w:tc>
        <w:tc>
          <w:tcPr>
            <w:tcW w:w="4798" w:type="dxa"/>
            <w:vAlign w:val="center"/>
          </w:tcPr>
          <w:p>
            <w:pPr>
              <w:rPr>
                <w:rFonts w:hint="default" w:ascii="Times New Roman" w:hAnsi="Times New Roman" w:cs="Times New Roman"/>
                <w:color w:val="auto"/>
                <w:highlight w:val="none"/>
              </w:rPr>
            </w:pPr>
            <w:r>
              <w:rPr>
                <w:rFonts w:hint="default" w:ascii="Times New Roman" w:hAnsi="Times New Roman" w:cs="Times New Roman"/>
                <w:color w:val="auto"/>
                <w:highlight w:val="none"/>
              </w:rPr>
              <w:t>（1）严格保护基本农田，培养土壤肥力。</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（2）加强农田基本建设，增强抗自然灾害的能力。</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（3）加强水利建设，大力发展节水农业；种养结合，科学施肥。</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（4）发展无公害农产品、绿色食品和有机食品；调整农业产业和农村经济结构，合理组织农业生产和农村经济活动。</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4.6.1.2湖南省生态功能区划</w:t>
      </w:r>
    </w:p>
    <w:p>
      <w:pPr>
        <w:pStyle w:val="21"/>
        <w:spacing w:afterLines="0" w:line="360" w:lineRule="auto"/>
        <w:ind w:left="0" w:leftChars="0" w:firstLine="480"/>
        <w:rPr>
          <w:rFonts w:hint="default" w:ascii="Times New Roman" w:hAnsi="Times New Roman" w:cs="Times New Roman"/>
          <w:color w:val="auto"/>
          <w:szCs w:val="21"/>
          <w:highlight w:val="none"/>
        </w:rPr>
      </w:pPr>
      <w:r>
        <w:rPr>
          <w:rFonts w:hint="default" w:ascii="Times New Roman" w:hAnsi="Times New Roman" w:cs="Times New Roman"/>
          <w:color w:val="auto"/>
          <w:kern w:val="0"/>
          <w:highlight w:val="none"/>
        </w:rPr>
        <w:t>根据《湖南省生态功能区划研究报告》</w:t>
      </w:r>
      <w:r>
        <w:rPr>
          <w:rFonts w:hint="default" w:ascii="Times New Roman" w:hAnsi="Times New Roman" w:cs="Times New Roman"/>
          <w:color w:val="auto"/>
          <w:highlight w:val="none"/>
        </w:rPr>
        <w:t>（湖南省环境保护局、湖南省环境监测中心站、湖南省洞庭湖环境监测站，2005年）</w:t>
      </w:r>
      <w:r>
        <w:rPr>
          <w:rFonts w:hint="default" w:ascii="Times New Roman" w:hAnsi="Times New Roman" w:cs="Times New Roman"/>
          <w:color w:val="auto"/>
          <w:kern w:val="0"/>
          <w:highlight w:val="none"/>
        </w:rPr>
        <w:t>，评价区属于湘东湘中丘陵山地常绿阔叶林生态区—衡阳盆地丘陵农业生态亚区—衡阳城市及近郊农业生态功能区。</w:t>
      </w:r>
    </w:p>
    <w:p>
      <w:pPr>
        <w:widowControl/>
        <w:shd w:val="clear" w:color="auto" w:fill="FFFFFF"/>
        <w:spacing w:line="360" w:lineRule="auto"/>
        <w:ind w:firstLine="482"/>
        <w:jc w:val="center"/>
        <w:textAlignment w:val="center"/>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表</w:t>
      </w:r>
      <w:r>
        <w:rPr>
          <w:rFonts w:hint="default" w:cs="Times New Roman"/>
          <w:b/>
          <w:color w:val="auto"/>
          <w:szCs w:val="24"/>
          <w:highlight w:val="none"/>
          <w:lang w:val="en-US" w:eastAsia="zh-CN"/>
        </w:rPr>
        <w:t>4.6-</w:t>
      </w:r>
      <w:r>
        <w:rPr>
          <w:rFonts w:hint="default" w:ascii="Times New Roman" w:hAnsi="Times New Roman" w:cs="Times New Roman"/>
          <w:b/>
          <w:color w:val="auto"/>
          <w:szCs w:val="24"/>
          <w:highlight w:val="none"/>
        </w:rPr>
        <w:t>2  评价区所在生态功能区一览表</w:t>
      </w:r>
    </w:p>
    <w:tbl>
      <w:tblPr>
        <w:tblStyle w:val="22"/>
        <w:tblW w:w="9464"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33"/>
        <w:gridCol w:w="2267"/>
        <w:gridCol w:w="1518"/>
        <w:gridCol w:w="424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33" w:type="dxa"/>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生态功能区</w:t>
            </w:r>
          </w:p>
        </w:tc>
        <w:tc>
          <w:tcPr>
            <w:tcW w:w="2267" w:type="dxa"/>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主要生态服务功能</w:t>
            </w:r>
          </w:p>
        </w:tc>
        <w:tc>
          <w:tcPr>
            <w:tcW w:w="1518" w:type="dxa"/>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主要生态环境问题</w:t>
            </w:r>
          </w:p>
        </w:tc>
        <w:tc>
          <w:tcPr>
            <w:tcW w:w="4246" w:type="dxa"/>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发展方向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33" w:type="dxa"/>
            <w:vAlign w:val="center"/>
          </w:tcPr>
          <w:p>
            <w:pPr>
              <w:jc w:val="left"/>
              <w:rPr>
                <w:rFonts w:hint="default" w:ascii="Times New Roman" w:hAnsi="Times New Roman" w:cs="Times New Roman"/>
                <w:color w:val="auto"/>
                <w:szCs w:val="21"/>
                <w:highlight w:val="none"/>
              </w:rPr>
            </w:pPr>
            <w:r>
              <w:rPr>
                <w:rFonts w:hint="default" w:ascii="Times New Roman" w:hAnsi="Times New Roman" w:cs="Times New Roman"/>
                <w:color w:val="auto"/>
                <w:kern w:val="0"/>
                <w:highlight w:val="none"/>
              </w:rPr>
              <w:t>衡阳城市及近郊农业生态功能区</w:t>
            </w:r>
          </w:p>
        </w:tc>
        <w:tc>
          <w:tcPr>
            <w:tcW w:w="2267" w:type="dxa"/>
            <w:vAlign w:val="center"/>
          </w:tcPr>
          <w:p>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水资源保护和土壤保持为重点，发展生态农业和农副产品提供等。</w:t>
            </w:r>
          </w:p>
        </w:tc>
        <w:tc>
          <w:tcPr>
            <w:tcW w:w="1518" w:type="dxa"/>
            <w:vAlign w:val="center"/>
          </w:tcPr>
          <w:p>
            <w:pP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较严重的水土流失和河流水质</w:t>
            </w:r>
            <w:r>
              <w:rPr>
                <w:rFonts w:hint="eastAsia" w:cs="Times New Roman"/>
                <w:color w:val="auto"/>
                <w:kern w:val="0"/>
                <w:szCs w:val="21"/>
                <w:highlight w:val="none"/>
                <w:lang w:eastAsia="zh-CN"/>
              </w:rPr>
              <w:t>污染</w:t>
            </w:r>
            <w:r>
              <w:rPr>
                <w:rFonts w:hint="default" w:ascii="Times New Roman" w:hAnsi="Times New Roman" w:cs="Times New Roman"/>
                <w:color w:val="auto"/>
                <w:kern w:val="0"/>
                <w:szCs w:val="21"/>
                <w:highlight w:val="none"/>
              </w:rPr>
              <w:t>。</w:t>
            </w:r>
          </w:p>
        </w:tc>
        <w:tc>
          <w:tcPr>
            <w:tcW w:w="4246" w:type="dxa"/>
            <w:vAlign w:val="center"/>
          </w:tcPr>
          <w:p>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保护水资源和土壤保持为方向，合理调整产业结构，发展循环经济，全面提升各生态系统的服务功能。</w:t>
            </w:r>
          </w:p>
        </w:tc>
      </w:tr>
    </w:tbl>
    <w:p>
      <w:pPr>
        <w:pStyle w:val="55"/>
        <w:numPr>
          <w:ilvl w:val="0"/>
          <w:numId w:val="0"/>
        </w:numPr>
        <w:spacing w:line="360" w:lineRule="auto"/>
        <w:ind w:leftChars="0"/>
        <w:jc w:val="left"/>
        <w:outlineLvl w:val="2"/>
        <w:rPr>
          <w:rFonts w:hint="default" w:ascii="Times New Roman" w:hAnsi="Times New Roman" w:eastAsia="宋体" w:cs="Times New Roman"/>
          <w:b/>
          <w:bCs/>
          <w:color w:val="auto"/>
          <w:kern w:val="0"/>
          <w:sz w:val="28"/>
          <w:szCs w:val="28"/>
          <w:highlight w:val="none"/>
          <w:lang w:val="en-US" w:eastAsia="zh-CN" w:bidi="ar-SA"/>
        </w:rPr>
      </w:pPr>
      <w:bookmarkStart w:id="126" w:name="_Toc30988"/>
      <w:r>
        <w:rPr>
          <w:rFonts w:hint="default" w:cs="Times New Roman"/>
          <w:b/>
          <w:bCs/>
          <w:color w:val="auto"/>
          <w:kern w:val="0"/>
          <w:sz w:val="28"/>
          <w:szCs w:val="28"/>
          <w:highlight w:val="none"/>
          <w:lang w:val="en-US" w:eastAsia="zh-CN"/>
        </w:rPr>
        <w:t>4.6.2</w:t>
      </w:r>
      <w:r>
        <w:rPr>
          <w:rFonts w:hint="default" w:ascii="Times New Roman" w:hAnsi="Times New Roman" w:eastAsia="宋体" w:cs="Times New Roman"/>
          <w:b/>
          <w:bCs/>
          <w:color w:val="auto"/>
          <w:kern w:val="0"/>
          <w:sz w:val="28"/>
          <w:szCs w:val="28"/>
          <w:highlight w:val="none"/>
          <w:lang w:val="en-US" w:eastAsia="zh-CN" w:bidi="ar-SA"/>
        </w:rPr>
        <w:t>项目与区域生态功能区划的协调性分析</w:t>
      </w:r>
      <w:bookmarkEnd w:id="126"/>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4.6.2.1与全国生态功能区划的协调性</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根据全国生态功能区划，评价区生态功能以农产品</w:t>
      </w:r>
      <w:r>
        <w:rPr>
          <w:rFonts w:hint="default" w:ascii="Times New Roman" w:hAnsi="Times New Roman" w:cs="Times New Roman"/>
          <w:color w:val="auto"/>
          <w:sz w:val="24"/>
          <w:szCs w:val="24"/>
          <w:highlight w:val="none"/>
          <w:lang w:val="en-US" w:eastAsia="zh-CN"/>
        </w:rPr>
        <w:t>提供</w:t>
      </w:r>
      <w:r>
        <w:rPr>
          <w:rFonts w:hint="default" w:ascii="Times New Roman" w:hAnsi="Times New Roman" w:cs="Times New Roman"/>
          <w:color w:val="auto"/>
          <w:sz w:val="24"/>
          <w:szCs w:val="24"/>
          <w:highlight w:val="none"/>
        </w:rPr>
        <w:t>为主。</w:t>
      </w:r>
      <w:r>
        <w:rPr>
          <w:rFonts w:hint="default" w:ascii="Times New Roman" w:hAnsi="Times New Roman" w:cs="Times New Roman"/>
          <w:color w:val="auto"/>
          <w:sz w:val="24"/>
          <w:szCs w:val="24"/>
          <w:highlight w:val="none"/>
          <w:lang w:val="en-US" w:eastAsia="zh-CN"/>
        </w:rPr>
        <w:t>本项目为城市旅游建设项目，项目实施区域为衡阳市市区，根据工程征地范围和国土三调数据可知，项目征地范围内的地类为公园与绿地、城镇住宅用地、水工建筑用地、交通服务场站用地、其他草地、采矿用地、城镇村道路用地和河流水面，不占用衡阳市耕地。根据国土三调、现场调查和卫片解译，，评价区内耕地面积为</w:t>
      </w:r>
      <w:r>
        <w:rPr>
          <w:rFonts w:hint="default" w:cs="Times New Roman"/>
          <w:color w:val="auto"/>
          <w:sz w:val="24"/>
          <w:szCs w:val="24"/>
          <w:highlight w:val="none"/>
          <w:lang w:val="en-US" w:eastAsia="zh-CN"/>
        </w:rPr>
        <w:t>1.77</w:t>
      </w:r>
      <w:r>
        <w:rPr>
          <w:rFonts w:hint="default" w:ascii="Times New Roman" w:hAnsi="Times New Roman" w:cs="Times New Roman"/>
          <w:color w:val="auto"/>
          <w:sz w:val="24"/>
          <w:szCs w:val="24"/>
          <w:highlight w:val="none"/>
          <w:lang w:val="en-US" w:eastAsia="zh-CN"/>
        </w:rPr>
        <w:t>hm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vertAlign w:val="baseline"/>
          <w:lang w:val="en-US" w:eastAsia="zh-CN"/>
        </w:rPr>
        <w:t>，占比0.</w:t>
      </w:r>
      <w:r>
        <w:rPr>
          <w:rFonts w:hint="default" w:cs="Times New Roman"/>
          <w:color w:val="auto"/>
          <w:sz w:val="24"/>
          <w:szCs w:val="24"/>
          <w:highlight w:val="none"/>
          <w:vertAlign w:val="baseline"/>
          <w:lang w:val="en-US" w:eastAsia="zh-CN"/>
        </w:rPr>
        <w:t>24</w:t>
      </w:r>
      <w:r>
        <w:rPr>
          <w:rFonts w:hint="default" w:ascii="Times New Roman" w:hAnsi="Times New Roman" w:cs="Times New Roman"/>
          <w:color w:val="auto"/>
          <w:sz w:val="24"/>
          <w:szCs w:val="24"/>
          <w:highlight w:val="none"/>
          <w:vertAlign w:val="baseline"/>
          <w:lang w:val="en-US" w:eastAsia="zh-CN"/>
        </w:rPr>
        <w:t>%，面积小，零散分布于衡阳市市区周边村落，离项目实施区域较远。项目实施不会对区域农业生产产生不利影响。且随着项目实施，带动区域旅游业发展，区域人流量增加，对农产品市场具有一定积极意义。</w:t>
      </w:r>
      <w:r>
        <w:rPr>
          <w:rFonts w:hint="default" w:ascii="Times New Roman" w:hAnsi="Times New Roman" w:cs="Times New Roman"/>
          <w:color w:val="auto"/>
          <w:sz w:val="24"/>
          <w:szCs w:val="24"/>
          <w:highlight w:val="none"/>
        </w:rPr>
        <w:t>综</w:t>
      </w:r>
      <w:r>
        <w:rPr>
          <w:rFonts w:hint="default" w:ascii="Times New Roman" w:hAnsi="Times New Roman" w:cs="Times New Roman"/>
          <w:color w:val="auto"/>
          <w:sz w:val="24"/>
          <w:szCs w:val="24"/>
          <w:highlight w:val="none"/>
          <w:lang w:val="en-US" w:eastAsia="zh-CN"/>
        </w:rPr>
        <w:t>合</w:t>
      </w:r>
      <w:r>
        <w:rPr>
          <w:rFonts w:hint="default" w:ascii="Times New Roman" w:hAnsi="Times New Roman" w:cs="Times New Roman"/>
          <w:color w:val="auto"/>
          <w:sz w:val="24"/>
          <w:szCs w:val="24"/>
          <w:highlight w:val="none"/>
        </w:rPr>
        <w:t>，本</w:t>
      </w:r>
      <w:r>
        <w:rPr>
          <w:rFonts w:hint="default"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rPr>
        <w:t>施工建设对区域水源涵养功能的影响较小。因此，本项目与《全国生态功能区划》相符合。</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4.6.2.2与湖南省生态功能区划的协调性</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根据湖</w:t>
      </w:r>
      <w:r>
        <w:rPr>
          <w:rFonts w:hint="default" w:ascii="Times New Roman" w:hAnsi="Times New Roman" w:eastAsia="宋体" w:cs="Times New Roman"/>
          <w:color w:val="auto"/>
          <w:sz w:val="24"/>
          <w:szCs w:val="24"/>
          <w:highlight w:val="none"/>
          <w:lang w:val="en-US" w:eastAsia="zh-CN"/>
        </w:rPr>
        <w:t>南</w:t>
      </w:r>
      <w:r>
        <w:rPr>
          <w:rFonts w:hint="default" w:ascii="Times New Roman" w:hAnsi="Times New Roman" w:eastAsia="宋体" w:cs="Times New Roman"/>
          <w:color w:val="auto"/>
          <w:sz w:val="24"/>
          <w:szCs w:val="24"/>
          <w:highlight w:val="none"/>
        </w:rPr>
        <w:t>省生态功能区划，评价区生态功能以水资源保护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土壤保持</w:t>
      </w:r>
      <w:r>
        <w:rPr>
          <w:rFonts w:hint="default" w:ascii="Times New Roman" w:hAnsi="Times New Roman" w:eastAsia="宋体" w:cs="Times New Roman"/>
          <w:color w:val="auto"/>
          <w:sz w:val="24"/>
          <w:szCs w:val="24"/>
          <w:highlight w:val="none"/>
          <w:lang w:val="en-US" w:eastAsia="zh-CN"/>
        </w:rPr>
        <w:t>和农产品提供为主。</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湘江东岸沿江风光带整治工程中将进行岸坡整治、抛石护岸，建设区域为湘江岸线，抛石护岸施工涉水，工程施工期间扰动湘江江岸，造成水土流失，对湘江水环境存在一定影响。本项目实施后，能够保护起到保护湘江岸线，减少水流冲刷岸线引起的水土流失，对湘江水资源保护起到促进作用。综合来看，项目的实施不会对区域水资源保护的生态功能造成影响。本项目占用地类主要为交通运输用地、住宅用地、公共管理与公共服务用地等，占地区域城镇化建设程度高，占地区远离农田，占用自然植被面积少，不会对区域土壤保持和农产品提供造成明显影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综上所述，</w:t>
      </w:r>
      <w:r>
        <w:rPr>
          <w:rFonts w:hint="default" w:ascii="Times New Roman" w:hAnsi="Times New Roman" w:cs="Times New Roman"/>
          <w:color w:val="auto"/>
          <w:kern w:val="2"/>
          <w:sz w:val="24"/>
          <w:szCs w:val="24"/>
          <w:highlight w:val="none"/>
          <w:lang w:val="en-US" w:eastAsia="zh-CN" w:bidi="ar-SA"/>
        </w:rPr>
        <w:t>施工期间</w:t>
      </w:r>
      <w:r>
        <w:rPr>
          <w:rFonts w:hint="default" w:ascii="Times New Roman" w:hAnsi="Times New Roman" w:eastAsia="宋体" w:cs="Times New Roman"/>
          <w:color w:val="auto"/>
          <w:kern w:val="2"/>
          <w:sz w:val="24"/>
          <w:szCs w:val="24"/>
          <w:highlight w:val="none"/>
          <w:lang w:val="en-US" w:eastAsia="zh-CN" w:bidi="ar-SA"/>
        </w:rPr>
        <w:t>严格执行相关水土保持措施</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做好</w:t>
      </w:r>
      <w:r>
        <w:rPr>
          <w:rFonts w:hint="default" w:ascii="Times New Roman" w:hAnsi="Times New Roman" w:cs="Times New Roman"/>
          <w:color w:val="auto"/>
          <w:kern w:val="2"/>
          <w:sz w:val="24"/>
          <w:szCs w:val="24"/>
          <w:highlight w:val="none"/>
          <w:lang w:val="en-US" w:eastAsia="zh-CN" w:bidi="ar-SA"/>
        </w:rPr>
        <w:t>湘江岸线植被绿化工作等措施的情况下，项目实施</w:t>
      </w:r>
      <w:r>
        <w:rPr>
          <w:rFonts w:hint="default" w:ascii="Times New Roman" w:hAnsi="Times New Roman" w:eastAsia="宋体" w:cs="Times New Roman"/>
          <w:color w:val="auto"/>
          <w:kern w:val="2"/>
          <w:sz w:val="24"/>
          <w:szCs w:val="24"/>
          <w:highlight w:val="none"/>
          <w:lang w:val="en-US" w:eastAsia="zh-CN" w:bidi="ar-SA"/>
        </w:rPr>
        <w:t>对区域水资源保护、土壤保持和农产品提供功能的影响小。因此，与《湖南省生态功能区划研究报告》</w:t>
      </w:r>
      <w:r>
        <w:rPr>
          <w:rFonts w:hint="default" w:ascii="Times New Roman" w:hAnsi="Times New Roman" w:cs="Times New Roman"/>
          <w:color w:val="auto"/>
          <w:kern w:val="2"/>
          <w:sz w:val="24"/>
          <w:szCs w:val="24"/>
          <w:highlight w:val="none"/>
          <w:lang w:val="en-US" w:eastAsia="zh-CN" w:bidi="ar-SA"/>
        </w:rPr>
        <w:t>相协调</w:t>
      </w:r>
      <w:r>
        <w:rPr>
          <w:rFonts w:hint="default" w:ascii="Times New Roman" w:hAnsi="Times New Roman" w:eastAsia="宋体" w:cs="Times New Roman"/>
          <w:color w:val="auto"/>
          <w:kern w:val="2"/>
          <w:sz w:val="24"/>
          <w:szCs w:val="24"/>
          <w:highlight w:val="none"/>
          <w:lang w:val="en-US" w:eastAsia="zh-CN" w:bidi="ar-SA"/>
        </w:rPr>
        <w:t>。</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hint="default" w:cs="Times New Roman"/>
          <w:b/>
          <w:bCs/>
          <w:color w:val="auto"/>
          <w:kern w:val="0"/>
          <w:sz w:val="30"/>
          <w:szCs w:val="30"/>
          <w:highlight w:val="none"/>
          <w:lang w:val="en-US" w:eastAsia="zh-CN"/>
        </w:rPr>
      </w:pPr>
      <w:bookmarkStart w:id="127" w:name="_Toc7454"/>
      <w:r>
        <w:rPr>
          <w:rFonts w:hint="default" w:cs="Times New Roman"/>
          <w:b/>
          <w:bCs/>
          <w:color w:val="auto"/>
          <w:kern w:val="0"/>
          <w:sz w:val="30"/>
          <w:szCs w:val="30"/>
          <w:highlight w:val="none"/>
          <w:lang w:val="en-US" w:eastAsia="zh-CN"/>
        </w:rPr>
        <w:t>区域污染源调查</w:t>
      </w:r>
      <w:bookmarkEnd w:id="123"/>
      <w:bookmarkEnd w:id="127"/>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lang w:val="en-US" w:eastAsia="zh-CN"/>
        </w:rPr>
        <w:sectPr>
          <w:footerReference r:id="rId1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128" w:name="_Toc28703"/>
      <w:r>
        <w:rPr>
          <w:rFonts w:hint="default" w:ascii="Times New Roman" w:hAnsi="Times New Roman" w:cs="Times New Roman"/>
          <w:color w:val="auto"/>
          <w:sz w:val="24"/>
          <w:highlight w:val="none"/>
          <w:lang w:val="en-US" w:eastAsia="zh-CN"/>
        </w:rPr>
        <w:t>项目所在区域内</w:t>
      </w:r>
      <w:r>
        <w:rPr>
          <w:rFonts w:hint="default" w:ascii="Times New Roman" w:hAnsi="Times New Roman" w:eastAsia="宋体" w:cs="Times New Roman"/>
          <w:color w:val="auto"/>
          <w:sz w:val="24"/>
          <w:highlight w:val="none"/>
          <w:lang w:val="en-US" w:eastAsia="zh-CN"/>
        </w:rPr>
        <w:t>无大型工业企业，无工业污染源。本项目区域范围内靠湘江一侧无排污口。区域范围内城市居民生活污水排入市政管网。</w:t>
      </w:r>
    </w:p>
    <w:p>
      <w:pPr>
        <w:keepNext/>
        <w:keepLines w:val="0"/>
        <w:pageBreakBefore w:val="0"/>
        <w:widowControl w:val="0"/>
        <w:numPr>
          <w:ilvl w:val="0"/>
          <w:numId w:val="4"/>
        </w:numPr>
        <w:kinsoku/>
        <w:wordWrap/>
        <w:overflowPunct/>
        <w:topLinePunct w:val="0"/>
        <w:autoSpaceDE/>
        <w:autoSpaceDN/>
        <w:bidi w:val="0"/>
        <w:adjustRightInd/>
        <w:snapToGrid w:val="0"/>
        <w:spacing w:before="120" w:beforeLines="50" w:after="120" w:afterLines="50" w:line="360" w:lineRule="auto"/>
        <w:ind w:left="0"/>
        <w:jc w:val="center"/>
        <w:textAlignment w:val="auto"/>
        <w:outlineLvl w:val="0"/>
        <w:rPr>
          <w:rFonts w:cs="Times New Roman"/>
          <w:b/>
          <w:bCs/>
          <w:color w:val="auto"/>
          <w:kern w:val="44"/>
          <w:sz w:val="32"/>
          <w:szCs w:val="32"/>
          <w:highlight w:val="none"/>
        </w:rPr>
      </w:pPr>
      <w:bookmarkStart w:id="129" w:name="_Toc20419"/>
      <w:r>
        <w:rPr>
          <w:rFonts w:hint="default" w:cs="Times New Roman"/>
          <w:b/>
          <w:bCs/>
          <w:color w:val="auto"/>
          <w:kern w:val="44"/>
          <w:sz w:val="32"/>
          <w:szCs w:val="32"/>
          <w:highlight w:val="none"/>
          <w:lang w:val="en-US" w:eastAsia="zh-CN"/>
        </w:rPr>
        <w:t>环境影响预测与评价</w:t>
      </w:r>
      <w:bookmarkEnd w:id="128"/>
      <w:bookmarkEnd w:id="129"/>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130" w:name="_Toc23467"/>
      <w:bookmarkStart w:id="131" w:name="_Toc11223"/>
      <w:r>
        <w:rPr>
          <w:rFonts w:hint="default" w:cs="Times New Roman"/>
          <w:b/>
          <w:bCs/>
          <w:color w:val="auto"/>
          <w:kern w:val="0"/>
          <w:sz w:val="30"/>
          <w:szCs w:val="30"/>
          <w:highlight w:val="none"/>
          <w:lang w:val="en-US" w:eastAsia="zh-CN"/>
        </w:rPr>
        <w:t>施工期环境影响分析</w:t>
      </w:r>
      <w:bookmarkEnd w:id="130"/>
      <w:bookmarkEnd w:id="131"/>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5.1.1施工期环境空气影响分析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（1）施工扬尘</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施工扬尘主要包括土方开挖、回填，平整土地等施工活动产生的扬尘。施工扬尘的产生量与施工现场的条件、管理水平、机械化强度及施工季节、建设地区土质及天气情况等诸多因素有关。</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本评价以同类型建筑工地施工现场扬尘监测数据为例，采用类比法对施工过程可能产生的扬尘影响进行分析。距离施工场地不同距离处空气中颗粒物浓度值详见下表。 </w:t>
      </w:r>
    </w:p>
    <w:p>
      <w:pPr>
        <w:pStyle w:val="52"/>
        <w:keepNext w:val="0"/>
        <w:keepLines w:val="0"/>
        <w:pageBreakBefore w:val="0"/>
        <w:widowControl w:val="0"/>
        <w:kinsoku/>
        <w:wordWrap/>
        <w:overflowPunct/>
        <w:topLinePunct w:val="0"/>
        <w:autoSpaceDE/>
        <w:autoSpaceDN/>
        <w:bidi w:val="0"/>
        <w:adjustRightInd/>
        <w:snapToGrid/>
        <w:ind w:right="-391"/>
        <w:jc w:val="center"/>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表5.1-1   施工现场大气中颗粒物浓度变化表</w:t>
      </w:r>
    </w:p>
    <w:tbl>
      <w:tblPr>
        <w:tblStyle w:val="42"/>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23"/>
        <w:gridCol w:w="878"/>
        <w:gridCol w:w="872"/>
        <w:gridCol w:w="872"/>
        <w:gridCol w:w="1031"/>
        <w:gridCol w:w="1030"/>
        <w:gridCol w:w="1031"/>
        <w:gridCol w:w="87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trPr>
        <w:tc>
          <w:tcPr>
            <w:tcW w:w="1036" w:type="pct"/>
            <w:tcBorders>
              <w:left w:val="single" w:color="000000" w:sz="6"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距离（m）</w:t>
            </w:r>
          </w:p>
        </w:tc>
        <w:tc>
          <w:tcPr>
            <w:tcW w:w="528"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52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52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62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619"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62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526" w:type="pct"/>
            <w:tcBorders>
              <w:top w:val="single" w:color="000000" w:sz="6" w:space="0"/>
              <w:lef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4" w:hRule="atLeast"/>
        </w:trPr>
        <w:tc>
          <w:tcPr>
            <w:tcW w:w="1036" w:type="pc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浓度（mg/m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528" w:type="pc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1.75</w:t>
            </w:r>
          </w:p>
        </w:tc>
        <w:tc>
          <w:tcPr>
            <w:tcW w:w="524" w:type="pc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1.30</w:t>
            </w:r>
          </w:p>
        </w:tc>
        <w:tc>
          <w:tcPr>
            <w:tcW w:w="524" w:type="pc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0.78</w:t>
            </w:r>
          </w:p>
        </w:tc>
        <w:tc>
          <w:tcPr>
            <w:tcW w:w="620" w:type="pc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0.36</w:t>
            </w:r>
          </w:p>
        </w:tc>
        <w:tc>
          <w:tcPr>
            <w:tcW w:w="619" w:type="pc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0.34</w:t>
            </w:r>
          </w:p>
        </w:tc>
        <w:tc>
          <w:tcPr>
            <w:tcW w:w="620" w:type="pc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0.33</w:t>
            </w:r>
          </w:p>
        </w:tc>
        <w:tc>
          <w:tcPr>
            <w:tcW w:w="526" w:type="pc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0.29</w:t>
            </w:r>
          </w:p>
        </w:tc>
      </w:tr>
    </w:tbl>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颗粒物浓度值由远及近浓度值范围为 0.29-1.75mg/m3。工程施工期严格落实</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八个百分百</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和</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三个全覆盖</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 xml:space="preserve">扬尘防治措施。在采取扬尘防治措施后，工程施工期的扬尘影响可降至最低水平，一旦施工 活动结束，施工扬尘影响也就随之结束。 </w:t>
      </w:r>
    </w:p>
    <w:p>
      <w:pPr>
        <w:keepNext w:val="0"/>
        <w:keepLines w:val="0"/>
        <w:pageBreakBefore w:val="0"/>
        <w:widowControl/>
        <w:suppressLineNumbers w:val="0"/>
        <w:kinsoku/>
        <w:wordWrap/>
        <w:overflowPunct/>
        <w:topLinePunct w:val="0"/>
        <w:autoSpaceDE/>
        <w:autoSpaceDN/>
        <w:bidi w:val="0"/>
        <w:spacing w:line="360" w:lineRule="auto"/>
        <w:ind w:left="0" w:right="0"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w:t>
      </w:r>
      <w:r>
        <w:rPr>
          <w:rFonts w:hint="default" w:cs="Times New Roman"/>
          <w:b/>
          <w:bCs/>
          <w:color w:val="auto"/>
          <w:kern w:val="0"/>
          <w:sz w:val="24"/>
          <w:szCs w:val="24"/>
          <w:highlight w:val="none"/>
          <w:lang w:val="en-US" w:eastAsia="zh-CN" w:bidi="ar"/>
        </w:rPr>
        <w:t>运输扬尘</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运输道上，若路面含尘量较高，则运输车辆的行驶将产生二次扬尘。根据类似工程经验数据，施工期间车辆运输产生的粉尘主要影响范围为下风向 150m 范围内，在同样路面清洁程度条件下，车速越快，扬尘</w:t>
      </w:r>
      <w:r>
        <w:rPr>
          <w:rFonts w:hint="eastAsia" w:cs="Times New Roman"/>
          <w:color w:val="auto"/>
          <w:kern w:val="0"/>
          <w:sz w:val="24"/>
          <w:szCs w:val="24"/>
          <w:highlight w:val="none"/>
          <w:lang w:val="en-US" w:eastAsia="zh-CN" w:bidi="ar"/>
        </w:rPr>
        <w:t>量越</w:t>
      </w:r>
      <w:r>
        <w:rPr>
          <w:rFonts w:hint="default" w:ascii="Times New Roman" w:hAnsi="Times New Roman" w:eastAsia="宋体" w:cs="Times New Roman"/>
          <w:color w:val="auto"/>
          <w:kern w:val="0"/>
          <w:sz w:val="24"/>
          <w:szCs w:val="24"/>
          <w:highlight w:val="none"/>
          <w:lang w:val="en-US" w:eastAsia="zh-CN" w:bidi="ar"/>
        </w:rPr>
        <w:t xml:space="preserve">大，则扬尘量越大。本工程施工过程中设置洒水车辆，对施工区域及便道进行定期洒水抑尘，并对运输车辆进行限速措施，采取以上措施后，可有效降低运输车辆扬尘。 </w:t>
      </w:r>
    </w:p>
    <w:p>
      <w:pPr>
        <w:keepNext w:val="0"/>
        <w:keepLines w:val="0"/>
        <w:pageBreakBefore w:val="0"/>
        <w:widowControl/>
        <w:suppressLineNumbers w:val="0"/>
        <w:kinsoku/>
        <w:wordWrap/>
        <w:overflowPunct/>
        <w:topLinePunct w:val="0"/>
        <w:autoSpaceDE/>
        <w:autoSpaceDN/>
        <w:bidi w:val="0"/>
        <w:spacing w:line="360" w:lineRule="auto"/>
        <w:ind w:left="0" w:right="0" w:firstLine="482" w:firstLineChars="200"/>
        <w:jc w:val="lef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0"/>
          <w:sz w:val="24"/>
          <w:szCs w:val="24"/>
          <w:highlight w:val="none"/>
          <w:lang w:val="en-US" w:eastAsia="zh-CN" w:bidi="ar"/>
        </w:rPr>
        <w:t>（3）施工机械</w:t>
      </w:r>
      <w:r>
        <w:rPr>
          <w:rFonts w:hint="default" w:cs="Times New Roman"/>
          <w:b/>
          <w:bCs/>
          <w:color w:val="auto"/>
          <w:kern w:val="0"/>
          <w:sz w:val="24"/>
          <w:szCs w:val="24"/>
          <w:highlight w:val="none"/>
          <w:lang w:val="en-US" w:eastAsia="zh-CN" w:bidi="ar"/>
        </w:rPr>
        <w:t>车辆</w:t>
      </w:r>
      <w:r>
        <w:rPr>
          <w:rFonts w:hint="default" w:ascii="Times New Roman" w:hAnsi="Times New Roman" w:eastAsia="宋体" w:cs="Times New Roman"/>
          <w:b/>
          <w:bCs/>
          <w:color w:val="auto"/>
          <w:kern w:val="0"/>
          <w:sz w:val="24"/>
          <w:szCs w:val="24"/>
          <w:highlight w:val="none"/>
          <w:lang w:val="en-US" w:eastAsia="zh-CN" w:bidi="ar"/>
        </w:rPr>
        <w:t xml:space="preserve">废气 </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本工程施工期载重机、压路车、打桩机、柴油动力机械等机械施工中会产生燃油废气，污染物主要有 CO、NOx、THC 等。本工程施工机械多为大型机械，单车排放系数较大，但施工机械数量少且较分散，其污染程度相对较轻。类比同类工程施工期环境监理结果，距离现场 50m 处 CO、NO2 小时平均浓度分别为 0.2mg/m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 xml:space="preserve"> 和 0.13mg/m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；日平均浓度分别为 0.13mg/m3 和0.062mg/m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 xml:space="preserve">，均能满足《环境空气质量标准》（GB3095-2012）二级标准的要求。施工机械废气对工程沿线的环境空气质量会产生一定影响，施工机械废气的影响随着施工的结束而消失。 </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综上所述，项目施工期在加强预防和管控措施后，施工废气对区域环境空气的影响在可接受范围内。 </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5.1.2施工期水环境影响分析</w:t>
      </w:r>
    </w:p>
    <w:p>
      <w:pPr>
        <w:pStyle w:val="43"/>
        <w:keepNext w:val="0"/>
        <w:keepLines w:val="0"/>
        <w:pageBreakBefore w:val="0"/>
        <w:kinsoku/>
        <w:wordWrap/>
        <w:overflowPunct/>
        <w:topLinePunct w:val="0"/>
        <w:autoSpaceDE/>
        <w:autoSpaceDN/>
        <w:bidi w:val="0"/>
        <w:spacing w:line="360" w:lineRule="auto"/>
        <w:ind w:left="0" w:right="0" w:firstLine="478" w:firstLineChars="200"/>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pacing w:val="-1"/>
          <w:sz w:val="24"/>
          <w:szCs w:val="24"/>
          <w:highlight w:val="none"/>
          <w:lang w:eastAsia="zh-CN"/>
        </w:rPr>
        <w:t>（</w:t>
      </w:r>
      <w:r>
        <w:rPr>
          <w:rFonts w:hint="default" w:ascii="Times New Roman" w:hAnsi="Times New Roman" w:eastAsia="宋体" w:cs="Times New Roman"/>
          <w:b/>
          <w:bCs/>
          <w:color w:val="auto"/>
          <w:spacing w:val="-1"/>
          <w:sz w:val="24"/>
          <w:szCs w:val="24"/>
          <w:highlight w:val="none"/>
          <w:lang w:val="en-US" w:eastAsia="zh-CN"/>
        </w:rPr>
        <w:t>1</w:t>
      </w:r>
      <w:r>
        <w:rPr>
          <w:rFonts w:hint="default" w:ascii="Times New Roman" w:hAnsi="Times New Roman" w:eastAsia="宋体" w:cs="Times New Roman"/>
          <w:b/>
          <w:bCs/>
          <w:color w:val="auto"/>
          <w:spacing w:val="-1"/>
          <w:sz w:val="24"/>
          <w:szCs w:val="24"/>
          <w:highlight w:val="none"/>
          <w:lang w:eastAsia="zh-CN"/>
        </w:rPr>
        <w:t>）</w:t>
      </w:r>
      <w:r>
        <w:rPr>
          <w:rFonts w:hint="default" w:ascii="Times New Roman" w:hAnsi="Times New Roman" w:eastAsia="宋体" w:cs="Times New Roman"/>
          <w:b/>
          <w:bCs/>
          <w:color w:val="auto"/>
          <w:spacing w:val="-1"/>
          <w:sz w:val="24"/>
          <w:szCs w:val="24"/>
          <w:highlight w:val="none"/>
        </w:rPr>
        <w:t>施工</w:t>
      </w:r>
      <w:r>
        <w:rPr>
          <w:rFonts w:hint="default" w:ascii="Times New Roman" w:hAnsi="Times New Roman" w:eastAsia="宋体" w:cs="Times New Roman"/>
          <w:b/>
          <w:bCs/>
          <w:color w:val="auto"/>
          <w:spacing w:val="-1"/>
          <w:sz w:val="24"/>
          <w:szCs w:val="24"/>
          <w:highlight w:val="none"/>
          <w:lang w:val="en-US" w:eastAsia="zh-CN"/>
        </w:rPr>
        <w:t>生产废水</w:t>
      </w:r>
    </w:p>
    <w:p>
      <w:pPr>
        <w:pStyle w:val="43"/>
        <w:keepNext w:val="0"/>
        <w:keepLines w:val="0"/>
        <w:pageBreakBefore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pacing w:val="-1"/>
          <w:sz w:val="24"/>
          <w:szCs w:val="24"/>
          <w:highlight w:val="none"/>
          <w:lang w:val="en-US" w:eastAsia="zh-CN"/>
        </w:rPr>
      </w:pPr>
      <w:r>
        <w:rPr>
          <w:rFonts w:hint="default" w:ascii="Times New Roman" w:hAnsi="Times New Roman" w:eastAsia="宋体" w:cs="Times New Roman"/>
          <w:color w:val="auto"/>
          <w:spacing w:val="-1"/>
          <w:sz w:val="24"/>
          <w:szCs w:val="24"/>
          <w:highlight w:val="none"/>
          <w:lang w:val="en-US" w:eastAsia="zh-CN"/>
        </w:rPr>
        <w:t>施工期护岸工程混凝土养护废水、洒水抑尘水自然蒸发损耗，不排放。</w:t>
      </w:r>
    </w:p>
    <w:p>
      <w:pPr>
        <w:pStyle w:val="43"/>
        <w:keepNext w:val="0"/>
        <w:keepLines w:val="0"/>
        <w:pageBreakBefore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1"/>
          <w:sz w:val="24"/>
          <w:szCs w:val="24"/>
          <w:highlight w:val="none"/>
        </w:rPr>
        <w:t>施工现场还存在机械</w:t>
      </w:r>
      <w:r>
        <w:rPr>
          <w:rFonts w:hint="default" w:ascii="Times New Roman" w:hAnsi="Times New Roman" w:eastAsia="宋体" w:cs="Times New Roman"/>
          <w:color w:val="auto"/>
          <w:spacing w:val="-1"/>
          <w:sz w:val="24"/>
          <w:szCs w:val="24"/>
          <w:highlight w:val="none"/>
          <w:lang w:val="en-US" w:eastAsia="zh-CN"/>
        </w:rPr>
        <w:t>设备及运输车辆</w:t>
      </w:r>
      <w:r>
        <w:rPr>
          <w:rFonts w:hint="default" w:ascii="Times New Roman" w:hAnsi="Times New Roman" w:eastAsia="宋体" w:cs="Times New Roman"/>
          <w:color w:val="auto"/>
          <w:spacing w:val="-1"/>
          <w:sz w:val="24"/>
          <w:szCs w:val="24"/>
          <w:highlight w:val="none"/>
        </w:rPr>
        <w:t>冲洗废水</w:t>
      </w:r>
      <w:r>
        <w:rPr>
          <w:rFonts w:hint="default"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废水若不处理或未接入邻近的污水管网，直接排入附近水体，可能破坏水环境功能，这些废水中的主要污染物是悬浮物和少量的石油类，需按规范进行收集，经施工场地设置的隔油池、沉淀池处理后回用于施工场地洒水或混凝土养护，</w:t>
      </w:r>
      <w:r>
        <w:rPr>
          <w:rFonts w:hint="default" w:ascii="Times New Roman" w:hAnsi="Times New Roman" w:eastAsia="宋体" w:cs="Times New Roman"/>
          <w:color w:val="auto"/>
          <w:spacing w:val="-1"/>
          <w:sz w:val="24"/>
          <w:szCs w:val="24"/>
          <w:highlight w:val="none"/>
          <w:lang w:val="en-US" w:eastAsia="zh-CN"/>
        </w:rPr>
        <w:t>严禁排入</w:t>
      </w:r>
      <w:r>
        <w:rPr>
          <w:rFonts w:hint="default" w:ascii="Times New Roman" w:hAnsi="Times New Roman" w:eastAsia="宋体" w:cs="Times New Roman"/>
          <w:color w:val="auto"/>
          <w:kern w:val="0"/>
          <w:sz w:val="24"/>
          <w:szCs w:val="24"/>
          <w:highlight w:val="none"/>
          <w:lang w:val="en-US" w:eastAsia="zh-CN" w:bidi="ar"/>
        </w:rPr>
        <w:t>周边地表水体</w:t>
      </w:r>
      <w:r>
        <w:rPr>
          <w:rFonts w:hint="default" w:ascii="Times New Roman" w:hAnsi="Times New Roman" w:eastAsia="宋体" w:cs="Times New Roman"/>
          <w:color w:val="auto"/>
          <w:spacing w:val="-1"/>
          <w:sz w:val="24"/>
          <w:szCs w:val="24"/>
          <w:highlight w:val="none"/>
        </w:rPr>
        <w:t>。</w:t>
      </w:r>
    </w:p>
    <w:p>
      <w:pPr>
        <w:pStyle w:val="43"/>
        <w:keepNext w:val="0"/>
        <w:keepLines w:val="0"/>
        <w:pageBreakBefore w:val="0"/>
        <w:kinsoku/>
        <w:wordWrap/>
        <w:overflowPunct/>
        <w:topLinePunct w:val="0"/>
        <w:autoSpaceDE/>
        <w:autoSpaceDN/>
        <w:bidi w:val="0"/>
        <w:spacing w:line="360" w:lineRule="auto"/>
        <w:ind w:left="0" w:right="0" w:firstLine="476"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1"/>
          <w:sz w:val="24"/>
          <w:szCs w:val="24"/>
          <w:highlight w:val="none"/>
        </w:rPr>
        <w:t>采取以上措施后，冲洗废水对水环境影响较小。</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w:t>
      </w:r>
      <w:r>
        <w:rPr>
          <w:rFonts w:hint="default"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）施工期生活污水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施工期生活污水主要来源于施工生产生活区，主要污染物因子为BOD</w:t>
      </w:r>
      <w:r>
        <w:rPr>
          <w:rFonts w:hint="default" w:ascii="Times New Roman" w:hAnsi="Times New Roman" w:cs="Times New Roman"/>
          <w:color w:val="auto"/>
          <w:sz w:val="24"/>
          <w:szCs w:val="24"/>
          <w:highlight w:val="none"/>
          <w:vertAlign w:val="subscript"/>
        </w:rPr>
        <w:t>5</w:t>
      </w:r>
      <w:r>
        <w:rPr>
          <w:rFonts w:hint="default" w:ascii="Times New Roman" w:hAnsi="Times New Roman" w:cs="Times New Roman"/>
          <w:color w:val="auto"/>
          <w:sz w:val="24"/>
          <w:szCs w:val="24"/>
          <w:highlight w:val="none"/>
        </w:rPr>
        <w:t>、COD、氨氮、SS、石油类和植物油类。项目施工高峰期施工人员为</w:t>
      </w:r>
      <w:r>
        <w:rPr>
          <w:rFonts w:hint="default"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0人，生活污水产生量为</w:t>
      </w:r>
      <w:r>
        <w:rPr>
          <w:rFonts w:hint="default"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/d，废水产生量相对较小。这些生活污水若直接排入地表水体，将可能引起纳污水体污染。施工场地设置隔油沉淀池以及临时化粪池对施工生活污水进行预处理，生活污水预处理后通过管道对接市政管网进入</w:t>
      </w:r>
      <w:r>
        <w:rPr>
          <w:rFonts w:hint="default" w:ascii="Times New Roman" w:hAnsi="Times New Roman" w:cs="Times New Roman"/>
          <w:color w:val="auto"/>
          <w:sz w:val="24"/>
          <w:szCs w:val="24"/>
          <w:highlight w:val="none"/>
          <w:lang w:val="en-US" w:eastAsia="zh-CN"/>
        </w:rPr>
        <w:t>江东</w:t>
      </w:r>
      <w:r>
        <w:rPr>
          <w:rFonts w:hint="default" w:ascii="Times New Roman" w:hAnsi="Times New Roman" w:cs="Times New Roman"/>
          <w:color w:val="auto"/>
          <w:sz w:val="24"/>
          <w:szCs w:val="24"/>
          <w:highlight w:val="none"/>
        </w:rPr>
        <w:t>污水处理厂处理，因此，施工期生活污水不会对周围地表水体产生明显影响。</w:t>
      </w:r>
    </w:p>
    <w:p>
      <w:pPr>
        <w:pStyle w:val="43"/>
        <w:keepNext w:val="0"/>
        <w:keepLines w:val="0"/>
        <w:pageBreakBefore w:val="0"/>
        <w:kinsoku/>
        <w:wordWrap/>
        <w:overflowPunct/>
        <w:topLinePunct w:val="0"/>
        <w:autoSpaceDE/>
        <w:autoSpaceDN/>
        <w:bidi w:val="0"/>
        <w:spacing w:line="360" w:lineRule="auto"/>
        <w:ind w:left="0" w:right="0" w:firstLine="478"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pacing w:val="-1"/>
          <w:sz w:val="24"/>
          <w:szCs w:val="24"/>
          <w:highlight w:val="none"/>
          <w:lang w:eastAsia="zh-CN"/>
        </w:rPr>
        <w:t>（</w:t>
      </w:r>
      <w:r>
        <w:rPr>
          <w:rFonts w:hint="default" w:ascii="Times New Roman" w:hAnsi="Times New Roman" w:eastAsia="宋体" w:cs="Times New Roman"/>
          <w:b/>
          <w:bCs/>
          <w:color w:val="auto"/>
          <w:spacing w:val="-1"/>
          <w:sz w:val="24"/>
          <w:szCs w:val="24"/>
          <w:highlight w:val="none"/>
          <w:lang w:val="en-US" w:eastAsia="zh-CN"/>
        </w:rPr>
        <w:t>3</w:t>
      </w:r>
      <w:r>
        <w:rPr>
          <w:rFonts w:hint="default" w:ascii="Times New Roman" w:hAnsi="Times New Roman" w:eastAsia="宋体" w:cs="Times New Roman"/>
          <w:b/>
          <w:bCs/>
          <w:color w:val="auto"/>
          <w:spacing w:val="-1"/>
          <w:sz w:val="24"/>
          <w:szCs w:val="24"/>
          <w:highlight w:val="none"/>
          <w:lang w:eastAsia="zh-CN"/>
        </w:rPr>
        <w:t>）</w:t>
      </w:r>
      <w:r>
        <w:rPr>
          <w:rFonts w:hint="default" w:ascii="Times New Roman" w:hAnsi="Times New Roman" w:eastAsia="宋体" w:cs="Times New Roman"/>
          <w:b/>
          <w:bCs/>
          <w:color w:val="auto"/>
          <w:spacing w:val="-3"/>
          <w:sz w:val="24"/>
          <w:szCs w:val="24"/>
          <w:highlight w:val="none"/>
        </w:rPr>
        <w:t>施工期对</w:t>
      </w:r>
      <w:r>
        <w:rPr>
          <w:rFonts w:hint="default" w:ascii="Times New Roman" w:hAnsi="Times New Roman" w:eastAsia="宋体" w:cs="Times New Roman"/>
          <w:b/>
          <w:bCs/>
          <w:color w:val="auto"/>
          <w:spacing w:val="-3"/>
          <w:sz w:val="24"/>
          <w:szCs w:val="24"/>
          <w:highlight w:val="none"/>
          <w:lang w:val="en-US" w:eastAsia="zh-CN"/>
        </w:rPr>
        <w:t>湘江</w:t>
      </w:r>
      <w:r>
        <w:rPr>
          <w:rFonts w:hint="default" w:ascii="Times New Roman" w:hAnsi="Times New Roman" w:eastAsia="宋体" w:cs="Times New Roman"/>
          <w:b/>
          <w:bCs/>
          <w:color w:val="auto"/>
          <w:sz w:val="24"/>
          <w:szCs w:val="24"/>
          <w:highlight w:val="none"/>
        </w:rPr>
        <w:t>饮用水水源保护区</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kern w:val="0"/>
          <w:sz w:val="24"/>
          <w:szCs w:val="24"/>
          <w:highlight w:val="none"/>
          <w:lang w:val="en-US" w:eastAsia="zh-CN" w:bidi="ar"/>
        </w:rPr>
        <w:t>湘江衡阳段四大家鱼国家级水产种质资源保护区</w:t>
      </w:r>
      <w:r>
        <w:rPr>
          <w:rFonts w:hint="default" w:ascii="Times New Roman" w:hAnsi="Times New Roman" w:eastAsia="宋体" w:cs="Times New Roman"/>
          <w:b/>
          <w:bCs/>
          <w:color w:val="auto"/>
          <w:spacing w:val="-3"/>
          <w:sz w:val="24"/>
          <w:szCs w:val="24"/>
          <w:highlight w:val="none"/>
        </w:rPr>
        <w:t>影响分析</w:t>
      </w:r>
    </w:p>
    <w:p>
      <w:pPr>
        <w:keepNext w:val="0"/>
        <w:keepLines w:val="0"/>
        <w:pageBreakBefore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cs="Times New Roman"/>
          <w:color w:val="auto"/>
          <w:sz w:val="24"/>
          <w:szCs w:val="24"/>
          <w:highlight w:val="none"/>
          <w:lang w:val="en-US" w:eastAsia="zh-CN"/>
        </w:rPr>
        <w:t>风光带整治工程位于城南水厂</w:t>
      </w:r>
      <w:r>
        <w:rPr>
          <w:rFonts w:hint="default" w:ascii="Times New Roman" w:hAnsi="Times New Roman" w:eastAsia="宋体" w:cs="Times New Roman"/>
          <w:color w:val="auto"/>
          <w:sz w:val="24"/>
          <w:szCs w:val="24"/>
          <w:highlight w:val="none"/>
        </w:rPr>
        <w:t>饮用水水源保护区</w:t>
      </w:r>
      <w:r>
        <w:rPr>
          <w:rFonts w:hint="default" w:ascii="Times New Roman" w:hAnsi="Times New Roman" w:eastAsia="宋体" w:cs="Times New Roman"/>
          <w:color w:val="auto"/>
          <w:sz w:val="24"/>
          <w:szCs w:val="24"/>
          <w:highlight w:val="none"/>
          <w:lang w:val="en-US" w:eastAsia="zh-CN"/>
        </w:rPr>
        <w:t>二级</w:t>
      </w:r>
      <w:r>
        <w:rPr>
          <w:rFonts w:hint="default" w:ascii="Times New Roman" w:hAnsi="Times New Roman" w:eastAsia="宋体" w:cs="Times New Roman"/>
          <w:color w:val="auto"/>
          <w:sz w:val="24"/>
          <w:szCs w:val="24"/>
          <w:highlight w:val="none"/>
        </w:rPr>
        <w:t>陆域范围</w:t>
      </w:r>
      <w:r>
        <w:rPr>
          <w:rFonts w:hint="default" w:ascii="Times New Roman" w:hAnsi="Times New Roman" w:eastAsia="宋体" w:cs="Times New Roman"/>
          <w:color w:val="auto"/>
          <w:sz w:val="24"/>
          <w:szCs w:val="24"/>
          <w:highlight w:val="none"/>
          <w:lang w:eastAsia="zh-CN"/>
        </w:rPr>
        <w:t>，</w:t>
      </w:r>
      <w:r>
        <w:rPr>
          <w:rFonts w:hint="default" w:cs="Times New Roman"/>
          <w:color w:val="auto"/>
          <w:sz w:val="24"/>
          <w:szCs w:val="24"/>
          <w:highlight w:val="none"/>
          <w:lang w:val="en-US" w:eastAsia="zh-CN"/>
        </w:rPr>
        <w:t>其中抛护岸为涉水施工，涉及城南水厂</w:t>
      </w:r>
      <w:r>
        <w:rPr>
          <w:rFonts w:hint="default" w:ascii="Times New Roman" w:hAnsi="Times New Roman" w:eastAsia="宋体" w:cs="Times New Roman"/>
          <w:color w:val="auto"/>
          <w:sz w:val="24"/>
          <w:szCs w:val="24"/>
          <w:highlight w:val="none"/>
        </w:rPr>
        <w:t>饮用水水源保护区</w:t>
      </w:r>
      <w:r>
        <w:rPr>
          <w:rFonts w:hint="default" w:ascii="Times New Roman" w:hAnsi="Times New Roman" w:eastAsia="宋体" w:cs="Times New Roman"/>
          <w:color w:val="auto"/>
          <w:sz w:val="24"/>
          <w:szCs w:val="24"/>
          <w:highlight w:val="none"/>
          <w:lang w:val="en-US" w:eastAsia="zh-CN"/>
        </w:rPr>
        <w:t>二级水</w:t>
      </w:r>
      <w:r>
        <w:rPr>
          <w:rFonts w:hint="default" w:ascii="Times New Roman" w:hAnsi="Times New Roman" w:eastAsia="宋体" w:cs="Times New Roman"/>
          <w:color w:val="auto"/>
          <w:sz w:val="24"/>
          <w:szCs w:val="24"/>
          <w:highlight w:val="none"/>
        </w:rPr>
        <w:t>域</w:t>
      </w:r>
      <w:r>
        <w:rPr>
          <w:rFonts w:hint="default" w:ascii="Times New Roman" w:hAnsi="Times New Roman" w:eastAsia="宋体" w:cs="Times New Roman"/>
          <w:color w:val="auto"/>
          <w:sz w:val="24"/>
          <w:szCs w:val="24"/>
          <w:highlight w:val="none"/>
          <w:lang w:val="en-US" w:eastAsia="zh-CN"/>
        </w:rPr>
        <w:t>及湘江衡阳段四大家鱼国家级水产种质资源保护区核心区</w:t>
      </w:r>
      <w:r>
        <w:rPr>
          <w:rFonts w:hint="default" w:ascii="Times New Roman" w:hAnsi="Times New Roman" w:eastAsia="宋体" w:cs="Times New Roman"/>
          <w:color w:val="auto"/>
          <w:sz w:val="24"/>
          <w:szCs w:val="24"/>
          <w:highlight w:val="none"/>
        </w:rPr>
        <w:t>。</w:t>
      </w:r>
    </w:p>
    <w:p>
      <w:pPr>
        <w:keepNext w:val="0"/>
        <w:keepLines w:val="0"/>
        <w:pageBreakBefore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cs="Times New Roman"/>
          <w:bCs/>
          <w:color w:val="auto"/>
          <w:sz w:val="24"/>
          <w:szCs w:val="24"/>
          <w:highlight w:val="none"/>
          <w:lang w:val="en-US" w:eastAsia="zh-CN"/>
        </w:rPr>
        <w:t>风光带整治属于</w:t>
      </w:r>
      <w:r>
        <w:rPr>
          <w:rFonts w:hint="default" w:ascii="Times New Roman" w:hAnsi="Times New Roman" w:eastAsia="宋体" w:cs="Times New Roman"/>
          <w:bCs/>
          <w:color w:val="auto"/>
          <w:sz w:val="24"/>
          <w:szCs w:val="24"/>
          <w:highlight w:val="none"/>
        </w:rPr>
        <w:t>生态类项目，不属于排放污染物的建设项目，施工时应加强项目施工管理和环境监理，选择枯水期进行</w:t>
      </w:r>
      <w:r>
        <w:rPr>
          <w:rFonts w:hint="default" w:cs="Times New Roman"/>
          <w:bCs/>
          <w:color w:val="auto"/>
          <w:sz w:val="24"/>
          <w:szCs w:val="24"/>
          <w:highlight w:val="none"/>
          <w:lang w:val="en-US" w:eastAsia="zh-CN"/>
        </w:rPr>
        <w:t>涉水项目施工，</w:t>
      </w:r>
      <w:r>
        <w:rPr>
          <w:rFonts w:hint="default" w:ascii="Times New Roman" w:hAnsi="Times New Roman" w:eastAsia="宋体" w:cs="Times New Roman"/>
          <w:color w:val="auto"/>
          <w:sz w:val="24"/>
          <w:szCs w:val="24"/>
          <w:highlight w:val="none"/>
        </w:rPr>
        <w:t>禁止施工废水、生活污水排入周边水体，同时对施工人员进行严格管理，严禁乱撒乱拋，建筑垃圾集中堆放并送至指定地点，从而最大限度地减少对湘江水质的影响。通过落实以上综合措施，本项目</w:t>
      </w:r>
      <w:r>
        <w:rPr>
          <w:rFonts w:hint="default" w:cs="Times New Roman"/>
          <w:color w:val="auto"/>
          <w:sz w:val="24"/>
          <w:szCs w:val="24"/>
          <w:highlight w:val="none"/>
          <w:lang w:val="en-US" w:eastAsia="zh-CN"/>
        </w:rPr>
        <w:t>施工期</w:t>
      </w:r>
      <w:r>
        <w:rPr>
          <w:rFonts w:hint="default" w:ascii="Times New Roman" w:hAnsi="Times New Roman" w:eastAsia="宋体" w:cs="Times New Roman"/>
          <w:color w:val="auto"/>
          <w:sz w:val="24"/>
          <w:szCs w:val="24"/>
          <w:highlight w:val="none"/>
          <w:lang w:val="en-US" w:eastAsia="zh-CN"/>
        </w:rPr>
        <w:t>对湘江</w:t>
      </w:r>
      <w:r>
        <w:rPr>
          <w:rFonts w:hint="default" w:ascii="Times New Roman" w:hAnsi="Times New Roman" w:eastAsia="宋体" w:cs="Times New Roman"/>
          <w:color w:val="auto"/>
          <w:sz w:val="24"/>
          <w:szCs w:val="24"/>
          <w:highlight w:val="none"/>
        </w:rPr>
        <w:t>饮用水水源保护区</w:t>
      </w:r>
      <w:r>
        <w:rPr>
          <w:rFonts w:hint="default"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水产种质资源保护区影响很小。</w:t>
      </w:r>
    </w:p>
    <w:p>
      <w:pPr>
        <w:keepNext w:val="0"/>
        <w:keepLines w:val="0"/>
        <w:pageBreakBefore w:val="0"/>
        <w:widowControl/>
        <w:suppressLineNumbers w:val="0"/>
        <w:kinsoku/>
        <w:wordWrap/>
        <w:overflowPunct/>
        <w:topLinePunct w:val="0"/>
        <w:autoSpaceDE/>
        <w:autoSpaceDN/>
        <w:bidi w:val="0"/>
        <w:spacing w:line="360" w:lineRule="auto"/>
        <w:ind w:left="0" w:right="0" w:firstLine="478" w:firstLineChars="200"/>
        <w:jc w:val="left"/>
        <w:textAlignment w:val="auto"/>
        <w:rPr>
          <w:rFonts w:hint="default" w:ascii="Times New Roman" w:hAnsi="Times New Roman" w:eastAsia="宋体" w:cs="Times New Roman"/>
          <w:b/>
          <w:bCs/>
          <w:color w:val="auto"/>
          <w:spacing w:val="-1"/>
          <w:sz w:val="24"/>
          <w:szCs w:val="24"/>
          <w:highlight w:val="none"/>
          <w:lang w:val="en-US" w:eastAsia="zh-CN"/>
        </w:rPr>
      </w:pPr>
      <w:r>
        <w:rPr>
          <w:rFonts w:hint="default" w:ascii="Times New Roman" w:hAnsi="Times New Roman" w:eastAsia="宋体" w:cs="Times New Roman"/>
          <w:b/>
          <w:bCs/>
          <w:color w:val="auto"/>
          <w:spacing w:val="-1"/>
          <w:sz w:val="24"/>
          <w:szCs w:val="24"/>
          <w:highlight w:val="none"/>
          <w:lang w:eastAsia="zh-CN"/>
        </w:rPr>
        <w:t>（</w:t>
      </w:r>
      <w:r>
        <w:rPr>
          <w:rFonts w:hint="default" w:cs="Times New Roman"/>
          <w:b/>
          <w:bCs/>
          <w:color w:val="auto"/>
          <w:spacing w:val="-1"/>
          <w:sz w:val="24"/>
          <w:szCs w:val="24"/>
          <w:highlight w:val="none"/>
          <w:lang w:val="en-US" w:eastAsia="zh-CN"/>
        </w:rPr>
        <w:t>4</w:t>
      </w:r>
      <w:r>
        <w:rPr>
          <w:rFonts w:hint="default" w:ascii="Times New Roman" w:hAnsi="Times New Roman" w:eastAsia="宋体" w:cs="Times New Roman"/>
          <w:b/>
          <w:bCs/>
          <w:color w:val="auto"/>
          <w:spacing w:val="-1"/>
          <w:sz w:val="24"/>
          <w:szCs w:val="24"/>
          <w:highlight w:val="none"/>
          <w:lang w:eastAsia="zh-CN"/>
        </w:rPr>
        <w:t>）</w:t>
      </w:r>
      <w:r>
        <w:rPr>
          <w:rFonts w:hint="default" w:cs="Times New Roman"/>
          <w:b/>
          <w:bCs/>
          <w:color w:val="auto"/>
          <w:spacing w:val="-1"/>
          <w:sz w:val="24"/>
          <w:szCs w:val="24"/>
          <w:highlight w:val="none"/>
          <w:lang w:val="en-US" w:eastAsia="zh-CN"/>
        </w:rPr>
        <w:t>底泥重金属</w:t>
      </w:r>
      <w:r>
        <w:rPr>
          <w:rFonts w:hint="default" w:ascii="Times New Roman" w:hAnsi="Times New Roman" w:eastAsia="宋体" w:cs="Times New Roman"/>
          <w:b/>
          <w:bCs/>
          <w:color w:val="auto"/>
          <w:spacing w:val="-1"/>
          <w:sz w:val="24"/>
          <w:szCs w:val="24"/>
          <w:highlight w:val="none"/>
          <w:lang w:val="en-US" w:eastAsia="zh-CN"/>
        </w:rPr>
        <w:t>影响分析</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根据湖南大学2008年的研究中对底泥重金属形态及迁移转化成果，水体金属污染物以残渣态、酸可溶和铁锰氧化为主，三者之和在75%以上，其他形态的重金属含量很少，一般条件下底泥中的重金属难以析出。</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根据对本项目涉及的各河段底泥现状监测结果表明</w:t>
      </w:r>
      <w:r>
        <w:rPr>
          <w:rFonts w:hint="default"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本工程</w:t>
      </w:r>
      <w:r>
        <w:rPr>
          <w:rFonts w:hint="default" w:cs="Times New Roman"/>
          <w:color w:val="auto"/>
          <w:sz w:val="24"/>
          <w:szCs w:val="24"/>
          <w:highlight w:val="none"/>
          <w:lang w:val="en-US" w:eastAsia="zh-CN"/>
        </w:rPr>
        <w:t>所在</w:t>
      </w:r>
      <w:r>
        <w:rPr>
          <w:rFonts w:hint="default" w:ascii="Times New Roman" w:hAnsi="Times New Roman" w:eastAsia="宋体" w:cs="Times New Roman"/>
          <w:color w:val="auto"/>
          <w:sz w:val="24"/>
          <w:szCs w:val="24"/>
          <w:highlight w:val="none"/>
        </w:rPr>
        <w:t>区域</w:t>
      </w:r>
      <w:r>
        <w:rPr>
          <w:rFonts w:hint="default" w:cs="Times New Roman"/>
          <w:color w:val="auto"/>
          <w:sz w:val="24"/>
          <w:szCs w:val="24"/>
          <w:highlight w:val="none"/>
          <w:lang w:val="en-US" w:eastAsia="zh-CN"/>
        </w:rPr>
        <w:t>湘江</w:t>
      </w:r>
      <w:r>
        <w:rPr>
          <w:rFonts w:hint="default" w:ascii="Times New Roman" w:hAnsi="Times New Roman" w:eastAsia="宋体" w:cs="Times New Roman"/>
          <w:color w:val="auto"/>
          <w:sz w:val="24"/>
          <w:szCs w:val="24"/>
          <w:highlight w:val="none"/>
        </w:rPr>
        <w:t>的各监测因子均可达到相应的标准值。本工程</w:t>
      </w:r>
      <w:r>
        <w:rPr>
          <w:rFonts w:hint="default" w:cs="Times New Roman"/>
          <w:color w:val="auto"/>
          <w:sz w:val="24"/>
          <w:szCs w:val="24"/>
          <w:highlight w:val="none"/>
          <w:lang w:val="en-US" w:eastAsia="zh-CN"/>
        </w:rPr>
        <w:t>抛石护岸、岸坡整治</w:t>
      </w:r>
      <w:r>
        <w:rPr>
          <w:rFonts w:hint="default" w:ascii="Times New Roman" w:hAnsi="Times New Roman" w:eastAsia="宋体" w:cs="Times New Roman"/>
          <w:color w:val="auto"/>
          <w:sz w:val="24"/>
          <w:szCs w:val="24"/>
          <w:highlight w:val="none"/>
        </w:rPr>
        <w:t>等作业无酸性废水产生，同时水体中pH值正常，悬浮于水体中的重金属形态不会发生新的改变，因此，</w:t>
      </w:r>
      <w:r>
        <w:rPr>
          <w:rFonts w:hint="default" w:cs="Times New Roman"/>
          <w:color w:val="auto"/>
          <w:sz w:val="24"/>
          <w:szCs w:val="24"/>
          <w:highlight w:val="none"/>
          <w:lang w:val="en-US" w:eastAsia="zh-CN"/>
        </w:rPr>
        <w:t>抛石护岸、岸坡整治</w:t>
      </w:r>
      <w:r>
        <w:rPr>
          <w:rFonts w:hint="default" w:ascii="Times New Roman" w:hAnsi="Times New Roman" w:eastAsia="宋体" w:cs="Times New Roman"/>
          <w:color w:val="auto"/>
          <w:sz w:val="24"/>
          <w:szCs w:val="24"/>
          <w:highlight w:val="none"/>
        </w:rPr>
        <w:t>除增加作业区下游局部水域水体中悬浮物浓度外，不会造成重金属污染。</w:t>
      </w:r>
    </w:p>
    <w:p>
      <w:pPr>
        <w:keepNext w:val="0"/>
        <w:keepLines w:val="0"/>
        <w:pageBreakBefore w:val="0"/>
        <w:widowControl/>
        <w:suppressLineNumbers w:val="0"/>
        <w:kinsoku/>
        <w:wordWrap/>
        <w:overflowPunct/>
        <w:topLinePunct w:val="0"/>
        <w:autoSpaceDE/>
        <w:autoSpaceDN/>
        <w:bidi w:val="0"/>
        <w:spacing w:line="360" w:lineRule="auto"/>
        <w:ind w:left="0" w:right="0" w:firstLine="478" w:firstLineChars="200"/>
        <w:jc w:val="left"/>
        <w:textAlignment w:val="auto"/>
        <w:rPr>
          <w:rFonts w:hint="default" w:ascii="Times New Roman" w:hAnsi="Times New Roman" w:eastAsia="宋体" w:cs="Times New Roman"/>
          <w:b/>
          <w:bCs/>
          <w:color w:val="auto"/>
          <w:spacing w:val="-1"/>
          <w:sz w:val="24"/>
          <w:szCs w:val="24"/>
          <w:highlight w:val="none"/>
          <w:lang w:val="en-US" w:eastAsia="zh-CN"/>
        </w:rPr>
      </w:pPr>
      <w:r>
        <w:rPr>
          <w:rFonts w:hint="default" w:ascii="Times New Roman" w:hAnsi="Times New Roman" w:eastAsia="宋体" w:cs="Times New Roman"/>
          <w:b/>
          <w:bCs/>
          <w:color w:val="auto"/>
          <w:spacing w:val="-1"/>
          <w:sz w:val="24"/>
          <w:szCs w:val="24"/>
          <w:highlight w:val="none"/>
          <w:lang w:eastAsia="zh-CN"/>
        </w:rPr>
        <w:t>（</w:t>
      </w:r>
      <w:r>
        <w:rPr>
          <w:rFonts w:hint="default" w:cs="Times New Roman"/>
          <w:b/>
          <w:bCs/>
          <w:color w:val="auto"/>
          <w:spacing w:val="-1"/>
          <w:sz w:val="24"/>
          <w:szCs w:val="24"/>
          <w:highlight w:val="none"/>
          <w:lang w:val="en-US" w:eastAsia="zh-CN"/>
        </w:rPr>
        <w:t>5</w:t>
      </w:r>
      <w:r>
        <w:rPr>
          <w:rFonts w:hint="default" w:ascii="Times New Roman" w:hAnsi="Times New Roman" w:eastAsia="宋体" w:cs="Times New Roman"/>
          <w:b/>
          <w:bCs/>
          <w:color w:val="auto"/>
          <w:spacing w:val="-1"/>
          <w:sz w:val="24"/>
          <w:szCs w:val="24"/>
          <w:highlight w:val="none"/>
          <w:lang w:eastAsia="zh-CN"/>
        </w:rPr>
        <w:t>）</w:t>
      </w:r>
      <w:r>
        <w:rPr>
          <w:rFonts w:hint="default" w:ascii="Times New Roman" w:hAnsi="Times New Roman" w:eastAsia="宋体" w:cs="Times New Roman"/>
          <w:b/>
          <w:bCs/>
          <w:color w:val="auto"/>
          <w:spacing w:val="-1"/>
          <w:sz w:val="24"/>
          <w:szCs w:val="24"/>
          <w:highlight w:val="none"/>
          <w:lang w:val="en-US" w:eastAsia="zh-CN"/>
        </w:rPr>
        <w:t>施工期对水文情势的影响分析</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本工程岸坡整治、抛石护脚等涉水工程占用湘江干流现有河道范围很小，河道水流速、水位等均不会因为工程施工而发生改变，施工活动对湘江水文情势影响很小</w:t>
      </w:r>
      <w:r>
        <w:rPr>
          <w:rFonts w:hint="default" w:ascii="Times New Roman" w:hAnsi="Times New Roman" w:cs="Times New Roman"/>
          <w:color w:val="auto"/>
          <w:spacing w:val="-2"/>
          <w:sz w:val="24"/>
          <w:szCs w:val="24"/>
          <w:highlight w:val="none"/>
          <w:lang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5.1.3施工期噪声影响分析</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5.1.3.1污染源强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本项目施工期噪声主要来源于施工机械和运输车辆产生的噪声。据调查，国内目前常用的筑路机械是装载机、挖掘机、推土机、平地机、拌合机、压路机等，根据《环境噪声与振动控制工程设计导则》(HJ2034-2013)附录A中常用施工机械所产生的噪声值，具体见表</w:t>
      </w:r>
      <w:r>
        <w:rPr>
          <w:rFonts w:hint="default" w:ascii="Times New Roman" w:hAnsi="Times New Roman" w:cs="Times New Roman"/>
          <w:color w:val="auto"/>
          <w:sz w:val="24"/>
          <w:highlight w:val="none"/>
          <w:lang w:val="en-US" w:eastAsia="zh-CN"/>
        </w:rPr>
        <w:t>5.1</w:t>
      </w:r>
      <w:r>
        <w:rPr>
          <w:rFonts w:hint="default" w:ascii="Times New Roman" w:hAnsi="Times New Roman" w:cs="Times New Roman"/>
          <w:color w:val="auto"/>
          <w:sz w:val="24"/>
          <w:highlight w:val="none"/>
          <w:lang w:eastAsia="zh-CN"/>
        </w:rPr>
        <w:t>-</w:t>
      </w:r>
      <w:r>
        <w:rPr>
          <w:rFonts w:hint="default" w:cs="Times New Roman"/>
          <w:color w:val="auto"/>
          <w:sz w:val="24"/>
          <w:highlight w:val="none"/>
          <w:lang w:val="en-US" w:eastAsia="zh-CN"/>
        </w:rPr>
        <w:t>2</w:t>
      </w:r>
      <w:r>
        <w:rPr>
          <w:rFonts w:hint="default" w:ascii="Times New Roman" w:hAnsi="Times New Roman" w:cs="Times New Roman"/>
          <w:color w:val="auto"/>
          <w:sz w:val="24"/>
          <w:highlight w:val="none"/>
          <w:lang w:eastAsia="zh-CN"/>
        </w:rPr>
        <w:t>。</w:t>
      </w:r>
    </w:p>
    <w:p>
      <w:pPr>
        <w:pStyle w:val="52"/>
        <w:keepNext w:val="0"/>
        <w:keepLines w:val="0"/>
        <w:pageBreakBefore w:val="0"/>
        <w:widowControl w:val="0"/>
        <w:kinsoku/>
        <w:wordWrap/>
        <w:overflowPunct/>
        <w:topLinePunct w:val="0"/>
        <w:autoSpaceDE/>
        <w:autoSpaceDN/>
        <w:bidi w:val="0"/>
        <w:adjustRightInd/>
        <w:snapToGrid/>
        <w:ind w:right="-391"/>
        <w:jc w:val="center"/>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表5.1-2  常用施工机械噪声值单位：dB（A）</w:t>
      </w:r>
    </w:p>
    <w:tbl>
      <w:tblPr>
        <w:tblStyle w:val="22"/>
        <w:tblW w:w="4998" w:type="pct"/>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autofit"/>
        <w:tblCellMar>
          <w:top w:w="0" w:type="dxa"/>
          <w:left w:w="108" w:type="dxa"/>
          <w:bottom w:w="0" w:type="dxa"/>
          <w:right w:w="108" w:type="dxa"/>
        </w:tblCellMar>
      </w:tblPr>
      <w:tblGrid>
        <w:gridCol w:w="1542"/>
        <w:gridCol w:w="1245"/>
        <w:gridCol w:w="1364"/>
        <w:gridCol w:w="1759"/>
        <w:gridCol w:w="1245"/>
        <w:gridCol w:w="1364"/>
      </w:tblGrid>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2"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施工设备名称</w:t>
            </w:r>
          </w:p>
        </w:tc>
        <w:tc>
          <w:tcPr>
            <w:tcW w:w="730"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距声源5m</w:t>
            </w:r>
          </w:p>
        </w:tc>
        <w:tc>
          <w:tcPr>
            <w:tcW w:w="800"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距声源10m</w:t>
            </w:r>
          </w:p>
        </w:tc>
        <w:tc>
          <w:tcPr>
            <w:tcW w:w="1032"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施工设备名称</w:t>
            </w:r>
          </w:p>
        </w:tc>
        <w:tc>
          <w:tcPr>
            <w:tcW w:w="730"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距声源5m</w:t>
            </w:r>
          </w:p>
        </w:tc>
        <w:tc>
          <w:tcPr>
            <w:tcW w:w="800" w:type="pct"/>
            <w:tcBorders>
              <w:top w:val="single" w:color="000000" w:sz="2"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距声源10m</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lang w:eastAsia="zh-CN"/>
              </w:rPr>
            </w:pPr>
            <w:r>
              <w:rPr>
                <w:rFonts w:hint="default" w:ascii="Times New Roman" w:hAnsi="Times New Roman" w:cs="Times New Roman" w:eastAsiaTheme="minorEastAsia"/>
                <w:b w:val="0"/>
                <w:bCs w:val="0"/>
                <w:color w:val="auto"/>
                <w:sz w:val="21"/>
                <w:szCs w:val="21"/>
                <w:highlight w:val="none"/>
              </w:rPr>
              <w:t>液压挖掘机</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82～90</w:t>
            </w:r>
          </w:p>
        </w:tc>
        <w:tc>
          <w:tcPr>
            <w:tcW w:w="80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78～86</w:t>
            </w:r>
          </w:p>
        </w:tc>
        <w:tc>
          <w:tcPr>
            <w:tcW w:w="1032"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振动夯锤</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92～100</w:t>
            </w:r>
          </w:p>
        </w:tc>
        <w:tc>
          <w:tcPr>
            <w:tcW w:w="800"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86～94</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电动挖掘机</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80～86</w:t>
            </w:r>
          </w:p>
        </w:tc>
        <w:tc>
          <w:tcPr>
            <w:tcW w:w="80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75～83</w:t>
            </w:r>
          </w:p>
        </w:tc>
        <w:tc>
          <w:tcPr>
            <w:tcW w:w="1032"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打桩机</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100～110</w:t>
            </w:r>
          </w:p>
        </w:tc>
        <w:tc>
          <w:tcPr>
            <w:tcW w:w="800"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95～105</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轮式装载机</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90～95</w:t>
            </w:r>
          </w:p>
        </w:tc>
        <w:tc>
          <w:tcPr>
            <w:tcW w:w="80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85～91</w:t>
            </w:r>
          </w:p>
        </w:tc>
        <w:tc>
          <w:tcPr>
            <w:tcW w:w="1032"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静力压桩机</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70～75</w:t>
            </w:r>
          </w:p>
        </w:tc>
        <w:tc>
          <w:tcPr>
            <w:tcW w:w="800"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68～73</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推土机</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83～88</w:t>
            </w:r>
          </w:p>
        </w:tc>
        <w:tc>
          <w:tcPr>
            <w:tcW w:w="80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80～85</w:t>
            </w:r>
          </w:p>
        </w:tc>
        <w:tc>
          <w:tcPr>
            <w:tcW w:w="1032"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风镐</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88～92</w:t>
            </w:r>
          </w:p>
        </w:tc>
        <w:tc>
          <w:tcPr>
            <w:tcW w:w="800"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83～87</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移动式发电机</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95～102</w:t>
            </w:r>
          </w:p>
        </w:tc>
        <w:tc>
          <w:tcPr>
            <w:tcW w:w="80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90～98</w:t>
            </w:r>
          </w:p>
        </w:tc>
        <w:tc>
          <w:tcPr>
            <w:tcW w:w="1032"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混凝土输送泵</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88～95</w:t>
            </w:r>
          </w:p>
        </w:tc>
        <w:tc>
          <w:tcPr>
            <w:tcW w:w="800"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84～90</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各类压路机</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80～90</w:t>
            </w:r>
          </w:p>
        </w:tc>
        <w:tc>
          <w:tcPr>
            <w:tcW w:w="80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76～86</w:t>
            </w:r>
          </w:p>
        </w:tc>
        <w:tc>
          <w:tcPr>
            <w:tcW w:w="1032"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商砼搅拌车</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85～90</w:t>
            </w:r>
          </w:p>
        </w:tc>
        <w:tc>
          <w:tcPr>
            <w:tcW w:w="800"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82～84</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重型运输车</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82～90</w:t>
            </w:r>
          </w:p>
        </w:tc>
        <w:tc>
          <w:tcPr>
            <w:tcW w:w="80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78～86</w:t>
            </w:r>
          </w:p>
        </w:tc>
        <w:tc>
          <w:tcPr>
            <w:tcW w:w="1032"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混凝土震捣器</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80～88</w:t>
            </w:r>
          </w:p>
        </w:tc>
        <w:tc>
          <w:tcPr>
            <w:tcW w:w="800"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75～84</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木工电锯</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93～99</w:t>
            </w:r>
          </w:p>
        </w:tc>
        <w:tc>
          <w:tcPr>
            <w:tcW w:w="80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90～95</w:t>
            </w:r>
          </w:p>
        </w:tc>
        <w:tc>
          <w:tcPr>
            <w:tcW w:w="1032"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云石机、角磨机</w:t>
            </w:r>
          </w:p>
        </w:tc>
        <w:tc>
          <w:tcPr>
            <w:tcW w:w="7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90～96</w:t>
            </w:r>
          </w:p>
        </w:tc>
        <w:tc>
          <w:tcPr>
            <w:tcW w:w="800"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84～90</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05" w:type="pct"/>
            <w:tcBorders>
              <w:top w:val="single" w:color="000000" w:sz="4" w:space="0"/>
              <w:left w:val="single" w:color="000000" w:sz="2"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电锤</w:t>
            </w:r>
          </w:p>
        </w:tc>
        <w:tc>
          <w:tcPr>
            <w:tcW w:w="730"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100～105</w:t>
            </w:r>
          </w:p>
        </w:tc>
        <w:tc>
          <w:tcPr>
            <w:tcW w:w="800"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95～99</w:t>
            </w:r>
          </w:p>
        </w:tc>
        <w:tc>
          <w:tcPr>
            <w:tcW w:w="1032"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空压机</w:t>
            </w:r>
          </w:p>
        </w:tc>
        <w:tc>
          <w:tcPr>
            <w:tcW w:w="730"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88～92</w:t>
            </w:r>
          </w:p>
        </w:tc>
        <w:tc>
          <w:tcPr>
            <w:tcW w:w="800" w:type="pct"/>
            <w:tcBorders>
              <w:top w:val="single" w:color="000000" w:sz="4" w:space="0"/>
              <w:left w:val="single" w:color="000000" w:sz="4" w:space="0"/>
              <w:bottom w:val="single" w:color="000000" w:sz="2"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83～88</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5.1.3.2噪声影响预测</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outlineLvl w:val="9"/>
        <w:rPr>
          <w:rFonts w:hint="default" w:ascii="Times New Roman" w:hAnsi="Times New Roman" w:cs="Times New Roman" w:eastAsiaTheme="minorEastAsia"/>
          <w:color w:val="auto"/>
          <w:sz w:val="24"/>
          <w:szCs w:val="24"/>
          <w:highlight w:val="none"/>
          <w:lang w:eastAsia="zh-CN"/>
        </w:rPr>
      </w:pPr>
      <w:bookmarkStart w:id="132" w:name="_Toc29961"/>
      <w:r>
        <w:rPr>
          <w:rFonts w:hint="default" w:ascii="Times New Roman" w:hAnsi="Times New Roman" w:cs="Times New Roman" w:eastAsiaTheme="minorEastAsia"/>
          <w:color w:val="auto"/>
          <w:sz w:val="24"/>
          <w:szCs w:val="24"/>
          <w:highlight w:val="none"/>
          <w:lang w:eastAsia="zh-CN"/>
        </w:rPr>
        <w:t>1、预测模式</w:t>
      </w:r>
      <w:bookmarkEnd w:id="132"/>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outlineLvl w:val="9"/>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eastAsiaTheme="minorEastAsia"/>
          <w:color w:val="auto"/>
          <w:sz w:val="24"/>
          <w:szCs w:val="24"/>
          <w:highlight w:val="none"/>
          <w:lang w:eastAsia="zh-CN"/>
        </w:rPr>
        <w:t>施工噪声可按点声源处理，根据点声源噪声衰减模式，估算出离声源不同距离处的噪声值，预测模式如下：</w:t>
      </w:r>
    </w:p>
    <w:p>
      <w:pPr>
        <w:pStyle w:val="21"/>
        <w:keepNext w:val="0"/>
        <w:keepLines w:val="0"/>
        <w:pageBreakBefore w:val="0"/>
        <w:widowControl w:val="0"/>
        <w:kinsoku/>
        <w:wordWrap/>
        <w:overflowPunct/>
        <w:topLinePunct w:val="0"/>
        <w:autoSpaceDE/>
        <w:autoSpaceDN/>
        <w:bidi w:val="0"/>
        <w:adjustRightInd/>
        <w:spacing w:after="0" w:line="360" w:lineRule="auto"/>
        <w:ind w:left="0" w:leftChars="0" w:firstLine="440" w:firstLineChars="200"/>
        <w:textAlignment w:val="auto"/>
        <w:outlineLvl w:val="9"/>
        <w:rPr>
          <w:rFonts w:hint="default" w:ascii="Times New Roman" w:hAnsi="Times New Roman" w:cs="Times New Roman"/>
          <w:color w:val="auto"/>
          <w:highlight w:val="none"/>
          <w:lang w:eastAsia="zh-CN"/>
        </w:rPr>
      </w:pPr>
      <w:r>
        <w:rPr>
          <w:rFonts w:hint="default" w:ascii="Times New Roman" w:hAnsi="Times New Roman" w:cs="Times New Roman"/>
          <w:i/>
          <w:color w:val="auto"/>
          <w:w w:val="96"/>
          <w:position w:val="2"/>
          <w:sz w:val="23"/>
          <w:highlight w:val="none"/>
        </w:rPr>
        <w:t>L</w:t>
      </w:r>
      <w:r>
        <w:rPr>
          <w:rFonts w:hint="default" w:ascii="Times New Roman" w:hAnsi="Times New Roman" w:cs="Times New Roman"/>
          <w:i/>
          <w:color w:val="auto"/>
          <w:w w:val="98"/>
          <w:position w:val="-3"/>
          <w:sz w:val="13"/>
          <w:highlight w:val="none"/>
        </w:rPr>
        <w:t>p</w:t>
      </w:r>
      <w:r>
        <w:rPr>
          <w:rFonts w:hint="default" w:ascii="Times New Roman" w:hAnsi="Times New Roman" w:cs="Times New Roman"/>
          <w:i/>
          <w:color w:val="auto"/>
          <w:spacing w:val="13"/>
          <w:position w:val="-3"/>
          <w:sz w:val="13"/>
          <w:highlight w:val="none"/>
        </w:rPr>
        <w:t xml:space="preserve"> </w:t>
      </w:r>
      <w:r>
        <w:rPr>
          <w:rFonts w:hint="default" w:ascii="Times New Roman" w:hAnsi="Times New Roman" w:cs="Times New Roman"/>
          <w:color w:val="auto"/>
          <w:spacing w:val="14"/>
          <w:w w:val="72"/>
          <w:sz w:val="30"/>
          <w:highlight w:val="none"/>
        </w:rPr>
        <w:t>(</w:t>
      </w:r>
      <w:r>
        <w:rPr>
          <w:rFonts w:hint="default" w:ascii="Times New Roman" w:hAnsi="Times New Roman" w:cs="Times New Roman"/>
          <w:i/>
          <w:color w:val="auto"/>
          <w:w w:val="96"/>
          <w:position w:val="2"/>
          <w:sz w:val="23"/>
          <w:highlight w:val="none"/>
        </w:rPr>
        <w:t>r</w:t>
      </w:r>
      <w:r>
        <w:rPr>
          <w:rFonts w:hint="default" w:ascii="Times New Roman" w:hAnsi="Times New Roman" w:cs="Times New Roman"/>
          <w:i/>
          <w:color w:val="auto"/>
          <w:spacing w:val="-38"/>
          <w:position w:val="2"/>
          <w:sz w:val="23"/>
          <w:highlight w:val="none"/>
        </w:rPr>
        <w:t xml:space="preserve"> </w:t>
      </w:r>
      <w:r>
        <w:rPr>
          <w:rFonts w:hint="default" w:ascii="Times New Roman" w:hAnsi="Times New Roman" w:cs="Times New Roman"/>
          <w:color w:val="auto"/>
          <w:w w:val="72"/>
          <w:sz w:val="30"/>
          <w:highlight w:val="none"/>
        </w:rPr>
        <w:t>)</w:t>
      </w:r>
      <w:r>
        <w:rPr>
          <w:rFonts w:hint="default" w:ascii="Times New Roman" w:hAnsi="Times New Roman" w:cs="Times New Roman"/>
          <w:color w:val="auto"/>
          <w:spacing w:val="-31"/>
          <w:sz w:val="30"/>
          <w:highlight w:val="none"/>
        </w:rPr>
        <w:t xml:space="preserve"> </w:t>
      </w:r>
      <w:r>
        <w:rPr>
          <w:rFonts w:hint="default" w:ascii="Times New Roman" w:hAnsi="Times New Roman" w:cs="Times New Roman"/>
          <w:color w:val="auto"/>
          <w:w w:val="96"/>
          <w:position w:val="2"/>
          <w:sz w:val="23"/>
          <w:highlight w:val="none"/>
        </w:rPr>
        <w:t>=</w:t>
      </w:r>
      <w:r>
        <w:rPr>
          <w:rFonts w:hint="default" w:ascii="Times New Roman" w:hAnsi="Times New Roman" w:cs="Times New Roman"/>
          <w:color w:val="auto"/>
          <w:spacing w:val="-8"/>
          <w:position w:val="2"/>
          <w:sz w:val="23"/>
          <w:highlight w:val="none"/>
        </w:rPr>
        <w:t xml:space="preserve"> </w:t>
      </w:r>
      <w:r>
        <w:rPr>
          <w:rFonts w:hint="default" w:ascii="Times New Roman" w:hAnsi="Times New Roman" w:cs="Times New Roman"/>
          <w:i/>
          <w:color w:val="auto"/>
          <w:w w:val="96"/>
          <w:position w:val="2"/>
          <w:sz w:val="23"/>
          <w:highlight w:val="none"/>
        </w:rPr>
        <w:t>L</w:t>
      </w:r>
      <w:r>
        <w:rPr>
          <w:rFonts w:hint="default" w:ascii="Times New Roman" w:hAnsi="Times New Roman" w:cs="Times New Roman"/>
          <w:i/>
          <w:color w:val="auto"/>
          <w:w w:val="98"/>
          <w:position w:val="-3"/>
          <w:sz w:val="13"/>
          <w:highlight w:val="none"/>
        </w:rPr>
        <w:t>p</w:t>
      </w:r>
      <w:r>
        <w:rPr>
          <w:rFonts w:hint="default" w:ascii="Times New Roman" w:hAnsi="Times New Roman" w:cs="Times New Roman"/>
          <w:i/>
          <w:color w:val="auto"/>
          <w:spacing w:val="13"/>
          <w:position w:val="-3"/>
          <w:sz w:val="13"/>
          <w:highlight w:val="none"/>
        </w:rPr>
        <w:t xml:space="preserve"> </w:t>
      </w:r>
      <w:r>
        <w:rPr>
          <w:rFonts w:hint="default" w:ascii="Times New Roman" w:hAnsi="Times New Roman" w:cs="Times New Roman"/>
          <w:color w:val="auto"/>
          <w:spacing w:val="12"/>
          <w:w w:val="73"/>
          <w:sz w:val="30"/>
          <w:highlight w:val="none"/>
        </w:rPr>
        <w:t>(</w:t>
      </w:r>
      <w:r>
        <w:rPr>
          <w:rFonts w:hint="default" w:ascii="Times New Roman" w:hAnsi="Times New Roman" w:cs="Times New Roman"/>
          <w:i/>
          <w:color w:val="auto"/>
          <w:spacing w:val="-26"/>
          <w:w w:val="96"/>
          <w:position w:val="2"/>
          <w:sz w:val="23"/>
          <w:highlight w:val="none"/>
        </w:rPr>
        <w:t>r</w:t>
      </w:r>
      <w:r>
        <w:rPr>
          <w:rFonts w:hint="default" w:ascii="Times New Roman" w:hAnsi="Times New Roman" w:cs="Times New Roman"/>
          <w:color w:val="auto"/>
          <w:w w:val="98"/>
          <w:position w:val="-3"/>
          <w:sz w:val="13"/>
          <w:highlight w:val="none"/>
        </w:rPr>
        <w:t>0</w:t>
      </w:r>
      <w:r>
        <w:rPr>
          <w:rFonts w:hint="default" w:ascii="Times New Roman" w:hAnsi="Times New Roman" w:cs="Times New Roman"/>
          <w:color w:val="auto"/>
          <w:spacing w:val="1"/>
          <w:position w:val="-3"/>
          <w:sz w:val="13"/>
          <w:highlight w:val="none"/>
        </w:rPr>
        <w:t xml:space="preserve"> </w:t>
      </w:r>
      <w:r>
        <w:rPr>
          <w:rFonts w:hint="default" w:ascii="Times New Roman" w:hAnsi="Times New Roman" w:cs="Times New Roman"/>
          <w:color w:val="auto"/>
          <w:w w:val="73"/>
          <w:sz w:val="30"/>
          <w:highlight w:val="none"/>
        </w:rPr>
        <w:t>)</w:t>
      </w:r>
      <w:r>
        <w:rPr>
          <w:rFonts w:hint="default" w:ascii="Times New Roman" w:hAnsi="Times New Roman" w:cs="Times New Roman"/>
          <w:color w:val="auto"/>
          <w:spacing w:val="-39"/>
          <w:sz w:val="30"/>
          <w:highlight w:val="none"/>
        </w:rPr>
        <w:t xml:space="preserve"> </w:t>
      </w:r>
      <w:r>
        <w:rPr>
          <w:rFonts w:hint="default" w:ascii="Times New Roman" w:hAnsi="Times New Roman" w:cs="Times New Roman"/>
          <w:color w:val="auto"/>
          <w:w w:val="96"/>
          <w:position w:val="2"/>
          <w:sz w:val="23"/>
          <w:highlight w:val="none"/>
        </w:rPr>
        <w:t>-</w:t>
      </w:r>
      <w:r>
        <w:rPr>
          <w:rFonts w:hint="default" w:ascii="Times New Roman" w:hAnsi="Times New Roman" w:cs="Times New Roman"/>
          <w:color w:val="auto"/>
          <w:spacing w:val="-21"/>
          <w:position w:val="2"/>
          <w:sz w:val="23"/>
          <w:highlight w:val="none"/>
        </w:rPr>
        <w:t xml:space="preserve"> </w:t>
      </w:r>
      <w:r>
        <w:rPr>
          <w:rFonts w:hint="default" w:ascii="Times New Roman" w:hAnsi="Times New Roman" w:cs="Times New Roman"/>
          <w:color w:val="auto"/>
          <w:spacing w:val="-6"/>
          <w:w w:val="96"/>
          <w:position w:val="2"/>
          <w:sz w:val="23"/>
          <w:highlight w:val="none"/>
        </w:rPr>
        <w:t>2</w:t>
      </w:r>
      <w:r>
        <w:rPr>
          <w:rFonts w:hint="default" w:ascii="Times New Roman" w:hAnsi="Times New Roman" w:cs="Times New Roman"/>
          <w:color w:val="auto"/>
          <w:spacing w:val="15"/>
          <w:w w:val="96"/>
          <w:position w:val="2"/>
          <w:sz w:val="23"/>
          <w:highlight w:val="none"/>
        </w:rPr>
        <w:t>0</w:t>
      </w:r>
      <w:r>
        <w:rPr>
          <w:rFonts w:hint="default" w:ascii="Times New Roman" w:hAnsi="Times New Roman" w:cs="Times New Roman"/>
          <w:color w:val="auto"/>
          <w:spacing w:val="-6"/>
          <w:w w:val="96"/>
          <w:position w:val="2"/>
          <w:sz w:val="23"/>
          <w:highlight w:val="none"/>
        </w:rPr>
        <w:t>l</w:t>
      </w:r>
      <w:r>
        <w:rPr>
          <w:rFonts w:hint="default" w:ascii="Times New Roman" w:hAnsi="Times New Roman" w:cs="Times New Roman"/>
          <w:color w:val="auto"/>
          <w:spacing w:val="19"/>
          <w:w w:val="96"/>
          <w:position w:val="2"/>
          <w:sz w:val="23"/>
          <w:highlight w:val="none"/>
        </w:rPr>
        <w:t>g</w:t>
      </w:r>
      <w:r>
        <w:rPr>
          <w:rFonts w:hint="default" w:ascii="Times New Roman" w:hAnsi="Times New Roman" w:cs="Times New Roman"/>
          <w:color w:val="auto"/>
          <w:spacing w:val="12"/>
          <w:w w:val="73"/>
          <w:sz w:val="30"/>
          <w:highlight w:val="none"/>
        </w:rPr>
        <w:t>(</w:t>
      </w:r>
      <w:r>
        <w:rPr>
          <w:rFonts w:hint="default" w:ascii="Times New Roman" w:hAnsi="Times New Roman" w:cs="Times New Roman"/>
          <w:i/>
          <w:color w:val="auto"/>
          <w:w w:val="96"/>
          <w:position w:val="2"/>
          <w:sz w:val="23"/>
          <w:highlight w:val="none"/>
        </w:rPr>
        <w:t>r/</w:t>
      </w:r>
      <w:r>
        <w:rPr>
          <w:rFonts w:hint="default" w:ascii="Times New Roman" w:hAnsi="Times New Roman" w:cs="Times New Roman"/>
          <w:i/>
          <w:color w:val="auto"/>
          <w:spacing w:val="-25"/>
          <w:position w:val="2"/>
          <w:sz w:val="23"/>
          <w:highlight w:val="none"/>
        </w:rPr>
        <w:t xml:space="preserve"> </w:t>
      </w:r>
      <w:r>
        <w:rPr>
          <w:rFonts w:hint="default" w:ascii="Times New Roman" w:hAnsi="Times New Roman" w:cs="Times New Roman"/>
          <w:i/>
          <w:color w:val="auto"/>
          <w:spacing w:val="-26"/>
          <w:w w:val="96"/>
          <w:position w:val="2"/>
          <w:sz w:val="23"/>
          <w:highlight w:val="none"/>
        </w:rPr>
        <w:t>r</w:t>
      </w:r>
      <w:r>
        <w:rPr>
          <w:rFonts w:hint="default" w:ascii="Times New Roman" w:hAnsi="Times New Roman" w:cs="Times New Roman"/>
          <w:color w:val="auto"/>
          <w:w w:val="98"/>
          <w:position w:val="-3"/>
          <w:sz w:val="13"/>
          <w:highlight w:val="none"/>
        </w:rPr>
        <w:t>0</w:t>
      </w:r>
      <w:r>
        <w:rPr>
          <w:rFonts w:hint="default" w:ascii="Times New Roman" w:hAnsi="Times New Roman" w:cs="Times New Roman"/>
          <w:color w:val="auto"/>
          <w:spacing w:val="1"/>
          <w:position w:val="-3"/>
          <w:sz w:val="13"/>
          <w:highlight w:val="none"/>
        </w:rPr>
        <w:t xml:space="preserve"> </w:t>
      </w:r>
      <w:r>
        <w:rPr>
          <w:rFonts w:hint="default" w:ascii="Times New Roman" w:hAnsi="Times New Roman" w:cs="Times New Roman"/>
          <w:color w:val="auto"/>
          <w:w w:val="73"/>
          <w:sz w:val="30"/>
          <w:highlight w:val="none"/>
        </w:rPr>
        <w:t>)</w:t>
      </w:r>
    </w:p>
    <w:p>
      <w:pPr>
        <w:pStyle w:val="11"/>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式中：</w:t>
      </w:r>
      <w:r>
        <w:rPr>
          <w:rFonts w:hint="default" w:ascii="Times New Roman" w:hAnsi="Times New Roman" w:eastAsia="Times New Roman" w:cs="Times New Roman"/>
          <w:i/>
          <w:color w:val="auto"/>
          <w:sz w:val="24"/>
          <w:szCs w:val="24"/>
          <w:highlight w:val="none"/>
          <w:lang w:eastAsia="zh-CN"/>
        </w:rPr>
        <w:t>L</w:t>
      </w:r>
      <w:r>
        <w:rPr>
          <w:rFonts w:hint="default" w:ascii="Times New Roman" w:hAnsi="Times New Roman" w:eastAsia="Times New Roman" w:cs="Times New Roman"/>
          <w:i/>
          <w:color w:val="auto"/>
          <w:sz w:val="24"/>
          <w:szCs w:val="24"/>
          <w:highlight w:val="none"/>
          <w:vertAlign w:val="subscript"/>
          <w:lang w:eastAsia="zh-CN"/>
        </w:rPr>
        <w:t>p</w:t>
      </w:r>
      <w:r>
        <w:rPr>
          <w:rFonts w:hint="default" w:ascii="Times New Roman" w:hAnsi="Times New Roman" w:eastAsia="Times New Roman" w:cs="Times New Roman"/>
          <w:color w:val="auto"/>
          <w:sz w:val="24"/>
          <w:szCs w:val="24"/>
          <w:highlight w:val="none"/>
          <w:lang w:eastAsia="zh-CN"/>
        </w:rPr>
        <w:t>(</w:t>
      </w:r>
      <w:r>
        <w:rPr>
          <w:rFonts w:hint="default" w:ascii="Times New Roman" w:hAnsi="Times New Roman" w:eastAsia="Times New Roman" w:cs="Times New Roman"/>
          <w:i/>
          <w:color w:val="auto"/>
          <w:sz w:val="24"/>
          <w:szCs w:val="24"/>
          <w:highlight w:val="none"/>
          <w:lang w:eastAsia="zh-CN"/>
        </w:rPr>
        <w:t>r</w:t>
      </w:r>
      <w:r>
        <w:rPr>
          <w:rFonts w:hint="default" w:ascii="Times New Roman" w:hAnsi="Times New Roman" w:eastAsia="Times New Roman" w:cs="Times New Roman"/>
          <w:color w:val="auto"/>
          <w:sz w:val="24"/>
          <w:szCs w:val="24"/>
          <w:highlight w:val="none"/>
          <w:lang w:eastAsia="zh-CN"/>
        </w:rPr>
        <w:t>) ——</w:t>
      </w:r>
      <w:r>
        <w:rPr>
          <w:rFonts w:hint="default" w:ascii="Times New Roman" w:hAnsi="Times New Roman" w:cs="Times New Roman"/>
          <w:color w:val="auto"/>
          <w:sz w:val="24"/>
          <w:szCs w:val="24"/>
          <w:highlight w:val="none"/>
          <w:lang w:eastAsia="zh-CN"/>
        </w:rPr>
        <w:t>预测点处声压级，</w:t>
      </w:r>
      <w:r>
        <w:rPr>
          <w:rFonts w:hint="default" w:ascii="Times New Roman" w:hAnsi="Times New Roman" w:eastAsia="Times New Roman" w:cs="Times New Roman"/>
          <w:color w:val="auto"/>
          <w:sz w:val="24"/>
          <w:szCs w:val="24"/>
          <w:highlight w:val="none"/>
          <w:lang w:eastAsia="zh-CN"/>
        </w:rPr>
        <w:t>dB</w:t>
      </w:r>
      <w:r>
        <w:rPr>
          <w:rFonts w:hint="default" w:ascii="Times New Roman" w:hAnsi="Times New Roman" w:cs="Times New Roman"/>
          <w:color w:val="auto"/>
          <w:sz w:val="24"/>
          <w:szCs w:val="24"/>
          <w:highlight w:val="none"/>
          <w:lang w:eastAsia="zh-CN"/>
        </w:rPr>
        <w:t>；</w:t>
      </w:r>
    </w:p>
    <w:p>
      <w:pPr>
        <w:pStyle w:val="11"/>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eastAsia="zh-CN"/>
        </w:rPr>
      </w:pPr>
      <w:r>
        <w:rPr>
          <w:rFonts w:hint="default" w:ascii="Times New Roman" w:hAnsi="Times New Roman" w:eastAsia="Times New Roman" w:cs="Times New Roman"/>
          <w:i/>
          <w:color w:val="auto"/>
          <w:sz w:val="24"/>
          <w:szCs w:val="24"/>
          <w:highlight w:val="none"/>
          <w:lang w:eastAsia="zh-CN"/>
        </w:rPr>
        <w:t>L</w:t>
      </w:r>
      <w:r>
        <w:rPr>
          <w:rFonts w:hint="default" w:ascii="Times New Roman" w:hAnsi="Times New Roman" w:eastAsia="Times New Roman" w:cs="Times New Roman"/>
          <w:i/>
          <w:color w:val="auto"/>
          <w:sz w:val="24"/>
          <w:szCs w:val="24"/>
          <w:highlight w:val="none"/>
          <w:vertAlign w:val="subscript"/>
          <w:lang w:eastAsia="zh-CN"/>
        </w:rPr>
        <w:t>p</w:t>
      </w:r>
      <w:r>
        <w:rPr>
          <w:rFonts w:hint="default" w:ascii="Times New Roman" w:hAnsi="Times New Roman" w:eastAsia="Times New Roman" w:cs="Times New Roman"/>
          <w:color w:val="auto"/>
          <w:sz w:val="24"/>
          <w:szCs w:val="24"/>
          <w:highlight w:val="none"/>
          <w:lang w:eastAsia="zh-CN"/>
        </w:rPr>
        <w:t>(</w:t>
      </w:r>
      <w:r>
        <w:rPr>
          <w:rFonts w:hint="default" w:ascii="Times New Roman" w:hAnsi="Times New Roman" w:eastAsia="Times New Roman" w:cs="Times New Roman"/>
          <w:i/>
          <w:color w:val="auto"/>
          <w:sz w:val="24"/>
          <w:szCs w:val="24"/>
          <w:highlight w:val="none"/>
          <w:lang w:eastAsia="zh-CN"/>
        </w:rPr>
        <w:t>r</w:t>
      </w:r>
      <w:r>
        <w:rPr>
          <w:rFonts w:hint="default" w:ascii="Times New Roman" w:hAnsi="Times New Roman" w:eastAsia="Times New Roman" w:cs="Times New Roman"/>
          <w:color w:val="auto"/>
          <w:sz w:val="24"/>
          <w:szCs w:val="24"/>
          <w:highlight w:val="none"/>
          <w:vertAlign w:val="subscript"/>
          <w:lang w:eastAsia="zh-CN"/>
        </w:rPr>
        <w:t>0</w:t>
      </w:r>
      <w:r>
        <w:rPr>
          <w:rFonts w:hint="default" w:ascii="Times New Roman" w:hAnsi="Times New Roman" w:eastAsia="Times New Roman" w:cs="Times New Roman"/>
          <w:color w:val="auto"/>
          <w:sz w:val="24"/>
          <w:szCs w:val="24"/>
          <w:highlight w:val="none"/>
          <w:lang w:eastAsia="zh-CN"/>
        </w:rPr>
        <w:t>) ——</w:t>
      </w:r>
      <w:r>
        <w:rPr>
          <w:rFonts w:hint="default" w:ascii="Times New Roman" w:hAnsi="Times New Roman" w:cs="Times New Roman"/>
          <w:color w:val="auto"/>
          <w:sz w:val="24"/>
          <w:szCs w:val="24"/>
          <w:highlight w:val="none"/>
          <w:lang w:eastAsia="zh-CN"/>
        </w:rPr>
        <w:t>参考位置</w:t>
      </w:r>
      <w:r>
        <w:rPr>
          <w:rFonts w:hint="default" w:ascii="Times New Roman" w:hAnsi="Times New Roman" w:eastAsia="Times New Roman" w:cs="Times New Roman"/>
          <w:i/>
          <w:color w:val="auto"/>
          <w:sz w:val="24"/>
          <w:szCs w:val="24"/>
          <w:highlight w:val="none"/>
          <w:lang w:eastAsia="zh-CN"/>
        </w:rPr>
        <w:t>r</w:t>
      </w:r>
      <w:r>
        <w:rPr>
          <w:rFonts w:hint="default" w:ascii="Times New Roman" w:hAnsi="Times New Roman" w:eastAsia="Times New Roman" w:cs="Times New Roman"/>
          <w:color w:val="auto"/>
          <w:sz w:val="24"/>
          <w:szCs w:val="24"/>
          <w:highlight w:val="none"/>
          <w:vertAlign w:val="subscript"/>
          <w:lang w:eastAsia="zh-CN"/>
        </w:rPr>
        <w:t>0</w:t>
      </w:r>
      <w:r>
        <w:rPr>
          <w:rFonts w:hint="default" w:ascii="Times New Roman" w:hAnsi="Times New Roman" w:cs="Times New Roman"/>
          <w:color w:val="auto"/>
          <w:sz w:val="24"/>
          <w:szCs w:val="24"/>
          <w:highlight w:val="none"/>
          <w:lang w:eastAsia="zh-CN"/>
        </w:rPr>
        <w:t>处的声压级，</w:t>
      </w:r>
      <w:r>
        <w:rPr>
          <w:rFonts w:hint="default" w:ascii="Times New Roman" w:hAnsi="Times New Roman" w:eastAsia="Times New Roman" w:cs="Times New Roman"/>
          <w:color w:val="auto"/>
          <w:sz w:val="24"/>
          <w:szCs w:val="24"/>
          <w:highlight w:val="none"/>
          <w:lang w:eastAsia="zh-CN"/>
        </w:rPr>
        <w:t>dB</w:t>
      </w:r>
      <w:r>
        <w:rPr>
          <w:rFonts w:hint="default" w:ascii="Times New Roman" w:hAnsi="Times New Roman" w:cs="Times New Roman"/>
          <w:color w:val="auto"/>
          <w:sz w:val="24"/>
          <w:szCs w:val="24"/>
          <w:highlight w:val="none"/>
          <w:lang w:eastAsia="zh-CN"/>
        </w:rPr>
        <w:t>；</w:t>
      </w:r>
    </w:p>
    <w:p>
      <w:pPr>
        <w:pStyle w:val="11"/>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eastAsia="zh-CN"/>
        </w:rPr>
      </w:pPr>
      <w:r>
        <w:rPr>
          <w:rFonts w:hint="default" w:ascii="Times New Roman" w:hAnsi="Times New Roman" w:eastAsia="Times New Roman" w:cs="Times New Roman"/>
          <w:i/>
          <w:color w:val="auto"/>
          <w:sz w:val="24"/>
          <w:szCs w:val="24"/>
          <w:highlight w:val="none"/>
          <w:lang w:eastAsia="zh-CN"/>
        </w:rPr>
        <w:t xml:space="preserve">r </w:t>
      </w:r>
      <w:r>
        <w:rPr>
          <w:rFonts w:hint="default" w:ascii="Times New Roman" w:hAnsi="Times New Roman" w:eastAsia="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eastAsia="zh-CN"/>
        </w:rPr>
        <w:t>预测点距声源的距离；</w:t>
      </w:r>
    </w:p>
    <w:p>
      <w:pPr>
        <w:pStyle w:val="11"/>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eastAsia="zh-CN"/>
        </w:rPr>
      </w:pPr>
      <w:r>
        <w:rPr>
          <w:rFonts w:hint="default" w:ascii="Times New Roman" w:hAnsi="Times New Roman" w:eastAsia="Times New Roman" w:cs="Times New Roman"/>
          <w:i/>
          <w:color w:val="auto"/>
          <w:sz w:val="24"/>
          <w:szCs w:val="24"/>
          <w:highlight w:val="none"/>
          <w:lang w:eastAsia="zh-CN"/>
        </w:rPr>
        <w:t>r</w:t>
      </w:r>
      <w:r>
        <w:rPr>
          <w:rFonts w:hint="default" w:ascii="Times New Roman" w:hAnsi="Times New Roman" w:eastAsia="Times New Roman" w:cs="Times New Roman"/>
          <w:color w:val="auto"/>
          <w:sz w:val="24"/>
          <w:szCs w:val="24"/>
          <w:highlight w:val="none"/>
          <w:vertAlign w:val="subscript"/>
          <w:lang w:eastAsia="zh-CN"/>
        </w:rPr>
        <w:t>0</w:t>
      </w:r>
      <w:r>
        <w:rPr>
          <w:rFonts w:hint="default" w:ascii="Times New Roman" w:hAnsi="Times New Roman" w:eastAsia="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eastAsia="zh-CN"/>
        </w:rPr>
        <w:t>参考位置距声源的距离。 m</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outlineLvl w:val="9"/>
        <w:rPr>
          <w:rFonts w:hint="default" w:ascii="Times New Roman" w:hAnsi="Times New Roman" w:cs="Times New Roman" w:eastAsiaTheme="minorEastAsia"/>
          <w:color w:val="auto"/>
          <w:sz w:val="24"/>
          <w:szCs w:val="24"/>
          <w:highlight w:val="none"/>
          <w:lang w:eastAsia="zh-CN"/>
        </w:rPr>
      </w:pPr>
      <w:bookmarkStart w:id="133" w:name="_Toc4889"/>
      <w:r>
        <w:rPr>
          <w:rFonts w:hint="default" w:ascii="Times New Roman" w:hAnsi="Times New Roman" w:cs="Times New Roman" w:eastAsiaTheme="minorEastAsia"/>
          <w:color w:val="auto"/>
          <w:sz w:val="24"/>
          <w:szCs w:val="24"/>
          <w:highlight w:val="none"/>
          <w:lang w:eastAsia="zh-CN"/>
        </w:rPr>
        <w:t>2、预测结果</w:t>
      </w:r>
      <w:bookmarkEnd w:id="133"/>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outlineLvl w:val="9"/>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eastAsiaTheme="minorEastAsia"/>
          <w:color w:val="auto"/>
          <w:sz w:val="24"/>
          <w:szCs w:val="24"/>
          <w:highlight w:val="none"/>
          <w:lang w:eastAsia="zh-CN"/>
        </w:rPr>
        <w:t>根据预测模式对施工机械噪声的影响范围进行预测，预测结果见表</w:t>
      </w:r>
      <w:r>
        <w:rPr>
          <w:rFonts w:hint="default" w:ascii="Times New Roman" w:hAnsi="Times New Roman" w:cs="Times New Roman"/>
          <w:color w:val="auto"/>
          <w:sz w:val="24"/>
          <w:szCs w:val="24"/>
          <w:highlight w:val="none"/>
          <w:lang w:val="en-US" w:eastAsia="zh-CN"/>
        </w:rPr>
        <w:t>5.1</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lang w:val="en-US" w:eastAsia="zh-CN"/>
        </w:rPr>
        <w:t>3</w:t>
      </w:r>
      <w:r>
        <w:rPr>
          <w:rFonts w:hint="default" w:ascii="Times New Roman" w:hAnsi="Times New Roman" w:cs="Times New Roman" w:eastAsiaTheme="minorEastAsia"/>
          <w:color w:val="auto"/>
          <w:sz w:val="24"/>
          <w:szCs w:val="24"/>
          <w:highlight w:val="none"/>
          <w:lang w:eastAsia="zh-CN"/>
        </w:rPr>
        <w:t>。</w:t>
      </w:r>
    </w:p>
    <w:p>
      <w:pPr>
        <w:pStyle w:val="52"/>
        <w:keepNext w:val="0"/>
        <w:keepLines w:val="0"/>
        <w:pageBreakBefore w:val="0"/>
        <w:widowControl w:val="0"/>
        <w:kinsoku/>
        <w:wordWrap/>
        <w:overflowPunct/>
        <w:topLinePunct w:val="0"/>
        <w:autoSpaceDE/>
        <w:autoSpaceDN/>
        <w:bidi w:val="0"/>
        <w:adjustRightInd/>
        <w:snapToGrid/>
        <w:ind w:right="-391"/>
        <w:jc w:val="center"/>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表5.1-3 主要施工项目不同距离处的噪声值  单位：dB（A）</w:t>
      </w:r>
    </w:p>
    <w:tbl>
      <w:tblPr>
        <w:tblStyle w:val="22"/>
        <w:tblW w:w="4995" w:type="pct"/>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autofit"/>
        <w:tblCellMar>
          <w:top w:w="0" w:type="dxa"/>
          <w:left w:w="108" w:type="dxa"/>
          <w:bottom w:w="0" w:type="dxa"/>
          <w:right w:w="108" w:type="dxa"/>
        </w:tblCellMar>
      </w:tblPr>
      <w:tblGrid>
        <w:gridCol w:w="2187"/>
        <w:gridCol w:w="894"/>
        <w:gridCol w:w="894"/>
        <w:gridCol w:w="895"/>
        <w:gridCol w:w="895"/>
        <w:gridCol w:w="895"/>
        <w:gridCol w:w="895"/>
        <w:gridCol w:w="958"/>
      </w:tblGrid>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699" w:hRule="atLeast"/>
          <w:jc w:val="center"/>
        </w:trPr>
        <w:tc>
          <w:tcPr>
            <w:tcW w:w="1284" w:type="pct"/>
            <w:tcBorders>
              <w:top w:val="single" w:color="000000" w:sz="2" w:space="0"/>
              <w:left w:val="single" w:color="000000" w:sz="2" w:space="0"/>
              <w:bottom w:val="single" w:color="000000" w:sz="4" w:space="0"/>
              <w:right w:val="single" w:color="000000" w:sz="4" w:space="0"/>
            </w:tcBorders>
            <w:vAlign w:val="center"/>
            <mc:AlternateContent>
              <mc:Choice Requires="wpsCustomData">
                <wpsCustomData:diagonals>
                  <wpsCustomData:diagonal from="30000" to="10000">
                    <wpsCustomData:border w:val="single" w:color="000000" w:sz="2" w:space="0"/>
                  </wpsCustomData:diagonal>
                </wpsCustomData:diagonals>
              </mc:Choice>
            </mc:AlternateContent>
          </w:tcPr>
          <w:p>
            <w:pPr>
              <w:adjustRightInd w:val="0"/>
              <w:snapToGrid w:val="0"/>
              <w:spacing w:line="240" w:lineRule="auto"/>
              <w:rPr>
                <w:rFonts w:hint="default" w:ascii="Times New Roman" w:hAnsi="Times New Roman" w:cs="Times New Roman" w:eastAsiaTheme="minorEastAsia"/>
                <w:b w:val="0"/>
                <w:bCs w:val="0"/>
                <w:color w:val="auto"/>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textAlignment w:val="auto"/>
              <mc:AlternateContent>
                <mc:Choice Requires="wpsCustomData">
                  <wpsCustomData:diagonalParaType/>
                </mc:Choice>
              </mc:AlternateContent>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设备名称</w:t>
            </w:r>
          </w:p>
          <w:p>
            <w:pPr>
              <w:adjustRightInd w:val="0"/>
              <w:snapToGrid w:val="0"/>
              <w:jc w:val="right"/>
              <w:rPr>
                <w:rFonts w:hint="default" w:ascii="Times New Roman" w:hAnsi="Times New Roman" w:cs="Times New Roman" w:eastAsiaTheme="minorEastAsia"/>
                <w:b w:val="0"/>
                <w:bCs w:val="0"/>
                <w:color w:val="auto"/>
                <w:sz w:val="21"/>
                <w:szCs w:val="21"/>
                <w:highlight w:val="none"/>
                <w:lang w:eastAsia="zh-CN"/>
              </w:rPr>
            </w:pPr>
            <w:r>
              <w:rPr>
                <w:rFonts w:hint="default" w:ascii="Times New Roman" w:hAnsi="Times New Roman" w:cs="Times New Roman" w:eastAsiaTheme="minorEastAsia"/>
                <w:b w:val="0"/>
                <w:bCs w:val="0"/>
                <w:color w:val="auto"/>
                <w:sz w:val="21"/>
                <w:szCs w:val="21"/>
                <w:highlight w:val="none"/>
              </w:rPr>
              <w:t>距离(m)</w:t>
            </w:r>
          </w:p>
          <w:p>
            <w:pPr>
              <w:adjustRightInd w:val="0"/>
              <w:snapToGrid w:val="0"/>
              <w:rPr>
                <w:rFonts w:hint="default" w:ascii="Times New Roman" w:hAnsi="Times New Roman" w:cs="Times New Roman" w:eastAsiaTheme="minorEastAsia"/>
                <w:b w:val="0"/>
                <w:bCs w:val="0"/>
                <w:color w:val="auto"/>
                <w:sz w:val="21"/>
                <w:szCs w:val="21"/>
                <w:highlight w:val="none"/>
              </w:rPr>
            </w:pPr>
          </w:p>
        </w:tc>
        <w:tc>
          <w:tcPr>
            <w:tcW w:w="525"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50</w:t>
            </w:r>
          </w:p>
        </w:tc>
        <w:tc>
          <w:tcPr>
            <w:tcW w:w="525"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100</w:t>
            </w:r>
          </w:p>
        </w:tc>
        <w:tc>
          <w:tcPr>
            <w:tcW w:w="525"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150</w:t>
            </w:r>
          </w:p>
        </w:tc>
        <w:tc>
          <w:tcPr>
            <w:tcW w:w="525"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200</w:t>
            </w:r>
          </w:p>
        </w:tc>
        <w:tc>
          <w:tcPr>
            <w:tcW w:w="525"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250</w:t>
            </w:r>
          </w:p>
        </w:tc>
        <w:tc>
          <w:tcPr>
            <w:tcW w:w="525" w:type="pct"/>
            <w:tcBorders>
              <w:top w:val="single" w:color="000000" w:sz="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300</w:t>
            </w:r>
          </w:p>
        </w:tc>
        <w:tc>
          <w:tcPr>
            <w:tcW w:w="562" w:type="pct"/>
            <w:tcBorders>
              <w:top w:val="single" w:color="000000" w:sz="2"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400</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液压挖掘机</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54</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52</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电动挖掘机</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52</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50</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48</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轮式装载机</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75</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69</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65</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63</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61</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59</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57</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推土机</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62</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52</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50</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移动式发电机</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82</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72</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66</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64</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各类压路机</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54</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52</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重型运输车</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54</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52</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木工电锯</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79</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73</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69</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67</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65</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63</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61</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电锤</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85</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79</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75</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73</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71</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69</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67</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振动夯锤</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64</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62</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打桩机</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90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80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74</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72</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静力压桩机</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55</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49</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45</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43</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41</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39</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37</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风镐</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72</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62</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56</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54</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混凝土输送泵</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75</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69</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65</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63</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61</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59</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57</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商砼搅拌车</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54</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52</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混凝土震捣器</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62</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58</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52</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50</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云石机、角磨机</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70</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66</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64</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62</w:t>
            </w:r>
          </w:p>
        </w:tc>
        <w:tc>
          <w:tcPr>
            <w:tcW w:w="5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60</w:t>
            </w:r>
          </w:p>
        </w:tc>
        <w:tc>
          <w:tcPr>
            <w:tcW w:w="562" w:type="pct"/>
            <w:tcBorders>
              <w:top w:val="single" w:color="000000" w:sz="4" w:space="0"/>
              <w:left w:val="single" w:color="000000" w:sz="4" w:space="0"/>
              <w:bottom w:val="single" w:color="000000" w:sz="4"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58</w:t>
            </w:r>
          </w:p>
        </w:tc>
      </w:tr>
      <w:tr>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84" w:type="pct"/>
            <w:tcBorders>
              <w:top w:val="single" w:color="000000" w:sz="4" w:space="0"/>
              <w:left w:val="single" w:color="000000" w:sz="2"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空压机</w:t>
            </w:r>
          </w:p>
        </w:tc>
        <w:tc>
          <w:tcPr>
            <w:tcW w:w="525"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72</w:t>
            </w:r>
          </w:p>
        </w:tc>
        <w:tc>
          <w:tcPr>
            <w:tcW w:w="525"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66</w:t>
            </w:r>
          </w:p>
        </w:tc>
        <w:tc>
          <w:tcPr>
            <w:tcW w:w="525"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62</w:t>
            </w:r>
          </w:p>
        </w:tc>
        <w:tc>
          <w:tcPr>
            <w:tcW w:w="525"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60</w:t>
            </w:r>
          </w:p>
        </w:tc>
        <w:tc>
          <w:tcPr>
            <w:tcW w:w="525"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58</w:t>
            </w:r>
          </w:p>
        </w:tc>
        <w:tc>
          <w:tcPr>
            <w:tcW w:w="525" w:type="pct"/>
            <w:tcBorders>
              <w:top w:val="single" w:color="000000" w:sz="4" w:space="0"/>
              <w:left w:val="single" w:color="000000" w:sz="4" w:space="0"/>
              <w:bottom w:val="single" w:color="000000" w:sz="2" w:space="0"/>
              <w:right w:val="single" w:color="000000" w:sz="4"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56</w:t>
            </w:r>
          </w:p>
        </w:tc>
        <w:tc>
          <w:tcPr>
            <w:tcW w:w="562" w:type="pct"/>
            <w:tcBorders>
              <w:top w:val="single" w:color="000000" w:sz="4" w:space="0"/>
              <w:left w:val="single" w:color="000000" w:sz="4" w:space="0"/>
              <w:bottom w:val="single" w:color="000000" w:sz="2" w:space="0"/>
              <w:right w:val="single" w:color="000000" w:sz="2" w:space="0"/>
            </w:tcBorders>
            <w:vAlign w:val="center"/>
          </w:tcPr>
          <w:p>
            <w:pPr>
              <w:adjustRightInd w:val="0"/>
              <w:snapToGrid w:val="0"/>
              <w:jc w:val="center"/>
              <w:rPr>
                <w:rFonts w:hint="default" w:ascii="Times New Roman" w:hAnsi="Times New Roman" w:cs="Times New Roman" w:eastAsiaTheme="minorEastAsia"/>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rPr>
              <w:t>54</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34" w:name="_Toc18214"/>
      <w:r>
        <w:rPr>
          <w:rFonts w:hint="default" w:cs="Times New Roman"/>
          <w:b/>
          <w:bCs/>
          <w:color w:val="auto"/>
          <w:kern w:val="0"/>
          <w:sz w:val="28"/>
          <w:szCs w:val="28"/>
          <w:highlight w:val="none"/>
          <w:lang w:val="en-US" w:eastAsia="zh-CN"/>
        </w:rPr>
        <w:t>5.1.3.3噪声影响分析</w:t>
      </w:r>
      <w:bookmarkEnd w:id="134"/>
    </w:p>
    <w:p>
      <w:pPr>
        <w:adjustRightInd w:val="0"/>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由</w:t>
      </w:r>
      <w:r>
        <w:rPr>
          <w:rFonts w:hint="default" w:ascii="Times New Roman" w:hAnsi="Times New Roman" w:cs="Times New Roman"/>
          <w:color w:val="auto"/>
          <w:sz w:val="24"/>
          <w:szCs w:val="24"/>
          <w:highlight w:val="none"/>
          <w:lang w:val="en-US" w:eastAsia="zh-CN"/>
        </w:rPr>
        <w:t>上</w:t>
      </w:r>
      <w:r>
        <w:rPr>
          <w:rFonts w:hint="default" w:ascii="Times New Roman" w:hAnsi="Times New Roman" w:cs="Times New Roman"/>
          <w:color w:val="auto"/>
          <w:sz w:val="24"/>
          <w:szCs w:val="24"/>
          <w:highlight w:val="none"/>
          <w:lang w:eastAsia="zh-CN"/>
        </w:rPr>
        <w:t>表可知，单台施工机械约在50m以外噪声值才基本能达到施工阶段场界昼间噪声限值，夜间则需在120m以外才能达到要求。</w:t>
      </w:r>
    </w:p>
    <w:p>
      <w:pPr>
        <w:adjustRightInd w:val="0"/>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该项目施工时间较长，为减少施工对周边环境的影响，施工单位应严格执行《中华人民共和国噪声污染防治法》和《建筑施工场界环境噪声排放标准》（GB12523-2011）、《建筑施工噪声管理办法》相关要求，做好以下几点：</w:t>
      </w:r>
    </w:p>
    <w:p>
      <w:pPr>
        <w:adjustRightInd w:val="0"/>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①禁止使用冲击式打桩机，所有打桩工序均采用沉管灌注桩；</w:t>
      </w:r>
    </w:p>
    <w:p>
      <w:pPr>
        <w:adjustRightInd w:val="0"/>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②施工单位要加强操作人员的环境意识，对一些零星的手工作业。如拆装模板、装卸建材，尽可能做到轻拿轻放，并辅以一定的减缓措施，如铺设草包等；</w:t>
      </w:r>
    </w:p>
    <w:p>
      <w:pPr>
        <w:adjustRightInd w:val="0"/>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③施工期间对于噪声值较高的搅拌机等设备需放置于远离居民的地方，对于固定设备需设操作棚或临时声屏障；</w:t>
      </w:r>
    </w:p>
    <w:p>
      <w:pPr>
        <w:snapToGrid w:val="0"/>
        <w:spacing w:line="360" w:lineRule="auto"/>
        <w:ind w:firstLine="480" w:firstLineChars="200"/>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color w:val="auto"/>
          <w:sz w:val="24"/>
          <w:szCs w:val="24"/>
          <w:highlight w:val="none"/>
          <w:lang w:eastAsia="zh-CN"/>
        </w:rPr>
        <w:t>④禁止在夜间施工，因工艺因素或其它特殊原因确需夜间施工的应提前向当地生态环境部门申请夜间施工许可，并依法接受监督。</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5.1.4施工期固废影响分析</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施工期产生的固体废物主要为建筑垃圾、弃土方、施工人员生活垃圾等。 </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（1）建筑垃圾 </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w:t>
      </w:r>
      <w:r>
        <w:rPr>
          <w:rFonts w:hint="default" w:cs="Times New Roman"/>
          <w:color w:val="auto"/>
          <w:kern w:val="0"/>
          <w:sz w:val="24"/>
          <w:szCs w:val="24"/>
          <w:highlight w:val="none"/>
          <w:lang w:val="en-US" w:eastAsia="zh-CN" w:bidi="ar"/>
        </w:rPr>
        <w:t>土石方弃渣量为46.5t</w:t>
      </w:r>
      <w:r>
        <w:rPr>
          <w:rFonts w:hint="default" w:ascii="Times New Roman" w:hAnsi="Times New Roman" w:eastAsia="宋体" w:cs="Times New Roman"/>
          <w:color w:val="auto"/>
          <w:kern w:val="0"/>
          <w:sz w:val="24"/>
          <w:szCs w:val="24"/>
          <w:highlight w:val="none"/>
          <w:lang w:val="en-US" w:eastAsia="zh-CN" w:bidi="ar"/>
        </w:rPr>
        <w:t>；项目建筑垃圾产生量约1</w:t>
      </w:r>
      <w:r>
        <w:rPr>
          <w:rFonts w:hint="default" w:cs="Times New Roman"/>
          <w:color w:val="auto"/>
          <w:kern w:val="0"/>
          <w:sz w:val="24"/>
          <w:szCs w:val="24"/>
          <w:highlight w:val="none"/>
          <w:lang w:val="en-US" w:eastAsia="zh-CN" w:bidi="ar"/>
        </w:rPr>
        <w:t>0</w:t>
      </w:r>
      <w:r>
        <w:rPr>
          <w:rFonts w:hint="default" w:ascii="Times New Roman" w:hAnsi="Times New Roman" w:eastAsia="宋体" w:cs="Times New Roman"/>
          <w:color w:val="auto"/>
          <w:kern w:val="0"/>
          <w:sz w:val="24"/>
          <w:szCs w:val="24"/>
          <w:highlight w:val="none"/>
          <w:lang w:val="en-US" w:eastAsia="zh-CN" w:bidi="ar"/>
        </w:rPr>
        <w:t>00t，建筑垃圾由当地渣土办统一调配处置。此外，本项目施工期间，拟对部分开挖表土以及回填土进行堆存，</w:t>
      </w:r>
      <w:r>
        <w:rPr>
          <w:rFonts w:hint="default" w:cs="Times New Roman"/>
          <w:color w:val="auto"/>
          <w:kern w:val="0"/>
          <w:sz w:val="24"/>
          <w:szCs w:val="24"/>
          <w:highlight w:val="none"/>
          <w:lang w:val="en-US" w:eastAsia="zh-CN" w:bidi="ar"/>
        </w:rPr>
        <w:t>项目表土开挖量为6521.95m</w:t>
      </w:r>
      <w:r>
        <w:rPr>
          <w:rFonts w:hint="default"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，开挖土方堆存于</w:t>
      </w:r>
      <w:r>
        <w:rPr>
          <w:rFonts w:hint="default" w:cs="Times New Roman"/>
          <w:color w:val="auto"/>
          <w:kern w:val="0"/>
          <w:sz w:val="24"/>
          <w:szCs w:val="24"/>
          <w:highlight w:val="none"/>
          <w:lang w:val="en-US" w:eastAsia="zh-CN" w:bidi="ar"/>
        </w:rPr>
        <w:t>项目</w:t>
      </w:r>
      <w:r>
        <w:rPr>
          <w:rFonts w:hint="default" w:ascii="Times New Roman" w:hAnsi="Times New Roman" w:eastAsia="宋体" w:cs="Times New Roman"/>
          <w:color w:val="auto"/>
          <w:kern w:val="0"/>
          <w:sz w:val="24"/>
          <w:szCs w:val="24"/>
          <w:highlight w:val="none"/>
          <w:lang w:val="en-US" w:eastAsia="zh-CN" w:bidi="ar"/>
        </w:rPr>
        <w:t>红线范围内</w:t>
      </w:r>
      <w:r>
        <w:rPr>
          <w:rFonts w:hint="default" w:cs="Times New Roman"/>
          <w:color w:val="auto"/>
          <w:kern w:val="0"/>
          <w:sz w:val="24"/>
          <w:szCs w:val="24"/>
          <w:highlight w:val="none"/>
          <w:lang w:val="en-US" w:eastAsia="zh-CN" w:bidi="ar"/>
        </w:rPr>
        <w:t>用于回填</w:t>
      </w:r>
      <w:r>
        <w:rPr>
          <w:rFonts w:hint="default" w:ascii="Times New Roman" w:hAnsi="Times New Roman" w:eastAsia="宋体" w:cs="Times New Roman"/>
          <w:color w:val="auto"/>
          <w:kern w:val="0"/>
          <w:sz w:val="24"/>
          <w:szCs w:val="24"/>
          <w:highlight w:val="none"/>
          <w:lang w:val="en-US" w:eastAsia="zh-CN" w:bidi="ar"/>
        </w:rPr>
        <w:t xml:space="preserve">。 </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（2）隔油池废油 </w:t>
      </w:r>
    </w:p>
    <w:p>
      <w:pPr>
        <w:keepNext w:val="0"/>
        <w:keepLines w:val="0"/>
        <w:pageBreakBefore w:val="0"/>
        <w:widowControl w:val="0"/>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本项目设置隔油沉淀池处理施工废水，项目隔油池产生的费油，收集后交由有资质单位处理。</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 xml:space="preserve">）生活垃圾 </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项目施工期产生的生活垃圾集中收集后外运至周边垃圾转运站进行处理场。施工人员生活垃圾如不及时清运，随意堆放可能会滋生病虫毒害，对环境产生二次污染。 </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综上所述，项目施工期产生的固体废物均采取了合理的处理处置措施，不会对区域环境产生污染影响。</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5.1.5施工期环境影响评价结论</w:t>
      </w:r>
    </w:p>
    <w:p>
      <w:pPr>
        <w:keepNext w:val="0"/>
        <w:keepLines w:val="0"/>
        <w:pageBreakBefore w:val="0"/>
        <w:widowControl/>
        <w:suppressLineNumbers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综上所述，本项目在施工阶段产生的施工扬尘、噪声、废水及固废可能会对区域环境产生一定的不利影响，工程建设对区域生态产生一定的不利影响，但上述影响均是暂时的、可逆的，且可通过采取措施最大限度降低其对环境的危害，并将随着施工期的结束而消失。本次评价认为，在采取报告中提出的各类防治措施后，预计施工活动对区域的环境影响是可接受的。</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sz w:val="24"/>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135" w:name="_Toc6922"/>
      <w:bookmarkStart w:id="136" w:name="_Toc12700"/>
      <w:r>
        <w:rPr>
          <w:rFonts w:hint="default" w:cs="Times New Roman"/>
          <w:b/>
          <w:bCs/>
          <w:color w:val="auto"/>
          <w:kern w:val="0"/>
          <w:sz w:val="30"/>
          <w:szCs w:val="30"/>
          <w:highlight w:val="none"/>
          <w:lang w:val="en-US" w:eastAsia="zh-CN"/>
        </w:rPr>
        <w:t>运营期环境影响分析</w:t>
      </w:r>
      <w:bookmarkEnd w:id="135"/>
      <w:bookmarkEnd w:id="136"/>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5.2.1地表水环境影响分析</w:t>
      </w:r>
    </w:p>
    <w:p>
      <w:pPr>
        <w:keepNext w:val="0"/>
        <w:keepLines w:val="0"/>
        <w:pageBreakBefore w:val="0"/>
        <w:widowControl/>
        <w:suppressLineNumbers w:val="0"/>
        <w:kinsoku/>
        <w:wordWrap/>
        <w:overflowPunct/>
        <w:topLinePunct w:val="0"/>
        <w:autoSpaceDE/>
        <w:autoSpaceDN/>
        <w:bidi w:val="0"/>
        <w:adjustRightInd/>
        <w:snapToGrid w:val="0"/>
        <w:spacing w:line="360" w:lineRule="auto"/>
        <w:ind w:left="0" w:right="0" w:firstLine="48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根据工程分析可知，本项目运营期废水主要是生活污水。</w:t>
      </w:r>
    </w:p>
    <w:p>
      <w:pPr>
        <w:keepNext w:val="0"/>
        <w:keepLines w:val="0"/>
        <w:pageBreakBefore w:val="0"/>
        <w:widowControl/>
        <w:suppressLineNumbers w:val="0"/>
        <w:kinsoku/>
        <w:wordWrap/>
        <w:overflowPunct/>
        <w:topLinePunct w:val="0"/>
        <w:autoSpaceDE/>
        <w:autoSpaceDN/>
        <w:bidi w:val="0"/>
        <w:adjustRightInd/>
        <w:snapToGrid w:val="0"/>
        <w:spacing w:line="360" w:lineRule="auto"/>
        <w:ind w:left="0" w:right="0"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sz w:val="24"/>
          <w:szCs w:val="24"/>
          <w:highlight w:val="none"/>
          <w:lang w:val="en-US" w:eastAsia="zh-CN"/>
        </w:rPr>
        <w:t>项目运营期湘江东岸区域</w:t>
      </w:r>
      <w:r>
        <w:rPr>
          <w:rFonts w:hint="default" w:ascii="Times New Roman" w:hAnsi="Times New Roman" w:cs="Times New Roman"/>
          <w:color w:val="auto"/>
          <w:sz w:val="24"/>
          <w:szCs w:val="24"/>
          <w:highlight w:val="none"/>
        </w:rPr>
        <w:t>生活污水经</w:t>
      </w:r>
      <w:r>
        <w:rPr>
          <w:rFonts w:hint="default" w:ascii="Times New Roman" w:hAnsi="Times New Roman" w:cs="Times New Roman"/>
          <w:color w:val="auto"/>
          <w:sz w:val="24"/>
          <w:szCs w:val="24"/>
          <w:highlight w:val="none"/>
          <w:lang w:val="en-US" w:eastAsia="zh-CN"/>
        </w:rPr>
        <w:t>隔油池+</w:t>
      </w:r>
      <w:r>
        <w:rPr>
          <w:rFonts w:hint="default" w:ascii="Times New Roman" w:hAnsi="Times New Roman" w:cs="Times New Roman"/>
          <w:color w:val="auto"/>
          <w:sz w:val="24"/>
          <w:szCs w:val="24"/>
          <w:highlight w:val="none"/>
        </w:rPr>
        <w:t>化粪池预处理后达到《污水综合排放标准》（GB8978-1996）表中三级标准后</w:t>
      </w:r>
      <w:r>
        <w:rPr>
          <w:rFonts w:hint="default" w:cs="Times New Roman"/>
          <w:color w:val="auto"/>
          <w:sz w:val="24"/>
          <w:szCs w:val="24"/>
          <w:highlight w:val="none"/>
          <w:lang w:val="en-US" w:eastAsia="zh-CN"/>
        </w:rPr>
        <w:t>排入市政管网</w:t>
      </w:r>
      <w:r>
        <w:rPr>
          <w:rFonts w:hint="default" w:ascii="Times New Roman" w:hAnsi="Times New Roman" w:cs="Times New Roman"/>
          <w:color w:val="auto"/>
          <w:sz w:val="24"/>
          <w:szCs w:val="24"/>
          <w:highlight w:val="none"/>
        </w:rPr>
        <w:t>进入</w:t>
      </w:r>
      <w:r>
        <w:rPr>
          <w:rFonts w:hint="default" w:ascii="Times New Roman" w:hAnsi="Times New Roman" w:cs="Times New Roman"/>
          <w:color w:val="auto"/>
          <w:sz w:val="24"/>
          <w:szCs w:val="24"/>
          <w:highlight w:val="none"/>
          <w:lang w:val="en-US" w:eastAsia="zh-CN"/>
        </w:rPr>
        <w:t>江东</w:t>
      </w:r>
      <w:r>
        <w:rPr>
          <w:rFonts w:hint="default" w:ascii="Times New Roman" w:hAnsi="Times New Roman" w:cs="Times New Roman"/>
          <w:color w:val="auto"/>
          <w:sz w:val="24"/>
          <w:szCs w:val="24"/>
          <w:highlight w:val="none"/>
        </w:rPr>
        <w:t>污水处理厂进行深度处理。</w:t>
      </w:r>
      <w:r>
        <w:rPr>
          <w:rFonts w:hint="default" w:cs="Times New Roman"/>
          <w:color w:val="auto"/>
          <w:kern w:val="0"/>
          <w:sz w:val="24"/>
          <w:szCs w:val="24"/>
          <w:highlight w:val="none"/>
          <w:lang w:val="en-US" w:eastAsia="zh-CN" w:bidi="ar"/>
        </w:rPr>
        <w:t>东洲岛上生活污水依托东洲岛现有已建污水处理设施（地下式污水处理站+无动力地埋分散式厌氧净化处理系统）处理后达到《污水综合排放标准》（GB8978-1996）一级标准要求，回用于岛上绿化不外排。</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项目营运期严格遵守本次环评提出的水污染防治措施和风险防控措施后，</w:t>
      </w:r>
      <w:r>
        <w:rPr>
          <w:rFonts w:hint="default" w:cs="Times New Roman"/>
          <w:color w:val="auto"/>
          <w:sz w:val="24"/>
          <w:szCs w:val="24"/>
          <w:highlight w:val="none"/>
          <w:lang w:val="en-US" w:eastAsia="zh-CN"/>
        </w:rPr>
        <w:t>项目对地表水环境影响很小。</w:t>
      </w:r>
    </w:p>
    <w:p>
      <w:pPr>
        <w:adjustRightInd w:val="0"/>
        <w:snapToGrid w:val="0"/>
        <w:spacing w:line="360" w:lineRule="auto"/>
        <w:jc w:val="center"/>
        <w:rPr>
          <w:b/>
          <w:color w:val="auto"/>
          <w:sz w:val="24"/>
          <w:szCs w:val="22"/>
        </w:rPr>
      </w:pPr>
      <w:r>
        <w:rPr>
          <w:b/>
          <w:color w:val="auto"/>
          <w:sz w:val="24"/>
          <w:szCs w:val="22"/>
        </w:rPr>
        <w:t>表</w:t>
      </w:r>
      <w:r>
        <w:rPr>
          <w:rFonts w:hint="default"/>
          <w:b/>
          <w:color w:val="auto"/>
          <w:sz w:val="24"/>
          <w:szCs w:val="22"/>
          <w:lang w:val="en-US" w:eastAsia="zh-CN"/>
        </w:rPr>
        <w:t>5</w:t>
      </w:r>
      <w:r>
        <w:rPr>
          <w:b/>
          <w:color w:val="auto"/>
          <w:sz w:val="24"/>
          <w:szCs w:val="22"/>
        </w:rPr>
        <w:t>.2-</w:t>
      </w:r>
      <w:r>
        <w:rPr>
          <w:rFonts w:hint="default"/>
          <w:b/>
          <w:color w:val="auto"/>
          <w:sz w:val="24"/>
          <w:szCs w:val="22"/>
          <w:lang w:val="en-US" w:eastAsia="zh-CN"/>
        </w:rPr>
        <w:t>1</w:t>
      </w:r>
      <w:r>
        <w:rPr>
          <w:b/>
          <w:color w:val="auto"/>
          <w:sz w:val="24"/>
          <w:szCs w:val="22"/>
        </w:rPr>
        <w:t xml:space="preserve">  地表水环境影响评价自查表</w:t>
      </w:r>
    </w:p>
    <w:tbl>
      <w:tblPr>
        <w:tblStyle w:val="22"/>
        <w:tblW w:w="9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9"/>
        <w:gridCol w:w="1290"/>
        <w:gridCol w:w="1965"/>
        <w:gridCol w:w="395"/>
        <w:gridCol w:w="177"/>
        <w:gridCol w:w="331"/>
        <w:gridCol w:w="452"/>
        <w:gridCol w:w="1124"/>
        <w:gridCol w:w="231"/>
        <w:gridCol w:w="336"/>
        <w:gridCol w:w="1034"/>
        <w:gridCol w:w="14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59" w:type="dxa"/>
            <w:gridSpan w:val="2"/>
            <w:noWrap w:val="0"/>
            <w:vAlign w:val="center"/>
          </w:tcPr>
          <w:p>
            <w:pPr>
              <w:adjustRightInd w:val="0"/>
              <w:snapToGrid w:val="0"/>
              <w:jc w:val="center"/>
              <w:rPr>
                <w:color w:val="auto"/>
                <w:szCs w:val="21"/>
              </w:rPr>
            </w:pPr>
            <w:r>
              <w:rPr>
                <w:color w:val="auto"/>
                <w:szCs w:val="21"/>
              </w:rPr>
              <w:t>工作内容</w:t>
            </w:r>
          </w:p>
        </w:tc>
        <w:tc>
          <w:tcPr>
            <w:tcW w:w="7512" w:type="dxa"/>
            <w:gridSpan w:val="10"/>
            <w:noWrap w:val="0"/>
            <w:vAlign w:val="center"/>
          </w:tcPr>
          <w:p>
            <w:pPr>
              <w:adjustRightInd w:val="0"/>
              <w:snapToGrid w:val="0"/>
              <w:jc w:val="center"/>
              <w:rPr>
                <w:color w:val="auto"/>
                <w:szCs w:val="21"/>
              </w:rPr>
            </w:pPr>
            <w:r>
              <w:rPr>
                <w:color w:val="auto"/>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restart"/>
            <w:noWrap w:val="0"/>
            <w:vAlign w:val="center"/>
          </w:tcPr>
          <w:p>
            <w:pPr>
              <w:adjustRightInd w:val="0"/>
              <w:snapToGrid w:val="0"/>
              <w:jc w:val="center"/>
              <w:rPr>
                <w:color w:val="auto"/>
                <w:szCs w:val="21"/>
              </w:rPr>
            </w:pPr>
            <w:r>
              <w:rPr>
                <w:color w:val="auto"/>
                <w:szCs w:val="21"/>
              </w:rPr>
              <w:t>影</w:t>
            </w:r>
          </w:p>
          <w:p>
            <w:pPr>
              <w:adjustRightInd w:val="0"/>
              <w:snapToGrid w:val="0"/>
              <w:jc w:val="center"/>
              <w:rPr>
                <w:color w:val="auto"/>
                <w:szCs w:val="21"/>
              </w:rPr>
            </w:pPr>
            <w:r>
              <w:rPr>
                <w:color w:val="auto"/>
                <w:szCs w:val="21"/>
              </w:rPr>
              <w:t>响</w:t>
            </w:r>
          </w:p>
          <w:p>
            <w:pPr>
              <w:adjustRightInd w:val="0"/>
              <w:snapToGrid w:val="0"/>
              <w:jc w:val="center"/>
              <w:rPr>
                <w:color w:val="auto"/>
                <w:szCs w:val="21"/>
              </w:rPr>
            </w:pPr>
            <w:r>
              <w:rPr>
                <w:color w:val="auto"/>
                <w:szCs w:val="21"/>
              </w:rPr>
              <w:t>识</w:t>
            </w:r>
          </w:p>
          <w:p>
            <w:pPr>
              <w:adjustRightInd w:val="0"/>
              <w:snapToGrid w:val="0"/>
              <w:jc w:val="center"/>
              <w:rPr>
                <w:color w:val="auto"/>
                <w:szCs w:val="21"/>
              </w:rPr>
            </w:pPr>
            <w:r>
              <w:rPr>
                <w:color w:val="auto"/>
                <w:szCs w:val="21"/>
              </w:rPr>
              <w:t>别</w:t>
            </w:r>
          </w:p>
        </w:tc>
        <w:tc>
          <w:tcPr>
            <w:tcW w:w="1290" w:type="dxa"/>
            <w:noWrap w:val="0"/>
            <w:vAlign w:val="center"/>
          </w:tcPr>
          <w:p>
            <w:pPr>
              <w:adjustRightInd w:val="0"/>
              <w:snapToGrid w:val="0"/>
              <w:jc w:val="center"/>
              <w:rPr>
                <w:color w:val="auto"/>
                <w:szCs w:val="21"/>
              </w:rPr>
            </w:pPr>
            <w:r>
              <w:rPr>
                <w:color w:val="auto"/>
                <w:szCs w:val="21"/>
              </w:rPr>
              <w:t>影响类型</w:t>
            </w:r>
          </w:p>
        </w:tc>
        <w:tc>
          <w:tcPr>
            <w:tcW w:w="7512" w:type="dxa"/>
            <w:gridSpan w:val="10"/>
            <w:noWrap w:val="0"/>
            <w:vAlign w:val="center"/>
          </w:tcPr>
          <w:p>
            <w:pPr>
              <w:adjustRightInd w:val="0"/>
              <w:snapToGrid w:val="0"/>
              <w:jc w:val="left"/>
              <w:rPr>
                <w:rFonts w:hint="default" w:eastAsia="宋体"/>
                <w:color w:val="auto"/>
                <w:szCs w:val="21"/>
                <w:lang w:eastAsia="zh-CN"/>
              </w:rPr>
            </w:pPr>
            <w:r>
              <w:rPr>
                <w:color w:val="auto"/>
                <w:szCs w:val="21"/>
              </w:rPr>
              <w:t xml:space="preserve">水污染影响型 </w:t>
            </w:r>
            <w:r>
              <w:rPr>
                <w:rFonts w:hint="default"/>
                <w:color w:val="auto"/>
                <w:szCs w:val="21"/>
                <w:lang w:eastAsia="zh-CN"/>
              </w:rPr>
              <w:t>☑</w:t>
            </w:r>
            <w:r>
              <w:rPr>
                <w:color w:val="auto"/>
                <w:szCs w:val="21"/>
              </w:rPr>
              <w:t xml:space="preserve">；水文要素影响型 </w:t>
            </w: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水环境保护目标</w:t>
            </w:r>
          </w:p>
        </w:tc>
        <w:tc>
          <w:tcPr>
            <w:tcW w:w="7512" w:type="dxa"/>
            <w:gridSpan w:val="10"/>
            <w:noWrap w:val="0"/>
            <w:vAlign w:val="center"/>
          </w:tcPr>
          <w:p>
            <w:pPr>
              <w:adjustRightInd w:val="0"/>
              <w:snapToGrid w:val="0"/>
              <w:jc w:val="left"/>
              <w:rPr>
                <w:color w:val="auto"/>
                <w:szCs w:val="21"/>
              </w:rPr>
            </w:pPr>
            <w:r>
              <w:rPr>
                <w:color w:val="auto"/>
                <w:szCs w:val="21"/>
              </w:rPr>
              <w:t xml:space="preserve">饮用水水源保护区 </w:t>
            </w:r>
            <w:r>
              <w:rPr>
                <w:color w:val="auto"/>
                <w:szCs w:val="21"/>
              </w:rPr>
              <w:sym w:font="Wingdings 2" w:char="0052"/>
            </w:r>
            <w:r>
              <w:rPr>
                <w:color w:val="auto"/>
                <w:szCs w:val="21"/>
              </w:rPr>
              <w:t xml:space="preserve">；饮用水取水口 □；涉水的自然保护区 □；重要湿地 □； 重点保护与珍稀水生生物的栖息地 </w:t>
            </w:r>
            <w:r>
              <w:rPr>
                <w:rFonts w:hint="default"/>
                <w:color w:val="auto"/>
                <w:szCs w:val="21"/>
                <w:lang w:eastAsia="zh-CN"/>
              </w:rPr>
              <w:t>☑</w:t>
            </w:r>
            <w:r>
              <w:rPr>
                <w:color w:val="auto"/>
                <w:szCs w:val="21"/>
              </w:rPr>
              <w:t xml:space="preserve">；重要水生生物的自然产卵场及索饵场、越冬场和洄游通道、天然渔场等渔业水体 □；涉水的风景名胜区 </w:t>
            </w:r>
            <w:r>
              <w:rPr>
                <w:rFonts w:hint="default"/>
                <w:color w:val="auto"/>
                <w:szCs w:val="21"/>
                <w:lang w:eastAsia="zh-CN"/>
              </w:rPr>
              <w:t>□</w:t>
            </w:r>
            <w:r>
              <w:rPr>
                <w:color w:val="auto"/>
                <w:szCs w:val="21"/>
              </w:rPr>
              <w:t xml:space="preserve">；其他 </w:t>
            </w:r>
            <w:r>
              <w:rPr>
                <w:rFonts w:hint="default"/>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restart"/>
            <w:noWrap w:val="0"/>
            <w:vAlign w:val="center"/>
          </w:tcPr>
          <w:p>
            <w:pPr>
              <w:adjustRightInd w:val="0"/>
              <w:snapToGrid w:val="0"/>
              <w:jc w:val="center"/>
              <w:rPr>
                <w:color w:val="auto"/>
                <w:szCs w:val="21"/>
              </w:rPr>
            </w:pPr>
            <w:r>
              <w:rPr>
                <w:color w:val="auto"/>
                <w:szCs w:val="21"/>
              </w:rPr>
              <w:t>影响途径</w:t>
            </w:r>
          </w:p>
        </w:tc>
        <w:tc>
          <w:tcPr>
            <w:tcW w:w="4444" w:type="dxa"/>
            <w:gridSpan w:val="6"/>
            <w:noWrap w:val="0"/>
            <w:vAlign w:val="center"/>
          </w:tcPr>
          <w:p>
            <w:pPr>
              <w:adjustRightInd w:val="0"/>
              <w:snapToGrid w:val="0"/>
              <w:jc w:val="center"/>
              <w:rPr>
                <w:color w:val="auto"/>
                <w:szCs w:val="21"/>
              </w:rPr>
            </w:pPr>
            <w:r>
              <w:rPr>
                <w:color w:val="auto"/>
                <w:szCs w:val="21"/>
              </w:rPr>
              <w:t>水污染影响型</w:t>
            </w:r>
          </w:p>
        </w:tc>
        <w:tc>
          <w:tcPr>
            <w:tcW w:w="3068" w:type="dxa"/>
            <w:gridSpan w:val="4"/>
            <w:noWrap w:val="0"/>
            <w:vAlign w:val="center"/>
          </w:tcPr>
          <w:p>
            <w:pPr>
              <w:adjustRightInd w:val="0"/>
              <w:snapToGrid w:val="0"/>
              <w:jc w:val="center"/>
              <w:rPr>
                <w:color w:val="auto"/>
                <w:szCs w:val="21"/>
              </w:rPr>
            </w:pPr>
            <w:r>
              <w:rPr>
                <w:color w:val="auto"/>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4444" w:type="dxa"/>
            <w:gridSpan w:val="6"/>
            <w:noWrap w:val="0"/>
            <w:vAlign w:val="center"/>
          </w:tcPr>
          <w:p>
            <w:pPr>
              <w:adjustRightInd w:val="0"/>
              <w:snapToGrid w:val="0"/>
              <w:jc w:val="left"/>
              <w:rPr>
                <w:color w:val="auto"/>
                <w:szCs w:val="21"/>
              </w:rPr>
            </w:pPr>
            <w:r>
              <w:rPr>
                <w:color w:val="auto"/>
                <w:szCs w:val="21"/>
              </w:rPr>
              <w:t xml:space="preserve">直接排放 □；间接排放 </w:t>
            </w:r>
            <w:r>
              <w:rPr>
                <w:rFonts w:hint="default"/>
                <w:color w:val="auto"/>
                <w:szCs w:val="21"/>
                <w:lang w:eastAsia="zh-CN"/>
              </w:rPr>
              <w:t>☑</w:t>
            </w:r>
            <w:r>
              <w:rPr>
                <w:color w:val="auto"/>
                <w:szCs w:val="21"/>
              </w:rPr>
              <w:t>；其他 □</w:t>
            </w:r>
          </w:p>
        </w:tc>
        <w:tc>
          <w:tcPr>
            <w:tcW w:w="3068" w:type="dxa"/>
            <w:gridSpan w:val="4"/>
            <w:noWrap w:val="0"/>
            <w:vAlign w:val="center"/>
          </w:tcPr>
          <w:p>
            <w:pPr>
              <w:adjustRightInd w:val="0"/>
              <w:snapToGrid w:val="0"/>
              <w:jc w:val="left"/>
              <w:rPr>
                <w:rFonts w:hint="default" w:eastAsia="宋体"/>
                <w:color w:val="auto"/>
                <w:szCs w:val="21"/>
                <w:lang w:eastAsia="zh-CN"/>
              </w:rPr>
            </w:pPr>
            <w:r>
              <w:rPr>
                <w:color w:val="auto"/>
                <w:szCs w:val="21"/>
              </w:rPr>
              <w:t xml:space="preserve">水温 □；径流 </w:t>
            </w:r>
            <w:r>
              <w:rPr>
                <w:rFonts w:hint="default"/>
                <w:color w:val="auto"/>
                <w:szCs w:val="21"/>
                <w:lang w:eastAsia="zh-CN"/>
              </w:rPr>
              <w:t>□</w:t>
            </w:r>
            <w:r>
              <w:rPr>
                <w:color w:val="auto"/>
                <w:szCs w:val="21"/>
              </w:rPr>
              <w:t xml:space="preserve">；水域面积 </w:t>
            </w: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影响因子</w:t>
            </w:r>
          </w:p>
        </w:tc>
        <w:tc>
          <w:tcPr>
            <w:tcW w:w="4444" w:type="dxa"/>
            <w:gridSpan w:val="6"/>
            <w:noWrap w:val="0"/>
            <w:vAlign w:val="center"/>
          </w:tcPr>
          <w:p>
            <w:pPr>
              <w:adjustRightInd w:val="0"/>
              <w:snapToGrid w:val="0"/>
              <w:jc w:val="left"/>
              <w:rPr>
                <w:color w:val="auto"/>
                <w:szCs w:val="21"/>
              </w:rPr>
            </w:pPr>
            <w:r>
              <w:rPr>
                <w:color w:val="auto"/>
                <w:szCs w:val="21"/>
              </w:rPr>
              <w:t xml:space="preserve">持久性污染物 □；有毒有害污染物 □；非持久性污染物 </w:t>
            </w:r>
            <w:r>
              <w:rPr>
                <w:rFonts w:hint="default"/>
                <w:color w:val="auto"/>
                <w:szCs w:val="21"/>
                <w:lang w:eastAsia="zh-CN"/>
              </w:rPr>
              <w:t>☑</w:t>
            </w:r>
            <w:r>
              <w:rPr>
                <w:color w:val="auto"/>
                <w:szCs w:val="21"/>
              </w:rPr>
              <w:t xml:space="preserve">；pH值 □；热污染 □；富营养化 □；其他 </w:t>
            </w:r>
            <w:r>
              <w:rPr>
                <w:color w:val="auto"/>
                <w:szCs w:val="21"/>
              </w:rPr>
              <w:sym w:font="Wingdings 2" w:char="00A3"/>
            </w:r>
            <w:r>
              <w:rPr>
                <w:color w:val="auto"/>
                <w:szCs w:val="21"/>
              </w:rPr>
              <w:t xml:space="preserve"> </w:t>
            </w:r>
          </w:p>
        </w:tc>
        <w:tc>
          <w:tcPr>
            <w:tcW w:w="3068" w:type="dxa"/>
            <w:gridSpan w:val="4"/>
            <w:noWrap w:val="0"/>
            <w:vAlign w:val="center"/>
          </w:tcPr>
          <w:p>
            <w:pPr>
              <w:adjustRightInd w:val="0"/>
              <w:snapToGrid w:val="0"/>
              <w:jc w:val="left"/>
              <w:rPr>
                <w:color w:val="auto"/>
                <w:szCs w:val="21"/>
              </w:rPr>
            </w:pPr>
            <w:r>
              <w:rPr>
                <w:color w:val="auto"/>
                <w:szCs w:val="21"/>
              </w:rPr>
              <w:t>水温 □；水位（水深） □；</w:t>
            </w:r>
          </w:p>
          <w:p>
            <w:pPr>
              <w:adjustRightInd w:val="0"/>
              <w:snapToGrid w:val="0"/>
              <w:jc w:val="left"/>
              <w:rPr>
                <w:color w:val="auto"/>
                <w:szCs w:val="21"/>
              </w:rPr>
            </w:pPr>
            <w:r>
              <w:rPr>
                <w:color w:val="auto"/>
                <w:szCs w:val="21"/>
              </w:rPr>
              <w:t xml:space="preserve">流速 </w:t>
            </w:r>
            <w:r>
              <w:rPr>
                <w:rFonts w:hint="eastAsia"/>
                <w:color w:val="auto"/>
                <w:szCs w:val="21"/>
                <w:lang w:eastAsia="zh-CN"/>
              </w:rPr>
              <w:t>□</w:t>
            </w:r>
            <w:r>
              <w:rPr>
                <w:color w:val="auto"/>
                <w:szCs w:val="21"/>
              </w:rPr>
              <w:t xml:space="preserve">；流量 </w:t>
            </w:r>
            <w:r>
              <w:rPr>
                <w:rFonts w:hint="eastAsia"/>
                <w:color w:val="auto"/>
                <w:szCs w:val="21"/>
                <w:lang w:eastAsia="zh-CN"/>
              </w:rPr>
              <w:t>□</w:t>
            </w:r>
            <w:r>
              <w:rPr>
                <w:color w:val="auto"/>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59" w:type="dxa"/>
            <w:gridSpan w:val="2"/>
            <w:vMerge w:val="restart"/>
            <w:noWrap w:val="0"/>
            <w:vAlign w:val="center"/>
          </w:tcPr>
          <w:p>
            <w:pPr>
              <w:adjustRightInd w:val="0"/>
              <w:snapToGrid w:val="0"/>
              <w:jc w:val="center"/>
              <w:rPr>
                <w:color w:val="auto"/>
                <w:szCs w:val="21"/>
              </w:rPr>
            </w:pPr>
            <w:r>
              <w:rPr>
                <w:color w:val="auto"/>
                <w:szCs w:val="21"/>
              </w:rPr>
              <w:t>评价等级</w:t>
            </w:r>
          </w:p>
        </w:tc>
        <w:tc>
          <w:tcPr>
            <w:tcW w:w="4444" w:type="dxa"/>
            <w:gridSpan w:val="6"/>
            <w:noWrap w:val="0"/>
            <w:vAlign w:val="center"/>
          </w:tcPr>
          <w:p>
            <w:pPr>
              <w:adjustRightInd w:val="0"/>
              <w:snapToGrid w:val="0"/>
              <w:jc w:val="center"/>
              <w:rPr>
                <w:color w:val="auto"/>
                <w:szCs w:val="21"/>
              </w:rPr>
            </w:pPr>
            <w:r>
              <w:rPr>
                <w:color w:val="auto"/>
                <w:szCs w:val="21"/>
              </w:rPr>
              <w:t>水污染影响型</w:t>
            </w:r>
          </w:p>
        </w:tc>
        <w:tc>
          <w:tcPr>
            <w:tcW w:w="3068" w:type="dxa"/>
            <w:gridSpan w:val="4"/>
            <w:noWrap w:val="0"/>
            <w:vAlign w:val="center"/>
          </w:tcPr>
          <w:p>
            <w:pPr>
              <w:adjustRightInd w:val="0"/>
              <w:snapToGrid w:val="0"/>
              <w:jc w:val="center"/>
              <w:rPr>
                <w:color w:val="auto"/>
                <w:szCs w:val="21"/>
              </w:rPr>
            </w:pPr>
            <w:r>
              <w:rPr>
                <w:color w:val="auto"/>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59" w:type="dxa"/>
            <w:gridSpan w:val="2"/>
            <w:vMerge w:val="continue"/>
            <w:noWrap w:val="0"/>
            <w:vAlign w:val="center"/>
          </w:tcPr>
          <w:p>
            <w:pPr>
              <w:adjustRightInd w:val="0"/>
              <w:snapToGrid w:val="0"/>
              <w:jc w:val="center"/>
              <w:rPr>
                <w:color w:val="auto"/>
                <w:szCs w:val="21"/>
              </w:rPr>
            </w:pPr>
          </w:p>
        </w:tc>
        <w:tc>
          <w:tcPr>
            <w:tcW w:w="4444" w:type="dxa"/>
            <w:gridSpan w:val="6"/>
            <w:noWrap w:val="0"/>
            <w:vAlign w:val="center"/>
          </w:tcPr>
          <w:p>
            <w:pPr>
              <w:adjustRightInd w:val="0"/>
              <w:snapToGrid w:val="0"/>
              <w:jc w:val="left"/>
              <w:rPr>
                <w:color w:val="auto"/>
                <w:szCs w:val="21"/>
              </w:rPr>
            </w:pPr>
            <w:r>
              <w:rPr>
                <w:color w:val="auto"/>
                <w:szCs w:val="21"/>
              </w:rPr>
              <w:t>一级 □；二级□；三级A □；三级B</w:t>
            </w:r>
            <w:r>
              <w:rPr>
                <w:rFonts w:hint="default"/>
                <w:color w:val="auto"/>
                <w:szCs w:val="21"/>
                <w:lang w:eastAsia="zh-CN"/>
              </w:rPr>
              <w:t>☑</w:t>
            </w:r>
          </w:p>
        </w:tc>
        <w:tc>
          <w:tcPr>
            <w:tcW w:w="3068" w:type="dxa"/>
            <w:gridSpan w:val="4"/>
            <w:noWrap w:val="0"/>
            <w:vAlign w:val="center"/>
          </w:tcPr>
          <w:p>
            <w:pPr>
              <w:adjustRightInd w:val="0"/>
              <w:snapToGrid w:val="0"/>
              <w:jc w:val="left"/>
              <w:rPr>
                <w:color w:val="auto"/>
                <w:szCs w:val="21"/>
              </w:rPr>
            </w:pPr>
            <w:r>
              <w:rPr>
                <w:color w:val="auto"/>
                <w:szCs w:val="21"/>
              </w:rPr>
              <w:t>一级 □</w:t>
            </w:r>
            <w:r>
              <w:rPr>
                <w:rFonts w:hint="default"/>
                <w:color w:val="auto"/>
                <w:szCs w:val="21"/>
                <w:lang w:eastAsia="zh-CN"/>
              </w:rPr>
              <w:t>□</w:t>
            </w:r>
            <w:r>
              <w:rPr>
                <w:color w:val="auto"/>
                <w:szCs w:val="21"/>
              </w:rPr>
              <w:t xml:space="preserve">；二级 </w:t>
            </w:r>
            <w:r>
              <w:rPr>
                <w:rFonts w:hint="eastAsia"/>
                <w:color w:val="auto"/>
                <w:szCs w:val="21"/>
                <w:lang w:eastAsia="zh-CN"/>
              </w:rPr>
              <w:t>□</w:t>
            </w:r>
            <w:r>
              <w:rPr>
                <w:color w:val="auto"/>
                <w:szCs w:val="21"/>
              </w:rPr>
              <w:t>；三级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restart"/>
            <w:noWrap w:val="0"/>
            <w:vAlign w:val="center"/>
          </w:tcPr>
          <w:p>
            <w:pPr>
              <w:adjustRightInd w:val="0"/>
              <w:snapToGrid w:val="0"/>
              <w:jc w:val="center"/>
              <w:rPr>
                <w:color w:val="auto"/>
                <w:szCs w:val="21"/>
              </w:rPr>
            </w:pPr>
            <w:r>
              <w:rPr>
                <w:color w:val="auto"/>
                <w:szCs w:val="21"/>
              </w:rPr>
              <w:t>现</w:t>
            </w:r>
          </w:p>
          <w:p>
            <w:pPr>
              <w:adjustRightInd w:val="0"/>
              <w:snapToGrid w:val="0"/>
              <w:jc w:val="center"/>
              <w:rPr>
                <w:color w:val="auto"/>
                <w:szCs w:val="21"/>
              </w:rPr>
            </w:pPr>
            <w:r>
              <w:rPr>
                <w:color w:val="auto"/>
                <w:szCs w:val="21"/>
              </w:rPr>
              <w:t>状</w:t>
            </w:r>
          </w:p>
          <w:p>
            <w:pPr>
              <w:adjustRightInd w:val="0"/>
              <w:snapToGrid w:val="0"/>
              <w:jc w:val="center"/>
              <w:rPr>
                <w:color w:val="auto"/>
                <w:szCs w:val="21"/>
              </w:rPr>
            </w:pPr>
            <w:r>
              <w:rPr>
                <w:color w:val="auto"/>
                <w:szCs w:val="21"/>
              </w:rPr>
              <w:t>调</w:t>
            </w:r>
          </w:p>
          <w:p>
            <w:pPr>
              <w:adjustRightInd w:val="0"/>
              <w:snapToGrid w:val="0"/>
              <w:jc w:val="center"/>
              <w:rPr>
                <w:color w:val="auto"/>
                <w:szCs w:val="21"/>
              </w:rPr>
            </w:pPr>
            <w:r>
              <w:rPr>
                <w:color w:val="auto"/>
                <w:szCs w:val="21"/>
              </w:rPr>
              <w:t>查</w:t>
            </w:r>
          </w:p>
        </w:tc>
        <w:tc>
          <w:tcPr>
            <w:tcW w:w="1290" w:type="dxa"/>
            <w:vMerge w:val="restart"/>
            <w:noWrap w:val="0"/>
            <w:vAlign w:val="center"/>
          </w:tcPr>
          <w:p>
            <w:pPr>
              <w:adjustRightInd w:val="0"/>
              <w:snapToGrid w:val="0"/>
              <w:jc w:val="center"/>
              <w:rPr>
                <w:color w:val="auto"/>
                <w:szCs w:val="21"/>
              </w:rPr>
            </w:pPr>
            <w:r>
              <w:rPr>
                <w:color w:val="auto"/>
                <w:szCs w:val="21"/>
              </w:rPr>
              <w:t>区域污染源</w:t>
            </w:r>
          </w:p>
        </w:tc>
        <w:tc>
          <w:tcPr>
            <w:tcW w:w="4444" w:type="dxa"/>
            <w:gridSpan w:val="6"/>
            <w:noWrap w:val="0"/>
            <w:vAlign w:val="center"/>
          </w:tcPr>
          <w:p>
            <w:pPr>
              <w:adjustRightInd w:val="0"/>
              <w:snapToGrid w:val="0"/>
              <w:jc w:val="center"/>
              <w:rPr>
                <w:color w:val="auto"/>
                <w:szCs w:val="21"/>
              </w:rPr>
            </w:pPr>
            <w:r>
              <w:rPr>
                <w:color w:val="auto"/>
                <w:szCs w:val="21"/>
              </w:rPr>
              <w:t xml:space="preserve">调查项目 </w:t>
            </w:r>
          </w:p>
        </w:tc>
        <w:tc>
          <w:tcPr>
            <w:tcW w:w="3068" w:type="dxa"/>
            <w:gridSpan w:val="4"/>
            <w:noWrap w:val="0"/>
            <w:vAlign w:val="center"/>
          </w:tcPr>
          <w:p>
            <w:pPr>
              <w:adjustRightInd w:val="0"/>
              <w:snapToGrid w:val="0"/>
              <w:jc w:val="center"/>
              <w:rPr>
                <w:color w:val="auto"/>
                <w:szCs w:val="21"/>
              </w:rPr>
            </w:pPr>
            <w:r>
              <w:rPr>
                <w:color w:val="auto"/>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2537" w:type="dxa"/>
            <w:gridSpan w:val="3"/>
            <w:noWrap w:val="0"/>
            <w:vAlign w:val="center"/>
          </w:tcPr>
          <w:p>
            <w:pPr>
              <w:adjustRightInd w:val="0"/>
              <w:snapToGrid w:val="0"/>
              <w:jc w:val="left"/>
              <w:rPr>
                <w:color w:val="auto"/>
                <w:szCs w:val="21"/>
              </w:rPr>
            </w:pPr>
            <w:r>
              <w:rPr>
                <w:color w:val="auto"/>
                <w:szCs w:val="21"/>
              </w:rPr>
              <w:t xml:space="preserve">已建 </w:t>
            </w:r>
            <w:r>
              <w:rPr>
                <w:color w:val="auto"/>
                <w:szCs w:val="21"/>
              </w:rPr>
              <w:sym w:font="Wingdings 2" w:char="0052"/>
            </w:r>
            <w:r>
              <w:rPr>
                <w:color w:val="auto"/>
                <w:szCs w:val="21"/>
              </w:rPr>
              <w:t xml:space="preserve">；在建 </w:t>
            </w:r>
            <w:r>
              <w:rPr>
                <w:color w:val="auto"/>
                <w:szCs w:val="21"/>
              </w:rPr>
              <w:sym w:font="Wingdings 2" w:char="00A3"/>
            </w:r>
            <w:r>
              <w:rPr>
                <w:color w:val="auto"/>
                <w:szCs w:val="21"/>
              </w:rPr>
              <w:t>；</w:t>
            </w:r>
          </w:p>
          <w:p>
            <w:pPr>
              <w:adjustRightInd w:val="0"/>
              <w:snapToGrid w:val="0"/>
              <w:jc w:val="left"/>
              <w:rPr>
                <w:color w:val="auto"/>
                <w:szCs w:val="21"/>
              </w:rPr>
            </w:pPr>
            <w:r>
              <w:rPr>
                <w:color w:val="auto"/>
                <w:szCs w:val="21"/>
              </w:rPr>
              <w:t xml:space="preserve">拟建 </w:t>
            </w:r>
            <w:r>
              <w:rPr>
                <w:color w:val="auto"/>
                <w:szCs w:val="21"/>
              </w:rPr>
              <w:sym w:font="Wingdings 2" w:char="00A3"/>
            </w:r>
            <w:r>
              <w:rPr>
                <w:color w:val="auto"/>
                <w:szCs w:val="21"/>
              </w:rPr>
              <w:t xml:space="preserve">；其他 </w:t>
            </w:r>
            <w:r>
              <w:rPr>
                <w:color w:val="auto"/>
                <w:szCs w:val="21"/>
              </w:rPr>
              <w:sym w:font="Wingdings 2" w:char="00A3"/>
            </w:r>
          </w:p>
        </w:tc>
        <w:tc>
          <w:tcPr>
            <w:tcW w:w="1907" w:type="dxa"/>
            <w:gridSpan w:val="3"/>
            <w:noWrap w:val="0"/>
            <w:vAlign w:val="center"/>
          </w:tcPr>
          <w:p>
            <w:pPr>
              <w:adjustRightInd w:val="0"/>
              <w:snapToGrid w:val="0"/>
              <w:jc w:val="left"/>
              <w:rPr>
                <w:color w:val="auto"/>
                <w:szCs w:val="21"/>
              </w:rPr>
            </w:pPr>
            <w:r>
              <w:rPr>
                <w:color w:val="auto"/>
                <w:szCs w:val="21"/>
              </w:rPr>
              <w:t>拟替代的污染源□</w:t>
            </w:r>
          </w:p>
        </w:tc>
        <w:tc>
          <w:tcPr>
            <w:tcW w:w="3068" w:type="dxa"/>
            <w:gridSpan w:val="4"/>
            <w:noWrap w:val="0"/>
            <w:vAlign w:val="center"/>
          </w:tcPr>
          <w:p>
            <w:pPr>
              <w:adjustRightInd w:val="0"/>
              <w:snapToGrid w:val="0"/>
              <w:jc w:val="left"/>
              <w:rPr>
                <w:color w:val="auto"/>
                <w:szCs w:val="21"/>
              </w:rPr>
            </w:pPr>
            <w:r>
              <w:rPr>
                <w:color w:val="auto"/>
                <w:szCs w:val="21"/>
              </w:rPr>
              <w:t xml:space="preserve">排污许可证 □；环评 </w:t>
            </w:r>
            <w:r>
              <w:rPr>
                <w:color w:val="auto"/>
                <w:szCs w:val="21"/>
              </w:rPr>
              <w:sym w:font="Wingdings 2" w:char="00A3"/>
            </w:r>
            <w:r>
              <w:rPr>
                <w:color w:val="auto"/>
                <w:szCs w:val="21"/>
              </w:rPr>
              <w:t xml:space="preserve">；环保验收 □；既有实测 □；现场监测 </w:t>
            </w:r>
            <w:r>
              <w:rPr>
                <w:color w:val="auto"/>
                <w:szCs w:val="21"/>
              </w:rPr>
              <w:sym w:font="Wingdings 2" w:char="00A3"/>
            </w:r>
            <w:r>
              <w:rPr>
                <w:color w:val="auto"/>
                <w:szCs w:val="21"/>
              </w:rPr>
              <w:t>；入河排放口数据 □；</w:t>
            </w:r>
          </w:p>
          <w:p>
            <w:pPr>
              <w:adjustRightInd w:val="0"/>
              <w:snapToGrid w:val="0"/>
              <w:jc w:val="left"/>
              <w:rPr>
                <w:color w:val="auto"/>
                <w:szCs w:val="21"/>
              </w:rPr>
            </w:pPr>
            <w:r>
              <w:rPr>
                <w:color w:val="auto"/>
                <w:szCs w:val="21"/>
              </w:rPr>
              <w:t xml:space="preserve">其他 </w:t>
            </w:r>
            <w:r>
              <w:rPr>
                <w:color w:val="auto"/>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restart"/>
            <w:noWrap w:val="0"/>
            <w:vAlign w:val="center"/>
          </w:tcPr>
          <w:p>
            <w:pPr>
              <w:adjustRightInd w:val="0"/>
              <w:snapToGrid w:val="0"/>
              <w:jc w:val="center"/>
              <w:rPr>
                <w:color w:val="auto"/>
                <w:szCs w:val="21"/>
              </w:rPr>
            </w:pPr>
            <w:r>
              <w:rPr>
                <w:color w:val="auto"/>
                <w:szCs w:val="21"/>
              </w:rPr>
              <w:t>受影响水体</w:t>
            </w:r>
          </w:p>
          <w:p>
            <w:pPr>
              <w:adjustRightInd w:val="0"/>
              <w:snapToGrid w:val="0"/>
              <w:jc w:val="center"/>
              <w:rPr>
                <w:color w:val="auto"/>
                <w:szCs w:val="21"/>
              </w:rPr>
            </w:pPr>
            <w:r>
              <w:rPr>
                <w:color w:val="auto"/>
                <w:szCs w:val="21"/>
              </w:rPr>
              <w:t>水环境质量</w:t>
            </w:r>
          </w:p>
        </w:tc>
        <w:tc>
          <w:tcPr>
            <w:tcW w:w="4444" w:type="dxa"/>
            <w:gridSpan w:val="6"/>
            <w:noWrap w:val="0"/>
            <w:vAlign w:val="center"/>
          </w:tcPr>
          <w:p>
            <w:pPr>
              <w:adjustRightInd w:val="0"/>
              <w:snapToGrid w:val="0"/>
              <w:jc w:val="center"/>
              <w:rPr>
                <w:color w:val="auto"/>
                <w:szCs w:val="21"/>
              </w:rPr>
            </w:pPr>
            <w:r>
              <w:rPr>
                <w:color w:val="auto"/>
                <w:szCs w:val="21"/>
              </w:rPr>
              <w:t>调查时期</w:t>
            </w:r>
          </w:p>
        </w:tc>
        <w:tc>
          <w:tcPr>
            <w:tcW w:w="3068" w:type="dxa"/>
            <w:gridSpan w:val="4"/>
            <w:noWrap w:val="0"/>
            <w:vAlign w:val="center"/>
          </w:tcPr>
          <w:p>
            <w:pPr>
              <w:adjustRightInd w:val="0"/>
              <w:snapToGrid w:val="0"/>
              <w:jc w:val="center"/>
              <w:rPr>
                <w:color w:val="auto"/>
                <w:szCs w:val="21"/>
              </w:rPr>
            </w:pPr>
            <w:r>
              <w:rPr>
                <w:color w:val="auto"/>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4444" w:type="dxa"/>
            <w:gridSpan w:val="6"/>
            <w:noWrap w:val="0"/>
            <w:vAlign w:val="center"/>
          </w:tcPr>
          <w:p>
            <w:pPr>
              <w:adjustRightInd w:val="0"/>
              <w:snapToGrid w:val="0"/>
              <w:jc w:val="left"/>
              <w:rPr>
                <w:color w:val="auto"/>
                <w:szCs w:val="21"/>
              </w:rPr>
            </w:pPr>
            <w:r>
              <w:rPr>
                <w:color w:val="auto"/>
                <w:szCs w:val="21"/>
              </w:rPr>
              <w:t xml:space="preserve">丰水期 □；平水期 </w:t>
            </w:r>
            <w:r>
              <w:rPr>
                <w:color w:val="auto"/>
                <w:szCs w:val="21"/>
              </w:rPr>
              <w:sym w:font="Wingdings 2" w:char="00A3"/>
            </w:r>
            <w:r>
              <w:rPr>
                <w:color w:val="auto"/>
                <w:szCs w:val="21"/>
              </w:rPr>
              <w:t xml:space="preserve">；枯水期 </w:t>
            </w:r>
            <w:r>
              <w:rPr>
                <w:color w:val="auto"/>
                <w:szCs w:val="21"/>
              </w:rPr>
              <w:sym w:font="Wingdings 2" w:char="0052"/>
            </w:r>
            <w:r>
              <w:rPr>
                <w:color w:val="auto"/>
                <w:szCs w:val="21"/>
              </w:rPr>
              <w:t>；冰封期 □</w:t>
            </w:r>
          </w:p>
          <w:p>
            <w:pPr>
              <w:adjustRightInd w:val="0"/>
              <w:snapToGrid w:val="0"/>
              <w:jc w:val="left"/>
              <w:rPr>
                <w:color w:val="auto"/>
                <w:szCs w:val="21"/>
              </w:rPr>
            </w:pPr>
            <w:r>
              <w:rPr>
                <w:color w:val="auto"/>
                <w:szCs w:val="21"/>
              </w:rPr>
              <w:t>春季</w:t>
            </w:r>
            <w:r>
              <w:rPr>
                <w:color w:val="auto"/>
                <w:szCs w:val="21"/>
              </w:rPr>
              <w:sym w:font="Wingdings 2" w:char="00A3"/>
            </w:r>
            <w:r>
              <w:rPr>
                <w:color w:val="auto"/>
                <w:szCs w:val="21"/>
              </w:rPr>
              <w:t xml:space="preserve">；夏季 □；秋季 </w:t>
            </w:r>
            <w:r>
              <w:rPr>
                <w:color w:val="auto"/>
                <w:szCs w:val="21"/>
              </w:rPr>
              <w:sym w:font="Wingdings 2" w:char="00A3"/>
            </w:r>
            <w:r>
              <w:rPr>
                <w:color w:val="auto"/>
                <w:szCs w:val="21"/>
              </w:rPr>
              <w:t xml:space="preserve">；冬季 </w:t>
            </w:r>
            <w:r>
              <w:rPr>
                <w:color w:val="auto"/>
                <w:szCs w:val="21"/>
              </w:rPr>
              <w:sym w:font="Wingdings 2" w:char="0052"/>
            </w:r>
            <w:r>
              <w:rPr>
                <w:color w:val="auto"/>
                <w:szCs w:val="21"/>
              </w:rPr>
              <w:t xml:space="preserve"> </w:t>
            </w:r>
          </w:p>
        </w:tc>
        <w:tc>
          <w:tcPr>
            <w:tcW w:w="3068" w:type="dxa"/>
            <w:gridSpan w:val="4"/>
            <w:noWrap w:val="0"/>
            <w:vAlign w:val="center"/>
          </w:tcPr>
          <w:p>
            <w:pPr>
              <w:adjustRightInd w:val="0"/>
              <w:snapToGrid w:val="0"/>
              <w:jc w:val="left"/>
              <w:rPr>
                <w:color w:val="auto"/>
                <w:szCs w:val="21"/>
              </w:rPr>
            </w:pPr>
            <w:r>
              <w:rPr>
                <w:color w:val="auto"/>
                <w:szCs w:val="21"/>
              </w:rPr>
              <w:t xml:space="preserve">生态环境保护主管部门 </w:t>
            </w:r>
            <w:r>
              <w:rPr>
                <w:rFonts w:hint="default"/>
                <w:color w:val="auto"/>
                <w:szCs w:val="21"/>
                <w:lang w:eastAsia="zh-CN"/>
              </w:rPr>
              <w:t>☑</w:t>
            </w:r>
            <w:r>
              <w:rPr>
                <w:color w:val="auto"/>
                <w:szCs w:val="21"/>
              </w:rPr>
              <w:t>；</w:t>
            </w:r>
          </w:p>
          <w:p>
            <w:pPr>
              <w:adjustRightInd w:val="0"/>
              <w:snapToGrid w:val="0"/>
              <w:jc w:val="left"/>
              <w:rPr>
                <w:color w:val="auto"/>
                <w:szCs w:val="21"/>
              </w:rPr>
            </w:pPr>
            <w:r>
              <w:rPr>
                <w:color w:val="auto"/>
                <w:szCs w:val="21"/>
              </w:rPr>
              <w:t>补充监测</w:t>
            </w:r>
            <w:r>
              <w:rPr>
                <w:color w:val="auto"/>
                <w:szCs w:val="21"/>
              </w:rPr>
              <w:sym w:font="Wingdings 2" w:char="00A3"/>
            </w:r>
            <w:r>
              <w:rPr>
                <w:color w:val="auto"/>
                <w:szCs w:val="21"/>
              </w:rPr>
              <w:t>；其他</w:t>
            </w:r>
            <w:r>
              <w:rPr>
                <w:color w:val="auto"/>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区域水资源开发利用状况</w:t>
            </w:r>
          </w:p>
        </w:tc>
        <w:tc>
          <w:tcPr>
            <w:tcW w:w="7512" w:type="dxa"/>
            <w:gridSpan w:val="10"/>
            <w:noWrap w:val="0"/>
            <w:vAlign w:val="center"/>
          </w:tcPr>
          <w:p>
            <w:pPr>
              <w:adjustRightInd w:val="0"/>
              <w:snapToGrid w:val="0"/>
              <w:jc w:val="left"/>
              <w:rPr>
                <w:color w:val="auto"/>
                <w:szCs w:val="21"/>
              </w:rPr>
            </w:pPr>
            <w:r>
              <w:rPr>
                <w:color w:val="auto"/>
                <w:szCs w:val="21"/>
              </w:rPr>
              <w:t xml:space="preserve">未开发 </w:t>
            </w:r>
            <w:r>
              <w:rPr>
                <w:color w:val="auto"/>
                <w:szCs w:val="21"/>
              </w:rPr>
              <w:sym w:font="Wingdings 2" w:char="00A3"/>
            </w:r>
            <w:r>
              <w:rPr>
                <w:color w:val="auto"/>
                <w:szCs w:val="21"/>
              </w:rPr>
              <w:t xml:space="preserve">；开发量 40%以下 </w:t>
            </w:r>
            <w:r>
              <w:rPr>
                <w:color w:val="auto"/>
                <w:szCs w:val="21"/>
              </w:rPr>
              <w:sym w:font="Wingdings 2" w:char="00A3"/>
            </w:r>
            <w:r>
              <w:rPr>
                <w:color w:val="auto"/>
                <w:szCs w:val="21"/>
              </w:rPr>
              <w:t>；开发量 40%以上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restart"/>
            <w:noWrap w:val="0"/>
            <w:vAlign w:val="center"/>
          </w:tcPr>
          <w:p>
            <w:pPr>
              <w:adjustRightInd w:val="0"/>
              <w:snapToGrid w:val="0"/>
              <w:jc w:val="center"/>
              <w:rPr>
                <w:color w:val="auto"/>
                <w:szCs w:val="21"/>
              </w:rPr>
            </w:pPr>
            <w:r>
              <w:rPr>
                <w:color w:val="auto"/>
                <w:szCs w:val="21"/>
              </w:rPr>
              <w:t>水文情势</w:t>
            </w:r>
          </w:p>
          <w:p>
            <w:pPr>
              <w:adjustRightInd w:val="0"/>
              <w:snapToGrid w:val="0"/>
              <w:jc w:val="center"/>
              <w:rPr>
                <w:color w:val="auto"/>
                <w:szCs w:val="21"/>
              </w:rPr>
            </w:pPr>
            <w:r>
              <w:rPr>
                <w:color w:val="auto"/>
                <w:szCs w:val="21"/>
              </w:rPr>
              <w:t>调查</w:t>
            </w:r>
          </w:p>
        </w:tc>
        <w:tc>
          <w:tcPr>
            <w:tcW w:w="4444" w:type="dxa"/>
            <w:gridSpan w:val="6"/>
            <w:noWrap w:val="0"/>
            <w:vAlign w:val="center"/>
          </w:tcPr>
          <w:p>
            <w:pPr>
              <w:adjustRightInd w:val="0"/>
              <w:snapToGrid w:val="0"/>
              <w:jc w:val="center"/>
              <w:rPr>
                <w:color w:val="auto"/>
                <w:szCs w:val="21"/>
              </w:rPr>
            </w:pPr>
            <w:r>
              <w:rPr>
                <w:color w:val="auto"/>
                <w:szCs w:val="21"/>
              </w:rPr>
              <w:t>调查时期</w:t>
            </w:r>
          </w:p>
        </w:tc>
        <w:tc>
          <w:tcPr>
            <w:tcW w:w="3068" w:type="dxa"/>
            <w:gridSpan w:val="4"/>
            <w:noWrap w:val="0"/>
            <w:vAlign w:val="center"/>
          </w:tcPr>
          <w:p>
            <w:pPr>
              <w:adjustRightInd w:val="0"/>
              <w:snapToGrid w:val="0"/>
              <w:jc w:val="center"/>
              <w:rPr>
                <w:color w:val="auto"/>
                <w:szCs w:val="21"/>
              </w:rPr>
            </w:pPr>
            <w:r>
              <w:rPr>
                <w:color w:val="auto"/>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4444" w:type="dxa"/>
            <w:gridSpan w:val="6"/>
            <w:noWrap w:val="0"/>
            <w:vAlign w:val="center"/>
          </w:tcPr>
          <w:p>
            <w:pPr>
              <w:adjustRightInd w:val="0"/>
              <w:snapToGrid w:val="0"/>
              <w:jc w:val="left"/>
              <w:rPr>
                <w:color w:val="auto"/>
                <w:szCs w:val="21"/>
              </w:rPr>
            </w:pPr>
            <w:r>
              <w:rPr>
                <w:color w:val="auto"/>
                <w:szCs w:val="21"/>
              </w:rPr>
              <w:t xml:space="preserve">丰水期 □；平水期 </w:t>
            </w:r>
            <w:r>
              <w:rPr>
                <w:rFonts w:hint="default"/>
                <w:color w:val="auto"/>
                <w:szCs w:val="21"/>
                <w:lang w:eastAsia="zh-CN"/>
              </w:rPr>
              <w:t>□</w:t>
            </w:r>
            <w:r>
              <w:rPr>
                <w:color w:val="auto"/>
                <w:szCs w:val="21"/>
              </w:rPr>
              <w:t>；枯水期 □；冰封期</w:t>
            </w:r>
          </w:p>
          <w:p>
            <w:pPr>
              <w:adjustRightInd w:val="0"/>
              <w:snapToGrid w:val="0"/>
              <w:jc w:val="left"/>
              <w:rPr>
                <w:rFonts w:hint="default" w:eastAsia="宋体"/>
                <w:color w:val="auto"/>
                <w:szCs w:val="21"/>
                <w:lang w:eastAsia="zh-CN"/>
              </w:rPr>
            </w:pPr>
            <w:r>
              <w:rPr>
                <w:color w:val="auto"/>
                <w:szCs w:val="21"/>
              </w:rPr>
              <w:t xml:space="preserve">春季 </w:t>
            </w:r>
            <w:r>
              <w:rPr>
                <w:color w:val="auto"/>
                <w:szCs w:val="21"/>
              </w:rPr>
              <w:sym w:font="Wingdings 2" w:char="00A3"/>
            </w:r>
            <w:r>
              <w:rPr>
                <w:color w:val="auto"/>
                <w:szCs w:val="21"/>
              </w:rPr>
              <w:t xml:space="preserve">；夏季 □；秋季 □；冬季 </w:t>
            </w:r>
            <w:r>
              <w:rPr>
                <w:rFonts w:hint="default"/>
                <w:color w:val="auto"/>
                <w:szCs w:val="21"/>
                <w:lang w:eastAsia="zh-CN"/>
              </w:rPr>
              <w:t>□</w:t>
            </w:r>
          </w:p>
        </w:tc>
        <w:tc>
          <w:tcPr>
            <w:tcW w:w="3068" w:type="dxa"/>
            <w:gridSpan w:val="4"/>
            <w:noWrap w:val="0"/>
            <w:vAlign w:val="center"/>
          </w:tcPr>
          <w:p>
            <w:pPr>
              <w:adjustRightInd w:val="0"/>
              <w:snapToGrid w:val="0"/>
              <w:jc w:val="left"/>
              <w:rPr>
                <w:color w:val="auto"/>
                <w:szCs w:val="21"/>
              </w:rPr>
            </w:pPr>
            <w:r>
              <w:rPr>
                <w:color w:val="auto"/>
                <w:szCs w:val="21"/>
              </w:rPr>
              <w:t xml:space="preserve">水行政主管部门 □；补充监测 </w:t>
            </w:r>
            <w:r>
              <w:rPr>
                <w:color w:val="auto"/>
                <w:szCs w:val="21"/>
              </w:rPr>
              <w:sym w:font="Wingdings 2" w:char="00A3"/>
            </w:r>
            <w:r>
              <w:rPr>
                <w:color w:val="auto"/>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restart"/>
            <w:noWrap w:val="0"/>
            <w:vAlign w:val="center"/>
          </w:tcPr>
          <w:p>
            <w:pPr>
              <w:adjustRightInd w:val="0"/>
              <w:snapToGrid w:val="0"/>
              <w:jc w:val="center"/>
              <w:rPr>
                <w:color w:val="auto"/>
                <w:szCs w:val="21"/>
              </w:rPr>
            </w:pPr>
            <w:r>
              <w:rPr>
                <w:color w:val="auto"/>
                <w:szCs w:val="21"/>
              </w:rPr>
              <w:t>补充监测</w:t>
            </w:r>
          </w:p>
        </w:tc>
        <w:tc>
          <w:tcPr>
            <w:tcW w:w="2868" w:type="dxa"/>
            <w:gridSpan w:val="4"/>
            <w:noWrap w:val="0"/>
            <w:vAlign w:val="center"/>
          </w:tcPr>
          <w:p>
            <w:pPr>
              <w:adjustRightInd w:val="0"/>
              <w:snapToGrid w:val="0"/>
              <w:jc w:val="center"/>
              <w:rPr>
                <w:color w:val="auto"/>
                <w:szCs w:val="21"/>
              </w:rPr>
            </w:pPr>
            <w:r>
              <w:rPr>
                <w:color w:val="auto"/>
                <w:szCs w:val="21"/>
              </w:rPr>
              <w:t>监测时期</w:t>
            </w:r>
          </w:p>
        </w:tc>
        <w:tc>
          <w:tcPr>
            <w:tcW w:w="2143" w:type="dxa"/>
            <w:gridSpan w:val="4"/>
            <w:noWrap w:val="0"/>
            <w:vAlign w:val="center"/>
          </w:tcPr>
          <w:p>
            <w:pPr>
              <w:adjustRightInd w:val="0"/>
              <w:snapToGrid w:val="0"/>
              <w:jc w:val="center"/>
              <w:rPr>
                <w:color w:val="auto"/>
                <w:szCs w:val="21"/>
              </w:rPr>
            </w:pPr>
            <w:r>
              <w:rPr>
                <w:color w:val="auto"/>
                <w:szCs w:val="21"/>
              </w:rPr>
              <w:t>监测因子</w:t>
            </w:r>
          </w:p>
        </w:tc>
        <w:tc>
          <w:tcPr>
            <w:tcW w:w="2501" w:type="dxa"/>
            <w:gridSpan w:val="2"/>
            <w:noWrap w:val="0"/>
            <w:vAlign w:val="center"/>
          </w:tcPr>
          <w:p>
            <w:pPr>
              <w:adjustRightInd w:val="0"/>
              <w:snapToGrid w:val="0"/>
              <w:jc w:val="center"/>
              <w:rPr>
                <w:color w:val="auto"/>
                <w:szCs w:val="21"/>
              </w:rPr>
            </w:pPr>
            <w:r>
              <w:rPr>
                <w:color w:val="auto"/>
                <w:szCs w:val="21"/>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2868" w:type="dxa"/>
            <w:gridSpan w:val="4"/>
            <w:noWrap w:val="0"/>
            <w:vAlign w:val="center"/>
          </w:tcPr>
          <w:p>
            <w:pPr>
              <w:adjustRightInd w:val="0"/>
              <w:snapToGrid w:val="0"/>
              <w:jc w:val="left"/>
              <w:rPr>
                <w:color w:val="auto"/>
                <w:szCs w:val="21"/>
              </w:rPr>
            </w:pPr>
            <w:r>
              <w:rPr>
                <w:color w:val="auto"/>
                <w:szCs w:val="21"/>
              </w:rPr>
              <w:t xml:space="preserve">丰水期 □；平水期 □；枯水期 □；冰封期 □ </w:t>
            </w:r>
          </w:p>
          <w:p>
            <w:pPr>
              <w:adjustRightInd w:val="0"/>
              <w:snapToGrid w:val="0"/>
              <w:jc w:val="left"/>
              <w:rPr>
                <w:color w:val="auto"/>
                <w:szCs w:val="21"/>
              </w:rPr>
            </w:pPr>
            <w:r>
              <w:rPr>
                <w:color w:val="auto"/>
                <w:szCs w:val="21"/>
              </w:rPr>
              <w:t>春季 □；夏季 □；秋季 □；冬季 □</w:t>
            </w:r>
          </w:p>
        </w:tc>
        <w:tc>
          <w:tcPr>
            <w:tcW w:w="2143" w:type="dxa"/>
            <w:gridSpan w:val="4"/>
            <w:noWrap w:val="0"/>
            <w:vAlign w:val="center"/>
          </w:tcPr>
          <w:p>
            <w:pPr>
              <w:adjustRightInd w:val="0"/>
              <w:snapToGrid w:val="0"/>
              <w:jc w:val="center"/>
              <w:rPr>
                <w:rFonts w:hint="default" w:eastAsia="宋体"/>
                <w:color w:val="auto"/>
                <w:szCs w:val="21"/>
                <w:lang w:eastAsia="zh-CN"/>
              </w:rPr>
            </w:pPr>
            <w:r>
              <w:rPr>
                <w:rFonts w:hint="default"/>
                <w:color w:val="auto"/>
                <w:szCs w:val="21"/>
                <w:lang w:val="en-US" w:eastAsia="zh-CN"/>
              </w:rPr>
              <w:t xml:space="preserve"> </w:t>
            </w:r>
          </w:p>
        </w:tc>
        <w:tc>
          <w:tcPr>
            <w:tcW w:w="2501" w:type="dxa"/>
            <w:gridSpan w:val="2"/>
            <w:noWrap w:val="0"/>
            <w:vAlign w:val="center"/>
          </w:tcPr>
          <w:p>
            <w:pPr>
              <w:adjustRightInd w:val="0"/>
              <w:snapToGrid w:val="0"/>
              <w:jc w:val="center"/>
              <w:rPr>
                <w:color w:val="auto"/>
                <w:szCs w:val="21"/>
              </w:rPr>
            </w:pPr>
            <w:r>
              <w:rPr>
                <w:color w:val="auto"/>
                <w:szCs w:val="21"/>
              </w:rPr>
              <w:t>监测断面或点位个数</w:t>
            </w:r>
          </w:p>
          <w:p>
            <w:pPr>
              <w:adjustRightInd w:val="0"/>
              <w:snapToGrid w:val="0"/>
              <w:jc w:val="center"/>
              <w:rPr>
                <w:color w:val="auto"/>
                <w:szCs w:val="21"/>
              </w:rPr>
            </w:pPr>
            <w:r>
              <w:rPr>
                <w:color w:val="auto"/>
                <w:szCs w:val="21"/>
              </w:rPr>
              <w:t>（</w:t>
            </w:r>
            <w:r>
              <w:rPr>
                <w:rFonts w:hint="default"/>
                <w:color w:val="auto"/>
                <w:szCs w:val="21"/>
                <w:lang w:val="en-US" w:eastAsia="zh-CN"/>
              </w:rPr>
              <w:t xml:space="preserve"> </w:t>
            </w:r>
            <w:r>
              <w:rPr>
                <w:color w:val="auto"/>
                <w:szCs w:val="21"/>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restart"/>
            <w:noWrap w:val="0"/>
            <w:vAlign w:val="center"/>
          </w:tcPr>
          <w:p>
            <w:pPr>
              <w:adjustRightInd w:val="0"/>
              <w:snapToGrid w:val="0"/>
              <w:jc w:val="center"/>
              <w:rPr>
                <w:color w:val="auto"/>
                <w:szCs w:val="21"/>
              </w:rPr>
            </w:pPr>
            <w:r>
              <w:rPr>
                <w:color w:val="auto"/>
                <w:szCs w:val="21"/>
              </w:rPr>
              <w:t>现</w:t>
            </w:r>
          </w:p>
          <w:p>
            <w:pPr>
              <w:adjustRightInd w:val="0"/>
              <w:snapToGrid w:val="0"/>
              <w:jc w:val="center"/>
              <w:rPr>
                <w:color w:val="auto"/>
                <w:szCs w:val="21"/>
              </w:rPr>
            </w:pPr>
            <w:r>
              <w:rPr>
                <w:color w:val="auto"/>
                <w:szCs w:val="21"/>
              </w:rPr>
              <w:t>状</w:t>
            </w:r>
          </w:p>
          <w:p>
            <w:pPr>
              <w:adjustRightInd w:val="0"/>
              <w:snapToGrid w:val="0"/>
              <w:jc w:val="center"/>
              <w:rPr>
                <w:color w:val="auto"/>
                <w:szCs w:val="21"/>
              </w:rPr>
            </w:pPr>
            <w:r>
              <w:rPr>
                <w:color w:val="auto"/>
                <w:szCs w:val="21"/>
              </w:rPr>
              <w:t>评</w:t>
            </w:r>
          </w:p>
          <w:p>
            <w:pPr>
              <w:adjustRightInd w:val="0"/>
              <w:snapToGrid w:val="0"/>
              <w:jc w:val="center"/>
              <w:rPr>
                <w:color w:val="auto"/>
                <w:szCs w:val="21"/>
              </w:rPr>
            </w:pPr>
            <w:r>
              <w:rPr>
                <w:color w:val="auto"/>
                <w:szCs w:val="21"/>
              </w:rPr>
              <w:t>价</w:t>
            </w:r>
          </w:p>
        </w:tc>
        <w:tc>
          <w:tcPr>
            <w:tcW w:w="1290" w:type="dxa"/>
            <w:noWrap w:val="0"/>
            <w:vAlign w:val="center"/>
          </w:tcPr>
          <w:p>
            <w:pPr>
              <w:adjustRightInd w:val="0"/>
              <w:snapToGrid w:val="0"/>
              <w:jc w:val="center"/>
              <w:rPr>
                <w:color w:val="auto"/>
                <w:szCs w:val="21"/>
              </w:rPr>
            </w:pPr>
            <w:r>
              <w:rPr>
                <w:color w:val="auto"/>
                <w:szCs w:val="21"/>
              </w:rPr>
              <w:t>评价范围</w:t>
            </w:r>
          </w:p>
        </w:tc>
        <w:tc>
          <w:tcPr>
            <w:tcW w:w="7512" w:type="dxa"/>
            <w:gridSpan w:val="10"/>
            <w:noWrap w:val="0"/>
            <w:vAlign w:val="center"/>
          </w:tcPr>
          <w:p>
            <w:pPr>
              <w:adjustRightInd w:val="0"/>
              <w:snapToGrid w:val="0"/>
              <w:jc w:val="left"/>
              <w:rPr>
                <w:color w:val="auto"/>
                <w:szCs w:val="21"/>
              </w:rPr>
            </w:pPr>
            <w:r>
              <w:rPr>
                <w:color w:val="auto"/>
                <w:szCs w:val="21"/>
              </w:rPr>
              <w:t xml:space="preserve">河流：长度（ </w:t>
            </w:r>
            <w:r>
              <w:rPr>
                <w:rFonts w:hint="default"/>
                <w:color w:val="auto"/>
                <w:szCs w:val="21"/>
                <w:lang w:val="en-US" w:eastAsia="zh-CN"/>
              </w:rPr>
              <w:t>4.7</w:t>
            </w:r>
            <w:r>
              <w:rPr>
                <w:color w:val="auto"/>
                <w:szCs w:val="21"/>
              </w:rPr>
              <w:t xml:space="preserve"> ）km；湖库、河口及近岸海域：面积（/）km</w:t>
            </w:r>
            <w:r>
              <w:rPr>
                <w:color w:val="auto"/>
                <w:szCs w:val="21"/>
                <w:vertAlign w:val="superscript"/>
              </w:rPr>
              <w:t>2</w:t>
            </w:r>
            <w:r>
              <w:rPr>
                <w:color w:val="auto"/>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评价因子</w:t>
            </w:r>
          </w:p>
        </w:tc>
        <w:tc>
          <w:tcPr>
            <w:tcW w:w="7512" w:type="dxa"/>
            <w:gridSpan w:val="10"/>
            <w:noWrap w:val="0"/>
            <w:vAlign w:val="center"/>
          </w:tcPr>
          <w:p>
            <w:pPr>
              <w:adjustRightInd w:val="0"/>
              <w:snapToGrid w:val="0"/>
              <w:jc w:val="center"/>
              <w:rPr>
                <w:color w:val="auto"/>
                <w:szCs w:val="21"/>
              </w:rPr>
            </w:pPr>
            <w:r>
              <w:rPr>
                <w:color w:val="auto"/>
                <w:szCs w:val="21"/>
              </w:rPr>
              <w:t>（</w:t>
            </w:r>
            <w:r>
              <w:rPr>
                <w:rFonts w:hint="default"/>
                <w:bCs/>
                <w:color w:val="auto"/>
                <w:szCs w:val="21"/>
              </w:rPr>
              <w:t>pH、COD、BOD</w:t>
            </w:r>
            <w:r>
              <w:rPr>
                <w:rFonts w:hint="default"/>
                <w:bCs/>
                <w:color w:val="auto"/>
                <w:szCs w:val="21"/>
                <w:vertAlign w:val="subscript"/>
              </w:rPr>
              <w:t>5</w:t>
            </w:r>
            <w:r>
              <w:rPr>
                <w:rFonts w:hint="default"/>
                <w:bCs/>
                <w:color w:val="auto"/>
                <w:szCs w:val="21"/>
              </w:rPr>
              <w:t>、NH</w:t>
            </w:r>
            <w:r>
              <w:rPr>
                <w:rFonts w:hint="default"/>
                <w:bCs/>
                <w:color w:val="auto"/>
                <w:szCs w:val="21"/>
                <w:vertAlign w:val="subscript"/>
              </w:rPr>
              <w:t>3</w:t>
            </w:r>
            <w:r>
              <w:rPr>
                <w:rFonts w:hint="default"/>
                <w:bCs/>
                <w:color w:val="auto"/>
                <w:szCs w:val="21"/>
              </w:rPr>
              <w:t>-N、总磷、SS、石油类</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评价标准</w:t>
            </w:r>
          </w:p>
        </w:tc>
        <w:tc>
          <w:tcPr>
            <w:tcW w:w="7512" w:type="dxa"/>
            <w:gridSpan w:val="10"/>
            <w:noWrap w:val="0"/>
            <w:vAlign w:val="center"/>
          </w:tcPr>
          <w:p>
            <w:pPr>
              <w:adjustRightInd w:val="0"/>
              <w:snapToGrid w:val="0"/>
              <w:jc w:val="left"/>
              <w:rPr>
                <w:color w:val="auto"/>
                <w:szCs w:val="21"/>
              </w:rPr>
            </w:pPr>
            <w:r>
              <w:rPr>
                <w:color w:val="auto"/>
                <w:szCs w:val="21"/>
              </w:rPr>
              <w:t xml:space="preserve">河流、湖库、河口：Ⅰ类 □；Ⅱ类 </w:t>
            </w:r>
            <w:r>
              <w:rPr>
                <w:color w:val="auto"/>
                <w:szCs w:val="21"/>
              </w:rPr>
              <w:sym w:font="Wingdings 2" w:char="0052"/>
            </w:r>
            <w:r>
              <w:rPr>
                <w:color w:val="auto"/>
                <w:szCs w:val="21"/>
              </w:rPr>
              <w:t xml:space="preserve">；Ⅲ类 </w:t>
            </w:r>
            <w:r>
              <w:rPr>
                <w:color w:val="auto"/>
                <w:szCs w:val="21"/>
              </w:rPr>
              <w:sym w:font="Wingdings 2" w:char="00A3"/>
            </w:r>
            <w:r>
              <w:rPr>
                <w:color w:val="auto"/>
                <w:szCs w:val="21"/>
              </w:rPr>
              <w:t xml:space="preserve">；Ⅳ类 □；Ⅴ类 □ </w:t>
            </w:r>
          </w:p>
          <w:p>
            <w:pPr>
              <w:adjustRightInd w:val="0"/>
              <w:snapToGrid w:val="0"/>
              <w:jc w:val="left"/>
              <w:rPr>
                <w:color w:val="auto"/>
                <w:szCs w:val="21"/>
              </w:rPr>
            </w:pPr>
            <w:r>
              <w:rPr>
                <w:color w:val="auto"/>
                <w:szCs w:val="21"/>
              </w:rPr>
              <w:t xml:space="preserve">近岸海域：第一类 □；第二类 □；第三类 □；第四类 □ </w:t>
            </w:r>
          </w:p>
          <w:p>
            <w:pPr>
              <w:adjustRightInd w:val="0"/>
              <w:snapToGrid w:val="0"/>
              <w:jc w:val="left"/>
              <w:rPr>
                <w:color w:val="auto"/>
                <w:szCs w:val="21"/>
              </w:rPr>
            </w:pPr>
            <w:r>
              <w:rPr>
                <w:color w:val="auto"/>
                <w:szCs w:val="21"/>
              </w:rPr>
              <w:t xml:space="preserve">规划年评价标准（/）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评价时期</w:t>
            </w:r>
          </w:p>
        </w:tc>
        <w:tc>
          <w:tcPr>
            <w:tcW w:w="7512" w:type="dxa"/>
            <w:gridSpan w:val="10"/>
            <w:noWrap w:val="0"/>
            <w:vAlign w:val="center"/>
          </w:tcPr>
          <w:p>
            <w:pPr>
              <w:adjustRightInd w:val="0"/>
              <w:snapToGrid w:val="0"/>
              <w:jc w:val="left"/>
              <w:rPr>
                <w:color w:val="auto"/>
                <w:szCs w:val="21"/>
              </w:rPr>
            </w:pPr>
            <w:r>
              <w:rPr>
                <w:color w:val="auto"/>
                <w:szCs w:val="21"/>
              </w:rPr>
              <w:t>丰水期</w:t>
            </w:r>
            <w:r>
              <w:rPr>
                <w:color w:val="auto"/>
                <w:szCs w:val="21"/>
              </w:rPr>
              <w:sym w:font="Wingdings 2" w:char="00A3"/>
            </w:r>
            <w:r>
              <w:rPr>
                <w:color w:val="auto"/>
                <w:szCs w:val="21"/>
              </w:rPr>
              <w:t>；平水期</w:t>
            </w:r>
            <w:r>
              <w:rPr>
                <w:color w:val="auto"/>
                <w:szCs w:val="21"/>
              </w:rPr>
              <w:sym w:font="Wingdings 2" w:char="00A3"/>
            </w:r>
            <w:r>
              <w:rPr>
                <w:color w:val="auto"/>
                <w:szCs w:val="21"/>
              </w:rPr>
              <w:t xml:space="preserve">；枯水期 </w:t>
            </w:r>
            <w:r>
              <w:rPr>
                <w:color w:val="auto"/>
                <w:szCs w:val="21"/>
              </w:rPr>
              <w:sym w:font="Wingdings 2" w:char="0052"/>
            </w:r>
            <w:r>
              <w:rPr>
                <w:color w:val="auto"/>
                <w:szCs w:val="21"/>
              </w:rPr>
              <w:t xml:space="preserve">；冰封期 □ </w:t>
            </w:r>
          </w:p>
          <w:p>
            <w:pPr>
              <w:adjustRightInd w:val="0"/>
              <w:snapToGrid w:val="0"/>
              <w:jc w:val="left"/>
              <w:rPr>
                <w:color w:val="auto"/>
                <w:szCs w:val="21"/>
              </w:rPr>
            </w:pPr>
            <w:r>
              <w:rPr>
                <w:color w:val="auto"/>
                <w:szCs w:val="21"/>
              </w:rPr>
              <w:t xml:space="preserve">春季 </w:t>
            </w:r>
            <w:r>
              <w:rPr>
                <w:color w:val="auto"/>
                <w:szCs w:val="21"/>
              </w:rPr>
              <w:sym w:font="Wingdings 2" w:char="00A3"/>
            </w:r>
            <w:r>
              <w:rPr>
                <w:color w:val="auto"/>
                <w:szCs w:val="21"/>
              </w:rPr>
              <w:t xml:space="preserve">；夏季 □；秋季 □；冬季 </w:t>
            </w:r>
            <w:r>
              <w:rPr>
                <w:color w:val="auto"/>
                <w:szCs w:val="21"/>
              </w:rPr>
              <w:sym w:font="Wingdings 2" w:char="0052"/>
            </w:r>
            <w:r>
              <w:rPr>
                <w:color w:val="auto"/>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评价结论</w:t>
            </w:r>
          </w:p>
        </w:tc>
        <w:tc>
          <w:tcPr>
            <w:tcW w:w="6045" w:type="dxa"/>
            <w:gridSpan w:val="9"/>
            <w:noWrap w:val="0"/>
            <w:vAlign w:val="center"/>
          </w:tcPr>
          <w:p>
            <w:pPr>
              <w:adjustRightInd w:val="0"/>
              <w:snapToGrid w:val="0"/>
              <w:jc w:val="left"/>
              <w:rPr>
                <w:color w:val="auto"/>
                <w:szCs w:val="21"/>
              </w:rPr>
            </w:pPr>
            <w:r>
              <w:rPr>
                <w:color w:val="auto"/>
                <w:szCs w:val="21"/>
              </w:rPr>
              <w:t>水环境功能区或水功能区、近岸海域环境功能区水质达标状况：</w:t>
            </w:r>
          </w:p>
          <w:p>
            <w:pPr>
              <w:adjustRightInd w:val="0"/>
              <w:snapToGrid w:val="0"/>
              <w:jc w:val="left"/>
              <w:rPr>
                <w:color w:val="auto"/>
                <w:szCs w:val="21"/>
              </w:rPr>
            </w:pPr>
            <w:r>
              <w:rPr>
                <w:color w:val="auto"/>
                <w:szCs w:val="21"/>
              </w:rPr>
              <w:t xml:space="preserve">达标  </w:t>
            </w:r>
            <w:r>
              <w:rPr>
                <w:color w:val="auto"/>
                <w:szCs w:val="21"/>
              </w:rPr>
              <w:sym w:font="Wingdings 2" w:char="0052"/>
            </w:r>
            <w:r>
              <w:rPr>
                <w:color w:val="auto"/>
                <w:szCs w:val="21"/>
              </w:rPr>
              <w:t xml:space="preserve">；不达标 </w:t>
            </w:r>
            <w:r>
              <w:rPr>
                <w:color w:val="auto"/>
                <w:szCs w:val="21"/>
              </w:rPr>
              <w:sym w:font="Wingdings 2" w:char="00A3"/>
            </w:r>
            <w:r>
              <w:rPr>
                <w:color w:val="auto"/>
                <w:szCs w:val="21"/>
              </w:rPr>
              <w:t xml:space="preserve"> </w:t>
            </w:r>
          </w:p>
          <w:p>
            <w:pPr>
              <w:adjustRightInd w:val="0"/>
              <w:snapToGrid w:val="0"/>
              <w:jc w:val="left"/>
              <w:rPr>
                <w:color w:val="auto"/>
                <w:szCs w:val="21"/>
              </w:rPr>
            </w:pPr>
            <w:r>
              <w:rPr>
                <w:color w:val="auto"/>
                <w:szCs w:val="21"/>
              </w:rPr>
              <w:t xml:space="preserve">水环境控制单元或断面水质达标状况：达标  </w:t>
            </w:r>
            <w:r>
              <w:rPr>
                <w:color w:val="auto"/>
                <w:szCs w:val="21"/>
              </w:rPr>
              <w:sym w:font="Wingdings 2" w:char="0052"/>
            </w:r>
            <w:r>
              <w:rPr>
                <w:color w:val="auto"/>
                <w:szCs w:val="21"/>
              </w:rPr>
              <w:t xml:space="preserve">；不达标 </w:t>
            </w:r>
            <w:r>
              <w:rPr>
                <w:color w:val="auto"/>
                <w:szCs w:val="21"/>
              </w:rPr>
              <w:sym w:font="Wingdings 2" w:char="00A3"/>
            </w:r>
          </w:p>
          <w:p>
            <w:pPr>
              <w:adjustRightInd w:val="0"/>
              <w:snapToGrid w:val="0"/>
              <w:jc w:val="left"/>
              <w:rPr>
                <w:color w:val="auto"/>
                <w:szCs w:val="21"/>
              </w:rPr>
            </w:pPr>
            <w:r>
              <w:rPr>
                <w:color w:val="auto"/>
                <w:szCs w:val="21"/>
              </w:rPr>
              <w:t xml:space="preserve">水环境保护目标质量状况：达标  </w:t>
            </w:r>
            <w:r>
              <w:rPr>
                <w:color w:val="auto"/>
                <w:szCs w:val="21"/>
              </w:rPr>
              <w:sym w:font="Wingdings 2" w:char="0052"/>
            </w:r>
            <w:r>
              <w:rPr>
                <w:color w:val="auto"/>
                <w:szCs w:val="21"/>
              </w:rPr>
              <w:t xml:space="preserve">；不达标 □ </w:t>
            </w:r>
          </w:p>
          <w:p>
            <w:pPr>
              <w:adjustRightInd w:val="0"/>
              <w:snapToGrid w:val="0"/>
              <w:jc w:val="left"/>
              <w:rPr>
                <w:color w:val="auto"/>
                <w:szCs w:val="21"/>
              </w:rPr>
            </w:pPr>
            <w:r>
              <w:rPr>
                <w:color w:val="auto"/>
                <w:szCs w:val="21"/>
              </w:rPr>
              <w:t>对照断面、控制断面等代表性断面的水质状况：</w:t>
            </w:r>
          </w:p>
          <w:p>
            <w:pPr>
              <w:adjustRightInd w:val="0"/>
              <w:snapToGrid w:val="0"/>
              <w:jc w:val="left"/>
              <w:rPr>
                <w:color w:val="auto"/>
                <w:szCs w:val="21"/>
              </w:rPr>
            </w:pPr>
            <w:r>
              <w:rPr>
                <w:color w:val="auto"/>
                <w:szCs w:val="21"/>
              </w:rPr>
              <w:t xml:space="preserve">达标 </w:t>
            </w:r>
            <w:r>
              <w:rPr>
                <w:color w:val="auto"/>
                <w:szCs w:val="21"/>
              </w:rPr>
              <w:sym w:font="Wingdings 2" w:char="0052"/>
            </w:r>
            <w:r>
              <w:rPr>
                <w:color w:val="auto"/>
                <w:szCs w:val="21"/>
              </w:rPr>
              <w:t xml:space="preserve">；不达标 </w:t>
            </w:r>
            <w:r>
              <w:rPr>
                <w:color w:val="auto"/>
                <w:szCs w:val="21"/>
              </w:rPr>
              <w:sym w:font="Wingdings 2" w:char="00A3"/>
            </w:r>
          </w:p>
          <w:p>
            <w:pPr>
              <w:adjustRightInd w:val="0"/>
              <w:snapToGrid w:val="0"/>
              <w:jc w:val="left"/>
              <w:rPr>
                <w:color w:val="auto"/>
                <w:szCs w:val="21"/>
              </w:rPr>
            </w:pPr>
            <w:r>
              <w:rPr>
                <w:color w:val="auto"/>
                <w:szCs w:val="21"/>
              </w:rPr>
              <w:t xml:space="preserve">底泥污染评价 □ </w:t>
            </w:r>
          </w:p>
          <w:p>
            <w:pPr>
              <w:adjustRightInd w:val="0"/>
              <w:snapToGrid w:val="0"/>
              <w:jc w:val="left"/>
              <w:rPr>
                <w:color w:val="auto"/>
                <w:szCs w:val="21"/>
              </w:rPr>
            </w:pPr>
            <w:r>
              <w:rPr>
                <w:color w:val="auto"/>
                <w:szCs w:val="21"/>
              </w:rPr>
              <w:t xml:space="preserve">水资源与开发利用程度及其水文情势评价 □ </w:t>
            </w:r>
          </w:p>
          <w:p>
            <w:pPr>
              <w:adjustRightInd w:val="0"/>
              <w:snapToGrid w:val="0"/>
              <w:jc w:val="left"/>
              <w:rPr>
                <w:color w:val="auto"/>
                <w:szCs w:val="21"/>
              </w:rPr>
            </w:pPr>
            <w:r>
              <w:rPr>
                <w:color w:val="auto"/>
                <w:szCs w:val="21"/>
              </w:rPr>
              <w:t xml:space="preserve">水环境质量回顾评价 □ </w:t>
            </w:r>
          </w:p>
          <w:p>
            <w:pPr>
              <w:adjustRightInd w:val="0"/>
              <w:snapToGrid w:val="0"/>
              <w:jc w:val="left"/>
              <w:rPr>
                <w:color w:val="auto"/>
                <w:szCs w:val="21"/>
              </w:rPr>
            </w:pPr>
            <w:r>
              <w:rPr>
                <w:color w:val="auto"/>
                <w:szCs w:val="21"/>
              </w:rPr>
              <w:t>流域（区域）水资源（包括水能资源）与开发利用总体状况、生态流量管理要求与现状满足程度、建设项目占用水域空间的水流状况与河湖演变状况 □</w:t>
            </w:r>
          </w:p>
        </w:tc>
        <w:tc>
          <w:tcPr>
            <w:tcW w:w="1467" w:type="dxa"/>
            <w:noWrap w:val="0"/>
            <w:vAlign w:val="center"/>
          </w:tcPr>
          <w:p>
            <w:pPr>
              <w:adjustRightInd w:val="0"/>
              <w:snapToGrid w:val="0"/>
              <w:jc w:val="left"/>
              <w:rPr>
                <w:color w:val="auto"/>
                <w:szCs w:val="21"/>
              </w:rPr>
            </w:pPr>
            <w:r>
              <w:rPr>
                <w:color w:val="auto"/>
                <w:szCs w:val="21"/>
              </w:rPr>
              <w:t xml:space="preserve">达标区 </w:t>
            </w:r>
            <w:r>
              <w:rPr>
                <w:color w:val="auto"/>
                <w:szCs w:val="21"/>
              </w:rPr>
              <w:sym w:font="Wingdings 2" w:char="0052"/>
            </w:r>
            <w:r>
              <w:rPr>
                <w:color w:val="auto"/>
                <w:szCs w:val="21"/>
              </w:rPr>
              <w:t xml:space="preserve"> </w:t>
            </w:r>
          </w:p>
          <w:p>
            <w:pPr>
              <w:adjustRightInd w:val="0"/>
              <w:snapToGrid w:val="0"/>
              <w:jc w:val="left"/>
              <w:rPr>
                <w:color w:val="auto"/>
                <w:szCs w:val="21"/>
              </w:rPr>
            </w:pPr>
            <w:r>
              <w:rPr>
                <w:color w:val="auto"/>
                <w:szCs w:val="21"/>
              </w:rPr>
              <w:t xml:space="preserve">不达标区 </w:t>
            </w:r>
            <w:r>
              <w:rPr>
                <w:color w:val="auto"/>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restart"/>
            <w:noWrap w:val="0"/>
            <w:vAlign w:val="center"/>
          </w:tcPr>
          <w:p>
            <w:pPr>
              <w:adjustRightInd w:val="0"/>
              <w:snapToGrid w:val="0"/>
              <w:jc w:val="center"/>
              <w:rPr>
                <w:color w:val="auto"/>
                <w:szCs w:val="21"/>
              </w:rPr>
            </w:pPr>
            <w:r>
              <w:rPr>
                <w:color w:val="auto"/>
                <w:szCs w:val="21"/>
              </w:rPr>
              <w:t>影</w:t>
            </w:r>
          </w:p>
          <w:p>
            <w:pPr>
              <w:adjustRightInd w:val="0"/>
              <w:snapToGrid w:val="0"/>
              <w:jc w:val="center"/>
              <w:rPr>
                <w:color w:val="auto"/>
                <w:szCs w:val="21"/>
              </w:rPr>
            </w:pPr>
            <w:r>
              <w:rPr>
                <w:color w:val="auto"/>
                <w:szCs w:val="21"/>
              </w:rPr>
              <w:t>响</w:t>
            </w:r>
          </w:p>
          <w:p>
            <w:pPr>
              <w:adjustRightInd w:val="0"/>
              <w:snapToGrid w:val="0"/>
              <w:jc w:val="center"/>
              <w:rPr>
                <w:color w:val="auto"/>
                <w:szCs w:val="21"/>
              </w:rPr>
            </w:pPr>
            <w:r>
              <w:rPr>
                <w:color w:val="auto"/>
                <w:szCs w:val="21"/>
              </w:rPr>
              <w:t>预</w:t>
            </w:r>
          </w:p>
          <w:p>
            <w:pPr>
              <w:adjustRightInd w:val="0"/>
              <w:snapToGrid w:val="0"/>
              <w:jc w:val="center"/>
              <w:rPr>
                <w:color w:val="auto"/>
                <w:szCs w:val="21"/>
              </w:rPr>
            </w:pPr>
            <w:r>
              <w:rPr>
                <w:color w:val="auto"/>
                <w:szCs w:val="21"/>
              </w:rPr>
              <w:t>测</w:t>
            </w:r>
          </w:p>
        </w:tc>
        <w:tc>
          <w:tcPr>
            <w:tcW w:w="1290" w:type="dxa"/>
            <w:noWrap w:val="0"/>
            <w:vAlign w:val="center"/>
          </w:tcPr>
          <w:p>
            <w:pPr>
              <w:adjustRightInd w:val="0"/>
              <w:snapToGrid w:val="0"/>
              <w:jc w:val="center"/>
              <w:rPr>
                <w:color w:val="auto"/>
                <w:szCs w:val="21"/>
              </w:rPr>
            </w:pPr>
            <w:r>
              <w:rPr>
                <w:color w:val="auto"/>
                <w:szCs w:val="21"/>
              </w:rPr>
              <w:t>预测范围</w:t>
            </w:r>
          </w:p>
        </w:tc>
        <w:tc>
          <w:tcPr>
            <w:tcW w:w="7512" w:type="dxa"/>
            <w:gridSpan w:val="10"/>
            <w:noWrap w:val="0"/>
            <w:vAlign w:val="center"/>
          </w:tcPr>
          <w:p>
            <w:pPr>
              <w:adjustRightInd w:val="0"/>
              <w:snapToGrid w:val="0"/>
              <w:jc w:val="left"/>
              <w:rPr>
                <w:color w:val="auto"/>
                <w:szCs w:val="21"/>
              </w:rPr>
            </w:pPr>
            <w:r>
              <w:rPr>
                <w:color w:val="auto"/>
                <w:szCs w:val="21"/>
              </w:rPr>
              <w:t>河流：长度（</w:t>
            </w:r>
            <w:r>
              <w:rPr>
                <w:rFonts w:hint="default"/>
                <w:color w:val="auto"/>
                <w:szCs w:val="21"/>
                <w:lang w:val="en-US" w:eastAsia="zh-CN"/>
              </w:rPr>
              <w:t xml:space="preserve"> </w:t>
            </w:r>
            <w:r>
              <w:rPr>
                <w:color w:val="auto"/>
                <w:szCs w:val="21"/>
              </w:rPr>
              <w:t>）km；湖库、河口及近岸海域：面积（</w:t>
            </w:r>
            <w:r>
              <w:rPr>
                <w:rFonts w:hint="default"/>
                <w:color w:val="auto"/>
                <w:szCs w:val="21"/>
                <w:lang w:val="en-US" w:eastAsia="zh-CN"/>
              </w:rPr>
              <w:t xml:space="preserve"> </w:t>
            </w:r>
            <w:r>
              <w:rPr>
                <w:color w:val="auto"/>
                <w:szCs w:val="21"/>
              </w:rPr>
              <w:t>）km</w:t>
            </w:r>
            <w:r>
              <w:rPr>
                <w:color w:val="auto"/>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预测因子</w:t>
            </w:r>
          </w:p>
        </w:tc>
        <w:tc>
          <w:tcPr>
            <w:tcW w:w="7512" w:type="dxa"/>
            <w:gridSpan w:val="10"/>
            <w:noWrap w:val="0"/>
            <w:vAlign w:val="center"/>
          </w:tcPr>
          <w:p>
            <w:pPr>
              <w:adjustRightInd w:val="0"/>
              <w:snapToGrid w:val="0"/>
              <w:jc w:val="left"/>
              <w:rPr>
                <w:color w:val="auto"/>
                <w:szCs w:val="21"/>
              </w:rPr>
            </w:pPr>
            <w:r>
              <w:rPr>
                <w:color w:val="auto"/>
                <w:szCs w:val="21"/>
              </w:rPr>
              <w:t>（</w:t>
            </w:r>
            <w:r>
              <w:rPr>
                <w:rFonts w:hint="default"/>
                <w:color w:val="auto"/>
                <w:szCs w:val="21"/>
                <w:lang w:val="en-US" w:eastAsia="zh-CN"/>
              </w:rPr>
              <w:t xml:space="preserve"> </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预测时期</w:t>
            </w:r>
          </w:p>
        </w:tc>
        <w:tc>
          <w:tcPr>
            <w:tcW w:w="7512" w:type="dxa"/>
            <w:gridSpan w:val="10"/>
            <w:noWrap w:val="0"/>
            <w:vAlign w:val="center"/>
          </w:tcPr>
          <w:p>
            <w:pPr>
              <w:adjustRightInd w:val="0"/>
              <w:snapToGrid w:val="0"/>
              <w:jc w:val="left"/>
              <w:rPr>
                <w:color w:val="auto"/>
                <w:szCs w:val="21"/>
              </w:rPr>
            </w:pPr>
            <w:r>
              <w:rPr>
                <w:color w:val="auto"/>
                <w:szCs w:val="21"/>
              </w:rPr>
              <w:t>丰水期 □；平水期 □；枯水期 □；冰封期 □</w:t>
            </w:r>
          </w:p>
          <w:p>
            <w:pPr>
              <w:adjustRightInd w:val="0"/>
              <w:snapToGrid w:val="0"/>
              <w:jc w:val="left"/>
              <w:rPr>
                <w:color w:val="auto"/>
                <w:szCs w:val="21"/>
              </w:rPr>
            </w:pPr>
            <w:r>
              <w:rPr>
                <w:color w:val="auto"/>
                <w:szCs w:val="21"/>
              </w:rPr>
              <w:t xml:space="preserve">春季 □；夏季 □；秋季 □；冬季 □  </w:t>
            </w:r>
          </w:p>
          <w:p>
            <w:pPr>
              <w:adjustRightInd w:val="0"/>
              <w:snapToGrid w:val="0"/>
              <w:jc w:val="left"/>
              <w:rPr>
                <w:color w:val="auto"/>
                <w:szCs w:val="21"/>
              </w:rPr>
            </w:pPr>
            <w:r>
              <w:rPr>
                <w:color w:val="auto"/>
                <w:szCs w:val="21"/>
              </w:rPr>
              <w:t>设计水文条件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预测情景</w:t>
            </w:r>
          </w:p>
        </w:tc>
        <w:tc>
          <w:tcPr>
            <w:tcW w:w="7512" w:type="dxa"/>
            <w:gridSpan w:val="10"/>
            <w:noWrap w:val="0"/>
            <w:vAlign w:val="center"/>
          </w:tcPr>
          <w:p>
            <w:pPr>
              <w:adjustRightInd w:val="0"/>
              <w:snapToGrid w:val="0"/>
              <w:jc w:val="left"/>
              <w:rPr>
                <w:color w:val="auto"/>
                <w:szCs w:val="21"/>
              </w:rPr>
            </w:pPr>
            <w:r>
              <w:rPr>
                <w:color w:val="auto"/>
                <w:szCs w:val="21"/>
              </w:rPr>
              <w:t xml:space="preserve">建设期 □；生产运行期 □；服务期满后 □ </w:t>
            </w:r>
          </w:p>
          <w:p>
            <w:pPr>
              <w:adjustRightInd w:val="0"/>
              <w:snapToGrid w:val="0"/>
              <w:jc w:val="left"/>
              <w:rPr>
                <w:color w:val="auto"/>
                <w:szCs w:val="21"/>
              </w:rPr>
            </w:pPr>
            <w:r>
              <w:rPr>
                <w:color w:val="auto"/>
                <w:szCs w:val="21"/>
              </w:rPr>
              <w:t xml:space="preserve">正常工况 □；非正常工况 □ </w:t>
            </w:r>
          </w:p>
          <w:p>
            <w:pPr>
              <w:adjustRightInd w:val="0"/>
              <w:snapToGrid w:val="0"/>
              <w:jc w:val="left"/>
              <w:rPr>
                <w:color w:val="auto"/>
                <w:szCs w:val="21"/>
              </w:rPr>
            </w:pPr>
            <w:r>
              <w:rPr>
                <w:color w:val="auto"/>
                <w:szCs w:val="21"/>
              </w:rPr>
              <w:t xml:space="preserve">污染控制和减缓措施方案 □ </w:t>
            </w:r>
          </w:p>
          <w:p>
            <w:pPr>
              <w:adjustRightInd w:val="0"/>
              <w:snapToGrid w:val="0"/>
              <w:jc w:val="left"/>
              <w:rPr>
                <w:color w:val="auto"/>
                <w:szCs w:val="21"/>
              </w:rPr>
            </w:pPr>
            <w:r>
              <w:rPr>
                <w:color w:val="auto"/>
                <w:szCs w:val="21"/>
              </w:rPr>
              <w:t>区（流）域环境质量改善目标要求情景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预测方法</w:t>
            </w:r>
          </w:p>
        </w:tc>
        <w:tc>
          <w:tcPr>
            <w:tcW w:w="7512" w:type="dxa"/>
            <w:gridSpan w:val="10"/>
            <w:noWrap w:val="0"/>
            <w:vAlign w:val="center"/>
          </w:tcPr>
          <w:p>
            <w:pPr>
              <w:adjustRightInd w:val="0"/>
              <w:snapToGrid w:val="0"/>
              <w:jc w:val="left"/>
              <w:rPr>
                <w:color w:val="auto"/>
                <w:szCs w:val="21"/>
              </w:rPr>
            </w:pPr>
            <w:r>
              <w:rPr>
                <w:color w:val="auto"/>
                <w:szCs w:val="21"/>
              </w:rPr>
              <w:t xml:space="preserve">数值解 □；解析解□；其他 □ </w:t>
            </w:r>
          </w:p>
          <w:p>
            <w:pPr>
              <w:adjustRightInd w:val="0"/>
              <w:snapToGrid w:val="0"/>
              <w:jc w:val="left"/>
              <w:rPr>
                <w:color w:val="auto"/>
                <w:szCs w:val="21"/>
              </w:rPr>
            </w:pPr>
            <w:r>
              <w:rPr>
                <w:color w:val="auto"/>
                <w:szCs w:val="21"/>
              </w:rPr>
              <w:t>导则推荐模式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restart"/>
            <w:noWrap w:val="0"/>
            <w:vAlign w:val="center"/>
          </w:tcPr>
          <w:p>
            <w:pPr>
              <w:adjustRightInd w:val="0"/>
              <w:snapToGrid w:val="0"/>
              <w:jc w:val="center"/>
              <w:rPr>
                <w:color w:val="auto"/>
                <w:szCs w:val="21"/>
              </w:rPr>
            </w:pPr>
            <w:r>
              <w:rPr>
                <w:color w:val="auto"/>
                <w:szCs w:val="21"/>
              </w:rPr>
              <w:t>影</w:t>
            </w:r>
          </w:p>
          <w:p>
            <w:pPr>
              <w:adjustRightInd w:val="0"/>
              <w:snapToGrid w:val="0"/>
              <w:jc w:val="center"/>
              <w:rPr>
                <w:color w:val="auto"/>
                <w:szCs w:val="21"/>
              </w:rPr>
            </w:pPr>
            <w:r>
              <w:rPr>
                <w:color w:val="auto"/>
                <w:szCs w:val="21"/>
              </w:rPr>
              <w:t>响</w:t>
            </w:r>
          </w:p>
          <w:p>
            <w:pPr>
              <w:adjustRightInd w:val="0"/>
              <w:snapToGrid w:val="0"/>
              <w:jc w:val="center"/>
              <w:rPr>
                <w:color w:val="auto"/>
                <w:szCs w:val="21"/>
              </w:rPr>
            </w:pPr>
            <w:r>
              <w:rPr>
                <w:color w:val="auto"/>
                <w:szCs w:val="21"/>
              </w:rPr>
              <w:t>评</w:t>
            </w:r>
          </w:p>
          <w:p>
            <w:pPr>
              <w:adjustRightInd w:val="0"/>
              <w:snapToGrid w:val="0"/>
              <w:jc w:val="center"/>
              <w:rPr>
                <w:color w:val="auto"/>
                <w:szCs w:val="21"/>
              </w:rPr>
            </w:pPr>
            <w:r>
              <w:rPr>
                <w:color w:val="auto"/>
                <w:szCs w:val="21"/>
              </w:rPr>
              <w:t>价</w:t>
            </w:r>
          </w:p>
        </w:tc>
        <w:tc>
          <w:tcPr>
            <w:tcW w:w="1290" w:type="dxa"/>
            <w:noWrap w:val="0"/>
            <w:vAlign w:val="center"/>
          </w:tcPr>
          <w:p>
            <w:pPr>
              <w:adjustRightInd w:val="0"/>
              <w:snapToGrid w:val="0"/>
              <w:jc w:val="center"/>
              <w:rPr>
                <w:color w:val="auto"/>
                <w:szCs w:val="21"/>
              </w:rPr>
            </w:pPr>
            <w:r>
              <w:rPr>
                <w:color w:val="auto"/>
                <w:szCs w:val="21"/>
              </w:rPr>
              <w:t>水污染控制和水环境影响减缓措施有效性评价</w:t>
            </w:r>
          </w:p>
        </w:tc>
        <w:tc>
          <w:tcPr>
            <w:tcW w:w="7512" w:type="dxa"/>
            <w:gridSpan w:val="10"/>
            <w:noWrap w:val="0"/>
            <w:vAlign w:val="center"/>
          </w:tcPr>
          <w:p>
            <w:pPr>
              <w:adjustRightInd w:val="0"/>
              <w:snapToGrid w:val="0"/>
              <w:jc w:val="left"/>
              <w:rPr>
                <w:color w:val="auto"/>
                <w:szCs w:val="21"/>
              </w:rPr>
            </w:pPr>
            <w:r>
              <w:rPr>
                <w:color w:val="auto"/>
                <w:szCs w:val="21"/>
              </w:rPr>
              <w:t xml:space="preserve">区（流）域水环境质量改善目标 □；替代削减源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水环境影响评价</w:t>
            </w:r>
          </w:p>
        </w:tc>
        <w:tc>
          <w:tcPr>
            <w:tcW w:w="7512" w:type="dxa"/>
            <w:gridSpan w:val="10"/>
            <w:noWrap w:val="0"/>
            <w:vAlign w:val="center"/>
          </w:tcPr>
          <w:p>
            <w:pPr>
              <w:adjustRightInd w:val="0"/>
              <w:snapToGrid w:val="0"/>
              <w:jc w:val="left"/>
              <w:rPr>
                <w:color w:val="auto"/>
                <w:szCs w:val="21"/>
              </w:rPr>
            </w:pPr>
            <w:r>
              <w:rPr>
                <w:color w:val="auto"/>
                <w:szCs w:val="21"/>
              </w:rPr>
              <w:t>排放口混合区外满足水环境管理要求 □</w:t>
            </w:r>
          </w:p>
          <w:p>
            <w:pPr>
              <w:adjustRightInd w:val="0"/>
              <w:snapToGrid w:val="0"/>
              <w:jc w:val="left"/>
              <w:rPr>
                <w:color w:val="auto"/>
                <w:szCs w:val="21"/>
              </w:rPr>
            </w:pPr>
            <w:r>
              <w:rPr>
                <w:color w:val="auto"/>
                <w:szCs w:val="21"/>
              </w:rPr>
              <w:t xml:space="preserve">水环境功能区或水功能区、近岸海域环境功能区水质达标  </w:t>
            </w:r>
            <w:r>
              <w:rPr>
                <w:color w:val="auto"/>
                <w:szCs w:val="21"/>
              </w:rPr>
              <w:sym w:font="Wingdings 2" w:char="0052"/>
            </w:r>
          </w:p>
          <w:p>
            <w:pPr>
              <w:adjustRightInd w:val="0"/>
              <w:snapToGrid w:val="0"/>
              <w:jc w:val="left"/>
              <w:rPr>
                <w:color w:val="auto"/>
                <w:szCs w:val="21"/>
              </w:rPr>
            </w:pPr>
            <w:r>
              <w:rPr>
                <w:color w:val="auto"/>
                <w:szCs w:val="21"/>
              </w:rPr>
              <w:t xml:space="preserve">满足水环境保护目标水域水环境质量要求  </w:t>
            </w:r>
            <w:r>
              <w:rPr>
                <w:color w:val="auto"/>
                <w:szCs w:val="21"/>
              </w:rPr>
              <w:sym w:font="Wingdings 2" w:char="0052"/>
            </w:r>
            <w:r>
              <w:rPr>
                <w:color w:val="auto"/>
                <w:szCs w:val="21"/>
              </w:rPr>
              <w:t xml:space="preserve"> </w:t>
            </w:r>
          </w:p>
          <w:p>
            <w:pPr>
              <w:adjustRightInd w:val="0"/>
              <w:snapToGrid w:val="0"/>
              <w:jc w:val="left"/>
              <w:rPr>
                <w:color w:val="auto"/>
                <w:szCs w:val="21"/>
              </w:rPr>
            </w:pPr>
            <w:r>
              <w:rPr>
                <w:color w:val="auto"/>
                <w:szCs w:val="21"/>
              </w:rPr>
              <w:t xml:space="preserve">水环境控制单元或断面水质达标  </w:t>
            </w:r>
            <w:r>
              <w:rPr>
                <w:color w:val="auto"/>
                <w:szCs w:val="21"/>
              </w:rPr>
              <w:sym w:font="Wingdings 2" w:char="0052"/>
            </w:r>
          </w:p>
          <w:p>
            <w:pPr>
              <w:adjustRightInd w:val="0"/>
              <w:snapToGrid w:val="0"/>
              <w:jc w:val="left"/>
              <w:rPr>
                <w:color w:val="auto"/>
                <w:szCs w:val="21"/>
              </w:rPr>
            </w:pPr>
            <w:r>
              <w:rPr>
                <w:color w:val="auto"/>
                <w:szCs w:val="21"/>
              </w:rPr>
              <w:t xml:space="preserve">满足重点水污染物排放总量控制指标要求，重点行业建设项目， 主要污染物排放满足等量或减量替代要求 □ </w:t>
            </w:r>
          </w:p>
          <w:p>
            <w:pPr>
              <w:adjustRightInd w:val="0"/>
              <w:snapToGrid w:val="0"/>
              <w:jc w:val="left"/>
              <w:rPr>
                <w:color w:val="auto"/>
                <w:szCs w:val="21"/>
              </w:rPr>
            </w:pPr>
            <w:r>
              <w:rPr>
                <w:color w:val="auto"/>
                <w:szCs w:val="21"/>
              </w:rPr>
              <w:t xml:space="preserve">满足区（流）域水环境质量改善目标要求 □ </w:t>
            </w:r>
          </w:p>
          <w:p>
            <w:pPr>
              <w:adjustRightInd w:val="0"/>
              <w:snapToGrid w:val="0"/>
              <w:jc w:val="left"/>
              <w:rPr>
                <w:color w:val="auto"/>
                <w:szCs w:val="21"/>
              </w:rPr>
            </w:pPr>
            <w:r>
              <w:rPr>
                <w:color w:val="auto"/>
                <w:szCs w:val="21"/>
              </w:rPr>
              <w:t xml:space="preserve">水文要素影响型建设项目同时应包括水文情势变化评价、主要水文特征值影响评价、生态流量符合性评价 □ </w:t>
            </w:r>
          </w:p>
          <w:p>
            <w:pPr>
              <w:adjustRightInd w:val="0"/>
              <w:snapToGrid w:val="0"/>
              <w:jc w:val="left"/>
              <w:rPr>
                <w:color w:val="auto"/>
                <w:szCs w:val="21"/>
              </w:rPr>
            </w:pPr>
            <w:r>
              <w:rPr>
                <w:color w:val="auto"/>
                <w:szCs w:val="21"/>
              </w:rPr>
              <w:t xml:space="preserve">对于新设或调整入河（湖库、近岸海域）排放口的建设项目，应包括排放口设置的环境合理性评价 □ </w:t>
            </w:r>
          </w:p>
          <w:p>
            <w:pPr>
              <w:adjustRightInd w:val="0"/>
              <w:snapToGrid w:val="0"/>
              <w:jc w:val="left"/>
              <w:rPr>
                <w:color w:val="auto"/>
                <w:szCs w:val="21"/>
              </w:rPr>
            </w:pPr>
            <w:r>
              <w:rPr>
                <w:color w:val="auto"/>
                <w:szCs w:val="21"/>
              </w:rPr>
              <w:t>满足生态保护红线、水环境质量底线、资源利用上线和环境准入清单管理要求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restart"/>
            <w:noWrap w:val="0"/>
            <w:vAlign w:val="center"/>
          </w:tcPr>
          <w:p>
            <w:pPr>
              <w:adjustRightInd w:val="0"/>
              <w:snapToGrid w:val="0"/>
              <w:jc w:val="center"/>
              <w:rPr>
                <w:color w:val="auto"/>
                <w:szCs w:val="21"/>
              </w:rPr>
            </w:pPr>
            <w:r>
              <w:rPr>
                <w:color w:val="auto"/>
                <w:szCs w:val="21"/>
              </w:rPr>
              <w:t>污染源排放量核算</w:t>
            </w:r>
          </w:p>
        </w:tc>
        <w:tc>
          <w:tcPr>
            <w:tcW w:w="2868" w:type="dxa"/>
            <w:gridSpan w:val="4"/>
            <w:noWrap w:val="0"/>
            <w:vAlign w:val="center"/>
          </w:tcPr>
          <w:p>
            <w:pPr>
              <w:adjustRightInd w:val="0"/>
              <w:snapToGrid w:val="0"/>
              <w:jc w:val="center"/>
              <w:rPr>
                <w:color w:val="auto"/>
                <w:szCs w:val="21"/>
              </w:rPr>
            </w:pPr>
            <w:r>
              <w:rPr>
                <w:color w:val="auto"/>
                <w:szCs w:val="21"/>
              </w:rPr>
              <w:t>污染物名称</w:t>
            </w:r>
          </w:p>
        </w:tc>
        <w:tc>
          <w:tcPr>
            <w:tcW w:w="2143" w:type="dxa"/>
            <w:gridSpan w:val="4"/>
            <w:noWrap w:val="0"/>
            <w:vAlign w:val="center"/>
          </w:tcPr>
          <w:p>
            <w:pPr>
              <w:adjustRightInd w:val="0"/>
              <w:snapToGrid w:val="0"/>
              <w:jc w:val="center"/>
              <w:rPr>
                <w:color w:val="auto"/>
                <w:szCs w:val="21"/>
              </w:rPr>
            </w:pPr>
            <w:r>
              <w:rPr>
                <w:color w:val="auto"/>
                <w:szCs w:val="21"/>
              </w:rPr>
              <w:t>排放量/（t/a）</w:t>
            </w:r>
          </w:p>
        </w:tc>
        <w:tc>
          <w:tcPr>
            <w:tcW w:w="2501" w:type="dxa"/>
            <w:gridSpan w:val="2"/>
            <w:noWrap w:val="0"/>
            <w:vAlign w:val="center"/>
          </w:tcPr>
          <w:p>
            <w:pPr>
              <w:adjustRightInd w:val="0"/>
              <w:snapToGrid w:val="0"/>
              <w:jc w:val="center"/>
              <w:rPr>
                <w:color w:val="auto"/>
                <w:szCs w:val="21"/>
              </w:rPr>
            </w:pPr>
            <w:r>
              <w:rPr>
                <w:color w:val="auto"/>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2868" w:type="dxa"/>
            <w:gridSpan w:val="4"/>
            <w:noWrap w:val="0"/>
            <w:vAlign w:val="center"/>
          </w:tcPr>
          <w:p>
            <w:pPr>
              <w:adjustRightInd w:val="0"/>
              <w:snapToGrid w:val="0"/>
              <w:jc w:val="center"/>
              <w:rPr>
                <w:rFonts w:hint="default" w:eastAsia="宋体"/>
                <w:color w:val="auto"/>
                <w:szCs w:val="21"/>
                <w:lang w:eastAsia="zh-CN"/>
              </w:rPr>
            </w:pPr>
            <w:r>
              <w:rPr>
                <w:rFonts w:hint="default"/>
                <w:color w:val="auto"/>
                <w:kern w:val="0"/>
                <w:szCs w:val="21"/>
                <w:lang w:eastAsia="zh-CN"/>
              </w:rPr>
              <w:t>（</w:t>
            </w:r>
            <w:r>
              <w:rPr>
                <w:rFonts w:hint="default"/>
                <w:color w:val="auto"/>
                <w:kern w:val="0"/>
                <w:szCs w:val="21"/>
                <w:lang w:val="en-US" w:eastAsia="zh-CN"/>
              </w:rPr>
              <w:t xml:space="preserve"> </w:t>
            </w:r>
            <w:r>
              <w:rPr>
                <w:rFonts w:hint="default"/>
                <w:color w:val="auto"/>
                <w:kern w:val="0"/>
                <w:szCs w:val="21"/>
                <w:lang w:eastAsia="zh-CN"/>
              </w:rPr>
              <w:t>）</w:t>
            </w:r>
          </w:p>
        </w:tc>
        <w:tc>
          <w:tcPr>
            <w:tcW w:w="2143" w:type="dxa"/>
            <w:gridSpan w:val="4"/>
            <w:noWrap w:val="0"/>
            <w:vAlign w:val="center"/>
          </w:tcPr>
          <w:p>
            <w:pPr>
              <w:spacing w:line="240" w:lineRule="auto"/>
              <w:jc w:val="center"/>
              <w:rPr>
                <w:rFonts w:hint="default"/>
                <w:color w:val="auto"/>
                <w:szCs w:val="21"/>
              </w:rPr>
            </w:pPr>
            <w:r>
              <w:rPr>
                <w:rFonts w:hint="default"/>
                <w:color w:val="auto"/>
                <w:kern w:val="0"/>
                <w:szCs w:val="21"/>
                <w:lang w:eastAsia="zh-CN"/>
              </w:rPr>
              <w:t>（</w:t>
            </w:r>
            <w:r>
              <w:rPr>
                <w:rFonts w:hint="default"/>
                <w:color w:val="auto"/>
                <w:kern w:val="0"/>
                <w:szCs w:val="21"/>
                <w:lang w:val="en-US" w:eastAsia="zh-CN"/>
              </w:rPr>
              <w:t xml:space="preserve"> </w:t>
            </w:r>
            <w:r>
              <w:rPr>
                <w:rFonts w:hint="default"/>
                <w:color w:val="auto"/>
                <w:kern w:val="0"/>
                <w:szCs w:val="21"/>
                <w:lang w:eastAsia="zh-CN"/>
              </w:rPr>
              <w:t>）</w:t>
            </w:r>
          </w:p>
        </w:tc>
        <w:tc>
          <w:tcPr>
            <w:tcW w:w="2501" w:type="dxa"/>
            <w:gridSpan w:val="2"/>
            <w:noWrap w:val="0"/>
            <w:vAlign w:val="center"/>
          </w:tcPr>
          <w:p>
            <w:pPr>
              <w:adjustRightInd w:val="0"/>
              <w:snapToGrid w:val="0"/>
              <w:jc w:val="center"/>
              <w:rPr>
                <w:rFonts w:hint="default" w:eastAsia="宋体"/>
                <w:color w:val="auto"/>
                <w:szCs w:val="21"/>
                <w:lang w:val="en-US" w:eastAsia="zh-CN"/>
              </w:rPr>
            </w:pPr>
            <w:r>
              <w:rPr>
                <w:rFonts w:hint="default"/>
                <w:color w:val="auto"/>
                <w:kern w:val="0"/>
                <w:szCs w:val="21"/>
                <w:lang w:eastAsia="zh-CN"/>
              </w:rPr>
              <w:t>（</w:t>
            </w:r>
            <w:r>
              <w:rPr>
                <w:rFonts w:hint="default"/>
                <w:color w:val="auto"/>
                <w:kern w:val="0"/>
                <w:szCs w:val="21"/>
                <w:lang w:val="en-US" w:eastAsia="zh-CN"/>
              </w:rPr>
              <w:t xml:space="preserve"> </w:t>
            </w:r>
            <w:r>
              <w:rPr>
                <w:rFonts w:hint="default"/>
                <w:color w:val="auto"/>
                <w:kern w:val="0"/>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restart"/>
            <w:noWrap w:val="0"/>
            <w:vAlign w:val="center"/>
          </w:tcPr>
          <w:p>
            <w:pPr>
              <w:adjustRightInd w:val="0"/>
              <w:snapToGrid w:val="0"/>
              <w:jc w:val="center"/>
              <w:rPr>
                <w:color w:val="auto"/>
                <w:szCs w:val="21"/>
              </w:rPr>
            </w:pPr>
            <w:r>
              <w:rPr>
                <w:color w:val="auto"/>
                <w:szCs w:val="21"/>
              </w:rPr>
              <w:t>替代源排放情况</w:t>
            </w:r>
          </w:p>
        </w:tc>
        <w:tc>
          <w:tcPr>
            <w:tcW w:w="1965" w:type="dxa"/>
            <w:noWrap w:val="0"/>
            <w:vAlign w:val="center"/>
          </w:tcPr>
          <w:p>
            <w:pPr>
              <w:adjustRightInd w:val="0"/>
              <w:snapToGrid w:val="0"/>
              <w:jc w:val="center"/>
              <w:rPr>
                <w:color w:val="auto"/>
                <w:szCs w:val="21"/>
              </w:rPr>
            </w:pPr>
            <w:r>
              <w:rPr>
                <w:color w:val="auto"/>
                <w:szCs w:val="21"/>
              </w:rPr>
              <w:t>污染源名称</w:t>
            </w:r>
          </w:p>
        </w:tc>
        <w:tc>
          <w:tcPr>
            <w:tcW w:w="1355" w:type="dxa"/>
            <w:gridSpan w:val="4"/>
            <w:noWrap w:val="0"/>
            <w:vAlign w:val="center"/>
          </w:tcPr>
          <w:p>
            <w:pPr>
              <w:adjustRightInd w:val="0"/>
              <w:snapToGrid w:val="0"/>
              <w:jc w:val="center"/>
              <w:rPr>
                <w:color w:val="auto"/>
                <w:spacing w:val="-10"/>
                <w:szCs w:val="21"/>
              </w:rPr>
            </w:pPr>
            <w:r>
              <w:rPr>
                <w:color w:val="auto"/>
                <w:spacing w:val="-10"/>
                <w:szCs w:val="21"/>
              </w:rPr>
              <w:t>排污许可证编号</w:t>
            </w:r>
          </w:p>
        </w:tc>
        <w:tc>
          <w:tcPr>
            <w:tcW w:w="1355" w:type="dxa"/>
            <w:gridSpan w:val="2"/>
            <w:noWrap w:val="0"/>
            <w:vAlign w:val="center"/>
          </w:tcPr>
          <w:p>
            <w:pPr>
              <w:adjustRightInd w:val="0"/>
              <w:snapToGrid w:val="0"/>
              <w:jc w:val="center"/>
              <w:rPr>
                <w:color w:val="auto"/>
                <w:szCs w:val="21"/>
              </w:rPr>
            </w:pPr>
            <w:r>
              <w:rPr>
                <w:color w:val="auto"/>
                <w:szCs w:val="21"/>
              </w:rPr>
              <w:t>污染物名称</w:t>
            </w:r>
          </w:p>
        </w:tc>
        <w:tc>
          <w:tcPr>
            <w:tcW w:w="1370" w:type="dxa"/>
            <w:gridSpan w:val="2"/>
            <w:noWrap w:val="0"/>
            <w:vAlign w:val="center"/>
          </w:tcPr>
          <w:p>
            <w:pPr>
              <w:adjustRightInd w:val="0"/>
              <w:snapToGrid w:val="0"/>
              <w:jc w:val="center"/>
              <w:rPr>
                <w:color w:val="auto"/>
                <w:szCs w:val="21"/>
              </w:rPr>
            </w:pPr>
            <w:r>
              <w:rPr>
                <w:color w:val="auto"/>
                <w:szCs w:val="21"/>
              </w:rPr>
              <w:t>排放量/（t/a）</w:t>
            </w:r>
          </w:p>
        </w:tc>
        <w:tc>
          <w:tcPr>
            <w:tcW w:w="1467" w:type="dxa"/>
            <w:noWrap w:val="0"/>
            <w:vAlign w:val="center"/>
          </w:tcPr>
          <w:p>
            <w:pPr>
              <w:adjustRightInd w:val="0"/>
              <w:snapToGrid w:val="0"/>
              <w:jc w:val="center"/>
              <w:rPr>
                <w:color w:val="auto"/>
                <w:szCs w:val="21"/>
              </w:rPr>
            </w:pPr>
            <w:r>
              <w:rPr>
                <w:color w:val="auto"/>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1965" w:type="dxa"/>
            <w:noWrap w:val="0"/>
            <w:vAlign w:val="center"/>
          </w:tcPr>
          <w:p>
            <w:pPr>
              <w:adjustRightInd w:val="0"/>
              <w:snapToGrid w:val="0"/>
              <w:jc w:val="center"/>
              <w:rPr>
                <w:color w:val="auto"/>
                <w:szCs w:val="21"/>
              </w:rPr>
            </w:pPr>
            <w:r>
              <w:rPr>
                <w:color w:val="auto"/>
                <w:szCs w:val="21"/>
              </w:rPr>
              <w:t>（</w:t>
            </w:r>
            <w:r>
              <w:rPr>
                <w:rFonts w:hint="default"/>
                <w:color w:val="auto"/>
                <w:szCs w:val="21"/>
                <w:lang w:val="en-US" w:eastAsia="zh-CN"/>
              </w:rPr>
              <w:t xml:space="preserve"> </w:t>
            </w:r>
            <w:r>
              <w:rPr>
                <w:color w:val="auto"/>
                <w:szCs w:val="21"/>
              </w:rPr>
              <w:t>）</w:t>
            </w:r>
          </w:p>
        </w:tc>
        <w:tc>
          <w:tcPr>
            <w:tcW w:w="1355" w:type="dxa"/>
            <w:gridSpan w:val="4"/>
            <w:noWrap w:val="0"/>
            <w:vAlign w:val="center"/>
          </w:tcPr>
          <w:p>
            <w:pPr>
              <w:adjustRightInd w:val="0"/>
              <w:snapToGrid w:val="0"/>
              <w:jc w:val="center"/>
              <w:rPr>
                <w:color w:val="auto"/>
                <w:szCs w:val="21"/>
              </w:rPr>
            </w:pPr>
            <w:r>
              <w:rPr>
                <w:color w:val="auto"/>
                <w:szCs w:val="21"/>
              </w:rPr>
              <w:t>（</w:t>
            </w:r>
            <w:r>
              <w:rPr>
                <w:rFonts w:hint="default"/>
                <w:color w:val="auto"/>
                <w:szCs w:val="21"/>
                <w:lang w:val="en-US" w:eastAsia="zh-CN"/>
              </w:rPr>
              <w:t xml:space="preserve"> </w:t>
            </w:r>
            <w:r>
              <w:rPr>
                <w:color w:val="auto"/>
                <w:szCs w:val="21"/>
              </w:rPr>
              <w:t>）</w:t>
            </w:r>
          </w:p>
        </w:tc>
        <w:tc>
          <w:tcPr>
            <w:tcW w:w="1355" w:type="dxa"/>
            <w:gridSpan w:val="2"/>
            <w:noWrap w:val="0"/>
            <w:vAlign w:val="center"/>
          </w:tcPr>
          <w:p>
            <w:pPr>
              <w:adjustRightInd w:val="0"/>
              <w:snapToGrid w:val="0"/>
              <w:jc w:val="center"/>
              <w:rPr>
                <w:color w:val="auto"/>
                <w:szCs w:val="21"/>
              </w:rPr>
            </w:pPr>
            <w:r>
              <w:rPr>
                <w:color w:val="auto"/>
                <w:szCs w:val="21"/>
              </w:rPr>
              <w:t>（</w:t>
            </w:r>
            <w:r>
              <w:rPr>
                <w:rFonts w:hint="default"/>
                <w:color w:val="auto"/>
                <w:szCs w:val="21"/>
                <w:lang w:val="en-US" w:eastAsia="zh-CN"/>
              </w:rPr>
              <w:t xml:space="preserve"> </w:t>
            </w:r>
            <w:r>
              <w:rPr>
                <w:color w:val="auto"/>
                <w:szCs w:val="21"/>
              </w:rPr>
              <w:t>）</w:t>
            </w:r>
          </w:p>
        </w:tc>
        <w:tc>
          <w:tcPr>
            <w:tcW w:w="1370" w:type="dxa"/>
            <w:gridSpan w:val="2"/>
            <w:noWrap w:val="0"/>
            <w:vAlign w:val="center"/>
          </w:tcPr>
          <w:p>
            <w:pPr>
              <w:adjustRightInd w:val="0"/>
              <w:snapToGrid w:val="0"/>
              <w:jc w:val="center"/>
              <w:rPr>
                <w:color w:val="auto"/>
                <w:szCs w:val="21"/>
              </w:rPr>
            </w:pPr>
            <w:r>
              <w:rPr>
                <w:color w:val="auto"/>
                <w:szCs w:val="21"/>
              </w:rPr>
              <w:t>（</w:t>
            </w:r>
            <w:r>
              <w:rPr>
                <w:rFonts w:hint="default"/>
                <w:color w:val="auto"/>
                <w:szCs w:val="21"/>
                <w:lang w:val="en-US" w:eastAsia="zh-CN"/>
              </w:rPr>
              <w:t xml:space="preserve"> </w:t>
            </w:r>
            <w:r>
              <w:rPr>
                <w:color w:val="auto"/>
                <w:szCs w:val="21"/>
              </w:rPr>
              <w:t>）</w:t>
            </w:r>
          </w:p>
        </w:tc>
        <w:tc>
          <w:tcPr>
            <w:tcW w:w="1467" w:type="dxa"/>
            <w:noWrap w:val="0"/>
            <w:vAlign w:val="center"/>
          </w:tcPr>
          <w:p>
            <w:pPr>
              <w:adjustRightInd w:val="0"/>
              <w:snapToGrid w:val="0"/>
              <w:jc w:val="center"/>
              <w:rPr>
                <w:color w:val="auto"/>
                <w:szCs w:val="21"/>
              </w:rPr>
            </w:pPr>
            <w:r>
              <w:rPr>
                <w:color w:val="auto"/>
                <w:szCs w:val="21"/>
              </w:rPr>
              <w:t>（</w:t>
            </w:r>
            <w:r>
              <w:rPr>
                <w:rFonts w:hint="default"/>
                <w:color w:val="auto"/>
                <w:szCs w:val="21"/>
                <w:lang w:val="en-US" w:eastAsia="zh-CN"/>
              </w:rPr>
              <w:t xml:space="preserve"> </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生态流量</w:t>
            </w:r>
          </w:p>
          <w:p>
            <w:pPr>
              <w:adjustRightInd w:val="0"/>
              <w:snapToGrid w:val="0"/>
              <w:jc w:val="center"/>
              <w:rPr>
                <w:color w:val="auto"/>
                <w:szCs w:val="21"/>
              </w:rPr>
            </w:pPr>
            <w:r>
              <w:rPr>
                <w:color w:val="auto"/>
                <w:szCs w:val="21"/>
              </w:rPr>
              <w:t>确定</w:t>
            </w:r>
          </w:p>
        </w:tc>
        <w:tc>
          <w:tcPr>
            <w:tcW w:w="7512" w:type="dxa"/>
            <w:gridSpan w:val="10"/>
            <w:noWrap w:val="0"/>
            <w:vAlign w:val="center"/>
          </w:tcPr>
          <w:p>
            <w:pPr>
              <w:adjustRightInd w:val="0"/>
              <w:snapToGrid w:val="0"/>
              <w:jc w:val="left"/>
              <w:rPr>
                <w:color w:val="auto"/>
                <w:szCs w:val="21"/>
              </w:rPr>
            </w:pPr>
            <w:r>
              <w:rPr>
                <w:color w:val="auto"/>
                <w:szCs w:val="21"/>
              </w:rPr>
              <w:t>生态流量：一般水期（</w:t>
            </w:r>
            <w:r>
              <w:rPr>
                <w:rFonts w:hint="default"/>
                <w:color w:val="auto"/>
                <w:szCs w:val="21"/>
                <w:lang w:val="en-US" w:eastAsia="zh-CN"/>
              </w:rPr>
              <w:t xml:space="preserve"> </w:t>
            </w:r>
            <w:r>
              <w:rPr>
                <w:color w:val="auto"/>
                <w:szCs w:val="21"/>
              </w:rPr>
              <w:t xml:space="preserve"> ）m</w:t>
            </w:r>
            <w:r>
              <w:rPr>
                <w:color w:val="auto"/>
                <w:szCs w:val="21"/>
                <w:vertAlign w:val="superscript"/>
              </w:rPr>
              <w:t>3</w:t>
            </w:r>
            <w:r>
              <w:rPr>
                <w:color w:val="auto"/>
                <w:szCs w:val="21"/>
              </w:rPr>
              <w:t xml:space="preserve">/s；鱼类繁殖期（ </w:t>
            </w:r>
            <w:r>
              <w:rPr>
                <w:rFonts w:hint="default"/>
                <w:color w:val="auto"/>
                <w:szCs w:val="21"/>
                <w:lang w:val="en-US" w:eastAsia="zh-CN"/>
              </w:rPr>
              <w:t xml:space="preserve"> </w:t>
            </w:r>
            <w:r>
              <w:rPr>
                <w:color w:val="auto"/>
                <w:szCs w:val="21"/>
              </w:rPr>
              <w:t>）m</w:t>
            </w:r>
            <w:r>
              <w:rPr>
                <w:color w:val="auto"/>
                <w:szCs w:val="21"/>
                <w:vertAlign w:val="superscript"/>
              </w:rPr>
              <w:t>3</w:t>
            </w:r>
            <w:r>
              <w:rPr>
                <w:color w:val="auto"/>
                <w:szCs w:val="21"/>
              </w:rPr>
              <w:t xml:space="preserve">/s；其他（ </w:t>
            </w:r>
            <w:r>
              <w:rPr>
                <w:rFonts w:hint="default"/>
                <w:color w:val="auto"/>
                <w:szCs w:val="21"/>
                <w:lang w:val="en-US" w:eastAsia="zh-CN"/>
              </w:rPr>
              <w:t xml:space="preserve"> </w:t>
            </w:r>
            <w:r>
              <w:rPr>
                <w:color w:val="auto"/>
                <w:szCs w:val="21"/>
              </w:rPr>
              <w:t>）m</w:t>
            </w:r>
            <w:r>
              <w:rPr>
                <w:color w:val="auto"/>
                <w:szCs w:val="21"/>
                <w:vertAlign w:val="superscript"/>
              </w:rPr>
              <w:t>3</w:t>
            </w:r>
            <w:r>
              <w:rPr>
                <w:color w:val="auto"/>
                <w:szCs w:val="21"/>
              </w:rPr>
              <w:t xml:space="preserve">/s </w:t>
            </w:r>
          </w:p>
          <w:p>
            <w:pPr>
              <w:adjustRightInd w:val="0"/>
              <w:snapToGrid w:val="0"/>
              <w:jc w:val="left"/>
              <w:rPr>
                <w:color w:val="auto"/>
                <w:szCs w:val="21"/>
              </w:rPr>
            </w:pPr>
            <w:r>
              <w:rPr>
                <w:color w:val="auto"/>
                <w:szCs w:val="21"/>
              </w:rPr>
              <w:t>生态水位：一般水期（</w:t>
            </w:r>
            <w:r>
              <w:rPr>
                <w:rFonts w:hint="default"/>
                <w:color w:val="auto"/>
                <w:szCs w:val="21"/>
                <w:lang w:val="en-US" w:eastAsia="zh-CN"/>
              </w:rPr>
              <w:t xml:space="preserve"> </w:t>
            </w:r>
            <w:r>
              <w:rPr>
                <w:color w:val="auto"/>
                <w:szCs w:val="21"/>
              </w:rPr>
              <w:t xml:space="preserve"> ）m；鱼类繁殖期（</w:t>
            </w:r>
            <w:r>
              <w:rPr>
                <w:rFonts w:hint="default"/>
                <w:color w:val="auto"/>
                <w:szCs w:val="21"/>
                <w:lang w:val="en-US" w:eastAsia="zh-CN"/>
              </w:rPr>
              <w:t xml:space="preserve"> </w:t>
            </w:r>
            <w:r>
              <w:rPr>
                <w:color w:val="auto"/>
                <w:szCs w:val="21"/>
              </w:rPr>
              <w:t xml:space="preserve"> ）m；其他（</w:t>
            </w:r>
            <w:r>
              <w:rPr>
                <w:rFonts w:hint="default"/>
                <w:color w:val="auto"/>
                <w:szCs w:val="21"/>
                <w:lang w:val="en-US" w:eastAsia="zh-CN"/>
              </w:rPr>
              <w:t xml:space="preserve"> </w:t>
            </w:r>
            <w:r>
              <w:rPr>
                <w:color w:val="auto"/>
                <w:szCs w:val="21"/>
              </w:rPr>
              <w:t xml:space="preserve">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restart"/>
            <w:noWrap w:val="0"/>
            <w:vAlign w:val="center"/>
          </w:tcPr>
          <w:p>
            <w:pPr>
              <w:adjustRightInd w:val="0"/>
              <w:snapToGrid w:val="0"/>
              <w:jc w:val="center"/>
              <w:rPr>
                <w:color w:val="auto"/>
                <w:szCs w:val="21"/>
              </w:rPr>
            </w:pPr>
            <w:r>
              <w:rPr>
                <w:color w:val="auto"/>
                <w:szCs w:val="21"/>
              </w:rPr>
              <w:t>防</w:t>
            </w:r>
          </w:p>
          <w:p>
            <w:pPr>
              <w:adjustRightInd w:val="0"/>
              <w:snapToGrid w:val="0"/>
              <w:jc w:val="center"/>
              <w:rPr>
                <w:color w:val="auto"/>
                <w:szCs w:val="21"/>
              </w:rPr>
            </w:pPr>
            <w:r>
              <w:rPr>
                <w:color w:val="auto"/>
                <w:szCs w:val="21"/>
              </w:rPr>
              <w:t>治</w:t>
            </w:r>
          </w:p>
          <w:p>
            <w:pPr>
              <w:adjustRightInd w:val="0"/>
              <w:snapToGrid w:val="0"/>
              <w:jc w:val="center"/>
              <w:rPr>
                <w:color w:val="auto"/>
                <w:szCs w:val="21"/>
              </w:rPr>
            </w:pPr>
            <w:r>
              <w:rPr>
                <w:color w:val="auto"/>
                <w:szCs w:val="21"/>
              </w:rPr>
              <w:t>措</w:t>
            </w:r>
          </w:p>
          <w:p>
            <w:pPr>
              <w:adjustRightInd w:val="0"/>
              <w:snapToGrid w:val="0"/>
              <w:jc w:val="center"/>
              <w:rPr>
                <w:color w:val="auto"/>
                <w:szCs w:val="21"/>
              </w:rPr>
            </w:pPr>
            <w:r>
              <w:rPr>
                <w:color w:val="auto"/>
                <w:szCs w:val="21"/>
              </w:rPr>
              <w:t>施</w:t>
            </w:r>
          </w:p>
        </w:tc>
        <w:tc>
          <w:tcPr>
            <w:tcW w:w="1290" w:type="dxa"/>
            <w:noWrap w:val="0"/>
            <w:vAlign w:val="center"/>
          </w:tcPr>
          <w:p>
            <w:pPr>
              <w:adjustRightInd w:val="0"/>
              <w:snapToGrid w:val="0"/>
              <w:jc w:val="center"/>
              <w:rPr>
                <w:color w:val="auto"/>
                <w:szCs w:val="21"/>
              </w:rPr>
            </w:pPr>
            <w:r>
              <w:rPr>
                <w:color w:val="auto"/>
                <w:szCs w:val="21"/>
              </w:rPr>
              <w:t>环保措施</w:t>
            </w:r>
          </w:p>
        </w:tc>
        <w:tc>
          <w:tcPr>
            <w:tcW w:w="7512" w:type="dxa"/>
            <w:gridSpan w:val="10"/>
            <w:noWrap w:val="0"/>
            <w:vAlign w:val="center"/>
          </w:tcPr>
          <w:p>
            <w:pPr>
              <w:adjustRightInd w:val="0"/>
              <w:snapToGrid w:val="0"/>
              <w:jc w:val="left"/>
              <w:rPr>
                <w:color w:val="auto"/>
                <w:szCs w:val="21"/>
              </w:rPr>
            </w:pPr>
            <w:r>
              <w:rPr>
                <w:color w:val="auto"/>
                <w:szCs w:val="21"/>
              </w:rPr>
              <w:t xml:space="preserve">污水处理设施 </w:t>
            </w:r>
            <w:r>
              <w:rPr>
                <w:color w:val="auto"/>
                <w:szCs w:val="21"/>
              </w:rPr>
              <w:sym w:font="Wingdings 2" w:char="0052"/>
            </w:r>
            <w:r>
              <w:rPr>
                <w:color w:val="auto"/>
                <w:szCs w:val="21"/>
              </w:rPr>
              <w:t>；水文减缓设施 □；生态流量保障设施 □；区域削减 □；</w:t>
            </w:r>
          </w:p>
          <w:p>
            <w:pPr>
              <w:adjustRightInd w:val="0"/>
              <w:snapToGrid w:val="0"/>
              <w:jc w:val="left"/>
              <w:rPr>
                <w:color w:val="auto"/>
                <w:szCs w:val="21"/>
              </w:rPr>
            </w:pPr>
            <w:r>
              <w:rPr>
                <w:color w:val="auto"/>
                <w:szCs w:val="21"/>
              </w:rPr>
              <w:t xml:space="preserve">依托其他工程措施 □；其他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restart"/>
            <w:noWrap w:val="0"/>
            <w:vAlign w:val="center"/>
          </w:tcPr>
          <w:p>
            <w:pPr>
              <w:adjustRightInd w:val="0"/>
              <w:snapToGrid w:val="0"/>
              <w:jc w:val="center"/>
              <w:rPr>
                <w:color w:val="auto"/>
                <w:szCs w:val="21"/>
              </w:rPr>
            </w:pPr>
            <w:r>
              <w:rPr>
                <w:color w:val="auto"/>
                <w:szCs w:val="21"/>
              </w:rPr>
              <w:t>监测计划</w:t>
            </w:r>
          </w:p>
        </w:tc>
        <w:tc>
          <w:tcPr>
            <w:tcW w:w="2360" w:type="dxa"/>
            <w:gridSpan w:val="2"/>
            <w:noWrap w:val="0"/>
            <w:vAlign w:val="center"/>
          </w:tcPr>
          <w:p>
            <w:pPr>
              <w:adjustRightInd w:val="0"/>
              <w:snapToGrid w:val="0"/>
              <w:jc w:val="center"/>
              <w:rPr>
                <w:color w:val="auto"/>
                <w:szCs w:val="21"/>
              </w:rPr>
            </w:pPr>
          </w:p>
        </w:tc>
        <w:tc>
          <w:tcPr>
            <w:tcW w:w="2651" w:type="dxa"/>
            <w:gridSpan w:val="6"/>
            <w:noWrap w:val="0"/>
            <w:vAlign w:val="center"/>
          </w:tcPr>
          <w:p>
            <w:pPr>
              <w:adjustRightInd w:val="0"/>
              <w:snapToGrid w:val="0"/>
              <w:jc w:val="center"/>
              <w:rPr>
                <w:color w:val="auto"/>
                <w:szCs w:val="21"/>
              </w:rPr>
            </w:pPr>
            <w:r>
              <w:rPr>
                <w:color w:val="auto"/>
                <w:szCs w:val="21"/>
              </w:rPr>
              <w:t>环境质量</w:t>
            </w:r>
          </w:p>
        </w:tc>
        <w:tc>
          <w:tcPr>
            <w:tcW w:w="2501" w:type="dxa"/>
            <w:gridSpan w:val="2"/>
            <w:noWrap w:val="0"/>
            <w:vAlign w:val="center"/>
          </w:tcPr>
          <w:p>
            <w:pPr>
              <w:adjustRightInd w:val="0"/>
              <w:snapToGrid w:val="0"/>
              <w:jc w:val="center"/>
              <w:rPr>
                <w:color w:val="auto"/>
                <w:szCs w:val="21"/>
              </w:rPr>
            </w:pPr>
            <w:r>
              <w:rPr>
                <w:color w:val="auto"/>
                <w:szCs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2360" w:type="dxa"/>
            <w:gridSpan w:val="2"/>
            <w:noWrap w:val="0"/>
            <w:vAlign w:val="center"/>
          </w:tcPr>
          <w:p>
            <w:pPr>
              <w:adjustRightInd w:val="0"/>
              <w:snapToGrid w:val="0"/>
              <w:jc w:val="center"/>
              <w:rPr>
                <w:color w:val="auto"/>
                <w:szCs w:val="21"/>
              </w:rPr>
            </w:pPr>
            <w:r>
              <w:rPr>
                <w:color w:val="auto"/>
                <w:szCs w:val="21"/>
              </w:rPr>
              <w:t>监测方式</w:t>
            </w:r>
          </w:p>
        </w:tc>
        <w:tc>
          <w:tcPr>
            <w:tcW w:w="2651" w:type="dxa"/>
            <w:gridSpan w:val="6"/>
            <w:noWrap w:val="0"/>
            <w:vAlign w:val="center"/>
          </w:tcPr>
          <w:p>
            <w:pPr>
              <w:adjustRightInd w:val="0"/>
              <w:snapToGrid w:val="0"/>
              <w:jc w:val="left"/>
              <w:rPr>
                <w:color w:val="auto"/>
                <w:szCs w:val="21"/>
              </w:rPr>
            </w:pPr>
            <w:r>
              <w:rPr>
                <w:color w:val="auto"/>
                <w:szCs w:val="21"/>
              </w:rPr>
              <w:t>手动 □；自动 □；</w:t>
            </w:r>
          </w:p>
          <w:p>
            <w:pPr>
              <w:adjustRightInd w:val="0"/>
              <w:snapToGrid w:val="0"/>
              <w:jc w:val="left"/>
              <w:rPr>
                <w:color w:val="auto"/>
                <w:szCs w:val="21"/>
              </w:rPr>
            </w:pPr>
            <w:r>
              <w:rPr>
                <w:color w:val="auto"/>
                <w:szCs w:val="21"/>
              </w:rPr>
              <w:t xml:space="preserve">无监测 </w:t>
            </w:r>
            <w:r>
              <w:rPr>
                <w:color w:val="auto"/>
                <w:szCs w:val="21"/>
              </w:rPr>
              <w:sym w:font="Wingdings 2" w:char="00A3"/>
            </w:r>
          </w:p>
        </w:tc>
        <w:tc>
          <w:tcPr>
            <w:tcW w:w="2501" w:type="dxa"/>
            <w:gridSpan w:val="2"/>
            <w:noWrap w:val="0"/>
            <w:vAlign w:val="center"/>
          </w:tcPr>
          <w:p>
            <w:pPr>
              <w:adjustRightInd w:val="0"/>
              <w:snapToGrid w:val="0"/>
              <w:jc w:val="left"/>
              <w:rPr>
                <w:color w:val="auto"/>
                <w:szCs w:val="21"/>
              </w:rPr>
            </w:pPr>
            <w:r>
              <w:rPr>
                <w:color w:val="auto"/>
                <w:szCs w:val="21"/>
              </w:rPr>
              <w:t xml:space="preserve">手动 </w:t>
            </w:r>
            <w:r>
              <w:rPr>
                <w:color w:val="auto"/>
                <w:szCs w:val="21"/>
              </w:rPr>
              <w:sym w:font="Wingdings 2" w:char="00A3"/>
            </w:r>
            <w:r>
              <w:rPr>
                <w:color w:val="auto"/>
                <w:szCs w:val="21"/>
              </w:rPr>
              <w:t>；自动 □；</w:t>
            </w:r>
          </w:p>
          <w:p>
            <w:pPr>
              <w:adjustRightInd w:val="0"/>
              <w:snapToGrid w:val="0"/>
              <w:jc w:val="left"/>
              <w:rPr>
                <w:color w:val="auto"/>
                <w:szCs w:val="21"/>
              </w:rPr>
            </w:pPr>
            <w:r>
              <w:rPr>
                <w:color w:val="auto"/>
                <w:szCs w:val="21"/>
              </w:rPr>
              <w:t>无监测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2360" w:type="dxa"/>
            <w:gridSpan w:val="2"/>
            <w:noWrap w:val="0"/>
            <w:vAlign w:val="center"/>
          </w:tcPr>
          <w:p>
            <w:pPr>
              <w:adjustRightInd w:val="0"/>
              <w:snapToGrid w:val="0"/>
              <w:jc w:val="center"/>
              <w:rPr>
                <w:color w:val="auto"/>
                <w:szCs w:val="21"/>
              </w:rPr>
            </w:pPr>
            <w:r>
              <w:rPr>
                <w:color w:val="auto"/>
                <w:szCs w:val="21"/>
              </w:rPr>
              <w:t>监测点位</w:t>
            </w:r>
          </w:p>
        </w:tc>
        <w:tc>
          <w:tcPr>
            <w:tcW w:w="2651" w:type="dxa"/>
            <w:gridSpan w:val="6"/>
            <w:noWrap w:val="0"/>
            <w:vAlign w:val="center"/>
          </w:tcPr>
          <w:p>
            <w:pPr>
              <w:adjustRightInd w:val="0"/>
              <w:snapToGrid w:val="0"/>
              <w:jc w:val="center"/>
              <w:rPr>
                <w:rFonts w:hint="default" w:eastAsia="宋体"/>
                <w:color w:val="auto"/>
                <w:szCs w:val="21"/>
                <w:lang w:eastAsia="zh-CN"/>
              </w:rPr>
            </w:pPr>
            <w:r>
              <w:rPr>
                <w:rFonts w:hint="default"/>
                <w:color w:val="auto"/>
                <w:szCs w:val="21"/>
                <w:lang w:eastAsia="zh-CN"/>
              </w:rPr>
              <w:t>（</w:t>
            </w:r>
            <w:r>
              <w:rPr>
                <w:rFonts w:hint="default"/>
                <w:color w:val="auto"/>
                <w:szCs w:val="21"/>
                <w:lang w:val="en-US" w:eastAsia="zh-CN"/>
              </w:rPr>
              <w:t xml:space="preserve"> </w:t>
            </w:r>
            <w:r>
              <w:rPr>
                <w:rFonts w:hint="default"/>
                <w:color w:val="auto"/>
                <w:szCs w:val="21"/>
                <w:lang w:eastAsia="zh-CN"/>
              </w:rPr>
              <w:t>）</w:t>
            </w:r>
          </w:p>
        </w:tc>
        <w:tc>
          <w:tcPr>
            <w:tcW w:w="2501" w:type="dxa"/>
            <w:gridSpan w:val="2"/>
            <w:noWrap w:val="0"/>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vMerge w:val="continue"/>
            <w:noWrap w:val="0"/>
            <w:vAlign w:val="center"/>
          </w:tcPr>
          <w:p>
            <w:pPr>
              <w:adjustRightInd w:val="0"/>
              <w:snapToGrid w:val="0"/>
              <w:jc w:val="center"/>
              <w:rPr>
                <w:color w:val="auto"/>
                <w:szCs w:val="21"/>
              </w:rPr>
            </w:pPr>
          </w:p>
        </w:tc>
        <w:tc>
          <w:tcPr>
            <w:tcW w:w="2360" w:type="dxa"/>
            <w:gridSpan w:val="2"/>
            <w:noWrap w:val="0"/>
            <w:vAlign w:val="center"/>
          </w:tcPr>
          <w:p>
            <w:pPr>
              <w:adjustRightInd w:val="0"/>
              <w:snapToGrid w:val="0"/>
              <w:jc w:val="center"/>
              <w:rPr>
                <w:color w:val="auto"/>
                <w:szCs w:val="21"/>
              </w:rPr>
            </w:pPr>
            <w:r>
              <w:rPr>
                <w:color w:val="auto"/>
                <w:szCs w:val="21"/>
              </w:rPr>
              <w:t>监测因子</w:t>
            </w:r>
          </w:p>
        </w:tc>
        <w:tc>
          <w:tcPr>
            <w:tcW w:w="2651" w:type="dxa"/>
            <w:gridSpan w:val="6"/>
            <w:noWrap w:val="0"/>
            <w:vAlign w:val="center"/>
          </w:tcPr>
          <w:p>
            <w:pPr>
              <w:adjustRightInd w:val="0"/>
              <w:snapToGrid w:val="0"/>
              <w:jc w:val="center"/>
              <w:rPr>
                <w:rFonts w:hint="default" w:eastAsia="宋体"/>
                <w:color w:val="auto"/>
                <w:szCs w:val="21"/>
                <w:lang w:eastAsia="zh-CN"/>
              </w:rPr>
            </w:pPr>
            <w:r>
              <w:rPr>
                <w:rFonts w:hint="default"/>
                <w:color w:val="auto"/>
                <w:kern w:val="0"/>
                <w:szCs w:val="21"/>
                <w:lang w:eastAsia="zh-CN"/>
              </w:rPr>
              <w:t>（</w:t>
            </w:r>
            <w:r>
              <w:rPr>
                <w:rFonts w:hint="default"/>
                <w:color w:val="auto"/>
                <w:kern w:val="0"/>
                <w:szCs w:val="21"/>
                <w:lang w:val="en-US" w:eastAsia="zh-CN"/>
              </w:rPr>
              <w:t xml:space="preserve"> </w:t>
            </w:r>
            <w:r>
              <w:rPr>
                <w:rFonts w:hint="default"/>
                <w:color w:val="auto"/>
                <w:kern w:val="0"/>
                <w:szCs w:val="21"/>
                <w:lang w:eastAsia="zh-CN"/>
              </w:rPr>
              <w:t>）</w:t>
            </w:r>
          </w:p>
        </w:tc>
        <w:tc>
          <w:tcPr>
            <w:tcW w:w="2501" w:type="dxa"/>
            <w:gridSpan w:val="2"/>
            <w:noWrap w:val="0"/>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Merge w:val="continue"/>
            <w:noWrap w:val="0"/>
            <w:vAlign w:val="center"/>
          </w:tcPr>
          <w:p>
            <w:pPr>
              <w:adjustRightInd w:val="0"/>
              <w:snapToGrid w:val="0"/>
              <w:jc w:val="center"/>
              <w:rPr>
                <w:color w:val="auto"/>
                <w:szCs w:val="21"/>
              </w:rPr>
            </w:pPr>
          </w:p>
        </w:tc>
        <w:tc>
          <w:tcPr>
            <w:tcW w:w="1290" w:type="dxa"/>
            <w:noWrap w:val="0"/>
            <w:vAlign w:val="center"/>
          </w:tcPr>
          <w:p>
            <w:pPr>
              <w:adjustRightInd w:val="0"/>
              <w:snapToGrid w:val="0"/>
              <w:jc w:val="center"/>
              <w:rPr>
                <w:color w:val="auto"/>
                <w:szCs w:val="21"/>
              </w:rPr>
            </w:pPr>
            <w:r>
              <w:rPr>
                <w:color w:val="auto"/>
                <w:szCs w:val="21"/>
              </w:rPr>
              <w:t>污染物排放清单</w:t>
            </w:r>
          </w:p>
        </w:tc>
        <w:tc>
          <w:tcPr>
            <w:tcW w:w="7512" w:type="dxa"/>
            <w:gridSpan w:val="10"/>
            <w:noWrap w:val="0"/>
            <w:vAlign w:val="center"/>
          </w:tcPr>
          <w:p>
            <w:pPr>
              <w:adjustRightInd w:val="0"/>
              <w:snapToGrid w:val="0"/>
              <w:jc w:val="center"/>
              <w:rPr>
                <w:color w:val="auto"/>
                <w:szCs w:val="21"/>
              </w:rPr>
            </w:pPr>
            <w:r>
              <w:rPr>
                <w:color w:val="auto"/>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59" w:type="dxa"/>
            <w:gridSpan w:val="2"/>
            <w:noWrap w:val="0"/>
            <w:vAlign w:val="center"/>
          </w:tcPr>
          <w:p>
            <w:pPr>
              <w:adjustRightInd w:val="0"/>
              <w:snapToGrid w:val="0"/>
              <w:jc w:val="center"/>
              <w:rPr>
                <w:color w:val="auto"/>
                <w:szCs w:val="21"/>
              </w:rPr>
            </w:pPr>
            <w:r>
              <w:rPr>
                <w:color w:val="auto"/>
                <w:szCs w:val="21"/>
              </w:rPr>
              <w:t>评价结论</w:t>
            </w:r>
          </w:p>
        </w:tc>
        <w:tc>
          <w:tcPr>
            <w:tcW w:w="7512" w:type="dxa"/>
            <w:gridSpan w:val="10"/>
            <w:noWrap w:val="0"/>
            <w:vAlign w:val="center"/>
          </w:tcPr>
          <w:p>
            <w:pPr>
              <w:adjustRightInd w:val="0"/>
              <w:snapToGrid w:val="0"/>
              <w:jc w:val="center"/>
              <w:rPr>
                <w:color w:val="auto"/>
                <w:szCs w:val="21"/>
              </w:rPr>
            </w:pPr>
            <w:r>
              <w:rPr>
                <w:color w:val="auto"/>
                <w:szCs w:val="21"/>
              </w:rPr>
              <w:t xml:space="preserve">可以接受 </w:t>
            </w:r>
            <w:r>
              <w:rPr>
                <w:color w:val="auto"/>
                <w:szCs w:val="21"/>
              </w:rPr>
              <w:sym w:font="Wingdings 2" w:char="0052"/>
            </w:r>
            <w:r>
              <w:rPr>
                <w:color w:val="auto"/>
                <w:szCs w:val="21"/>
              </w:rPr>
              <w:t>；不可以接受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1" w:type="dxa"/>
            <w:gridSpan w:val="12"/>
            <w:noWrap w:val="0"/>
            <w:vAlign w:val="center"/>
          </w:tcPr>
          <w:p>
            <w:pPr>
              <w:adjustRightInd w:val="0"/>
              <w:snapToGrid w:val="0"/>
              <w:jc w:val="left"/>
              <w:rPr>
                <w:color w:val="auto"/>
                <w:szCs w:val="21"/>
              </w:rPr>
            </w:pPr>
            <w:r>
              <w:rPr>
                <w:color w:val="auto"/>
                <w:szCs w:val="21"/>
              </w:rPr>
              <w:t>注：</w:t>
            </w:r>
            <w:r>
              <w:rPr>
                <w:rFonts w:hint="eastAsia"/>
                <w:color w:val="auto"/>
                <w:szCs w:val="21"/>
                <w:lang w:eastAsia="zh-CN"/>
              </w:rPr>
              <w:t>“</w:t>
            </w:r>
            <w:r>
              <w:rPr>
                <w:color w:val="auto"/>
                <w:szCs w:val="21"/>
              </w:rPr>
              <w:t>□</w:t>
            </w:r>
            <w:r>
              <w:rPr>
                <w:rFonts w:hint="eastAsia"/>
                <w:color w:val="auto"/>
                <w:szCs w:val="21"/>
                <w:lang w:eastAsia="zh-CN"/>
              </w:rPr>
              <w:t>”</w:t>
            </w:r>
            <w:r>
              <w:rPr>
                <w:color w:val="auto"/>
                <w:szCs w:val="21"/>
              </w:rPr>
              <w:t>为勾选项，可√；</w:t>
            </w:r>
            <w:r>
              <w:rPr>
                <w:rFonts w:hint="eastAsia"/>
                <w:color w:val="auto"/>
                <w:szCs w:val="21"/>
                <w:lang w:eastAsia="zh-CN"/>
              </w:rPr>
              <w:t>“</w:t>
            </w:r>
            <w:r>
              <w:rPr>
                <w:color w:val="auto"/>
                <w:szCs w:val="21"/>
              </w:rPr>
              <w:t>（ ）</w:t>
            </w:r>
            <w:r>
              <w:rPr>
                <w:rFonts w:hint="eastAsia"/>
                <w:color w:val="auto"/>
                <w:szCs w:val="21"/>
                <w:lang w:eastAsia="zh-CN"/>
              </w:rPr>
              <w:t>”</w:t>
            </w:r>
            <w:r>
              <w:rPr>
                <w:color w:val="auto"/>
                <w:szCs w:val="21"/>
              </w:rPr>
              <w:t>为内容填写项；</w:t>
            </w:r>
            <w:r>
              <w:rPr>
                <w:rFonts w:hint="eastAsia"/>
                <w:color w:val="auto"/>
                <w:szCs w:val="21"/>
                <w:lang w:eastAsia="zh-CN"/>
              </w:rPr>
              <w:t>“</w:t>
            </w:r>
            <w:r>
              <w:rPr>
                <w:color w:val="auto"/>
                <w:szCs w:val="21"/>
              </w:rPr>
              <w:t>备注</w:t>
            </w:r>
            <w:r>
              <w:rPr>
                <w:rFonts w:hint="eastAsia"/>
                <w:color w:val="auto"/>
                <w:szCs w:val="21"/>
                <w:lang w:eastAsia="zh-CN"/>
              </w:rPr>
              <w:t>”</w:t>
            </w:r>
            <w:r>
              <w:rPr>
                <w:color w:val="auto"/>
                <w:szCs w:val="21"/>
              </w:rPr>
              <w:t xml:space="preserve">为其他补充内容。 </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5.2.2</w:t>
      </w:r>
      <w:r>
        <w:rPr>
          <w:rFonts w:hint="eastAsia" w:cs="Times New Roman"/>
          <w:b/>
          <w:bCs/>
          <w:color w:val="auto"/>
          <w:kern w:val="0"/>
          <w:sz w:val="28"/>
          <w:szCs w:val="28"/>
          <w:highlight w:val="none"/>
          <w:lang w:val="en-US" w:eastAsia="zh-CN"/>
        </w:rPr>
        <w:t>地下水</w:t>
      </w:r>
      <w:r>
        <w:rPr>
          <w:rFonts w:hint="default" w:cs="Times New Roman"/>
          <w:b/>
          <w:bCs/>
          <w:color w:val="auto"/>
          <w:kern w:val="0"/>
          <w:sz w:val="28"/>
          <w:szCs w:val="28"/>
          <w:highlight w:val="none"/>
          <w:lang w:val="en-US" w:eastAsia="zh-CN"/>
        </w:rPr>
        <w:t>环境影响分析</w:t>
      </w:r>
    </w:p>
    <w:p>
      <w:pPr>
        <w:tabs>
          <w:tab w:val="left" w:pos="7488"/>
        </w:tabs>
        <w:spacing w:line="360" w:lineRule="auto"/>
        <w:ind w:firstLine="480" w:firstLineChars="200"/>
        <w:rPr>
          <w:rFonts w:hint="default" w:ascii="Times New Roman" w:hAnsi="Times New Roman" w:cs="Times New Roman"/>
          <w:bCs/>
          <w:color w:val="auto"/>
          <w:sz w:val="24"/>
          <w:szCs w:val="24"/>
          <w:highlight w:val="none"/>
          <w:u w:val="none"/>
        </w:rPr>
      </w:pPr>
      <w:r>
        <w:rPr>
          <w:rFonts w:hint="default" w:ascii="Times New Roman" w:hAnsi="Times New Roman" w:cs="Times New Roman"/>
          <w:bCs/>
          <w:color w:val="auto"/>
          <w:sz w:val="24"/>
          <w:szCs w:val="24"/>
          <w:highlight w:val="none"/>
          <w:u w:val="none"/>
        </w:rPr>
        <w:t>本项目</w:t>
      </w:r>
      <w:r>
        <w:rPr>
          <w:rFonts w:hint="eastAsia" w:ascii="Times New Roman" w:hAnsi="Times New Roman" w:cs="Times New Roman"/>
          <w:bCs/>
          <w:color w:val="auto"/>
          <w:sz w:val="24"/>
          <w:szCs w:val="24"/>
          <w:highlight w:val="none"/>
          <w:u w:val="none"/>
          <w:lang w:val="en-US" w:eastAsia="zh-CN"/>
        </w:rPr>
        <w:t>营运期</w:t>
      </w:r>
      <w:r>
        <w:rPr>
          <w:rFonts w:hint="default" w:ascii="Times New Roman" w:hAnsi="Times New Roman" w:cs="Times New Roman"/>
          <w:bCs/>
          <w:color w:val="auto"/>
          <w:sz w:val="24"/>
          <w:szCs w:val="24"/>
          <w:highlight w:val="none"/>
          <w:u w:val="none"/>
        </w:rPr>
        <w:t>正常情况下项目湘江东岸区域生活污水经隔油池+化粪池预处理后达到《污水综合排放标准》（GB8978-1996）表中三级标准后排入市政管网进入江东污水处理厂进行深度处理。东洲岛内生活污水依托东洲岛现有已建污水处理设施（地下式污水处理站+无动力地埋分散式厌氧净化处理系统）处理后达到《污水综合排放标准》（GB8978-1996）一级标准要求，回用于岛上绿化不外排。</w:t>
      </w:r>
    </w:p>
    <w:p>
      <w:pPr>
        <w:spacing w:line="360" w:lineRule="auto"/>
        <w:ind w:firstLine="480" w:firstLineChars="200"/>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非正常情况下主要是废水的渗漏对地下水水质的影响</w:t>
      </w:r>
      <w:r>
        <w:rPr>
          <w:rFonts w:hint="eastAsia" w:ascii="Times New Roman" w:hAnsi="Times New Roman" w:cs="Times New Roman"/>
          <w:color w:val="auto"/>
          <w:sz w:val="24"/>
          <w:szCs w:val="24"/>
          <w:highlight w:val="none"/>
          <w:u w:val="none"/>
          <w:lang w:eastAsia="zh-CN"/>
        </w:rPr>
        <w:t>，</w:t>
      </w:r>
      <w:r>
        <w:rPr>
          <w:rFonts w:hint="eastAsia" w:ascii="Times New Roman" w:hAnsi="Times New Roman" w:cs="Times New Roman"/>
          <w:color w:val="auto"/>
          <w:sz w:val="24"/>
          <w:szCs w:val="24"/>
          <w:highlight w:val="none"/>
          <w:u w:val="none"/>
          <w:lang w:val="en-US" w:eastAsia="zh-CN"/>
        </w:rPr>
        <w:t>根据现场调查，</w:t>
      </w:r>
      <w:r>
        <w:rPr>
          <w:rFonts w:hint="default" w:ascii="Times New Roman" w:hAnsi="Times New Roman" w:cs="Times New Roman"/>
          <w:bCs/>
          <w:color w:val="auto"/>
          <w:sz w:val="24"/>
          <w:szCs w:val="24"/>
          <w:highlight w:val="none"/>
          <w:u w:val="none"/>
        </w:rPr>
        <w:t>现有已建污水处理设施</w:t>
      </w:r>
      <w:r>
        <w:rPr>
          <w:rFonts w:hint="eastAsia" w:ascii="Times New Roman" w:hAnsi="Times New Roman" w:cs="Times New Roman"/>
          <w:bCs/>
          <w:color w:val="auto"/>
          <w:sz w:val="24"/>
          <w:szCs w:val="24"/>
          <w:highlight w:val="none"/>
          <w:u w:val="none"/>
          <w:lang w:val="en-US" w:eastAsia="zh-CN"/>
        </w:rPr>
        <w:t>已</w:t>
      </w:r>
      <w:r>
        <w:rPr>
          <w:rFonts w:hint="default" w:ascii="Times New Roman" w:hAnsi="Times New Roman" w:cs="Times New Roman"/>
          <w:color w:val="auto"/>
          <w:sz w:val="24"/>
          <w:szCs w:val="24"/>
          <w:highlight w:val="none"/>
          <w:u w:val="none"/>
        </w:rPr>
        <w:t>采用防渗处理，可有效防止废水渗漏污染地下水</w:t>
      </w:r>
      <w:r>
        <w:rPr>
          <w:rFonts w:hint="eastAsia" w:ascii="Times New Roman" w:hAnsi="Times New Roman" w:cs="Times New Roman"/>
          <w:color w:val="auto"/>
          <w:sz w:val="24"/>
          <w:szCs w:val="24"/>
          <w:highlight w:val="none"/>
          <w:u w:val="none"/>
          <w:lang w:eastAsia="zh-CN"/>
        </w:rPr>
        <w:t>，</w:t>
      </w:r>
      <w:r>
        <w:rPr>
          <w:rFonts w:hint="eastAsia" w:ascii="Times New Roman" w:hAnsi="Times New Roman" w:cs="Times New Roman"/>
          <w:color w:val="auto"/>
          <w:sz w:val="24"/>
          <w:szCs w:val="24"/>
          <w:highlight w:val="none"/>
          <w:u w:val="none"/>
          <w:lang w:val="en-US" w:eastAsia="zh-CN"/>
        </w:rPr>
        <w:t>且本项目污水水质简单，主要是COD、BOD</w:t>
      </w:r>
      <w:r>
        <w:rPr>
          <w:rFonts w:hint="eastAsia" w:ascii="Times New Roman" w:hAnsi="Times New Roman" w:cs="Times New Roman"/>
          <w:color w:val="auto"/>
          <w:sz w:val="24"/>
          <w:szCs w:val="24"/>
          <w:highlight w:val="none"/>
          <w:u w:val="none"/>
          <w:vertAlign w:val="subscript"/>
          <w:lang w:val="en-US" w:eastAsia="zh-CN"/>
        </w:rPr>
        <w:t>5</w:t>
      </w:r>
      <w:r>
        <w:rPr>
          <w:rFonts w:hint="eastAsia" w:ascii="Times New Roman" w:hAnsi="Times New Roman" w:cs="Times New Roman"/>
          <w:color w:val="auto"/>
          <w:sz w:val="24"/>
          <w:szCs w:val="24"/>
          <w:highlight w:val="none"/>
          <w:u w:val="none"/>
          <w:lang w:val="en-US" w:eastAsia="zh-CN"/>
        </w:rPr>
        <w:t>、SS、氨氮、动植物油等，在</w:t>
      </w:r>
      <w:r>
        <w:rPr>
          <w:rFonts w:hint="default" w:ascii="Times New Roman" w:hAnsi="Times New Roman" w:cs="Times New Roman"/>
          <w:color w:val="auto"/>
          <w:sz w:val="24"/>
          <w:szCs w:val="24"/>
          <w:highlight w:val="none"/>
          <w:u w:val="none"/>
        </w:rPr>
        <w:t>落实上述措施后，可管控对地下水的污染风险，对地下水环境的影响可以接受。</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5.2.</w:t>
      </w:r>
      <w:r>
        <w:rPr>
          <w:rFonts w:hint="eastAsia" w:cs="Times New Roman"/>
          <w:b/>
          <w:bCs/>
          <w:color w:val="auto"/>
          <w:kern w:val="0"/>
          <w:sz w:val="28"/>
          <w:szCs w:val="28"/>
          <w:highlight w:val="none"/>
          <w:lang w:val="en-US" w:eastAsia="zh-CN"/>
        </w:rPr>
        <w:t>3</w:t>
      </w:r>
      <w:r>
        <w:rPr>
          <w:rFonts w:hint="default" w:cs="Times New Roman"/>
          <w:b/>
          <w:bCs/>
          <w:color w:val="auto"/>
          <w:kern w:val="0"/>
          <w:sz w:val="28"/>
          <w:szCs w:val="28"/>
          <w:highlight w:val="none"/>
          <w:lang w:val="en-US" w:eastAsia="zh-CN"/>
        </w:rPr>
        <w:t>大气环境影响分析</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设有地面和地下车库，运营期对大气环境造成影响的污染源主要是汽车尾气，汽车尾气中含有的污染物为NOx、CO。机动车在行驶时排放尾气，各类型机动车在不同行驶速度下的台架模试验表明，不同类型机动车的尾气污染物排放有不同的规律。本环评采用《公路建设项目环境影响评价规范》（JTG B03-2006）中推荐的机动车尾气污染物排放因子。</w:t>
      </w:r>
    </w:p>
    <w:p>
      <w:pPr>
        <w:pStyle w:val="38"/>
        <w:rPr>
          <w:rFonts w:hint="default"/>
          <w:b/>
          <w:bCs/>
          <w:color w:val="auto"/>
        </w:rPr>
      </w:pPr>
      <w:r>
        <w:rPr>
          <w:b/>
          <w:bCs/>
          <w:color w:val="auto"/>
        </w:rPr>
        <w:t>表</w:t>
      </w:r>
      <w:r>
        <w:rPr>
          <w:rFonts w:hint="default"/>
          <w:b/>
          <w:bCs/>
          <w:color w:val="auto"/>
          <w:lang w:val="en-US" w:eastAsia="zh-CN"/>
        </w:rPr>
        <w:t>5.2</w:t>
      </w:r>
      <w:r>
        <w:rPr>
          <w:b/>
          <w:bCs/>
          <w:color w:val="auto"/>
        </w:rPr>
        <w:t>-2车辆单车排放因子推荐值（mg/辆•m）</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1071"/>
        <w:gridCol w:w="1068"/>
        <w:gridCol w:w="1068"/>
        <w:gridCol w:w="1065"/>
        <w:gridCol w:w="1065"/>
        <w:gridCol w:w="1065"/>
        <w:gridCol w:w="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166" w:type="dxa"/>
            <w:gridSpan w:val="2"/>
            <w:vAlign w:val="center"/>
          </w:tcPr>
          <w:p>
            <w:pPr>
              <w:pStyle w:val="38"/>
              <w:rPr>
                <w:rFonts w:hint="default"/>
                <w:color w:val="auto"/>
              </w:rPr>
            </w:pPr>
            <w:r>
              <w:rPr>
                <w:color w:val="auto"/>
              </w:rPr>
              <w:t>平均车速（km/h）</w:t>
            </w:r>
          </w:p>
        </w:tc>
        <w:tc>
          <w:tcPr>
            <w:tcW w:w="1020" w:type="dxa"/>
            <w:vAlign w:val="center"/>
          </w:tcPr>
          <w:p>
            <w:pPr>
              <w:pStyle w:val="38"/>
              <w:rPr>
                <w:rFonts w:hint="default"/>
                <w:color w:val="auto"/>
              </w:rPr>
            </w:pPr>
            <w:r>
              <w:rPr>
                <w:color w:val="auto"/>
              </w:rPr>
              <w:t>50</w:t>
            </w:r>
          </w:p>
        </w:tc>
        <w:tc>
          <w:tcPr>
            <w:tcW w:w="1020" w:type="dxa"/>
            <w:vAlign w:val="center"/>
          </w:tcPr>
          <w:p>
            <w:pPr>
              <w:pStyle w:val="38"/>
              <w:rPr>
                <w:rFonts w:hint="default"/>
                <w:color w:val="auto"/>
              </w:rPr>
            </w:pPr>
            <w:r>
              <w:rPr>
                <w:color w:val="auto"/>
              </w:rPr>
              <w:t>60</w:t>
            </w:r>
          </w:p>
        </w:tc>
        <w:tc>
          <w:tcPr>
            <w:tcW w:w="1018" w:type="dxa"/>
            <w:vAlign w:val="center"/>
          </w:tcPr>
          <w:p>
            <w:pPr>
              <w:pStyle w:val="38"/>
              <w:rPr>
                <w:rFonts w:hint="default"/>
                <w:color w:val="auto"/>
              </w:rPr>
            </w:pPr>
            <w:r>
              <w:rPr>
                <w:color w:val="auto"/>
              </w:rPr>
              <w:t>70</w:t>
            </w:r>
          </w:p>
        </w:tc>
        <w:tc>
          <w:tcPr>
            <w:tcW w:w="1018" w:type="dxa"/>
            <w:vAlign w:val="center"/>
          </w:tcPr>
          <w:p>
            <w:pPr>
              <w:pStyle w:val="38"/>
              <w:rPr>
                <w:rFonts w:hint="default"/>
                <w:color w:val="auto"/>
              </w:rPr>
            </w:pPr>
            <w:r>
              <w:rPr>
                <w:color w:val="auto"/>
              </w:rPr>
              <w:t>80</w:t>
            </w:r>
          </w:p>
        </w:tc>
        <w:tc>
          <w:tcPr>
            <w:tcW w:w="1018" w:type="dxa"/>
            <w:vAlign w:val="center"/>
          </w:tcPr>
          <w:p>
            <w:pPr>
              <w:pStyle w:val="38"/>
              <w:rPr>
                <w:rFonts w:hint="default"/>
                <w:color w:val="auto"/>
              </w:rPr>
            </w:pPr>
            <w:r>
              <w:rPr>
                <w:color w:val="auto"/>
              </w:rPr>
              <w:t>90</w:t>
            </w:r>
          </w:p>
        </w:tc>
        <w:tc>
          <w:tcPr>
            <w:tcW w:w="877" w:type="dxa"/>
            <w:vAlign w:val="center"/>
          </w:tcPr>
          <w:p>
            <w:pPr>
              <w:pStyle w:val="38"/>
              <w:rPr>
                <w:rFonts w:hint="default"/>
                <w:color w:val="auto"/>
              </w:rPr>
            </w:pPr>
            <w:r>
              <w:rPr>
                <w:color w:val="auto"/>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43" w:type="dxa"/>
            <w:vMerge w:val="restart"/>
            <w:vAlign w:val="center"/>
          </w:tcPr>
          <w:p>
            <w:pPr>
              <w:pStyle w:val="38"/>
              <w:rPr>
                <w:rFonts w:hint="default"/>
                <w:color w:val="auto"/>
              </w:rPr>
            </w:pPr>
            <w:r>
              <w:rPr>
                <w:color w:val="auto"/>
              </w:rPr>
              <w:t>小型车</w:t>
            </w:r>
          </w:p>
        </w:tc>
        <w:tc>
          <w:tcPr>
            <w:tcW w:w="1023" w:type="dxa"/>
            <w:vAlign w:val="center"/>
          </w:tcPr>
          <w:p>
            <w:pPr>
              <w:pStyle w:val="38"/>
              <w:rPr>
                <w:rFonts w:hint="default"/>
                <w:color w:val="auto"/>
              </w:rPr>
            </w:pPr>
            <w:r>
              <w:rPr>
                <w:color w:val="auto"/>
              </w:rPr>
              <w:t>CO</w:t>
            </w:r>
          </w:p>
        </w:tc>
        <w:tc>
          <w:tcPr>
            <w:tcW w:w="1020" w:type="dxa"/>
            <w:vAlign w:val="center"/>
          </w:tcPr>
          <w:p>
            <w:pPr>
              <w:pStyle w:val="38"/>
              <w:rPr>
                <w:rFonts w:hint="default"/>
                <w:color w:val="auto"/>
              </w:rPr>
            </w:pPr>
            <w:r>
              <w:rPr>
                <w:color w:val="auto"/>
              </w:rPr>
              <w:t>31.34</w:t>
            </w:r>
          </w:p>
        </w:tc>
        <w:tc>
          <w:tcPr>
            <w:tcW w:w="1020" w:type="dxa"/>
            <w:vAlign w:val="center"/>
          </w:tcPr>
          <w:p>
            <w:pPr>
              <w:pStyle w:val="38"/>
              <w:rPr>
                <w:rFonts w:hint="default"/>
                <w:color w:val="auto"/>
              </w:rPr>
            </w:pPr>
            <w:r>
              <w:rPr>
                <w:color w:val="auto"/>
              </w:rPr>
              <w:t>23.68</w:t>
            </w:r>
          </w:p>
        </w:tc>
        <w:tc>
          <w:tcPr>
            <w:tcW w:w="1018" w:type="dxa"/>
            <w:vAlign w:val="center"/>
          </w:tcPr>
          <w:p>
            <w:pPr>
              <w:pStyle w:val="38"/>
              <w:rPr>
                <w:rFonts w:hint="default"/>
                <w:color w:val="auto"/>
              </w:rPr>
            </w:pPr>
            <w:r>
              <w:rPr>
                <w:color w:val="auto"/>
              </w:rPr>
              <w:t>17.90</w:t>
            </w:r>
          </w:p>
        </w:tc>
        <w:tc>
          <w:tcPr>
            <w:tcW w:w="1018" w:type="dxa"/>
            <w:vAlign w:val="center"/>
          </w:tcPr>
          <w:p>
            <w:pPr>
              <w:pStyle w:val="38"/>
              <w:rPr>
                <w:rFonts w:hint="default"/>
                <w:color w:val="auto"/>
              </w:rPr>
            </w:pPr>
            <w:r>
              <w:rPr>
                <w:color w:val="auto"/>
              </w:rPr>
              <w:t>14.76</w:t>
            </w:r>
          </w:p>
        </w:tc>
        <w:tc>
          <w:tcPr>
            <w:tcW w:w="1018" w:type="dxa"/>
            <w:vAlign w:val="center"/>
          </w:tcPr>
          <w:p>
            <w:pPr>
              <w:pStyle w:val="38"/>
              <w:rPr>
                <w:rFonts w:hint="default"/>
                <w:color w:val="auto"/>
              </w:rPr>
            </w:pPr>
            <w:r>
              <w:rPr>
                <w:color w:val="auto"/>
              </w:rPr>
              <w:t>10.24</w:t>
            </w:r>
          </w:p>
        </w:tc>
        <w:tc>
          <w:tcPr>
            <w:tcW w:w="877" w:type="dxa"/>
            <w:vAlign w:val="center"/>
          </w:tcPr>
          <w:p>
            <w:pPr>
              <w:pStyle w:val="38"/>
              <w:rPr>
                <w:rFonts w:hint="default"/>
                <w:color w:val="auto"/>
              </w:rPr>
            </w:pPr>
            <w:r>
              <w:rPr>
                <w:color w:val="auto"/>
              </w:rPr>
              <w:t>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43" w:type="dxa"/>
            <w:vMerge w:val="continue"/>
            <w:vAlign w:val="center"/>
          </w:tcPr>
          <w:p>
            <w:pPr>
              <w:pStyle w:val="38"/>
              <w:rPr>
                <w:rFonts w:hint="default"/>
                <w:color w:val="auto"/>
              </w:rPr>
            </w:pPr>
          </w:p>
        </w:tc>
        <w:tc>
          <w:tcPr>
            <w:tcW w:w="1023" w:type="dxa"/>
            <w:vAlign w:val="center"/>
          </w:tcPr>
          <w:p>
            <w:pPr>
              <w:pStyle w:val="38"/>
              <w:rPr>
                <w:rFonts w:hint="default"/>
                <w:color w:val="auto"/>
              </w:rPr>
            </w:pPr>
            <w:r>
              <w:rPr>
                <w:color w:val="auto"/>
              </w:rPr>
              <w:t>NOX</w:t>
            </w:r>
          </w:p>
        </w:tc>
        <w:tc>
          <w:tcPr>
            <w:tcW w:w="1020" w:type="dxa"/>
            <w:vAlign w:val="center"/>
          </w:tcPr>
          <w:p>
            <w:pPr>
              <w:pStyle w:val="38"/>
              <w:rPr>
                <w:rFonts w:hint="default"/>
                <w:color w:val="auto"/>
              </w:rPr>
            </w:pPr>
            <w:r>
              <w:rPr>
                <w:color w:val="auto"/>
              </w:rPr>
              <w:t>1.77</w:t>
            </w:r>
          </w:p>
        </w:tc>
        <w:tc>
          <w:tcPr>
            <w:tcW w:w="1020" w:type="dxa"/>
            <w:vAlign w:val="center"/>
          </w:tcPr>
          <w:p>
            <w:pPr>
              <w:pStyle w:val="38"/>
              <w:rPr>
                <w:rFonts w:hint="default"/>
                <w:color w:val="auto"/>
              </w:rPr>
            </w:pPr>
            <w:r>
              <w:rPr>
                <w:color w:val="auto"/>
              </w:rPr>
              <w:t>2.37</w:t>
            </w:r>
          </w:p>
        </w:tc>
        <w:tc>
          <w:tcPr>
            <w:tcW w:w="1018" w:type="dxa"/>
            <w:vAlign w:val="center"/>
          </w:tcPr>
          <w:p>
            <w:pPr>
              <w:pStyle w:val="38"/>
              <w:rPr>
                <w:rFonts w:hint="default"/>
                <w:color w:val="auto"/>
              </w:rPr>
            </w:pPr>
            <w:r>
              <w:rPr>
                <w:color w:val="auto"/>
              </w:rPr>
              <w:t>2.96</w:t>
            </w:r>
          </w:p>
        </w:tc>
        <w:tc>
          <w:tcPr>
            <w:tcW w:w="1018" w:type="dxa"/>
            <w:vAlign w:val="center"/>
          </w:tcPr>
          <w:p>
            <w:pPr>
              <w:pStyle w:val="38"/>
              <w:rPr>
                <w:rFonts w:hint="default"/>
                <w:color w:val="auto"/>
              </w:rPr>
            </w:pPr>
            <w:r>
              <w:rPr>
                <w:color w:val="auto"/>
              </w:rPr>
              <w:t>3.71</w:t>
            </w:r>
          </w:p>
        </w:tc>
        <w:tc>
          <w:tcPr>
            <w:tcW w:w="1018" w:type="dxa"/>
            <w:vAlign w:val="center"/>
          </w:tcPr>
          <w:p>
            <w:pPr>
              <w:pStyle w:val="38"/>
              <w:rPr>
                <w:rFonts w:hint="default"/>
                <w:color w:val="auto"/>
              </w:rPr>
            </w:pPr>
            <w:r>
              <w:rPr>
                <w:color w:val="auto"/>
              </w:rPr>
              <w:t>3.85</w:t>
            </w:r>
          </w:p>
        </w:tc>
        <w:tc>
          <w:tcPr>
            <w:tcW w:w="877" w:type="dxa"/>
            <w:vAlign w:val="center"/>
          </w:tcPr>
          <w:p>
            <w:pPr>
              <w:pStyle w:val="38"/>
              <w:rPr>
                <w:rFonts w:hint="default"/>
                <w:color w:val="auto"/>
              </w:rPr>
            </w:pPr>
            <w:r>
              <w:rPr>
                <w:color w:val="auto"/>
              </w:rPr>
              <w:t>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43" w:type="dxa"/>
            <w:vMerge w:val="restart"/>
            <w:vAlign w:val="center"/>
          </w:tcPr>
          <w:p>
            <w:pPr>
              <w:pStyle w:val="38"/>
              <w:rPr>
                <w:rFonts w:hint="default"/>
                <w:color w:val="auto"/>
              </w:rPr>
            </w:pPr>
            <w:r>
              <w:rPr>
                <w:color w:val="auto"/>
              </w:rPr>
              <w:t>中型车</w:t>
            </w:r>
          </w:p>
        </w:tc>
        <w:tc>
          <w:tcPr>
            <w:tcW w:w="1023" w:type="dxa"/>
            <w:vAlign w:val="center"/>
          </w:tcPr>
          <w:p>
            <w:pPr>
              <w:pStyle w:val="38"/>
              <w:rPr>
                <w:rFonts w:hint="default"/>
                <w:color w:val="auto"/>
              </w:rPr>
            </w:pPr>
            <w:r>
              <w:rPr>
                <w:color w:val="auto"/>
              </w:rPr>
              <w:t>CO</w:t>
            </w:r>
          </w:p>
        </w:tc>
        <w:tc>
          <w:tcPr>
            <w:tcW w:w="1020" w:type="dxa"/>
            <w:vAlign w:val="center"/>
          </w:tcPr>
          <w:p>
            <w:pPr>
              <w:pStyle w:val="38"/>
              <w:rPr>
                <w:rFonts w:hint="default"/>
                <w:color w:val="auto"/>
              </w:rPr>
            </w:pPr>
            <w:r>
              <w:rPr>
                <w:color w:val="auto"/>
              </w:rPr>
              <w:t>30.18</w:t>
            </w:r>
          </w:p>
        </w:tc>
        <w:tc>
          <w:tcPr>
            <w:tcW w:w="1020" w:type="dxa"/>
            <w:vAlign w:val="center"/>
          </w:tcPr>
          <w:p>
            <w:pPr>
              <w:pStyle w:val="38"/>
              <w:rPr>
                <w:rFonts w:hint="default"/>
                <w:color w:val="auto"/>
              </w:rPr>
            </w:pPr>
            <w:r>
              <w:rPr>
                <w:color w:val="auto"/>
              </w:rPr>
              <w:t>26.19</w:t>
            </w:r>
          </w:p>
        </w:tc>
        <w:tc>
          <w:tcPr>
            <w:tcW w:w="1018" w:type="dxa"/>
            <w:vAlign w:val="center"/>
          </w:tcPr>
          <w:p>
            <w:pPr>
              <w:pStyle w:val="38"/>
              <w:rPr>
                <w:rFonts w:hint="default"/>
                <w:color w:val="auto"/>
              </w:rPr>
            </w:pPr>
            <w:r>
              <w:rPr>
                <w:color w:val="auto"/>
              </w:rPr>
              <w:t>24.76</w:t>
            </w:r>
          </w:p>
        </w:tc>
        <w:tc>
          <w:tcPr>
            <w:tcW w:w="1018" w:type="dxa"/>
            <w:vAlign w:val="center"/>
          </w:tcPr>
          <w:p>
            <w:pPr>
              <w:pStyle w:val="38"/>
              <w:rPr>
                <w:rFonts w:hint="default"/>
                <w:color w:val="auto"/>
              </w:rPr>
            </w:pPr>
            <w:r>
              <w:rPr>
                <w:color w:val="auto"/>
              </w:rPr>
              <w:t>25.47</w:t>
            </w:r>
          </w:p>
        </w:tc>
        <w:tc>
          <w:tcPr>
            <w:tcW w:w="1018" w:type="dxa"/>
            <w:vAlign w:val="center"/>
          </w:tcPr>
          <w:p>
            <w:pPr>
              <w:pStyle w:val="38"/>
              <w:rPr>
                <w:rFonts w:hint="default"/>
                <w:color w:val="auto"/>
              </w:rPr>
            </w:pPr>
            <w:r>
              <w:rPr>
                <w:color w:val="auto"/>
              </w:rPr>
              <w:t>28.55</w:t>
            </w:r>
          </w:p>
        </w:tc>
        <w:tc>
          <w:tcPr>
            <w:tcW w:w="877" w:type="dxa"/>
            <w:vAlign w:val="center"/>
          </w:tcPr>
          <w:p>
            <w:pPr>
              <w:pStyle w:val="38"/>
              <w:rPr>
                <w:rFonts w:hint="default"/>
                <w:color w:val="auto"/>
              </w:rPr>
            </w:pPr>
            <w:r>
              <w:rPr>
                <w:color w:val="auto"/>
              </w:rPr>
              <w:t>34.78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43" w:type="dxa"/>
            <w:vMerge w:val="continue"/>
            <w:vAlign w:val="center"/>
          </w:tcPr>
          <w:p>
            <w:pPr>
              <w:pStyle w:val="38"/>
              <w:rPr>
                <w:rFonts w:hint="default"/>
                <w:color w:val="auto"/>
              </w:rPr>
            </w:pPr>
          </w:p>
        </w:tc>
        <w:tc>
          <w:tcPr>
            <w:tcW w:w="1023" w:type="dxa"/>
            <w:vAlign w:val="center"/>
          </w:tcPr>
          <w:p>
            <w:pPr>
              <w:pStyle w:val="38"/>
              <w:rPr>
                <w:rFonts w:hint="default"/>
                <w:color w:val="auto"/>
              </w:rPr>
            </w:pPr>
            <w:r>
              <w:rPr>
                <w:color w:val="auto"/>
              </w:rPr>
              <w:t>NOX</w:t>
            </w:r>
          </w:p>
        </w:tc>
        <w:tc>
          <w:tcPr>
            <w:tcW w:w="1020" w:type="dxa"/>
            <w:vAlign w:val="center"/>
          </w:tcPr>
          <w:p>
            <w:pPr>
              <w:pStyle w:val="38"/>
              <w:rPr>
                <w:rFonts w:hint="default"/>
                <w:color w:val="auto"/>
              </w:rPr>
            </w:pPr>
            <w:r>
              <w:rPr>
                <w:color w:val="auto"/>
              </w:rPr>
              <w:t>5.40</w:t>
            </w:r>
          </w:p>
        </w:tc>
        <w:tc>
          <w:tcPr>
            <w:tcW w:w="1020" w:type="dxa"/>
            <w:vAlign w:val="center"/>
          </w:tcPr>
          <w:p>
            <w:pPr>
              <w:pStyle w:val="38"/>
              <w:rPr>
                <w:rFonts w:hint="default"/>
                <w:color w:val="auto"/>
              </w:rPr>
            </w:pPr>
            <w:r>
              <w:rPr>
                <w:color w:val="auto"/>
              </w:rPr>
              <w:t>6.30</w:t>
            </w:r>
          </w:p>
        </w:tc>
        <w:tc>
          <w:tcPr>
            <w:tcW w:w="1018" w:type="dxa"/>
            <w:vAlign w:val="center"/>
          </w:tcPr>
          <w:p>
            <w:pPr>
              <w:pStyle w:val="38"/>
              <w:rPr>
                <w:rFonts w:hint="default"/>
                <w:color w:val="auto"/>
              </w:rPr>
            </w:pPr>
            <w:r>
              <w:rPr>
                <w:color w:val="auto"/>
              </w:rPr>
              <w:t>7.20</w:t>
            </w:r>
          </w:p>
        </w:tc>
        <w:tc>
          <w:tcPr>
            <w:tcW w:w="1018" w:type="dxa"/>
            <w:vAlign w:val="center"/>
          </w:tcPr>
          <w:p>
            <w:pPr>
              <w:pStyle w:val="38"/>
              <w:rPr>
                <w:rFonts w:hint="default"/>
                <w:color w:val="auto"/>
              </w:rPr>
            </w:pPr>
            <w:r>
              <w:rPr>
                <w:color w:val="auto"/>
              </w:rPr>
              <w:t>8.30</w:t>
            </w:r>
          </w:p>
        </w:tc>
        <w:tc>
          <w:tcPr>
            <w:tcW w:w="1018" w:type="dxa"/>
            <w:vAlign w:val="center"/>
          </w:tcPr>
          <w:p>
            <w:pPr>
              <w:pStyle w:val="38"/>
              <w:rPr>
                <w:rFonts w:hint="default"/>
                <w:color w:val="auto"/>
              </w:rPr>
            </w:pPr>
            <w:r>
              <w:rPr>
                <w:color w:val="auto"/>
              </w:rPr>
              <w:t>8.80</w:t>
            </w:r>
          </w:p>
        </w:tc>
        <w:tc>
          <w:tcPr>
            <w:tcW w:w="877" w:type="dxa"/>
            <w:vAlign w:val="center"/>
          </w:tcPr>
          <w:p>
            <w:pPr>
              <w:pStyle w:val="38"/>
              <w:rPr>
                <w:rFonts w:hint="default"/>
                <w:color w:val="auto"/>
              </w:rPr>
            </w:pPr>
            <w:r>
              <w:rPr>
                <w:color w:val="auto"/>
              </w:rPr>
              <w:t>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43" w:type="dxa"/>
            <w:vMerge w:val="restart"/>
            <w:vAlign w:val="center"/>
          </w:tcPr>
          <w:p>
            <w:pPr>
              <w:pStyle w:val="38"/>
              <w:rPr>
                <w:rFonts w:hint="default"/>
                <w:color w:val="auto"/>
              </w:rPr>
            </w:pPr>
            <w:r>
              <w:rPr>
                <w:color w:val="auto"/>
              </w:rPr>
              <w:t>大型车</w:t>
            </w:r>
          </w:p>
        </w:tc>
        <w:tc>
          <w:tcPr>
            <w:tcW w:w="1023" w:type="dxa"/>
            <w:vAlign w:val="center"/>
          </w:tcPr>
          <w:p>
            <w:pPr>
              <w:pStyle w:val="38"/>
              <w:rPr>
                <w:rFonts w:hint="default"/>
                <w:color w:val="auto"/>
              </w:rPr>
            </w:pPr>
            <w:r>
              <w:rPr>
                <w:color w:val="auto"/>
              </w:rPr>
              <w:t>CO</w:t>
            </w:r>
          </w:p>
        </w:tc>
        <w:tc>
          <w:tcPr>
            <w:tcW w:w="1020" w:type="dxa"/>
            <w:vAlign w:val="center"/>
          </w:tcPr>
          <w:p>
            <w:pPr>
              <w:pStyle w:val="38"/>
              <w:rPr>
                <w:rFonts w:hint="default"/>
                <w:color w:val="auto"/>
              </w:rPr>
            </w:pPr>
            <w:r>
              <w:rPr>
                <w:color w:val="auto"/>
              </w:rPr>
              <w:t>5.25</w:t>
            </w:r>
          </w:p>
        </w:tc>
        <w:tc>
          <w:tcPr>
            <w:tcW w:w="1020" w:type="dxa"/>
            <w:vAlign w:val="center"/>
          </w:tcPr>
          <w:p>
            <w:pPr>
              <w:pStyle w:val="38"/>
              <w:rPr>
                <w:rFonts w:hint="default"/>
                <w:color w:val="auto"/>
              </w:rPr>
            </w:pPr>
            <w:r>
              <w:rPr>
                <w:color w:val="auto"/>
              </w:rPr>
              <w:t>4.48</w:t>
            </w:r>
          </w:p>
        </w:tc>
        <w:tc>
          <w:tcPr>
            <w:tcW w:w="1018" w:type="dxa"/>
            <w:vAlign w:val="center"/>
          </w:tcPr>
          <w:p>
            <w:pPr>
              <w:pStyle w:val="38"/>
              <w:rPr>
                <w:rFonts w:hint="default"/>
                <w:color w:val="auto"/>
              </w:rPr>
            </w:pPr>
            <w:r>
              <w:rPr>
                <w:color w:val="auto"/>
              </w:rPr>
              <w:t>4.10</w:t>
            </w:r>
          </w:p>
        </w:tc>
        <w:tc>
          <w:tcPr>
            <w:tcW w:w="1018" w:type="dxa"/>
            <w:vAlign w:val="center"/>
          </w:tcPr>
          <w:p>
            <w:pPr>
              <w:pStyle w:val="38"/>
              <w:rPr>
                <w:rFonts w:hint="default"/>
                <w:color w:val="auto"/>
              </w:rPr>
            </w:pPr>
            <w:r>
              <w:rPr>
                <w:color w:val="auto"/>
              </w:rPr>
              <w:t>4.01</w:t>
            </w:r>
          </w:p>
        </w:tc>
        <w:tc>
          <w:tcPr>
            <w:tcW w:w="1018" w:type="dxa"/>
            <w:vAlign w:val="center"/>
          </w:tcPr>
          <w:p>
            <w:pPr>
              <w:pStyle w:val="38"/>
              <w:rPr>
                <w:rFonts w:hint="default"/>
                <w:color w:val="auto"/>
              </w:rPr>
            </w:pPr>
            <w:r>
              <w:rPr>
                <w:color w:val="auto"/>
              </w:rPr>
              <w:t>4.23</w:t>
            </w:r>
          </w:p>
        </w:tc>
        <w:tc>
          <w:tcPr>
            <w:tcW w:w="877" w:type="dxa"/>
            <w:vAlign w:val="center"/>
          </w:tcPr>
          <w:p>
            <w:pPr>
              <w:pStyle w:val="38"/>
              <w:rPr>
                <w:rFonts w:hint="default"/>
                <w:color w:val="auto"/>
              </w:rPr>
            </w:pPr>
            <w:r>
              <w:rPr>
                <w:color w:val="auto"/>
              </w:rPr>
              <w:t>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43" w:type="dxa"/>
            <w:vMerge w:val="continue"/>
            <w:vAlign w:val="center"/>
          </w:tcPr>
          <w:p>
            <w:pPr>
              <w:pStyle w:val="38"/>
              <w:rPr>
                <w:rFonts w:hint="default"/>
                <w:color w:val="auto"/>
              </w:rPr>
            </w:pPr>
          </w:p>
        </w:tc>
        <w:tc>
          <w:tcPr>
            <w:tcW w:w="1023" w:type="dxa"/>
            <w:vAlign w:val="center"/>
          </w:tcPr>
          <w:p>
            <w:pPr>
              <w:pStyle w:val="38"/>
              <w:rPr>
                <w:rFonts w:hint="default"/>
                <w:color w:val="auto"/>
              </w:rPr>
            </w:pPr>
            <w:r>
              <w:rPr>
                <w:color w:val="auto"/>
              </w:rPr>
              <w:t>NOX</w:t>
            </w:r>
          </w:p>
        </w:tc>
        <w:tc>
          <w:tcPr>
            <w:tcW w:w="1020" w:type="dxa"/>
            <w:vAlign w:val="center"/>
          </w:tcPr>
          <w:p>
            <w:pPr>
              <w:pStyle w:val="38"/>
              <w:rPr>
                <w:rFonts w:hint="default"/>
                <w:color w:val="auto"/>
              </w:rPr>
            </w:pPr>
            <w:r>
              <w:rPr>
                <w:color w:val="auto"/>
              </w:rPr>
              <w:t>10.44</w:t>
            </w:r>
          </w:p>
        </w:tc>
        <w:tc>
          <w:tcPr>
            <w:tcW w:w="1020" w:type="dxa"/>
            <w:vAlign w:val="center"/>
          </w:tcPr>
          <w:p>
            <w:pPr>
              <w:pStyle w:val="38"/>
              <w:rPr>
                <w:rFonts w:hint="default"/>
                <w:color w:val="auto"/>
              </w:rPr>
            </w:pPr>
            <w:r>
              <w:rPr>
                <w:color w:val="auto"/>
              </w:rPr>
              <w:t>10.48</w:t>
            </w:r>
          </w:p>
        </w:tc>
        <w:tc>
          <w:tcPr>
            <w:tcW w:w="1018" w:type="dxa"/>
            <w:vAlign w:val="center"/>
          </w:tcPr>
          <w:p>
            <w:pPr>
              <w:pStyle w:val="38"/>
              <w:rPr>
                <w:rFonts w:hint="default"/>
                <w:color w:val="auto"/>
              </w:rPr>
            </w:pPr>
            <w:r>
              <w:rPr>
                <w:color w:val="auto"/>
              </w:rPr>
              <w:t>11.10</w:t>
            </w:r>
          </w:p>
        </w:tc>
        <w:tc>
          <w:tcPr>
            <w:tcW w:w="1018" w:type="dxa"/>
            <w:vAlign w:val="center"/>
          </w:tcPr>
          <w:p>
            <w:pPr>
              <w:pStyle w:val="38"/>
              <w:rPr>
                <w:rFonts w:hint="default"/>
                <w:color w:val="auto"/>
              </w:rPr>
            </w:pPr>
            <w:r>
              <w:rPr>
                <w:color w:val="auto"/>
              </w:rPr>
              <w:t>14.71</w:t>
            </w:r>
          </w:p>
        </w:tc>
        <w:tc>
          <w:tcPr>
            <w:tcW w:w="1018" w:type="dxa"/>
            <w:vAlign w:val="center"/>
          </w:tcPr>
          <w:p>
            <w:pPr>
              <w:pStyle w:val="38"/>
              <w:rPr>
                <w:rFonts w:hint="default"/>
                <w:color w:val="auto"/>
              </w:rPr>
            </w:pPr>
            <w:r>
              <w:rPr>
                <w:color w:val="auto"/>
              </w:rPr>
              <w:t>15.64</w:t>
            </w:r>
          </w:p>
        </w:tc>
        <w:tc>
          <w:tcPr>
            <w:tcW w:w="877" w:type="dxa"/>
            <w:vAlign w:val="center"/>
          </w:tcPr>
          <w:p>
            <w:pPr>
              <w:pStyle w:val="38"/>
              <w:rPr>
                <w:rFonts w:hint="default"/>
                <w:color w:val="auto"/>
              </w:rPr>
            </w:pPr>
            <w:r>
              <w:rPr>
                <w:color w:val="auto"/>
              </w:rPr>
              <w:t>18.38</w:t>
            </w:r>
          </w:p>
        </w:tc>
      </w:tr>
    </w:tbl>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由上表可见车辆行驶速度降低，同型号的单车所产生的污染物量越大，此外道路工程营运过程中车辆气体</w:t>
      </w:r>
      <w:r>
        <w:rPr>
          <w:rFonts w:hint="eastAsia" w:cs="Times New Roman"/>
          <w:color w:val="auto"/>
          <w:kern w:val="0"/>
          <w:sz w:val="24"/>
          <w:szCs w:val="24"/>
          <w:highlight w:val="none"/>
          <w:lang w:val="en-US" w:eastAsia="zh-CN" w:bidi="ar"/>
        </w:rPr>
        <w:t>污染物</w:t>
      </w:r>
      <w:r>
        <w:rPr>
          <w:rFonts w:hint="default" w:ascii="Times New Roman" w:hAnsi="Times New Roman" w:eastAsia="宋体" w:cs="Times New Roman"/>
          <w:color w:val="auto"/>
          <w:kern w:val="0"/>
          <w:sz w:val="24"/>
          <w:szCs w:val="24"/>
          <w:highlight w:val="none"/>
          <w:lang w:val="en-US" w:eastAsia="zh-CN" w:bidi="ar"/>
        </w:rPr>
        <w:t>排放量还与交通量大小、车辆构成比例有关。据运营后交通车流量预测，计算机动车尾气污染物排放源强，随着汽车尾气净化系统将得到进一步改进，运输车种构成比例将更为优化，逐步减少高能耗、高排污的车种比例，汽车尾气排放将大大降低，因此，项目汽车尾气对周边环境空气的影响范围将会缩小。</w:t>
      </w:r>
    </w:p>
    <w:p>
      <w:pPr>
        <w:adjustRightInd w:val="0"/>
        <w:snapToGrid w:val="0"/>
        <w:spacing w:line="360" w:lineRule="auto"/>
        <w:jc w:val="center"/>
        <w:rPr>
          <w:rFonts w:eastAsia="黑体"/>
          <w:color w:val="auto"/>
        </w:rPr>
      </w:pPr>
      <w:r>
        <w:rPr>
          <w:rFonts w:hint="default" w:ascii="Times New Roman" w:hAnsi="Times New Roman" w:eastAsia="宋体" w:cs="Times New Roman"/>
          <w:b/>
          <w:color w:val="auto"/>
          <w:sz w:val="24"/>
          <w:szCs w:val="22"/>
          <w:lang w:val="en-US" w:eastAsia="zh-CN"/>
        </w:rPr>
        <w:t>表5.2-</w:t>
      </w:r>
      <w:r>
        <w:rPr>
          <w:rFonts w:hint="default" w:cs="Times New Roman"/>
          <w:b/>
          <w:color w:val="auto"/>
          <w:sz w:val="24"/>
          <w:szCs w:val="22"/>
          <w:lang w:val="en-US" w:eastAsia="zh-CN"/>
        </w:rPr>
        <w:t>3</w:t>
      </w:r>
      <w:r>
        <w:rPr>
          <w:rFonts w:hint="default" w:ascii="Times New Roman" w:hAnsi="Times New Roman" w:eastAsia="宋体" w:cs="Times New Roman"/>
          <w:b/>
          <w:color w:val="auto"/>
          <w:sz w:val="24"/>
          <w:szCs w:val="22"/>
          <w:lang w:val="en-US" w:eastAsia="zh-CN"/>
        </w:rPr>
        <w:t xml:space="preserve"> </w:t>
      </w:r>
      <w:r>
        <w:rPr>
          <w:rFonts w:ascii="Times New Roman" w:hAnsi="Times New Roman" w:eastAsia="宋体" w:cs="Times New Roman"/>
          <w:b/>
          <w:color w:val="auto"/>
          <w:sz w:val="24"/>
          <w:szCs w:val="22"/>
        </w:rPr>
        <w:t xml:space="preserve"> 建设项目大气环境影响评价自查表</w:t>
      </w:r>
    </w:p>
    <w:tbl>
      <w:tblPr>
        <w:tblStyle w:val="22"/>
        <w:tblW w:w="8861" w:type="dxa"/>
        <w:tblInd w:w="93"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15"/>
        <w:gridCol w:w="1563"/>
        <w:gridCol w:w="1081"/>
        <w:gridCol w:w="489"/>
        <w:gridCol w:w="187"/>
        <w:gridCol w:w="118"/>
        <w:gridCol w:w="62"/>
        <w:gridCol w:w="180"/>
        <w:gridCol w:w="720"/>
        <w:gridCol w:w="180"/>
        <w:gridCol w:w="123"/>
        <w:gridCol w:w="139"/>
        <w:gridCol w:w="98"/>
        <w:gridCol w:w="360"/>
        <w:gridCol w:w="180"/>
        <w:gridCol w:w="180"/>
        <w:gridCol w:w="43"/>
        <w:gridCol w:w="570"/>
        <w:gridCol w:w="133"/>
        <w:gridCol w:w="293"/>
        <w:gridCol w:w="607"/>
        <w:gridCol w:w="54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2578" w:type="dxa"/>
            <w:gridSpan w:val="2"/>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工作内容</w:t>
            </w:r>
          </w:p>
        </w:tc>
        <w:tc>
          <w:tcPr>
            <w:tcW w:w="6283" w:type="dxa"/>
            <w:gridSpan w:val="20"/>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自查项目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restart"/>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评价等级与范围</w:t>
            </w: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评价等级</w:t>
            </w:r>
          </w:p>
        </w:tc>
        <w:tc>
          <w:tcPr>
            <w:tcW w:w="1757" w:type="dxa"/>
            <w:gridSpan w:val="3"/>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一级</w:t>
            </w:r>
            <w:r>
              <w:rPr>
                <w:rFonts w:ascii="Times New Roman" w:hAnsi="Times New Roman"/>
                <w:color w:val="auto"/>
                <w:kern w:val="0"/>
                <w:sz w:val="18"/>
                <w:szCs w:val="18"/>
              </w:rPr>
              <w:sym w:font="Wingdings 2" w:char="00A3"/>
            </w:r>
          </w:p>
        </w:tc>
        <w:tc>
          <w:tcPr>
            <w:tcW w:w="2160" w:type="dxa"/>
            <w:gridSpan w:val="10"/>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二级□</w:t>
            </w:r>
          </w:p>
        </w:tc>
        <w:tc>
          <w:tcPr>
            <w:tcW w:w="2366" w:type="dxa"/>
            <w:gridSpan w:val="7"/>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三级</w:t>
            </w:r>
            <w:r>
              <w:rPr>
                <w:rFonts w:hint="default" w:ascii="Times New Roman" w:hAnsi="Times New Roman" w:cs="Times New Roman"/>
                <w:color w:val="auto"/>
                <w:kern w:val="0"/>
                <w:sz w:val="18"/>
                <w:szCs w:val="18"/>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评价范围</w:t>
            </w:r>
          </w:p>
        </w:tc>
        <w:tc>
          <w:tcPr>
            <w:tcW w:w="1757" w:type="dxa"/>
            <w:gridSpan w:val="3"/>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边长</w:t>
            </w:r>
            <w:r>
              <w:rPr>
                <w:color w:val="auto"/>
                <w:kern w:val="0"/>
                <w:sz w:val="18"/>
                <w:szCs w:val="18"/>
              </w:rPr>
              <w:t>=50km</w:t>
            </w:r>
            <w:r>
              <w:rPr>
                <w:rFonts w:hint="default" w:ascii="Times New Roman" w:hAnsi="Times New Roman" w:cs="Times New Roman"/>
                <w:color w:val="auto"/>
                <w:kern w:val="0"/>
                <w:sz w:val="18"/>
                <w:szCs w:val="18"/>
              </w:rPr>
              <w:t>□</w:t>
            </w:r>
          </w:p>
        </w:tc>
        <w:tc>
          <w:tcPr>
            <w:tcW w:w="2160" w:type="dxa"/>
            <w:gridSpan w:val="10"/>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边长</w:t>
            </w:r>
            <w:r>
              <w:rPr>
                <w:color w:val="auto"/>
                <w:kern w:val="0"/>
                <w:sz w:val="18"/>
                <w:szCs w:val="18"/>
              </w:rPr>
              <w:t>=5~50km</w:t>
            </w:r>
            <w:r>
              <w:rPr>
                <w:rFonts w:ascii="Times New Roman" w:hAnsi="Times New Roman" w:cs="Times New Roman"/>
                <w:color w:val="auto"/>
                <w:kern w:val="0"/>
                <w:sz w:val="18"/>
                <w:szCs w:val="18"/>
              </w:rPr>
              <w:sym w:font="Wingdings 2" w:char="00A3"/>
            </w:r>
          </w:p>
        </w:tc>
        <w:tc>
          <w:tcPr>
            <w:tcW w:w="2366" w:type="dxa"/>
            <w:gridSpan w:val="7"/>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边长</w:t>
            </w:r>
            <w:r>
              <w:rPr>
                <w:color w:val="auto"/>
                <w:kern w:val="0"/>
                <w:sz w:val="18"/>
                <w:szCs w:val="18"/>
              </w:rPr>
              <w:t>=5km</w:t>
            </w:r>
            <w:r>
              <w:rPr>
                <w:rFonts w:hint="default" w:ascii="Times New Roman" w:hAnsi="Times New Roman" w:cs="Times New Roman"/>
                <w:color w:val="auto"/>
                <w:kern w:val="0"/>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restart"/>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评价因子</w:t>
            </w:r>
          </w:p>
        </w:tc>
        <w:tc>
          <w:tcPr>
            <w:tcW w:w="1563" w:type="dxa"/>
            <w:noWrap w:val="0"/>
            <w:vAlign w:val="center"/>
          </w:tcPr>
          <w:p>
            <w:pPr>
              <w:widowControl/>
              <w:adjustRightInd w:val="0"/>
              <w:snapToGrid w:val="0"/>
              <w:jc w:val="center"/>
              <w:rPr>
                <w:color w:val="auto"/>
                <w:kern w:val="0"/>
                <w:sz w:val="18"/>
                <w:szCs w:val="18"/>
              </w:rPr>
            </w:pPr>
            <w:r>
              <w:rPr>
                <w:color w:val="auto"/>
                <w:kern w:val="0"/>
                <w:sz w:val="18"/>
                <w:szCs w:val="18"/>
              </w:rPr>
              <w:t>SO</w:t>
            </w:r>
            <w:r>
              <w:rPr>
                <w:color w:val="auto"/>
                <w:kern w:val="0"/>
                <w:sz w:val="18"/>
                <w:szCs w:val="18"/>
                <w:vertAlign w:val="subscript"/>
              </w:rPr>
              <w:t>2</w:t>
            </w:r>
            <w:r>
              <w:rPr>
                <w:color w:val="auto"/>
                <w:kern w:val="0"/>
                <w:sz w:val="18"/>
                <w:szCs w:val="18"/>
              </w:rPr>
              <w:t>+NOx</w:t>
            </w:r>
            <w:r>
              <w:rPr>
                <w:rFonts w:hint="default" w:ascii="Times New Roman" w:hAnsi="Times New Roman"/>
                <w:color w:val="auto"/>
                <w:kern w:val="0"/>
                <w:sz w:val="18"/>
                <w:szCs w:val="18"/>
              </w:rPr>
              <w:t>排放量</w:t>
            </w:r>
          </w:p>
        </w:tc>
        <w:tc>
          <w:tcPr>
            <w:tcW w:w="1757" w:type="dxa"/>
            <w:gridSpan w:val="3"/>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r>
              <w:rPr>
                <w:color w:val="auto"/>
                <w:kern w:val="0"/>
                <w:sz w:val="18"/>
                <w:szCs w:val="18"/>
              </w:rPr>
              <w:t>2000t/a</w:t>
            </w:r>
            <w:r>
              <w:rPr>
                <w:rFonts w:hint="default" w:ascii="Times New Roman" w:hAnsi="Times New Roman" w:cs="Times New Roman"/>
                <w:color w:val="auto"/>
                <w:kern w:val="0"/>
                <w:sz w:val="18"/>
                <w:szCs w:val="18"/>
              </w:rPr>
              <w:t>□</w:t>
            </w:r>
          </w:p>
        </w:tc>
        <w:tc>
          <w:tcPr>
            <w:tcW w:w="2160" w:type="dxa"/>
            <w:gridSpan w:val="10"/>
            <w:noWrap w:val="0"/>
            <w:vAlign w:val="center"/>
          </w:tcPr>
          <w:p>
            <w:pPr>
              <w:widowControl/>
              <w:adjustRightInd w:val="0"/>
              <w:snapToGrid w:val="0"/>
              <w:jc w:val="center"/>
              <w:rPr>
                <w:color w:val="auto"/>
                <w:kern w:val="0"/>
                <w:sz w:val="18"/>
                <w:szCs w:val="18"/>
              </w:rPr>
            </w:pPr>
            <w:r>
              <w:rPr>
                <w:color w:val="auto"/>
                <w:kern w:val="0"/>
                <w:sz w:val="18"/>
                <w:szCs w:val="18"/>
              </w:rPr>
              <w:t>500~2000t/a</w:t>
            </w:r>
            <w:r>
              <w:rPr>
                <w:rFonts w:hint="default" w:ascii="Times New Roman" w:hAnsi="Times New Roman"/>
                <w:color w:val="auto"/>
                <w:kern w:val="0"/>
                <w:sz w:val="18"/>
                <w:szCs w:val="18"/>
              </w:rPr>
              <w:t>□</w:t>
            </w:r>
          </w:p>
        </w:tc>
        <w:tc>
          <w:tcPr>
            <w:tcW w:w="2366" w:type="dxa"/>
            <w:gridSpan w:val="7"/>
            <w:noWrap w:val="0"/>
            <w:vAlign w:val="center"/>
          </w:tcPr>
          <w:p>
            <w:pPr>
              <w:widowControl/>
              <w:adjustRightInd w:val="0"/>
              <w:snapToGrid w:val="0"/>
              <w:jc w:val="center"/>
              <w:rPr>
                <w:color w:val="auto"/>
                <w:kern w:val="0"/>
                <w:sz w:val="18"/>
                <w:szCs w:val="18"/>
              </w:rPr>
            </w:pPr>
            <w:r>
              <w:rPr>
                <w:color w:val="auto"/>
                <w:kern w:val="0"/>
                <w:sz w:val="18"/>
                <w:szCs w:val="18"/>
              </w:rPr>
              <w:t>&lt;500t/a</w:t>
            </w:r>
            <w:r>
              <w:rPr>
                <w:rFonts w:ascii="Times New Roman" w:hAnsi="Times New Roman"/>
                <w:color w:val="auto"/>
                <w:kern w:val="0"/>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63" w:hRule="atLeast"/>
        </w:trPr>
        <w:tc>
          <w:tcPr>
            <w:tcW w:w="1015"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评价因子</w:t>
            </w:r>
          </w:p>
        </w:tc>
        <w:tc>
          <w:tcPr>
            <w:tcW w:w="3917" w:type="dxa"/>
            <w:gridSpan w:val="13"/>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基本污染物（</w:t>
            </w:r>
            <w:r>
              <w:rPr>
                <w:rFonts w:hint="default"/>
                <w:color w:val="auto"/>
                <w:kern w:val="0"/>
                <w:sz w:val="18"/>
                <w:szCs w:val="18"/>
                <w:lang w:val="en-US" w:eastAsia="zh-CN"/>
              </w:rPr>
              <w:t>SO</w:t>
            </w:r>
            <w:r>
              <w:rPr>
                <w:rFonts w:hint="default"/>
                <w:color w:val="auto"/>
                <w:kern w:val="0"/>
                <w:sz w:val="18"/>
                <w:szCs w:val="18"/>
                <w:vertAlign w:val="subscript"/>
                <w:lang w:val="en-US" w:eastAsia="zh-CN"/>
              </w:rPr>
              <w:t>2</w:t>
            </w:r>
            <w:r>
              <w:rPr>
                <w:rFonts w:hint="default"/>
                <w:color w:val="auto"/>
                <w:kern w:val="0"/>
                <w:sz w:val="18"/>
                <w:szCs w:val="18"/>
                <w:lang w:val="en-US" w:eastAsia="zh-CN"/>
              </w:rPr>
              <w:t>、NOx</w:t>
            </w:r>
            <w:r>
              <w:rPr>
                <w:rFonts w:hint="default" w:ascii="Times New Roman" w:hAnsi="Times New Roman" w:cs="Times New Roman"/>
                <w:color w:val="auto"/>
                <w:kern w:val="0"/>
                <w:sz w:val="18"/>
                <w:szCs w:val="18"/>
              </w:rPr>
              <w:t>）</w:t>
            </w:r>
          </w:p>
          <w:p>
            <w:pPr>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其他污染物（</w:t>
            </w:r>
            <w:r>
              <w:rPr>
                <w:rFonts w:hint="default" w:ascii="Times New Roman" w:hAnsi="Times New Roman" w:cs="Times New Roman"/>
                <w:color w:val="auto"/>
                <w:kern w:val="0"/>
                <w:sz w:val="18"/>
                <w:szCs w:val="18"/>
                <w:lang w:val="en-US" w:eastAsia="zh-CN"/>
              </w:rPr>
              <w:t xml:space="preserve"> </w:t>
            </w:r>
            <w:r>
              <w:rPr>
                <w:rFonts w:hint="default" w:ascii="Times New Roman" w:hAnsi="Times New Roman" w:cs="Times New Roman"/>
                <w:color w:val="auto"/>
                <w:kern w:val="0"/>
                <w:sz w:val="18"/>
                <w:szCs w:val="18"/>
              </w:rPr>
              <w:t>）</w:t>
            </w:r>
          </w:p>
        </w:tc>
        <w:tc>
          <w:tcPr>
            <w:tcW w:w="2366" w:type="dxa"/>
            <w:gridSpan w:val="7"/>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包括二次</w:t>
            </w:r>
            <w:r>
              <w:rPr>
                <w:color w:val="auto"/>
                <w:kern w:val="0"/>
                <w:sz w:val="18"/>
                <w:szCs w:val="18"/>
              </w:rPr>
              <w:t>PM</w:t>
            </w:r>
            <w:r>
              <w:rPr>
                <w:color w:val="auto"/>
                <w:kern w:val="0"/>
                <w:sz w:val="18"/>
                <w:szCs w:val="18"/>
                <w:vertAlign w:val="subscript"/>
              </w:rPr>
              <w:t>2.5</w:t>
            </w:r>
            <w:r>
              <w:rPr>
                <w:rFonts w:hint="default" w:ascii="Times New Roman" w:hAnsi="Times New Roman" w:cs="Times New Roman"/>
                <w:color w:val="auto"/>
                <w:kern w:val="0"/>
                <w:sz w:val="18"/>
                <w:szCs w:val="18"/>
              </w:rPr>
              <w:t>□</w:t>
            </w:r>
          </w:p>
          <w:p>
            <w:pPr>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不包括二次</w:t>
            </w:r>
            <w:r>
              <w:rPr>
                <w:color w:val="auto"/>
                <w:kern w:val="0"/>
                <w:sz w:val="18"/>
                <w:szCs w:val="18"/>
              </w:rPr>
              <w:t>PM</w:t>
            </w:r>
            <w:r>
              <w:rPr>
                <w:color w:val="auto"/>
                <w:kern w:val="0"/>
                <w:sz w:val="18"/>
                <w:szCs w:val="18"/>
                <w:vertAlign w:val="subscript"/>
              </w:rPr>
              <w:t>2.5</w:t>
            </w:r>
            <w:r>
              <w:rPr>
                <w:rFonts w:ascii="Times New Roman" w:hAnsi="Times New Roman" w:cs="Times New Roman"/>
                <w:color w:val="auto"/>
                <w:kern w:val="0"/>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w:t>
            </w: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w:t>
            </w:r>
          </w:p>
        </w:tc>
        <w:tc>
          <w:tcPr>
            <w:tcW w:w="1875" w:type="dxa"/>
            <w:gridSpan w:val="4"/>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国家标准</w:t>
            </w:r>
            <w:r>
              <w:rPr>
                <w:rFonts w:ascii="Times New Roman" w:hAnsi="Times New Roman" w:cs="Times New Roman"/>
                <w:color w:val="auto"/>
                <w:kern w:val="0"/>
                <w:sz w:val="18"/>
                <w:szCs w:val="18"/>
              </w:rPr>
              <w:sym w:font="Wingdings 2" w:char="0052"/>
            </w:r>
          </w:p>
        </w:tc>
        <w:tc>
          <w:tcPr>
            <w:tcW w:w="1142" w:type="dxa"/>
            <w:gridSpan w:val="4"/>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地方标准</w:t>
            </w:r>
            <w:r>
              <w:rPr>
                <w:rFonts w:hint="default" w:ascii="Times New Roman" w:hAnsi="Times New Roman" w:cs="Times New Roman"/>
                <w:color w:val="auto"/>
                <w:kern w:val="0"/>
                <w:sz w:val="18"/>
                <w:szCs w:val="18"/>
              </w:rPr>
              <w:sym w:font="Wingdings 2" w:char="00A3"/>
            </w:r>
          </w:p>
        </w:tc>
        <w:tc>
          <w:tcPr>
            <w:tcW w:w="1123" w:type="dxa"/>
            <w:gridSpan w:val="7"/>
            <w:noWrap w:val="0"/>
            <w:vAlign w:val="center"/>
          </w:tcPr>
          <w:p>
            <w:pPr>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附录</w:t>
            </w:r>
            <w:r>
              <w:rPr>
                <w:color w:val="auto"/>
                <w:kern w:val="0"/>
                <w:sz w:val="18"/>
                <w:szCs w:val="18"/>
              </w:rPr>
              <w:t>D</w:t>
            </w:r>
            <w:r>
              <w:rPr>
                <w:rFonts w:hint="default" w:ascii="Times New Roman" w:hAnsi="Times New Roman" w:cs="Times New Roman"/>
                <w:color w:val="auto"/>
                <w:kern w:val="0"/>
                <w:sz w:val="18"/>
                <w:szCs w:val="18"/>
              </w:rPr>
              <w:sym w:font="Wingdings 2" w:char="00A3"/>
            </w:r>
          </w:p>
        </w:tc>
        <w:tc>
          <w:tcPr>
            <w:tcW w:w="2143" w:type="dxa"/>
            <w:gridSpan w:val="5"/>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其他标准□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restart"/>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现状评价</w:t>
            </w: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评价功能区</w:t>
            </w:r>
          </w:p>
        </w:tc>
        <w:tc>
          <w:tcPr>
            <w:tcW w:w="1937" w:type="dxa"/>
            <w:gridSpan w:val="5"/>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w:t>
            </w:r>
          </w:p>
        </w:tc>
        <w:tc>
          <w:tcPr>
            <w:tcW w:w="2203" w:type="dxa"/>
            <w:gridSpan w:val="10"/>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二类区</w:t>
            </w:r>
            <w:r>
              <w:rPr>
                <w:rFonts w:ascii="Times New Roman" w:hAnsi="Times New Roman" w:cs="Times New Roman"/>
                <w:color w:val="auto"/>
                <w:kern w:val="0"/>
                <w:sz w:val="18"/>
                <w:szCs w:val="18"/>
              </w:rPr>
              <w:t></w:t>
            </w:r>
          </w:p>
        </w:tc>
        <w:tc>
          <w:tcPr>
            <w:tcW w:w="2143" w:type="dxa"/>
            <w:gridSpan w:val="5"/>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一类区和二类区□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评价基准年</w:t>
            </w:r>
          </w:p>
        </w:tc>
        <w:tc>
          <w:tcPr>
            <w:tcW w:w="6283" w:type="dxa"/>
            <w:gridSpan w:val="20"/>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r>
              <w:rPr>
                <w:color w:val="auto"/>
                <w:kern w:val="0"/>
                <w:sz w:val="18"/>
                <w:szCs w:val="18"/>
              </w:rPr>
              <w:t>20</w:t>
            </w:r>
            <w:r>
              <w:rPr>
                <w:rFonts w:hint="default"/>
                <w:color w:val="auto"/>
                <w:kern w:val="0"/>
                <w:sz w:val="18"/>
                <w:szCs w:val="18"/>
                <w:lang w:val="en-US" w:eastAsia="zh-CN"/>
              </w:rPr>
              <w:t>23</w:t>
            </w:r>
            <w:r>
              <w:rPr>
                <w:rFonts w:hint="default" w:ascii="Times New Roman" w:hAnsi="Times New Roman" w:cs="Times New Roman"/>
                <w:color w:val="auto"/>
                <w:kern w:val="0"/>
                <w:sz w:val="18"/>
                <w:szCs w:val="18"/>
              </w:rPr>
              <w:t>）年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1015"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环境空气质量现状调查数据来源</w:t>
            </w:r>
          </w:p>
        </w:tc>
        <w:tc>
          <w:tcPr>
            <w:tcW w:w="1937" w:type="dxa"/>
            <w:gridSpan w:val="5"/>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长期例行监测数据</w:t>
            </w:r>
            <w:r>
              <w:rPr>
                <w:rFonts w:ascii="Times New Roman" w:hAnsi="Times New Roman" w:cs="Times New Roman"/>
                <w:color w:val="auto"/>
                <w:kern w:val="0"/>
                <w:sz w:val="18"/>
                <w:szCs w:val="18"/>
              </w:rPr>
              <w:sym w:font="Wingdings 2" w:char="00A3"/>
            </w:r>
          </w:p>
        </w:tc>
        <w:tc>
          <w:tcPr>
            <w:tcW w:w="2203" w:type="dxa"/>
            <w:gridSpan w:val="10"/>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主管部门发布的数据</w:t>
            </w:r>
            <w:r>
              <w:rPr>
                <w:rFonts w:hint="default" w:ascii="Times New Roman" w:hAnsi="Times New Roman" w:cs="Times New Roman"/>
                <w:color w:val="auto"/>
                <w:kern w:val="0"/>
                <w:sz w:val="18"/>
                <w:szCs w:val="18"/>
              </w:rPr>
              <w:sym w:font="Wingdings 2" w:char="0052"/>
            </w:r>
          </w:p>
        </w:tc>
        <w:tc>
          <w:tcPr>
            <w:tcW w:w="2143" w:type="dxa"/>
            <w:gridSpan w:val="5"/>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现状补充检测</w:t>
            </w:r>
            <w:r>
              <w:rPr>
                <w:rFonts w:ascii="Times New Roman" w:hAnsi="Times New Roman" w:cs="Times New Roman"/>
                <w:color w:val="auto"/>
                <w:kern w:val="0"/>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现状评价</w:t>
            </w:r>
          </w:p>
        </w:tc>
        <w:tc>
          <w:tcPr>
            <w:tcW w:w="3377" w:type="dxa"/>
            <w:gridSpan w:val="11"/>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达标区</w:t>
            </w:r>
            <w:r>
              <w:rPr>
                <w:rFonts w:hint="default" w:ascii="Times New Roman" w:hAnsi="Times New Roman" w:cs="Times New Roman"/>
                <w:color w:val="auto"/>
                <w:kern w:val="0"/>
                <w:sz w:val="18"/>
                <w:szCs w:val="18"/>
              </w:rPr>
              <w:sym w:font="Wingdings 2" w:char="00A3"/>
            </w:r>
          </w:p>
        </w:tc>
        <w:tc>
          <w:tcPr>
            <w:tcW w:w="2906" w:type="dxa"/>
            <w:gridSpan w:val="9"/>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不达标区</w:t>
            </w:r>
            <w:r>
              <w:rPr>
                <w:rFonts w:ascii="Times New Roman" w:hAnsi="Times New Roman" w:cs="Times New Roman"/>
                <w:color w:val="auto"/>
                <w:kern w:val="0"/>
                <w:sz w:val="18"/>
                <w:szCs w:val="18"/>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24" w:hRule="atLeast"/>
        </w:trPr>
        <w:tc>
          <w:tcPr>
            <w:tcW w:w="1015"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污染源调查</w:t>
            </w: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调查内容</w:t>
            </w:r>
          </w:p>
        </w:tc>
        <w:tc>
          <w:tcPr>
            <w:tcW w:w="2117" w:type="dxa"/>
            <w:gridSpan w:val="6"/>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本项目正常排放源</w:t>
            </w:r>
            <w:r>
              <w:rPr>
                <w:rFonts w:ascii="Times New Roman" w:hAnsi="Times New Roman" w:cs="Times New Roman"/>
                <w:color w:val="auto"/>
                <w:kern w:val="0"/>
                <w:sz w:val="18"/>
                <w:szCs w:val="18"/>
              </w:rPr>
              <w:sym w:font="Wingdings 2" w:char="0052"/>
            </w:r>
          </w:p>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本项目非正常排放源</w:t>
            </w:r>
            <w:r>
              <w:rPr>
                <w:rFonts w:ascii="Times New Roman" w:hAnsi="Times New Roman" w:cs="Times New Roman"/>
                <w:color w:val="auto"/>
                <w:kern w:val="0"/>
                <w:sz w:val="18"/>
                <w:szCs w:val="18"/>
              </w:rPr>
              <w:sym w:font="Wingdings 2" w:char="00A3"/>
            </w:r>
          </w:p>
          <w:p>
            <w:pPr>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现有污染源</w:t>
            </w:r>
            <w:r>
              <w:rPr>
                <w:rFonts w:hint="default" w:ascii="Times New Roman" w:hAnsi="Times New Roman" w:cs="Times New Roman"/>
                <w:color w:val="auto"/>
                <w:kern w:val="0"/>
                <w:sz w:val="18"/>
                <w:szCs w:val="18"/>
              </w:rPr>
              <w:sym w:font="Wingdings 2" w:char="00A3"/>
            </w:r>
          </w:p>
        </w:tc>
        <w:tc>
          <w:tcPr>
            <w:tcW w:w="1260" w:type="dxa"/>
            <w:gridSpan w:val="5"/>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拟替代的污染源</w:t>
            </w:r>
            <w:r>
              <w:rPr>
                <w:rFonts w:ascii="Times New Roman" w:hAnsi="Times New Roman" w:cs="Times New Roman"/>
                <w:color w:val="auto"/>
                <w:kern w:val="0"/>
                <w:sz w:val="18"/>
                <w:szCs w:val="18"/>
              </w:rPr>
              <w:sym w:font="Wingdings 2" w:char="00A3"/>
            </w:r>
          </w:p>
        </w:tc>
        <w:tc>
          <w:tcPr>
            <w:tcW w:w="1466" w:type="dxa"/>
            <w:gridSpan w:val="6"/>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其他在建、拟建项目污染源</w:t>
            </w:r>
            <w:r>
              <w:rPr>
                <w:rFonts w:ascii="Times New Roman" w:hAnsi="Times New Roman" w:cs="Times New Roman"/>
                <w:color w:val="auto"/>
                <w:kern w:val="0"/>
                <w:sz w:val="18"/>
                <w:szCs w:val="18"/>
              </w:rPr>
              <w:sym w:font="Wingdings 2" w:char="00A3"/>
            </w:r>
          </w:p>
        </w:tc>
        <w:tc>
          <w:tcPr>
            <w:tcW w:w="1440" w:type="dxa"/>
            <w:gridSpan w:val="3"/>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区域污染源</w:t>
            </w:r>
            <w:r>
              <w:rPr>
                <w:rFonts w:ascii="Times New Roman" w:hAnsi="Times New Roman" w:cs="Times New Roman"/>
                <w:color w:val="auto"/>
                <w:kern w:val="0"/>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92" w:hRule="atLeast"/>
        </w:trPr>
        <w:tc>
          <w:tcPr>
            <w:tcW w:w="1015" w:type="dxa"/>
            <w:vMerge w:val="restart"/>
            <w:noWrap w:val="0"/>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大气环境影响预测与评价　</w:t>
            </w: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预测模型</w:t>
            </w:r>
          </w:p>
        </w:tc>
        <w:tc>
          <w:tcPr>
            <w:tcW w:w="1081" w:type="dxa"/>
            <w:noWrap w:val="0"/>
            <w:vAlign w:val="center"/>
          </w:tcPr>
          <w:p>
            <w:pPr>
              <w:widowControl/>
              <w:adjustRightInd w:val="0"/>
              <w:snapToGrid w:val="0"/>
              <w:jc w:val="center"/>
              <w:rPr>
                <w:color w:val="auto"/>
                <w:kern w:val="0"/>
                <w:sz w:val="18"/>
                <w:szCs w:val="18"/>
              </w:rPr>
            </w:pPr>
            <w:r>
              <w:rPr>
                <w:color w:val="auto"/>
                <w:kern w:val="0"/>
                <w:sz w:val="18"/>
                <w:szCs w:val="18"/>
              </w:rPr>
              <w:t>AERMOD</w:t>
            </w:r>
            <w:r>
              <w:rPr>
                <w:rFonts w:ascii="Times New Roman" w:hAnsi="Times New Roman" w:cs="Times New Roman"/>
                <w:color w:val="auto"/>
                <w:kern w:val="0"/>
                <w:sz w:val="18"/>
                <w:szCs w:val="18"/>
              </w:rPr>
              <w:sym w:font="Wingdings 2" w:char="00A3"/>
            </w:r>
          </w:p>
        </w:tc>
        <w:tc>
          <w:tcPr>
            <w:tcW w:w="794" w:type="dxa"/>
            <w:gridSpan w:val="3"/>
            <w:noWrap w:val="0"/>
            <w:vAlign w:val="center"/>
          </w:tcPr>
          <w:p>
            <w:pPr>
              <w:widowControl/>
              <w:adjustRightInd w:val="0"/>
              <w:snapToGrid w:val="0"/>
              <w:jc w:val="center"/>
              <w:rPr>
                <w:color w:val="auto"/>
                <w:kern w:val="0"/>
                <w:sz w:val="18"/>
                <w:szCs w:val="18"/>
              </w:rPr>
            </w:pPr>
            <w:r>
              <w:rPr>
                <w:color w:val="auto"/>
                <w:kern w:val="0"/>
                <w:sz w:val="18"/>
                <w:szCs w:val="18"/>
              </w:rPr>
              <w:t>ADMS</w:t>
            </w:r>
            <w:r>
              <w:rPr>
                <w:rFonts w:hint="default" w:ascii="Times New Roman" w:hAnsi="Times New Roman"/>
                <w:color w:val="auto"/>
                <w:kern w:val="0"/>
                <w:sz w:val="18"/>
                <w:szCs w:val="18"/>
              </w:rPr>
              <w:t>□</w:t>
            </w:r>
          </w:p>
        </w:tc>
        <w:tc>
          <w:tcPr>
            <w:tcW w:w="962" w:type="dxa"/>
            <w:gridSpan w:val="3"/>
            <w:noWrap w:val="0"/>
            <w:vAlign w:val="center"/>
          </w:tcPr>
          <w:p>
            <w:pPr>
              <w:widowControl/>
              <w:adjustRightInd w:val="0"/>
              <w:snapToGrid w:val="0"/>
              <w:jc w:val="center"/>
              <w:rPr>
                <w:color w:val="auto"/>
                <w:kern w:val="0"/>
                <w:sz w:val="18"/>
                <w:szCs w:val="18"/>
              </w:rPr>
            </w:pPr>
            <w:r>
              <w:rPr>
                <w:color w:val="auto"/>
                <w:kern w:val="0"/>
                <w:sz w:val="18"/>
                <w:szCs w:val="18"/>
              </w:rPr>
              <w:t>AUSTAL2000</w:t>
            </w:r>
            <w:r>
              <w:rPr>
                <w:rFonts w:hint="default" w:ascii="Times New Roman" w:hAnsi="Times New Roman"/>
                <w:color w:val="auto"/>
                <w:kern w:val="0"/>
                <w:sz w:val="18"/>
                <w:szCs w:val="18"/>
              </w:rPr>
              <w:t>□</w:t>
            </w:r>
          </w:p>
        </w:tc>
        <w:tc>
          <w:tcPr>
            <w:tcW w:w="900" w:type="dxa"/>
            <w:gridSpan w:val="5"/>
            <w:noWrap w:val="0"/>
            <w:vAlign w:val="center"/>
          </w:tcPr>
          <w:p>
            <w:pPr>
              <w:widowControl/>
              <w:adjustRightInd w:val="0"/>
              <w:snapToGrid w:val="0"/>
              <w:jc w:val="center"/>
              <w:rPr>
                <w:color w:val="auto"/>
                <w:kern w:val="0"/>
                <w:sz w:val="18"/>
                <w:szCs w:val="18"/>
              </w:rPr>
            </w:pPr>
            <w:r>
              <w:rPr>
                <w:color w:val="auto"/>
                <w:kern w:val="0"/>
                <w:sz w:val="18"/>
                <w:szCs w:val="18"/>
              </w:rPr>
              <w:t>EDMS/AEDT</w:t>
            </w:r>
            <w:r>
              <w:rPr>
                <w:rFonts w:hint="default" w:ascii="Times New Roman" w:hAnsi="Times New Roman"/>
                <w:color w:val="auto"/>
                <w:kern w:val="0"/>
                <w:sz w:val="18"/>
                <w:szCs w:val="18"/>
              </w:rPr>
              <w:t>□</w:t>
            </w:r>
          </w:p>
        </w:tc>
        <w:tc>
          <w:tcPr>
            <w:tcW w:w="1106" w:type="dxa"/>
            <w:gridSpan w:val="5"/>
            <w:noWrap w:val="0"/>
            <w:vAlign w:val="center"/>
          </w:tcPr>
          <w:p>
            <w:pPr>
              <w:widowControl/>
              <w:adjustRightInd w:val="0"/>
              <w:snapToGrid w:val="0"/>
              <w:jc w:val="center"/>
              <w:rPr>
                <w:color w:val="auto"/>
                <w:kern w:val="0"/>
                <w:sz w:val="18"/>
                <w:szCs w:val="18"/>
              </w:rPr>
            </w:pPr>
            <w:r>
              <w:rPr>
                <w:color w:val="auto"/>
                <w:kern w:val="0"/>
                <w:sz w:val="18"/>
                <w:szCs w:val="18"/>
              </w:rPr>
              <w:t>CALPUFF</w:t>
            </w:r>
            <w:r>
              <w:rPr>
                <w:rFonts w:hint="default" w:ascii="Times New Roman" w:hAnsi="Times New Roman"/>
                <w:color w:val="auto"/>
                <w:kern w:val="0"/>
                <w:sz w:val="18"/>
                <w:szCs w:val="18"/>
              </w:rPr>
              <w:t>□</w:t>
            </w:r>
          </w:p>
        </w:tc>
        <w:tc>
          <w:tcPr>
            <w:tcW w:w="900" w:type="dxa"/>
            <w:gridSpan w:val="2"/>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网格模型□</w:t>
            </w:r>
          </w:p>
        </w:tc>
        <w:tc>
          <w:tcPr>
            <w:tcW w:w="540" w:type="dxa"/>
            <w:noWrap w:val="0"/>
            <w:vAlign w:val="center"/>
          </w:tcPr>
          <w:p>
            <w:pPr>
              <w:widowControl/>
              <w:adjustRightInd w:val="0"/>
              <w:snapToGrid w:val="0"/>
              <w:jc w:val="center"/>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rPr>
              <w:t>其他</w:t>
            </w:r>
            <w:r>
              <w:rPr>
                <w:rFonts w:hint="default" w:ascii="Times New Roman" w:hAnsi="Times New Roman" w:cs="Times New Roman"/>
                <w:color w:val="auto"/>
                <w:kern w:val="0"/>
                <w:sz w:val="18"/>
                <w:szCs w:val="18"/>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02" w:hRule="atLeast"/>
        </w:trPr>
        <w:tc>
          <w:tcPr>
            <w:tcW w:w="1015" w:type="dxa"/>
            <w:vMerge w:val="continue"/>
            <w:noWrap w:val="0"/>
            <w:vAlign w:val="bottom"/>
          </w:tcPr>
          <w:p>
            <w:pPr>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预测范围</w:t>
            </w:r>
          </w:p>
        </w:tc>
        <w:tc>
          <w:tcPr>
            <w:tcW w:w="2837" w:type="dxa"/>
            <w:gridSpan w:val="7"/>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边长≥</w:t>
            </w:r>
            <w:r>
              <w:rPr>
                <w:color w:val="auto"/>
                <w:kern w:val="0"/>
                <w:sz w:val="18"/>
                <w:szCs w:val="18"/>
              </w:rPr>
              <w:t>50km</w:t>
            </w:r>
            <w:r>
              <w:rPr>
                <w:rFonts w:hint="default" w:ascii="Times New Roman" w:hAnsi="Times New Roman" w:cs="Times New Roman"/>
                <w:color w:val="auto"/>
                <w:kern w:val="0"/>
                <w:sz w:val="18"/>
                <w:szCs w:val="18"/>
              </w:rPr>
              <w:t>□</w:t>
            </w:r>
          </w:p>
        </w:tc>
        <w:tc>
          <w:tcPr>
            <w:tcW w:w="2006" w:type="dxa"/>
            <w:gridSpan w:val="10"/>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边长</w:t>
            </w:r>
            <w:r>
              <w:rPr>
                <w:color w:val="auto"/>
                <w:kern w:val="0"/>
                <w:sz w:val="18"/>
                <w:szCs w:val="18"/>
              </w:rPr>
              <w:t>5~50km</w:t>
            </w:r>
            <w:r>
              <w:rPr>
                <w:rFonts w:ascii="Times New Roman" w:hAnsi="Times New Roman" w:cs="Times New Roman"/>
                <w:color w:val="auto"/>
                <w:kern w:val="0"/>
                <w:sz w:val="18"/>
                <w:szCs w:val="18"/>
              </w:rPr>
              <w:sym w:font="Wingdings 2" w:char="00A3"/>
            </w:r>
          </w:p>
        </w:tc>
        <w:tc>
          <w:tcPr>
            <w:tcW w:w="1440" w:type="dxa"/>
            <w:gridSpan w:val="3"/>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边长</w:t>
            </w:r>
            <w:r>
              <w:rPr>
                <w:color w:val="auto"/>
                <w:kern w:val="0"/>
                <w:sz w:val="18"/>
                <w:szCs w:val="18"/>
              </w:rPr>
              <w:t>=5km</w:t>
            </w:r>
            <w:r>
              <w:rPr>
                <w:rFonts w:hint="default" w:ascii="Times New Roman" w:hAnsi="Times New Roman" w:cs="Times New Roman"/>
                <w:color w:val="auto"/>
                <w:kern w:val="0"/>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70" w:hRule="atLeast"/>
        </w:trPr>
        <w:tc>
          <w:tcPr>
            <w:tcW w:w="1015" w:type="dxa"/>
            <w:vMerge w:val="continue"/>
            <w:noWrap/>
            <w:vAlign w:val="bottom"/>
          </w:tcPr>
          <w:p>
            <w:pPr>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预测因子</w:t>
            </w:r>
          </w:p>
        </w:tc>
        <w:tc>
          <w:tcPr>
            <w:tcW w:w="4097" w:type="dxa"/>
            <w:gridSpan w:val="14"/>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预测因子（</w:t>
            </w:r>
            <w:r>
              <w:rPr>
                <w:rFonts w:hint="default" w:ascii="Times New Roman" w:hAnsi="Times New Roman" w:cs="Times New Roman"/>
                <w:color w:val="auto"/>
                <w:kern w:val="0"/>
                <w:sz w:val="18"/>
                <w:szCs w:val="18"/>
                <w:lang w:val="en-US" w:eastAsia="zh-CN"/>
              </w:rPr>
              <w:t xml:space="preserve"> </w:t>
            </w:r>
            <w:r>
              <w:rPr>
                <w:rFonts w:hint="default" w:ascii="Times New Roman" w:hAnsi="Times New Roman" w:cs="Times New Roman"/>
                <w:color w:val="auto"/>
                <w:kern w:val="0"/>
                <w:sz w:val="18"/>
                <w:szCs w:val="18"/>
              </w:rPr>
              <w:t>）</w:t>
            </w:r>
          </w:p>
        </w:tc>
        <w:tc>
          <w:tcPr>
            <w:tcW w:w="2186" w:type="dxa"/>
            <w:gridSpan w:val="6"/>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包括二次</w:t>
            </w:r>
            <w:r>
              <w:rPr>
                <w:color w:val="auto"/>
                <w:kern w:val="0"/>
                <w:sz w:val="18"/>
                <w:szCs w:val="18"/>
              </w:rPr>
              <w:t>PM</w:t>
            </w:r>
            <w:r>
              <w:rPr>
                <w:color w:val="auto"/>
                <w:kern w:val="0"/>
                <w:sz w:val="18"/>
                <w:szCs w:val="18"/>
                <w:vertAlign w:val="subscript"/>
              </w:rPr>
              <w:t>2.5</w:t>
            </w:r>
            <w:r>
              <w:rPr>
                <w:rFonts w:hint="default" w:ascii="Times New Roman" w:hAnsi="Times New Roman" w:cs="Times New Roman"/>
                <w:color w:val="auto"/>
                <w:kern w:val="0"/>
                <w:sz w:val="18"/>
                <w:szCs w:val="18"/>
              </w:rPr>
              <w:t>□</w:t>
            </w:r>
          </w:p>
          <w:p>
            <w:pPr>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不包括二次</w:t>
            </w:r>
            <w:r>
              <w:rPr>
                <w:color w:val="auto"/>
                <w:kern w:val="0"/>
                <w:sz w:val="18"/>
                <w:szCs w:val="18"/>
              </w:rPr>
              <w:t>PM</w:t>
            </w:r>
            <w:r>
              <w:rPr>
                <w:color w:val="auto"/>
                <w:kern w:val="0"/>
                <w:sz w:val="18"/>
                <w:szCs w:val="18"/>
                <w:vertAlign w:val="subscript"/>
              </w:rPr>
              <w:t>2.5</w:t>
            </w:r>
            <w:r>
              <w:rPr>
                <w:rFonts w:ascii="Times New Roman" w:hAnsi="Times New Roman" w:cs="Times New Roman"/>
                <w:color w:val="auto"/>
                <w:kern w:val="0"/>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86" w:hRule="atLeast"/>
        </w:trPr>
        <w:tc>
          <w:tcPr>
            <w:tcW w:w="1015" w:type="dxa"/>
            <w:vMerge w:val="continue"/>
            <w:noWrap/>
            <w:vAlign w:val="bottom"/>
          </w:tcPr>
          <w:p>
            <w:pPr>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正常排放短期浓度贡献值</w:t>
            </w:r>
          </w:p>
        </w:tc>
        <w:tc>
          <w:tcPr>
            <w:tcW w:w="4097" w:type="dxa"/>
            <w:gridSpan w:val="14"/>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vertAlign w:val="subscript"/>
              </w:rPr>
              <w:t>本项目</w:t>
            </w:r>
            <w:r>
              <w:rPr>
                <w:rFonts w:hint="default" w:ascii="Times New Roman" w:hAnsi="Times New Roman"/>
                <w:color w:val="auto"/>
                <w:kern w:val="0"/>
                <w:sz w:val="18"/>
                <w:szCs w:val="18"/>
              </w:rPr>
              <w:t>最大占标率≤</w:t>
            </w:r>
            <w:r>
              <w:rPr>
                <w:color w:val="auto"/>
                <w:kern w:val="0"/>
                <w:sz w:val="18"/>
                <w:szCs w:val="18"/>
              </w:rPr>
              <w:t>100%</w:t>
            </w:r>
            <w:r>
              <w:rPr>
                <w:rFonts w:ascii="Times New Roman" w:hAnsi="Times New Roman" w:cs="Times New Roman"/>
                <w:color w:val="auto"/>
                <w:kern w:val="0"/>
                <w:sz w:val="18"/>
                <w:szCs w:val="18"/>
              </w:rPr>
              <w:sym w:font="Wingdings 2" w:char="00A3"/>
            </w:r>
          </w:p>
        </w:tc>
        <w:tc>
          <w:tcPr>
            <w:tcW w:w="2186" w:type="dxa"/>
            <w:gridSpan w:val="6"/>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vertAlign w:val="subscript"/>
              </w:rPr>
              <w:t>本项目</w:t>
            </w:r>
            <w:r>
              <w:rPr>
                <w:rFonts w:hint="default" w:ascii="Times New Roman" w:hAnsi="Times New Roman"/>
                <w:color w:val="auto"/>
                <w:kern w:val="0"/>
                <w:sz w:val="18"/>
                <w:szCs w:val="18"/>
              </w:rPr>
              <w:t>最大占标率</w:t>
            </w:r>
            <w:r>
              <w:rPr>
                <w:color w:val="auto"/>
                <w:kern w:val="0"/>
                <w:sz w:val="18"/>
                <w:szCs w:val="18"/>
              </w:rPr>
              <w:t>&gt;100%</w:t>
            </w:r>
            <w:r>
              <w:rPr>
                <w:rFonts w:hint="default" w:ascii="Times New Roman" w:hAnsi="Times New Roman"/>
                <w:color w:val="auto"/>
                <w:kern w:val="0"/>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continue"/>
            <w:noWrap/>
            <w:vAlign w:val="bottom"/>
          </w:tcPr>
          <w:p>
            <w:pPr>
              <w:adjustRightInd w:val="0"/>
              <w:snapToGrid w:val="0"/>
              <w:jc w:val="left"/>
              <w:rPr>
                <w:rFonts w:ascii="Times New Roman" w:hAnsi="Times New Roman" w:cs="Times New Roman"/>
                <w:color w:val="auto"/>
                <w:kern w:val="0"/>
                <w:sz w:val="18"/>
                <w:szCs w:val="18"/>
              </w:rPr>
            </w:pPr>
          </w:p>
        </w:tc>
        <w:tc>
          <w:tcPr>
            <w:tcW w:w="1563" w:type="dxa"/>
            <w:vMerge w:val="restart"/>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正常排放年均浓度贡献值</w:t>
            </w:r>
          </w:p>
        </w:tc>
        <w:tc>
          <w:tcPr>
            <w:tcW w:w="1875" w:type="dxa"/>
            <w:gridSpan w:val="4"/>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w:t>
            </w:r>
          </w:p>
        </w:tc>
        <w:tc>
          <w:tcPr>
            <w:tcW w:w="2222" w:type="dxa"/>
            <w:gridSpan w:val="10"/>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vertAlign w:val="subscript"/>
              </w:rPr>
              <w:t>本项目</w:t>
            </w:r>
            <w:r>
              <w:rPr>
                <w:rFonts w:hint="default" w:ascii="Times New Roman" w:hAnsi="Times New Roman"/>
                <w:color w:val="auto"/>
                <w:kern w:val="0"/>
                <w:sz w:val="18"/>
                <w:szCs w:val="18"/>
              </w:rPr>
              <w:t>最大占标率≤</w:t>
            </w:r>
            <w:r>
              <w:rPr>
                <w:color w:val="auto"/>
                <w:kern w:val="0"/>
                <w:sz w:val="18"/>
                <w:szCs w:val="18"/>
              </w:rPr>
              <w:t>10%</w:t>
            </w:r>
            <w:r>
              <w:rPr>
                <w:rFonts w:hint="default" w:ascii="Times New Roman" w:hAnsi="Times New Roman"/>
                <w:color w:val="auto"/>
                <w:kern w:val="0"/>
                <w:sz w:val="18"/>
                <w:szCs w:val="18"/>
              </w:rPr>
              <w:t>□</w:t>
            </w:r>
          </w:p>
        </w:tc>
        <w:tc>
          <w:tcPr>
            <w:tcW w:w="2186" w:type="dxa"/>
            <w:gridSpan w:val="6"/>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vertAlign w:val="subscript"/>
              </w:rPr>
              <w:t>本项目</w:t>
            </w:r>
            <w:r>
              <w:rPr>
                <w:rFonts w:hint="default" w:ascii="Times New Roman" w:hAnsi="Times New Roman"/>
                <w:color w:val="auto"/>
                <w:kern w:val="0"/>
                <w:sz w:val="18"/>
                <w:szCs w:val="18"/>
              </w:rPr>
              <w:t>最大占标率</w:t>
            </w:r>
            <w:r>
              <w:rPr>
                <w:color w:val="auto"/>
                <w:kern w:val="0"/>
                <w:sz w:val="18"/>
                <w:szCs w:val="18"/>
              </w:rPr>
              <w:t>&gt;10%</w:t>
            </w:r>
            <w:r>
              <w:rPr>
                <w:rFonts w:hint="default" w:ascii="Times New Roman" w:hAnsi="Times New Roman"/>
                <w:color w:val="auto"/>
                <w:kern w:val="0"/>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continue"/>
            <w:noWrap/>
            <w:vAlign w:val="bottom"/>
          </w:tcPr>
          <w:p>
            <w:pPr>
              <w:adjustRightInd w:val="0"/>
              <w:snapToGrid w:val="0"/>
              <w:jc w:val="left"/>
              <w:rPr>
                <w:rFonts w:ascii="Times New Roman" w:hAnsi="Times New Roman" w:cs="Times New Roman"/>
                <w:color w:val="auto"/>
                <w:kern w:val="0"/>
                <w:sz w:val="18"/>
                <w:szCs w:val="18"/>
              </w:rPr>
            </w:pPr>
          </w:p>
        </w:tc>
        <w:tc>
          <w:tcPr>
            <w:tcW w:w="1563"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875" w:type="dxa"/>
            <w:gridSpan w:val="4"/>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二类区</w:t>
            </w:r>
          </w:p>
        </w:tc>
        <w:tc>
          <w:tcPr>
            <w:tcW w:w="2222" w:type="dxa"/>
            <w:gridSpan w:val="10"/>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vertAlign w:val="subscript"/>
              </w:rPr>
              <w:t>本项目</w:t>
            </w:r>
            <w:r>
              <w:rPr>
                <w:rFonts w:hint="default" w:ascii="Times New Roman" w:hAnsi="Times New Roman"/>
                <w:color w:val="auto"/>
                <w:kern w:val="0"/>
                <w:sz w:val="18"/>
                <w:szCs w:val="18"/>
              </w:rPr>
              <w:t>最大占标率≤</w:t>
            </w:r>
            <w:r>
              <w:rPr>
                <w:color w:val="auto"/>
                <w:kern w:val="0"/>
                <w:sz w:val="18"/>
                <w:szCs w:val="18"/>
              </w:rPr>
              <w:t>30%</w:t>
            </w:r>
            <w:r>
              <w:rPr>
                <w:rFonts w:ascii="Times New Roman" w:hAnsi="Times New Roman" w:cs="Times New Roman"/>
                <w:color w:val="auto"/>
                <w:kern w:val="0"/>
                <w:sz w:val="18"/>
                <w:szCs w:val="18"/>
              </w:rPr>
              <w:sym w:font="Wingdings 2" w:char="00A3"/>
            </w:r>
          </w:p>
        </w:tc>
        <w:tc>
          <w:tcPr>
            <w:tcW w:w="2186" w:type="dxa"/>
            <w:gridSpan w:val="6"/>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vertAlign w:val="subscript"/>
              </w:rPr>
              <w:t>本项目</w:t>
            </w:r>
            <w:r>
              <w:rPr>
                <w:rFonts w:hint="default" w:ascii="Times New Roman" w:hAnsi="Times New Roman"/>
                <w:color w:val="auto"/>
                <w:kern w:val="0"/>
                <w:sz w:val="18"/>
                <w:szCs w:val="18"/>
              </w:rPr>
              <w:t>最大占标率</w:t>
            </w:r>
            <w:r>
              <w:rPr>
                <w:color w:val="auto"/>
                <w:kern w:val="0"/>
                <w:sz w:val="18"/>
                <w:szCs w:val="18"/>
              </w:rPr>
              <w:t>&gt;30%</w:t>
            </w:r>
            <w:r>
              <w:rPr>
                <w:rFonts w:hint="default" w:ascii="Times New Roman" w:hAnsi="Times New Roman"/>
                <w:color w:val="auto"/>
                <w:kern w:val="0"/>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60" w:hRule="atLeast"/>
        </w:trPr>
        <w:tc>
          <w:tcPr>
            <w:tcW w:w="1015" w:type="dxa"/>
            <w:vMerge w:val="continue"/>
            <w:noWrap/>
            <w:vAlign w:val="bottom"/>
          </w:tcPr>
          <w:p>
            <w:pPr>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非正常</w:t>
            </w:r>
            <w:r>
              <w:rPr>
                <w:color w:val="auto"/>
                <w:kern w:val="0"/>
                <w:sz w:val="18"/>
                <w:szCs w:val="18"/>
              </w:rPr>
              <w:t>1h</w:t>
            </w:r>
            <w:r>
              <w:rPr>
                <w:rFonts w:hint="default" w:ascii="Times New Roman" w:hAnsi="Times New Roman" w:cs="Times New Roman"/>
                <w:color w:val="auto"/>
                <w:kern w:val="0"/>
                <w:sz w:val="18"/>
                <w:szCs w:val="18"/>
              </w:rPr>
              <w:t>浓度贡献值</w:t>
            </w:r>
          </w:p>
        </w:tc>
        <w:tc>
          <w:tcPr>
            <w:tcW w:w="2117" w:type="dxa"/>
            <w:gridSpan w:val="6"/>
            <w:noWrap w:val="0"/>
            <w:vAlign w:val="center"/>
          </w:tcPr>
          <w:p>
            <w:pPr>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非正常持续时长（</w:t>
            </w:r>
            <w:r>
              <w:rPr>
                <w:rFonts w:hint="default"/>
                <w:color w:val="auto"/>
                <w:kern w:val="0"/>
                <w:sz w:val="18"/>
                <w:szCs w:val="18"/>
              </w:rPr>
              <w:t>1</w:t>
            </w:r>
            <w:r>
              <w:rPr>
                <w:rFonts w:hint="default" w:ascii="Times New Roman" w:hAnsi="Times New Roman" w:cs="Times New Roman"/>
                <w:color w:val="auto"/>
                <w:kern w:val="0"/>
                <w:sz w:val="18"/>
                <w:szCs w:val="18"/>
              </w:rPr>
              <w:t>）</w:t>
            </w:r>
            <w:r>
              <w:rPr>
                <w:color w:val="auto"/>
                <w:kern w:val="0"/>
                <w:sz w:val="18"/>
                <w:szCs w:val="18"/>
              </w:rPr>
              <w:t>h</w:t>
            </w:r>
          </w:p>
        </w:tc>
        <w:tc>
          <w:tcPr>
            <w:tcW w:w="1980" w:type="dxa"/>
            <w:gridSpan w:val="8"/>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vertAlign w:val="subscript"/>
              </w:rPr>
              <w:t>非正常</w:t>
            </w:r>
            <w:r>
              <w:rPr>
                <w:rFonts w:hint="default" w:ascii="Times New Roman" w:hAnsi="Times New Roman"/>
                <w:color w:val="auto"/>
                <w:kern w:val="0"/>
                <w:sz w:val="18"/>
                <w:szCs w:val="18"/>
              </w:rPr>
              <w:t>占标率≤</w:t>
            </w:r>
            <w:r>
              <w:rPr>
                <w:color w:val="auto"/>
                <w:kern w:val="0"/>
                <w:sz w:val="18"/>
                <w:szCs w:val="18"/>
              </w:rPr>
              <w:t>100%</w:t>
            </w:r>
            <w:r>
              <w:rPr>
                <w:rFonts w:hint="default" w:ascii="Times New Roman" w:hAnsi="Times New Roman"/>
                <w:color w:val="auto"/>
                <w:kern w:val="0"/>
                <w:sz w:val="18"/>
                <w:szCs w:val="18"/>
              </w:rPr>
              <w:sym w:font="Wingdings 2" w:char="0052"/>
            </w:r>
          </w:p>
        </w:tc>
        <w:tc>
          <w:tcPr>
            <w:tcW w:w="2186" w:type="dxa"/>
            <w:gridSpan w:val="6"/>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vertAlign w:val="subscript"/>
              </w:rPr>
              <w:t>非正常</w:t>
            </w:r>
            <w:r>
              <w:rPr>
                <w:rFonts w:hint="default" w:ascii="Times New Roman" w:hAnsi="Times New Roman"/>
                <w:color w:val="auto"/>
                <w:kern w:val="0"/>
                <w:sz w:val="18"/>
                <w:szCs w:val="18"/>
              </w:rPr>
              <w:t>占标率</w:t>
            </w:r>
            <w:r>
              <w:rPr>
                <w:color w:val="auto"/>
                <w:kern w:val="0"/>
                <w:sz w:val="18"/>
                <w:szCs w:val="18"/>
              </w:rPr>
              <w:t>&gt;100%</w:t>
            </w:r>
            <w:r>
              <w:rPr>
                <w:rFonts w:ascii="Times New Roman" w:hAnsi="Times New Roman" w:cs="Times New Roman"/>
                <w:color w:val="auto"/>
                <w:kern w:val="0"/>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07" w:hRule="atLeast"/>
        </w:trPr>
        <w:tc>
          <w:tcPr>
            <w:tcW w:w="1015" w:type="dxa"/>
            <w:vMerge w:val="continue"/>
            <w:noWrap/>
            <w:vAlign w:val="bottom"/>
          </w:tcPr>
          <w:p>
            <w:pPr>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保证率日平均浓度和年平均浓度叠加值</w:t>
            </w:r>
          </w:p>
        </w:tc>
        <w:tc>
          <w:tcPr>
            <w:tcW w:w="3017" w:type="dxa"/>
            <w:gridSpan w:val="8"/>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rPr>
              <w:t>叠加达标</w:t>
            </w:r>
            <w:r>
              <w:rPr>
                <w:rFonts w:ascii="Times New Roman" w:hAnsi="Times New Roman" w:cs="Times New Roman"/>
                <w:color w:val="auto"/>
                <w:kern w:val="0"/>
                <w:sz w:val="18"/>
                <w:szCs w:val="18"/>
              </w:rPr>
              <w:sym w:font="Wingdings 2" w:char="00A3"/>
            </w:r>
          </w:p>
        </w:tc>
        <w:tc>
          <w:tcPr>
            <w:tcW w:w="3266" w:type="dxa"/>
            <w:gridSpan w:val="12"/>
            <w:noWrap w:val="0"/>
            <w:vAlign w:val="center"/>
          </w:tcPr>
          <w:p>
            <w:pPr>
              <w:widowControl/>
              <w:adjustRightInd w:val="0"/>
              <w:snapToGrid w:val="0"/>
              <w:jc w:val="center"/>
              <w:rPr>
                <w:color w:val="auto"/>
                <w:kern w:val="0"/>
                <w:sz w:val="18"/>
                <w:szCs w:val="18"/>
              </w:rPr>
            </w:pPr>
            <w:r>
              <w:rPr>
                <w:color w:val="auto"/>
                <w:kern w:val="0"/>
                <w:sz w:val="18"/>
                <w:szCs w:val="18"/>
              </w:rPr>
              <w:t>C</w:t>
            </w:r>
            <w:r>
              <w:rPr>
                <w:rFonts w:hint="default" w:ascii="Times New Roman" w:hAnsi="Times New Roman"/>
                <w:color w:val="auto"/>
                <w:kern w:val="0"/>
                <w:sz w:val="18"/>
                <w:szCs w:val="18"/>
              </w:rPr>
              <w:t>叠加不达标□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04" w:hRule="atLeast"/>
        </w:trPr>
        <w:tc>
          <w:tcPr>
            <w:tcW w:w="1015" w:type="dxa"/>
            <w:vMerge w:val="continue"/>
            <w:noWrap/>
            <w:vAlign w:val="bottom"/>
          </w:tcPr>
          <w:p>
            <w:pPr>
              <w:widowControl/>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区域环境质量的整体变化情况</w:t>
            </w:r>
          </w:p>
        </w:tc>
        <w:tc>
          <w:tcPr>
            <w:tcW w:w="3017" w:type="dxa"/>
            <w:gridSpan w:val="8"/>
            <w:noWrap w:val="0"/>
            <w:vAlign w:val="center"/>
          </w:tcPr>
          <w:p>
            <w:pPr>
              <w:widowControl/>
              <w:adjustRightInd w:val="0"/>
              <w:snapToGrid w:val="0"/>
              <w:jc w:val="center"/>
              <w:rPr>
                <w:color w:val="auto"/>
                <w:kern w:val="0"/>
                <w:sz w:val="18"/>
                <w:szCs w:val="18"/>
              </w:rPr>
            </w:pPr>
            <w:r>
              <w:rPr>
                <w:color w:val="auto"/>
                <w:kern w:val="0"/>
                <w:sz w:val="18"/>
                <w:szCs w:val="18"/>
              </w:rPr>
              <w:t>k</w:t>
            </w:r>
            <w:r>
              <w:rPr>
                <w:rFonts w:hint="default" w:ascii="Times New Roman" w:hAnsi="Times New Roman"/>
                <w:color w:val="auto"/>
                <w:kern w:val="0"/>
                <w:sz w:val="18"/>
                <w:szCs w:val="18"/>
              </w:rPr>
              <w:t>≤</w:t>
            </w:r>
            <w:r>
              <w:rPr>
                <w:color w:val="auto"/>
                <w:kern w:val="0"/>
                <w:sz w:val="18"/>
                <w:szCs w:val="18"/>
              </w:rPr>
              <w:t>-20%</w:t>
            </w:r>
            <w:r>
              <w:rPr>
                <w:rFonts w:hint="default" w:ascii="Times New Roman" w:hAnsi="Times New Roman"/>
                <w:color w:val="auto"/>
                <w:kern w:val="0"/>
                <w:sz w:val="18"/>
                <w:szCs w:val="18"/>
              </w:rPr>
              <w:sym w:font="Wingdings 2" w:char="00A3"/>
            </w:r>
          </w:p>
        </w:tc>
        <w:tc>
          <w:tcPr>
            <w:tcW w:w="3266" w:type="dxa"/>
            <w:gridSpan w:val="12"/>
            <w:noWrap w:val="0"/>
            <w:vAlign w:val="center"/>
          </w:tcPr>
          <w:p>
            <w:pPr>
              <w:widowControl/>
              <w:adjustRightInd w:val="0"/>
              <w:snapToGrid w:val="0"/>
              <w:jc w:val="center"/>
              <w:rPr>
                <w:color w:val="auto"/>
                <w:kern w:val="0"/>
                <w:sz w:val="18"/>
                <w:szCs w:val="18"/>
              </w:rPr>
            </w:pPr>
            <w:r>
              <w:rPr>
                <w:color w:val="auto"/>
                <w:kern w:val="0"/>
                <w:sz w:val="18"/>
                <w:szCs w:val="18"/>
              </w:rPr>
              <w:t>k&gt;-20%</w:t>
            </w:r>
            <w:r>
              <w:rPr>
                <w:rFonts w:hint="default" w:ascii="Times New Roman" w:hAnsi="Times New Roman"/>
                <w:color w:val="auto"/>
                <w:kern w:val="0"/>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restart"/>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环境监测计划</w:t>
            </w:r>
          </w:p>
        </w:tc>
        <w:tc>
          <w:tcPr>
            <w:tcW w:w="1563" w:type="dxa"/>
            <w:vMerge w:val="restart"/>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污染源监测</w:t>
            </w:r>
          </w:p>
        </w:tc>
        <w:tc>
          <w:tcPr>
            <w:tcW w:w="3279" w:type="dxa"/>
            <w:gridSpan w:val="10"/>
            <w:vMerge w:val="restart"/>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监测因子：（</w:t>
            </w:r>
            <w:r>
              <w:rPr>
                <w:rFonts w:hint="default" w:ascii="Times New Roman" w:hAnsi="Times New Roman" w:cs="Times New Roman"/>
                <w:color w:val="auto"/>
                <w:kern w:val="0"/>
                <w:sz w:val="18"/>
                <w:szCs w:val="18"/>
                <w:lang w:val="en-US" w:eastAsia="zh-CN"/>
              </w:rPr>
              <w:t xml:space="preserve"> </w:t>
            </w:r>
            <w:r>
              <w:rPr>
                <w:rFonts w:hint="default" w:ascii="Times New Roman" w:hAnsi="Times New Roman" w:cs="Times New Roman"/>
                <w:color w:val="auto"/>
                <w:kern w:val="0"/>
                <w:sz w:val="18"/>
                <w:szCs w:val="18"/>
              </w:rPr>
              <w:t>）</w:t>
            </w:r>
          </w:p>
        </w:tc>
        <w:tc>
          <w:tcPr>
            <w:tcW w:w="1857" w:type="dxa"/>
            <w:gridSpan w:val="8"/>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有组织废气监测</w:t>
            </w:r>
            <w:r>
              <w:rPr>
                <w:rFonts w:ascii="Times New Roman" w:hAnsi="Times New Roman" w:cs="Times New Roman"/>
                <w:color w:val="auto"/>
                <w:kern w:val="0"/>
                <w:sz w:val="18"/>
                <w:szCs w:val="18"/>
              </w:rPr>
              <w:sym w:font="Wingdings 2" w:char="00A3"/>
            </w:r>
          </w:p>
        </w:tc>
        <w:tc>
          <w:tcPr>
            <w:tcW w:w="1147" w:type="dxa"/>
            <w:gridSpan w:val="2"/>
            <w:vMerge w:val="restart"/>
            <w:noWrap w:val="0"/>
            <w:vAlign w:val="center"/>
          </w:tcPr>
          <w:p>
            <w:pPr>
              <w:widowControl/>
              <w:adjustRightInd w:val="0"/>
              <w:snapToGrid w:val="0"/>
              <w:jc w:val="center"/>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rPr>
              <w:t>无监测</w:t>
            </w:r>
            <w:r>
              <w:rPr>
                <w:rFonts w:hint="default" w:ascii="Times New Roman" w:hAnsi="Times New Roman" w:cs="Times New Roman"/>
                <w:color w:val="auto"/>
                <w:kern w:val="0"/>
                <w:sz w:val="18"/>
                <w:szCs w:val="18"/>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015"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563"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3279" w:type="dxa"/>
            <w:gridSpan w:val="10"/>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857" w:type="dxa"/>
            <w:gridSpan w:val="8"/>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无组织废气监测</w:t>
            </w:r>
            <w:r>
              <w:rPr>
                <w:rFonts w:ascii="Times New Roman" w:hAnsi="Times New Roman" w:cs="Times New Roman"/>
                <w:color w:val="auto"/>
                <w:kern w:val="0"/>
                <w:sz w:val="18"/>
                <w:szCs w:val="18"/>
              </w:rPr>
              <w:sym w:font="Wingdings 2" w:char="00A3"/>
            </w:r>
          </w:p>
        </w:tc>
        <w:tc>
          <w:tcPr>
            <w:tcW w:w="1147" w:type="dxa"/>
            <w:gridSpan w:val="2"/>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08" w:hRule="atLeast"/>
        </w:trPr>
        <w:tc>
          <w:tcPr>
            <w:tcW w:w="1015"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环境质量监测</w:t>
            </w:r>
          </w:p>
        </w:tc>
        <w:tc>
          <w:tcPr>
            <w:tcW w:w="3279" w:type="dxa"/>
            <w:gridSpan w:val="10"/>
            <w:noWrap w:val="0"/>
            <w:vAlign w:val="center"/>
          </w:tcPr>
          <w:p>
            <w:pPr>
              <w:widowControl/>
              <w:adjustRightInd w:val="0"/>
              <w:snapToGrid w:val="0"/>
              <w:jc w:val="center"/>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rPr>
              <w:t>监测因子：</w:t>
            </w:r>
            <w:r>
              <w:rPr>
                <w:rFonts w:hint="default" w:ascii="Times New Roman" w:hAnsi="Times New Roman" w:cs="Times New Roman"/>
                <w:color w:val="auto"/>
                <w:kern w:val="0"/>
                <w:sz w:val="18"/>
                <w:szCs w:val="18"/>
                <w:lang w:val="en-US" w:eastAsia="zh-CN"/>
              </w:rPr>
              <w:t>（ ）</w:t>
            </w:r>
          </w:p>
        </w:tc>
        <w:tc>
          <w:tcPr>
            <w:tcW w:w="1857" w:type="dxa"/>
            <w:gridSpan w:val="8"/>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监测点位数（</w:t>
            </w:r>
            <w:r>
              <w:rPr>
                <w:rFonts w:hint="default" w:ascii="Times New Roman" w:hAnsi="Times New Roman" w:cs="Times New Roman"/>
                <w:color w:val="auto"/>
                <w:kern w:val="0"/>
                <w:sz w:val="18"/>
                <w:szCs w:val="18"/>
                <w:lang w:val="en-US" w:eastAsia="zh-CN"/>
              </w:rPr>
              <w:t xml:space="preserve"> </w:t>
            </w:r>
            <w:r>
              <w:rPr>
                <w:rFonts w:hint="default" w:ascii="Times New Roman" w:hAnsi="Times New Roman" w:cs="Times New Roman"/>
                <w:color w:val="auto"/>
                <w:kern w:val="0"/>
                <w:sz w:val="18"/>
                <w:szCs w:val="18"/>
              </w:rPr>
              <w:t>）</w:t>
            </w:r>
          </w:p>
        </w:tc>
        <w:tc>
          <w:tcPr>
            <w:tcW w:w="1147" w:type="dxa"/>
            <w:gridSpan w:val="2"/>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无监测</w:t>
            </w:r>
            <w:r>
              <w:rPr>
                <w:rFonts w:ascii="Times New Roman" w:hAnsi="Times New Roman" w:cs="Times New Roman"/>
                <w:color w:val="auto"/>
                <w:kern w:val="0"/>
                <w:sz w:val="18"/>
                <w:szCs w:val="18"/>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9" w:hRule="atLeast"/>
        </w:trPr>
        <w:tc>
          <w:tcPr>
            <w:tcW w:w="1015" w:type="dxa"/>
            <w:vMerge w:val="restart"/>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评价结论</w:t>
            </w: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环境影响</w:t>
            </w:r>
          </w:p>
        </w:tc>
        <w:tc>
          <w:tcPr>
            <w:tcW w:w="6283" w:type="dxa"/>
            <w:gridSpan w:val="20"/>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可以接受</w:t>
            </w:r>
            <w:r>
              <w:rPr>
                <w:color w:val="auto"/>
                <w:kern w:val="0"/>
                <w:sz w:val="18"/>
                <w:szCs w:val="18"/>
              </w:rPr>
              <w:t xml:space="preserve"> </w:t>
            </w:r>
            <w:r>
              <w:rPr>
                <w:rFonts w:ascii="Times New Roman" w:hAnsi="Times New Roman" w:cs="Times New Roman"/>
                <w:color w:val="auto"/>
                <w:kern w:val="0"/>
                <w:sz w:val="18"/>
                <w:szCs w:val="18"/>
              </w:rPr>
              <w:t></w:t>
            </w:r>
            <w:r>
              <w:rPr>
                <w:color w:val="auto"/>
                <w:kern w:val="0"/>
                <w:sz w:val="18"/>
                <w:szCs w:val="18"/>
              </w:rPr>
              <w:t xml:space="preserve">             </w:t>
            </w:r>
            <w:r>
              <w:rPr>
                <w:rFonts w:hint="default" w:ascii="Times New Roman" w:hAnsi="Times New Roman" w:cs="Times New Roman"/>
                <w:color w:val="auto"/>
                <w:kern w:val="0"/>
                <w:sz w:val="18"/>
                <w:szCs w:val="18"/>
              </w:rPr>
              <w:t>不可以接受</w:t>
            </w:r>
            <w:r>
              <w:rPr>
                <w:color w:val="auto"/>
                <w:kern w:val="0"/>
                <w:sz w:val="18"/>
                <w:szCs w:val="18"/>
              </w:rPr>
              <w:t xml:space="preserve"> </w:t>
            </w:r>
            <w:r>
              <w:rPr>
                <w:rFonts w:hint="default" w:ascii="Times New Roman" w:hAnsi="Times New Roman" w:cs="Times New Roman"/>
                <w:color w:val="auto"/>
                <w:kern w:val="0"/>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08" w:hRule="atLeast"/>
        </w:trPr>
        <w:tc>
          <w:tcPr>
            <w:tcW w:w="1015"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大气环境防护距离</w:t>
            </w:r>
          </w:p>
        </w:tc>
        <w:tc>
          <w:tcPr>
            <w:tcW w:w="6283" w:type="dxa"/>
            <w:gridSpan w:val="20"/>
            <w:noWrap w:val="0"/>
            <w:vAlign w:val="center"/>
          </w:tcPr>
          <w:p>
            <w:pPr>
              <w:widowControl/>
              <w:adjustRightInd w:val="0"/>
              <w:snapToGrid w:val="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距（   ）厂界最远（ / ）m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76" w:hRule="atLeast"/>
        </w:trPr>
        <w:tc>
          <w:tcPr>
            <w:tcW w:w="1015" w:type="dxa"/>
            <w:vMerge w:val="continue"/>
            <w:noWrap w:val="0"/>
            <w:vAlign w:val="center"/>
          </w:tcPr>
          <w:p>
            <w:pPr>
              <w:widowControl/>
              <w:adjustRightInd w:val="0"/>
              <w:snapToGrid w:val="0"/>
              <w:jc w:val="left"/>
              <w:rPr>
                <w:rFonts w:ascii="Times New Roman" w:hAnsi="Times New Roman" w:cs="Times New Roman"/>
                <w:color w:val="auto"/>
                <w:kern w:val="0"/>
                <w:sz w:val="18"/>
                <w:szCs w:val="18"/>
              </w:rPr>
            </w:pPr>
          </w:p>
        </w:tc>
        <w:tc>
          <w:tcPr>
            <w:tcW w:w="1563" w:type="dxa"/>
            <w:noWrap w:val="0"/>
            <w:vAlign w:val="center"/>
          </w:tcPr>
          <w:p>
            <w:pPr>
              <w:widowControl/>
              <w:adjustRightInd w:val="0"/>
              <w:snapToGrid w:val="0"/>
              <w:jc w:val="center"/>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污染源年排放量</w:t>
            </w:r>
          </w:p>
        </w:tc>
        <w:tc>
          <w:tcPr>
            <w:tcW w:w="1570" w:type="dxa"/>
            <w:gridSpan w:val="2"/>
            <w:noWrap w:val="0"/>
            <w:vAlign w:val="center"/>
          </w:tcPr>
          <w:p>
            <w:pPr>
              <w:widowControl/>
              <w:adjustRightInd w:val="0"/>
              <w:snapToGrid w:val="0"/>
              <w:jc w:val="center"/>
              <w:rPr>
                <w:rFonts w:hint="default" w:eastAsia="宋体"/>
                <w:color w:val="auto"/>
                <w:kern w:val="0"/>
                <w:sz w:val="18"/>
                <w:szCs w:val="18"/>
                <w:lang w:val="en-US" w:eastAsia="zh-CN"/>
              </w:rPr>
            </w:pPr>
            <w:r>
              <w:rPr>
                <w:rFonts w:hint="default" w:eastAsia="宋体"/>
                <w:color w:val="auto"/>
                <w:kern w:val="0"/>
                <w:sz w:val="18"/>
                <w:szCs w:val="18"/>
                <w:lang w:val="en-US" w:eastAsia="zh-CN"/>
              </w:rPr>
              <w:t>SO</w:t>
            </w:r>
            <w:r>
              <w:rPr>
                <w:rFonts w:hint="default" w:eastAsia="宋体"/>
                <w:color w:val="auto"/>
                <w:kern w:val="0"/>
                <w:sz w:val="18"/>
                <w:szCs w:val="18"/>
                <w:vertAlign w:val="subscript"/>
                <w:lang w:val="en-US" w:eastAsia="zh-CN"/>
              </w:rPr>
              <w:t>2</w:t>
            </w:r>
            <w:r>
              <w:rPr>
                <w:rFonts w:hint="default" w:eastAsia="宋体"/>
                <w:color w:val="auto"/>
                <w:kern w:val="0"/>
                <w:sz w:val="18"/>
                <w:szCs w:val="18"/>
                <w:lang w:val="en-US" w:eastAsia="zh-CN"/>
              </w:rPr>
              <w:t>:（ /）t/a</w:t>
            </w:r>
          </w:p>
        </w:tc>
        <w:tc>
          <w:tcPr>
            <w:tcW w:w="1570" w:type="dxa"/>
            <w:gridSpan w:val="7"/>
            <w:noWrap w:val="0"/>
            <w:vAlign w:val="center"/>
          </w:tcPr>
          <w:p>
            <w:pPr>
              <w:widowControl/>
              <w:adjustRightInd w:val="0"/>
              <w:snapToGrid w:val="0"/>
              <w:jc w:val="center"/>
              <w:rPr>
                <w:rFonts w:hint="default" w:eastAsia="宋体"/>
                <w:color w:val="auto"/>
                <w:kern w:val="0"/>
                <w:sz w:val="18"/>
                <w:szCs w:val="18"/>
                <w:lang w:val="en-US" w:eastAsia="zh-CN"/>
              </w:rPr>
            </w:pPr>
            <w:r>
              <w:rPr>
                <w:rFonts w:hint="default" w:eastAsia="宋体"/>
                <w:color w:val="auto"/>
                <w:kern w:val="0"/>
                <w:sz w:val="18"/>
                <w:szCs w:val="18"/>
                <w:lang w:val="en-US" w:eastAsia="zh-CN"/>
              </w:rPr>
              <w:t>NOx:（ /）t/a</w:t>
            </w:r>
          </w:p>
        </w:tc>
        <w:tc>
          <w:tcPr>
            <w:tcW w:w="1570" w:type="dxa"/>
            <w:gridSpan w:val="7"/>
            <w:noWrap w:val="0"/>
            <w:vAlign w:val="center"/>
          </w:tcPr>
          <w:p>
            <w:pPr>
              <w:widowControl/>
              <w:adjustRightInd w:val="0"/>
              <w:snapToGrid w:val="0"/>
              <w:jc w:val="center"/>
              <w:rPr>
                <w:rFonts w:hint="default" w:eastAsia="宋体"/>
                <w:color w:val="auto"/>
                <w:kern w:val="0"/>
                <w:sz w:val="18"/>
                <w:szCs w:val="18"/>
                <w:lang w:val="en-US" w:eastAsia="zh-CN"/>
              </w:rPr>
            </w:pPr>
            <w:r>
              <w:rPr>
                <w:rFonts w:hint="default" w:eastAsia="宋体"/>
                <w:color w:val="auto"/>
                <w:kern w:val="0"/>
                <w:sz w:val="18"/>
                <w:szCs w:val="18"/>
                <w:lang w:val="en-US" w:eastAsia="zh-CN"/>
              </w:rPr>
              <w:t>颗粒物:（ /）t/a</w:t>
            </w:r>
          </w:p>
        </w:tc>
        <w:tc>
          <w:tcPr>
            <w:tcW w:w="1573" w:type="dxa"/>
            <w:gridSpan w:val="4"/>
            <w:noWrap w:val="0"/>
            <w:vAlign w:val="center"/>
          </w:tcPr>
          <w:p>
            <w:pPr>
              <w:widowControl/>
              <w:adjustRightInd w:val="0"/>
              <w:snapToGrid w:val="0"/>
              <w:jc w:val="center"/>
              <w:rPr>
                <w:rFonts w:hint="default" w:eastAsia="宋体"/>
                <w:color w:val="auto"/>
                <w:kern w:val="0"/>
                <w:sz w:val="18"/>
                <w:szCs w:val="18"/>
                <w:lang w:val="en-US" w:eastAsia="zh-CN"/>
              </w:rPr>
            </w:pPr>
            <w:r>
              <w:rPr>
                <w:rFonts w:hint="default" w:eastAsia="宋体"/>
                <w:color w:val="auto"/>
                <w:kern w:val="0"/>
                <w:sz w:val="18"/>
                <w:szCs w:val="18"/>
                <w:lang w:val="en-US" w:eastAsia="zh-CN"/>
              </w:rPr>
              <w:t>VOCs:（/ ）t/a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8861" w:type="dxa"/>
            <w:gridSpan w:val="22"/>
            <w:noWrap w:val="0"/>
            <w:vAlign w:val="center"/>
          </w:tcPr>
          <w:p>
            <w:pPr>
              <w:widowControl/>
              <w:adjustRightInd w:val="0"/>
              <w:snapToGrid w:val="0"/>
              <w:jc w:val="left"/>
              <w:rPr>
                <w:rFonts w:ascii="Times New Roman" w:hAnsi="Times New Roman" w:cs="Times New Roman"/>
                <w:color w:val="auto"/>
                <w:kern w:val="0"/>
                <w:sz w:val="18"/>
                <w:szCs w:val="18"/>
              </w:rPr>
            </w:pPr>
            <w:r>
              <w:rPr>
                <w:rFonts w:hint="default" w:ascii="Times New Roman" w:hAnsi="Times New Roman" w:cs="Times New Roman"/>
                <w:color w:val="auto"/>
                <w:kern w:val="0"/>
                <w:sz w:val="18"/>
                <w:szCs w:val="18"/>
              </w:rPr>
              <w:t>注：</w:t>
            </w:r>
            <w:r>
              <w:rPr>
                <w:rFonts w:hint="eastAsia"/>
                <w:color w:val="auto"/>
                <w:kern w:val="0"/>
                <w:sz w:val="18"/>
                <w:szCs w:val="18"/>
                <w:lang w:eastAsia="zh-CN"/>
              </w:rPr>
              <w:t>“</w:t>
            </w:r>
            <w:r>
              <w:rPr>
                <w:rFonts w:hint="default" w:ascii="Times New Roman" w:hAnsi="Times New Roman" w:cs="Times New Roman"/>
                <w:color w:val="auto"/>
                <w:kern w:val="0"/>
                <w:sz w:val="18"/>
                <w:szCs w:val="18"/>
              </w:rPr>
              <w:t>□</w:t>
            </w:r>
            <w:r>
              <w:rPr>
                <w:rFonts w:hint="eastAsia"/>
                <w:color w:val="auto"/>
                <w:kern w:val="0"/>
                <w:sz w:val="18"/>
                <w:szCs w:val="18"/>
                <w:lang w:eastAsia="zh-CN"/>
              </w:rPr>
              <w:t>”</w:t>
            </w:r>
            <w:r>
              <w:rPr>
                <w:rFonts w:hint="default" w:ascii="Times New Roman" w:hAnsi="Times New Roman" w:cs="Times New Roman"/>
                <w:color w:val="auto"/>
                <w:kern w:val="0"/>
                <w:sz w:val="18"/>
                <w:szCs w:val="18"/>
              </w:rPr>
              <w:t>，填</w:t>
            </w:r>
            <w:r>
              <w:rPr>
                <w:rFonts w:hint="eastAsia"/>
                <w:color w:val="auto"/>
                <w:kern w:val="0"/>
                <w:sz w:val="18"/>
                <w:szCs w:val="18"/>
                <w:lang w:eastAsia="zh-CN"/>
              </w:rPr>
              <w:t>“</w:t>
            </w:r>
            <w:r>
              <w:rPr>
                <w:rFonts w:hint="default" w:ascii="Times New Roman" w:hAnsi="Times New Roman" w:cs="Times New Roman"/>
                <w:color w:val="auto"/>
                <w:kern w:val="0"/>
                <w:sz w:val="18"/>
                <w:szCs w:val="18"/>
              </w:rPr>
              <w:t>√</w:t>
            </w:r>
            <w:r>
              <w:rPr>
                <w:rFonts w:hint="eastAsia"/>
                <w:color w:val="auto"/>
                <w:kern w:val="0"/>
                <w:sz w:val="18"/>
                <w:szCs w:val="18"/>
                <w:lang w:eastAsia="zh-CN"/>
              </w:rPr>
              <w:t>”</w:t>
            </w:r>
            <w:r>
              <w:rPr>
                <w:rFonts w:hint="default" w:ascii="Times New Roman" w:hAnsi="Times New Roman" w:cs="Times New Roman"/>
                <w:color w:val="auto"/>
                <w:kern w:val="0"/>
                <w:sz w:val="18"/>
                <w:szCs w:val="18"/>
              </w:rPr>
              <w:t>；</w:t>
            </w:r>
            <w:r>
              <w:rPr>
                <w:rFonts w:hint="eastAsia"/>
                <w:color w:val="auto"/>
                <w:kern w:val="0"/>
                <w:sz w:val="18"/>
                <w:szCs w:val="18"/>
                <w:lang w:eastAsia="zh-CN"/>
              </w:rPr>
              <w:t>“</w:t>
            </w:r>
            <w:r>
              <w:rPr>
                <w:rFonts w:hint="default" w:ascii="Times New Roman" w:hAnsi="Times New Roman" w:cs="Times New Roman"/>
                <w:color w:val="auto"/>
                <w:kern w:val="0"/>
                <w:sz w:val="18"/>
                <w:szCs w:val="18"/>
              </w:rPr>
              <w:t>（</w:t>
            </w:r>
            <w:r>
              <w:rPr>
                <w:color w:val="auto"/>
                <w:kern w:val="0"/>
                <w:sz w:val="18"/>
                <w:szCs w:val="18"/>
              </w:rPr>
              <w:t xml:space="preserve">  </w:t>
            </w:r>
            <w:r>
              <w:rPr>
                <w:rFonts w:hint="default" w:ascii="Times New Roman" w:hAnsi="Times New Roman" w:cs="Times New Roman"/>
                <w:color w:val="auto"/>
                <w:kern w:val="0"/>
                <w:sz w:val="18"/>
                <w:szCs w:val="18"/>
              </w:rPr>
              <w:t>）</w:t>
            </w:r>
            <w:r>
              <w:rPr>
                <w:rFonts w:hint="eastAsia"/>
                <w:color w:val="auto"/>
                <w:kern w:val="0"/>
                <w:sz w:val="18"/>
                <w:szCs w:val="18"/>
                <w:lang w:eastAsia="zh-CN"/>
              </w:rPr>
              <w:t>”</w:t>
            </w:r>
            <w:r>
              <w:rPr>
                <w:rFonts w:hint="default" w:ascii="Times New Roman" w:hAnsi="Times New Roman" w:cs="Times New Roman"/>
                <w:color w:val="auto"/>
                <w:kern w:val="0"/>
                <w:sz w:val="18"/>
                <w:szCs w:val="18"/>
              </w:rPr>
              <w:t>为内容填写项</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5.2.</w:t>
      </w:r>
      <w:r>
        <w:rPr>
          <w:rFonts w:hint="eastAsia" w:cs="Times New Roman"/>
          <w:b/>
          <w:bCs/>
          <w:color w:val="auto"/>
          <w:kern w:val="0"/>
          <w:sz w:val="28"/>
          <w:szCs w:val="28"/>
          <w:highlight w:val="none"/>
          <w:lang w:val="en-US" w:eastAsia="zh-CN"/>
        </w:rPr>
        <w:t>4</w:t>
      </w:r>
      <w:r>
        <w:rPr>
          <w:rFonts w:hint="default" w:cs="Times New Roman"/>
          <w:b/>
          <w:bCs/>
          <w:color w:val="auto"/>
          <w:kern w:val="0"/>
          <w:sz w:val="28"/>
          <w:szCs w:val="28"/>
          <w:highlight w:val="none"/>
          <w:lang w:val="en-US" w:eastAsia="zh-CN"/>
        </w:rPr>
        <w:t>声环境影响分析</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该项目运营期对声环境的影响主要源于交通噪声、停车场及配套设施运行噪声和游客喧嚣等噪声。</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bookmarkStart w:id="137" w:name="_Toc10614"/>
      <w:r>
        <w:rPr>
          <w:rFonts w:hint="default" w:cs="Times New Roman"/>
          <w:color w:val="auto"/>
          <w:sz w:val="24"/>
          <w:szCs w:val="24"/>
          <w:highlight w:val="none"/>
          <w:lang w:val="en-US" w:eastAsia="zh-CN"/>
        </w:rPr>
        <w:t>1、交通噪声</w:t>
      </w:r>
      <w:bookmarkEnd w:id="137"/>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项目区交通噪声主要是停在停车场的汽车启动或停放时产生的噪声，但由于</w:t>
      </w:r>
      <w:r>
        <w:rPr>
          <w:rFonts w:hint="eastAsia" w:cs="Times New Roman"/>
          <w:color w:val="auto"/>
          <w:sz w:val="24"/>
          <w:szCs w:val="24"/>
          <w:highlight w:val="none"/>
          <w:lang w:val="en-US" w:eastAsia="zh-CN"/>
        </w:rPr>
        <w:t>车辆行驶</w:t>
      </w:r>
      <w:r>
        <w:rPr>
          <w:rFonts w:hint="default" w:cs="Times New Roman"/>
          <w:color w:val="auto"/>
          <w:sz w:val="24"/>
          <w:szCs w:val="24"/>
          <w:highlight w:val="none"/>
          <w:lang w:val="en-US" w:eastAsia="zh-CN"/>
        </w:rPr>
        <w:t>速度比较慢且基本为小型车辆，故车辆噪声的影响并不明显。经过加强管理，禁止环湖路鸣笛，控制行驶车速，噪声可满足功能区要求。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bookmarkStart w:id="138" w:name="_Toc2152"/>
      <w:r>
        <w:rPr>
          <w:rFonts w:hint="default" w:cs="Times New Roman"/>
          <w:color w:val="auto"/>
          <w:sz w:val="24"/>
          <w:szCs w:val="24"/>
          <w:highlight w:val="none"/>
          <w:lang w:val="en-US" w:eastAsia="zh-CN"/>
        </w:rPr>
        <w:t>2、游客娱乐活动噪声</w:t>
      </w:r>
      <w:bookmarkEnd w:id="138"/>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项目建成后，该区域来往人员大量增加，将产生社会生活噪声，周边200米范围内有居民区，加强对游客的文明引导，增加绿化，噪声对周围环境影响可接受。</w:t>
      </w:r>
    </w:p>
    <w:p>
      <w:pPr>
        <w:adjustRightInd w:val="0"/>
        <w:snapToGrid w:val="0"/>
        <w:spacing w:line="360" w:lineRule="auto"/>
        <w:jc w:val="center"/>
        <w:rPr>
          <w:rFonts w:ascii="Times New Roman" w:hAnsi="Times New Roman" w:eastAsia="宋体" w:cs="Times New Roman"/>
          <w:b/>
          <w:color w:val="auto"/>
          <w:sz w:val="24"/>
          <w:szCs w:val="22"/>
        </w:rPr>
      </w:pPr>
      <w:r>
        <w:rPr>
          <w:rFonts w:ascii="Times New Roman" w:hAnsi="Times New Roman" w:eastAsia="宋体" w:cs="Times New Roman"/>
          <w:b/>
          <w:color w:val="auto"/>
          <w:sz w:val="24"/>
          <w:szCs w:val="22"/>
        </w:rPr>
        <w:t xml:space="preserve">表 </w:t>
      </w:r>
      <w:r>
        <w:rPr>
          <w:rFonts w:hint="default" w:ascii="Times New Roman" w:hAnsi="Times New Roman" w:eastAsia="宋体" w:cs="Times New Roman"/>
          <w:b/>
          <w:color w:val="auto"/>
          <w:sz w:val="24"/>
          <w:szCs w:val="22"/>
          <w:lang w:val="en-US" w:eastAsia="zh-CN"/>
        </w:rPr>
        <w:t>5.2-</w:t>
      </w:r>
      <w:r>
        <w:rPr>
          <w:rFonts w:hint="default" w:cs="Times New Roman"/>
          <w:b/>
          <w:color w:val="auto"/>
          <w:sz w:val="24"/>
          <w:szCs w:val="22"/>
          <w:lang w:val="en-US" w:eastAsia="zh-CN"/>
        </w:rPr>
        <w:t>4</w:t>
      </w:r>
      <w:r>
        <w:rPr>
          <w:rFonts w:ascii="Times New Roman" w:hAnsi="Times New Roman" w:eastAsia="宋体" w:cs="Times New Roman"/>
          <w:b/>
          <w:color w:val="auto"/>
          <w:sz w:val="24"/>
          <w:szCs w:val="22"/>
        </w:rPr>
        <w:t xml:space="preserve"> 声环境影响评价自查表</w:t>
      </w:r>
    </w:p>
    <w:tbl>
      <w:tblPr>
        <w:tblStyle w:val="42"/>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01"/>
        <w:gridCol w:w="1385"/>
        <w:gridCol w:w="936"/>
        <w:gridCol w:w="500"/>
        <w:gridCol w:w="125"/>
        <w:gridCol w:w="375"/>
        <w:gridCol w:w="86"/>
        <w:gridCol w:w="971"/>
        <w:gridCol w:w="134"/>
        <w:gridCol w:w="529"/>
        <w:gridCol w:w="444"/>
        <w:gridCol w:w="225"/>
        <w:gridCol w:w="513"/>
        <w:gridCol w:w="386"/>
        <w:gridCol w:w="431"/>
        <w:gridCol w:w="102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2386" w:type="dxa"/>
            <w:gridSpan w:val="2"/>
            <w:tcBorders>
              <w:tl2br w:val="nil"/>
              <w:tr2bl w:val="nil"/>
            </w:tcBorders>
            <w:noWrap w:val="0"/>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工作内容</w:t>
            </w:r>
          </w:p>
        </w:tc>
        <w:tc>
          <w:tcPr>
            <w:tcW w:w="6678" w:type="dxa"/>
            <w:gridSpan w:val="1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2"/>
                <w:sz w:val="18"/>
                <w:szCs w:val="18"/>
              </w:rPr>
              <w:t>自</w:t>
            </w:r>
            <w:r>
              <w:rPr>
                <w:rFonts w:hint="default" w:ascii="Times New Roman" w:hAnsi="Times New Roman" w:cs="Times New Roman" w:eastAsiaTheme="minorEastAsia"/>
                <w:color w:val="auto"/>
                <w:spacing w:val="-1"/>
                <w:sz w:val="18"/>
                <w:szCs w:val="18"/>
              </w:rPr>
              <w:t>查项目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1001" w:type="dxa"/>
            <w:tcBorders>
              <w:tl2br w:val="nil"/>
              <w:tr2bl w:val="nil"/>
            </w:tcBorders>
            <w:noWrap w:val="0"/>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评价等</w:t>
            </w:r>
          </w:p>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级与范</w:t>
            </w:r>
          </w:p>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围</w:t>
            </w:r>
          </w:p>
        </w:tc>
        <w:tc>
          <w:tcPr>
            <w:tcW w:w="1385" w:type="dxa"/>
            <w:tcBorders>
              <w:tl2br w:val="nil"/>
              <w:tr2bl w:val="nil"/>
            </w:tcBorders>
            <w:noWrap w:val="0"/>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评价等级</w:t>
            </w:r>
          </w:p>
        </w:tc>
        <w:tc>
          <w:tcPr>
            <w:tcW w:w="2022"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position w:val="3"/>
                <w:sz w:val="18"/>
                <w:szCs w:val="18"/>
              </w:rPr>
              <w:t>一</w:t>
            </w:r>
            <w:r>
              <w:rPr>
                <w:rFonts w:hint="default" w:ascii="Times New Roman" w:hAnsi="Times New Roman" w:cs="Times New Roman" w:eastAsiaTheme="minorEastAsia"/>
                <w:color w:val="auto"/>
                <w:spacing w:val="7"/>
                <w:position w:val="3"/>
                <w:sz w:val="18"/>
                <w:szCs w:val="18"/>
              </w:rPr>
              <w:t>级□</w:t>
            </w:r>
          </w:p>
        </w:tc>
        <w:tc>
          <w:tcPr>
            <w:tcW w:w="2078"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eastAsiaTheme="minorEastAsia"/>
                <w:color w:val="auto"/>
                <w:spacing w:val="5"/>
                <w:sz w:val="18"/>
                <w:szCs w:val="18"/>
              </w:rPr>
              <w:t>二</w:t>
            </w:r>
            <w:r>
              <w:rPr>
                <w:rFonts w:hint="default" w:ascii="Times New Roman" w:hAnsi="Times New Roman" w:cs="Times New Roman" w:eastAsiaTheme="minorEastAsia"/>
                <w:color w:val="auto"/>
                <w:spacing w:val="4"/>
                <w:sz w:val="18"/>
                <w:szCs w:val="18"/>
              </w:rPr>
              <w:t>级</w:t>
            </w:r>
            <w:r>
              <w:rPr>
                <w:rFonts w:hint="eastAsia" w:cs="Times New Roman" w:eastAsiaTheme="minorEastAsia"/>
                <w:color w:val="auto"/>
                <w:spacing w:val="4"/>
                <w:sz w:val="18"/>
                <w:szCs w:val="18"/>
                <w:lang w:eastAsia="zh-CN"/>
              </w:rPr>
              <w:t>☑</w:t>
            </w:r>
          </w:p>
        </w:tc>
        <w:tc>
          <w:tcPr>
            <w:tcW w:w="2578"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3"/>
                <w:sz w:val="18"/>
                <w:szCs w:val="18"/>
              </w:rPr>
              <w:t>三级</w:t>
            </w:r>
            <w:r>
              <w:rPr>
                <w:rFonts w:hint="default" w:ascii="Times New Roman" w:hAnsi="Times New Roman" w:cs="Times New Roman" w:eastAsiaTheme="minorEastAsia"/>
                <w:color w:val="auto"/>
                <w:spacing w:val="4"/>
                <w:sz w:val="18"/>
                <w:szCs w:val="18"/>
              </w:rPr>
              <w:sym w:font="Wingdings 2" w:char="00A3"/>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01"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84"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评价因</w:t>
            </w:r>
            <w:r>
              <w:rPr>
                <w:rFonts w:hint="default" w:ascii="Times New Roman" w:hAnsi="Times New Roman" w:cs="Times New Roman" w:eastAsiaTheme="minorEastAsia"/>
                <w:color w:val="auto"/>
                <w:sz w:val="18"/>
                <w:szCs w:val="18"/>
              </w:rPr>
              <w:t>子</w:t>
            </w: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评</w:t>
            </w:r>
            <w:r>
              <w:rPr>
                <w:rFonts w:hint="default" w:ascii="Times New Roman" w:hAnsi="Times New Roman" w:cs="Times New Roman" w:eastAsiaTheme="minorEastAsia"/>
                <w:color w:val="auto"/>
                <w:spacing w:val="7"/>
                <w:sz w:val="18"/>
                <w:szCs w:val="18"/>
              </w:rPr>
              <w:t>价范围</w:t>
            </w:r>
          </w:p>
        </w:tc>
        <w:tc>
          <w:tcPr>
            <w:tcW w:w="2022"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5"/>
                <w:sz w:val="18"/>
                <w:szCs w:val="18"/>
              </w:rPr>
              <w:t>2</w:t>
            </w:r>
            <w:r>
              <w:rPr>
                <w:rFonts w:hint="default" w:ascii="Times New Roman" w:hAnsi="Times New Roman" w:cs="Times New Roman" w:eastAsiaTheme="minorEastAsia"/>
                <w:color w:val="auto"/>
                <w:spacing w:val="3"/>
                <w:sz w:val="18"/>
                <w:szCs w:val="18"/>
              </w:rPr>
              <w:t xml:space="preserve">00 </w:t>
            </w:r>
            <w:r>
              <w:rPr>
                <w:rFonts w:hint="default" w:ascii="Times New Roman" w:hAnsi="Times New Roman" w:cs="Times New Roman" w:eastAsiaTheme="minorEastAsia"/>
                <w:color w:val="auto"/>
                <w:sz w:val="18"/>
                <w:szCs w:val="18"/>
              </w:rPr>
              <w:t>m</w:t>
            </w:r>
            <w:r>
              <w:rPr>
                <w:rFonts w:hint="default" w:ascii="Times New Roman" w:hAnsi="Times New Roman" w:cs="Times New Roman" w:eastAsiaTheme="minorEastAsia"/>
                <w:color w:val="auto"/>
                <w:spacing w:val="4"/>
                <w:sz w:val="18"/>
                <w:szCs w:val="18"/>
              </w:rPr>
              <w:sym w:font="Wingdings 2" w:char="0052"/>
            </w:r>
          </w:p>
        </w:tc>
        <w:tc>
          <w:tcPr>
            <w:tcW w:w="2078"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
                <w:sz w:val="18"/>
                <w:szCs w:val="18"/>
              </w:rPr>
              <w:t>大于 2</w:t>
            </w:r>
            <w:r>
              <w:rPr>
                <w:rFonts w:hint="default" w:ascii="Times New Roman" w:hAnsi="Times New Roman" w:cs="Times New Roman" w:eastAsiaTheme="minorEastAsia"/>
                <w:color w:val="auto"/>
                <w:sz w:val="18"/>
                <w:szCs w:val="18"/>
              </w:rPr>
              <w:t>00 m □</w:t>
            </w:r>
          </w:p>
        </w:tc>
        <w:tc>
          <w:tcPr>
            <w:tcW w:w="2578"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
                <w:sz w:val="18"/>
                <w:szCs w:val="18"/>
              </w:rPr>
              <w:t>小于 2</w:t>
            </w:r>
            <w:r>
              <w:rPr>
                <w:rFonts w:hint="default" w:ascii="Times New Roman" w:hAnsi="Times New Roman" w:cs="Times New Roman" w:eastAsiaTheme="minorEastAsia"/>
                <w:color w:val="auto"/>
                <w:sz w:val="18"/>
                <w:szCs w:val="18"/>
              </w:rPr>
              <w:t xml:space="preserve">00 m </w:t>
            </w:r>
            <w:r>
              <w:rPr>
                <w:rFonts w:hint="default" w:ascii="Times New Roman" w:hAnsi="Times New Roman" w:cs="Times New Roman" w:eastAsiaTheme="minorEastAsia"/>
                <w:color w:val="auto"/>
                <w:position w:val="-4"/>
                <w:sz w:val="18"/>
                <w:szCs w:val="18"/>
              </w:rPr>
              <w:drawing>
                <wp:inline distT="0" distB="0" distL="114300" distR="114300">
                  <wp:extent cx="95885" cy="139700"/>
                  <wp:effectExtent l="0" t="0" r="18415" b="12700"/>
                  <wp:docPr id="63" name="图片 4"/>
                  <wp:cNvGraphicFramePr/>
                  <a:graphic xmlns:a="http://schemas.openxmlformats.org/drawingml/2006/main">
                    <a:graphicData uri="http://schemas.openxmlformats.org/drawingml/2006/picture">
                      <pic:pic xmlns:pic="http://schemas.openxmlformats.org/drawingml/2006/picture">
                        <pic:nvPicPr>
                          <pic:cNvPr id="63" name="图片 4"/>
                          <pic:cNvPicPr/>
                        </pic:nvPicPr>
                        <pic:blipFill>
                          <a:blip r:embed="rId139"/>
                          <a:stretch>
                            <a:fillRect/>
                          </a:stretch>
                        </pic:blipFill>
                        <pic:spPr>
                          <a:xfrm>
                            <a:off x="0" y="0"/>
                            <a:ext cx="95885" cy="139700"/>
                          </a:xfrm>
                          <a:prstGeom prst="rect">
                            <a:avLst/>
                          </a:prstGeom>
                          <a:noFill/>
                          <a:ln>
                            <a:noFill/>
                          </a:ln>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8" w:hRule="atLeast"/>
        </w:trPr>
        <w:tc>
          <w:tcPr>
            <w:tcW w:w="100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评</w:t>
            </w:r>
            <w:r>
              <w:rPr>
                <w:rFonts w:hint="default" w:ascii="Times New Roman" w:hAnsi="Times New Roman" w:cs="Times New Roman" w:eastAsiaTheme="minorEastAsia"/>
                <w:color w:val="auto"/>
                <w:spacing w:val="7"/>
                <w:sz w:val="18"/>
                <w:szCs w:val="18"/>
              </w:rPr>
              <w:t>价因子</w:t>
            </w:r>
          </w:p>
        </w:tc>
        <w:tc>
          <w:tcPr>
            <w:tcW w:w="2022"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57"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等</w:t>
            </w:r>
            <w:r>
              <w:rPr>
                <w:rFonts w:hint="default" w:ascii="Times New Roman" w:hAnsi="Times New Roman" w:cs="Times New Roman" w:eastAsiaTheme="minorEastAsia"/>
                <w:color w:val="auto"/>
                <w:spacing w:val="7"/>
                <w:sz w:val="18"/>
                <w:szCs w:val="18"/>
              </w:rPr>
              <w:t>效连续</w:t>
            </w:r>
            <w:r>
              <w:rPr>
                <w:rFonts w:hint="default" w:ascii="Times New Roman" w:hAnsi="Times New Roman" w:cs="Times New Roman" w:eastAsiaTheme="minorEastAsia"/>
                <w:color w:val="auto"/>
                <w:sz w:val="18"/>
                <w:szCs w:val="18"/>
              </w:rPr>
              <w:t>A</w:t>
            </w:r>
            <w:r>
              <w:rPr>
                <w:rFonts w:hint="default" w:ascii="Times New Roman" w:hAnsi="Times New Roman" w:cs="Times New Roman" w:eastAsiaTheme="minorEastAsia"/>
                <w:color w:val="auto"/>
                <w:spacing w:val="7"/>
                <w:sz w:val="18"/>
                <w:szCs w:val="18"/>
              </w:rPr>
              <w:t xml:space="preserve"> 声级</w:t>
            </w:r>
            <w:r>
              <w:rPr>
                <w:rFonts w:hint="default" w:ascii="Times New Roman" w:hAnsi="Times New Roman" w:cs="Times New Roman" w:eastAsiaTheme="minorEastAsia"/>
                <w:color w:val="auto"/>
                <w:spacing w:val="4"/>
                <w:sz w:val="18"/>
                <w:szCs w:val="18"/>
              </w:rPr>
              <w:sym w:font="Wingdings 2" w:char="0052"/>
            </w:r>
          </w:p>
        </w:tc>
        <w:tc>
          <w:tcPr>
            <w:tcW w:w="2078"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最</w:t>
            </w:r>
            <w:r>
              <w:rPr>
                <w:rFonts w:hint="default" w:ascii="Times New Roman" w:hAnsi="Times New Roman" w:cs="Times New Roman" w:eastAsiaTheme="minorEastAsia"/>
                <w:color w:val="auto"/>
                <w:spacing w:val="6"/>
                <w:sz w:val="18"/>
                <w:szCs w:val="18"/>
              </w:rPr>
              <w:t xml:space="preserve">大 </w:t>
            </w:r>
            <w:r>
              <w:rPr>
                <w:rFonts w:hint="default" w:ascii="Times New Roman" w:hAnsi="Times New Roman" w:cs="Times New Roman" w:eastAsiaTheme="minorEastAsia"/>
                <w:color w:val="auto"/>
                <w:sz w:val="18"/>
                <w:szCs w:val="18"/>
              </w:rPr>
              <w:t>A</w:t>
            </w:r>
            <w:r>
              <w:rPr>
                <w:rFonts w:hint="default" w:ascii="Times New Roman" w:hAnsi="Times New Roman" w:cs="Times New Roman" w:eastAsiaTheme="minorEastAsia"/>
                <w:color w:val="auto"/>
                <w:spacing w:val="6"/>
                <w:sz w:val="18"/>
                <w:szCs w:val="18"/>
              </w:rPr>
              <w:t xml:space="preserve">  声级□</w:t>
            </w:r>
          </w:p>
        </w:tc>
        <w:tc>
          <w:tcPr>
            <w:tcW w:w="2578"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0"/>
                <w:sz w:val="18"/>
                <w:szCs w:val="18"/>
              </w:rPr>
              <w:t>计</w:t>
            </w:r>
            <w:r>
              <w:rPr>
                <w:rFonts w:hint="default" w:ascii="Times New Roman" w:hAnsi="Times New Roman" w:cs="Times New Roman" w:eastAsiaTheme="minorEastAsia"/>
                <w:color w:val="auto"/>
                <w:spacing w:val="9"/>
                <w:sz w:val="18"/>
                <w:szCs w:val="18"/>
              </w:rPr>
              <w:t>权等效连续感觉噪声级</w:t>
            </w:r>
            <w:r>
              <w:rPr>
                <w:rFonts w:hint="default" w:ascii="Times New Roman" w:hAnsi="Times New Roman" w:cs="Times New Roman" w:eastAsiaTheme="minorEastAsia"/>
                <w:color w:val="auto"/>
                <w:sz w:val="18"/>
                <w:szCs w:val="18"/>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100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84"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评价标</w:t>
            </w:r>
            <w:r>
              <w:rPr>
                <w:rFonts w:hint="default" w:ascii="Times New Roman" w:hAnsi="Times New Roman" w:cs="Times New Roman" w:eastAsiaTheme="minorEastAsia"/>
                <w:color w:val="auto"/>
                <w:sz w:val="18"/>
                <w:szCs w:val="18"/>
              </w:rPr>
              <w:t xml:space="preserve"> 准</w:t>
            </w: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评</w:t>
            </w:r>
            <w:r>
              <w:rPr>
                <w:rFonts w:hint="default" w:ascii="Times New Roman" w:hAnsi="Times New Roman" w:cs="Times New Roman" w:eastAsiaTheme="minorEastAsia"/>
                <w:color w:val="auto"/>
                <w:spacing w:val="7"/>
                <w:sz w:val="18"/>
                <w:szCs w:val="18"/>
              </w:rPr>
              <w:t>价标准</w:t>
            </w:r>
          </w:p>
        </w:tc>
        <w:tc>
          <w:tcPr>
            <w:tcW w:w="2022"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2"/>
                <w:sz w:val="18"/>
                <w:szCs w:val="18"/>
              </w:rPr>
              <w:t>国家标准</w:t>
            </w:r>
            <w:r>
              <w:rPr>
                <w:rFonts w:hint="default" w:ascii="Times New Roman" w:hAnsi="Times New Roman" w:cs="Times New Roman" w:eastAsiaTheme="minorEastAsia"/>
                <w:color w:val="auto"/>
                <w:spacing w:val="4"/>
                <w:sz w:val="18"/>
                <w:szCs w:val="18"/>
              </w:rPr>
              <w:sym w:font="Wingdings 2" w:char="0052"/>
            </w:r>
          </w:p>
        </w:tc>
        <w:tc>
          <w:tcPr>
            <w:tcW w:w="2078"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地</w:t>
            </w:r>
            <w:r>
              <w:rPr>
                <w:rFonts w:hint="default" w:ascii="Times New Roman" w:hAnsi="Times New Roman" w:cs="Times New Roman" w:eastAsiaTheme="minorEastAsia"/>
                <w:color w:val="auto"/>
                <w:spacing w:val="7"/>
                <w:sz w:val="18"/>
                <w:szCs w:val="18"/>
              </w:rPr>
              <w:t>方标准□</w:t>
            </w:r>
          </w:p>
        </w:tc>
        <w:tc>
          <w:tcPr>
            <w:tcW w:w="2578"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4"/>
                <w:sz w:val="18"/>
                <w:szCs w:val="18"/>
              </w:rPr>
              <w:t>国</w:t>
            </w:r>
            <w:r>
              <w:rPr>
                <w:rFonts w:hint="default" w:ascii="Times New Roman" w:hAnsi="Times New Roman" w:cs="Times New Roman" w:eastAsiaTheme="minorEastAsia"/>
                <w:color w:val="auto"/>
                <w:spacing w:val="3"/>
                <w:sz w:val="18"/>
                <w:szCs w:val="18"/>
              </w:rPr>
              <w:t>外标准□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1001"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84"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现</w:t>
            </w:r>
            <w:r>
              <w:rPr>
                <w:rFonts w:hint="default" w:ascii="Times New Roman" w:hAnsi="Times New Roman" w:cs="Times New Roman" w:eastAsiaTheme="minorEastAsia"/>
                <w:color w:val="auto"/>
                <w:spacing w:val="6"/>
                <w:sz w:val="18"/>
                <w:szCs w:val="18"/>
              </w:rPr>
              <w:t>状评</w:t>
            </w:r>
            <w:r>
              <w:rPr>
                <w:rFonts w:hint="default" w:ascii="Times New Roman" w:hAnsi="Times New Roman" w:cs="Times New Roman" w:eastAsiaTheme="minorEastAsia"/>
                <w:color w:val="auto"/>
                <w:sz w:val="18"/>
                <w:szCs w:val="18"/>
              </w:rPr>
              <w:t xml:space="preserve"> 价</w:t>
            </w: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环境功能区</w:t>
            </w:r>
          </w:p>
        </w:tc>
        <w:tc>
          <w:tcPr>
            <w:tcW w:w="93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4"/>
                <w:sz w:val="18"/>
                <w:szCs w:val="18"/>
              </w:rPr>
              <w:t>0类</w:t>
            </w:r>
            <w:r>
              <w:rPr>
                <w:rFonts w:hint="default" w:ascii="Times New Roman" w:hAnsi="Times New Roman" w:cs="Times New Roman" w:eastAsiaTheme="minorEastAsia"/>
                <w:color w:val="auto"/>
                <w:spacing w:val="3"/>
                <w:sz w:val="18"/>
                <w:szCs w:val="18"/>
              </w:rPr>
              <w:t>区</w:t>
            </w:r>
            <w:r>
              <w:rPr>
                <w:rFonts w:hint="default" w:ascii="Times New Roman" w:hAnsi="Times New Roman" w:cs="Times New Roman" w:eastAsiaTheme="minorEastAsia"/>
                <w:color w:val="auto"/>
                <w:spacing w:val="2"/>
                <w:sz w:val="18"/>
                <w:szCs w:val="18"/>
              </w:rPr>
              <w:t>□</w:t>
            </w:r>
          </w:p>
        </w:tc>
        <w:tc>
          <w:tcPr>
            <w:tcW w:w="1000" w:type="dxa"/>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2"/>
                <w:sz w:val="18"/>
                <w:szCs w:val="18"/>
              </w:rPr>
              <w:t>1类区□</w:t>
            </w:r>
          </w:p>
        </w:tc>
        <w:tc>
          <w:tcPr>
            <w:tcW w:w="1057" w:type="dxa"/>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lang w:eastAsia="zh-CN"/>
              </w:rPr>
            </w:pPr>
            <w:r>
              <w:rPr>
                <w:rFonts w:hint="default" w:ascii="Times New Roman" w:hAnsi="Times New Roman" w:cs="Times New Roman" w:eastAsiaTheme="minorEastAsia"/>
                <w:color w:val="auto"/>
                <w:spacing w:val="5"/>
                <w:sz w:val="18"/>
                <w:szCs w:val="18"/>
              </w:rPr>
              <w:t>2类区</w:t>
            </w:r>
            <w:r>
              <w:rPr>
                <w:rFonts w:hint="default" w:ascii="Times New Roman" w:hAnsi="Times New Roman" w:cs="Times New Roman" w:eastAsiaTheme="minorEastAsia"/>
                <w:color w:val="auto"/>
                <w:spacing w:val="4"/>
                <w:sz w:val="18"/>
                <w:szCs w:val="18"/>
                <w:lang w:eastAsia="zh-CN"/>
              </w:rPr>
              <w:t>☑</w:t>
            </w:r>
          </w:p>
        </w:tc>
        <w:tc>
          <w:tcPr>
            <w:tcW w:w="1107" w:type="dxa"/>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3"/>
                <w:sz w:val="18"/>
                <w:szCs w:val="18"/>
              </w:rPr>
              <w:t>3类区</w:t>
            </w:r>
            <w:r>
              <w:rPr>
                <w:rFonts w:hint="default" w:ascii="Times New Roman" w:hAnsi="Times New Roman" w:cs="Times New Roman" w:eastAsiaTheme="minorEastAsia"/>
                <w:color w:val="auto"/>
                <w:spacing w:val="4"/>
                <w:sz w:val="18"/>
                <w:szCs w:val="18"/>
              </w:rPr>
              <w:sym w:font="Wingdings 2" w:char="00A3"/>
            </w:r>
          </w:p>
        </w:tc>
        <w:tc>
          <w:tcPr>
            <w:tcW w:w="1124" w:type="dxa"/>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04"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2"/>
                <w:sz w:val="18"/>
                <w:szCs w:val="18"/>
              </w:rPr>
              <w:t>4</w:t>
            </w:r>
            <w:r>
              <w:rPr>
                <w:rFonts w:hint="default" w:ascii="Times New Roman" w:hAnsi="Times New Roman" w:cs="Times New Roman" w:eastAsiaTheme="minorEastAsia"/>
                <w:color w:val="auto"/>
                <w:sz w:val="18"/>
                <w:szCs w:val="18"/>
              </w:rPr>
              <w:t>a</w:t>
            </w:r>
            <w:r>
              <w:rPr>
                <w:rFonts w:hint="default" w:ascii="Times New Roman" w:hAnsi="Times New Roman" w:cs="Times New Roman" w:eastAsiaTheme="minorEastAsia"/>
                <w:color w:val="auto"/>
                <w:spacing w:val="2"/>
                <w:sz w:val="18"/>
                <w:szCs w:val="18"/>
              </w:rPr>
              <w:t>类</w:t>
            </w:r>
            <w:r>
              <w:rPr>
                <w:rFonts w:hint="default" w:ascii="Times New Roman" w:hAnsi="Times New Roman" w:cs="Times New Roman" w:eastAsiaTheme="minorEastAsia"/>
                <w:color w:val="auto"/>
                <w:spacing w:val="1"/>
                <w:sz w:val="18"/>
                <w:szCs w:val="18"/>
              </w:rPr>
              <w:t>区</w:t>
            </w:r>
            <w:r>
              <w:rPr>
                <w:rFonts w:hint="default" w:ascii="Times New Roman" w:hAnsi="Times New Roman" w:cs="Times New Roman" w:eastAsiaTheme="minorEastAsia"/>
                <w:color w:val="auto"/>
                <w:spacing w:val="4"/>
                <w:sz w:val="18"/>
                <w:szCs w:val="18"/>
              </w:rPr>
              <w:sym w:font="Wingdings 2" w:char="0052"/>
            </w:r>
          </w:p>
        </w:tc>
        <w:tc>
          <w:tcPr>
            <w:tcW w:w="1454" w:type="dxa"/>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position w:val="1"/>
                <w:sz w:val="18"/>
                <w:szCs w:val="18"/>
              </w:rPr>
              <w:t>4</w:t>
            </w:r>
            <w:r>
              <w:rPr>
                <w:rFonts w:hint="default" w:ascii="Times New Roman" w:hAnsi="Times New Roman" w:cs="Times New Roman" w:eastAsiaTheme="minorEastAsia"/>
                <w:color w:val="auto"/>
                <w:position w:val="1"/>
                <w:sz w:val="18"/>
                <w:szCs w:val="18"/>
              </w:rPr>
              <w:t>b</w:t>
            </w:r>
            <w:r>
              <w:rPr>
                <w:rFonts w:hint="default" w:ascii="Times New Roman" w:hAnsi="Times New Roman" w:cs="Times New Roman" w:eastAsiaTheme="minorEastAsia"/>
                <w:color w:val="auto"/>
                <w:spacing w:val="6"/>
                <w:position w:val="1"/>
                <w:sz w:val="18"/>
                <w:szCs w:val="18"/>
              </w:rPr>
              <w:t>类区</w:t>
            </w:r>
            <w:r>
              <w:rPr>
                <w:rFonts w:hint="default" w:ascii="Times New Roman" w:hAnsi="Times New Roman" w:cs="Times New Roman" w:eastAsiaTheme="minorEastAsia"/>
                <w:color w:val="auto"/>
                <w:spacing w:val="4"/>
                <w:sz w:val="18"/>
                <w:szCs w:val="18"/>
              </w:rPr>
              <w:sym w:font="Wingdings 2" w:char="00A3"/>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0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评</w:t>
            </w:r>
            <w:r>
              <w:rPr>
                <w:rFonts w:hint="default" w:ascii="Times New Roman" w:hAnsi="Times New Roman" w:cs="Times New Roman" w:eastAsiaTheme="minorEastAsia"/>
                <w:color w:val="auto"/>
                <w:spacing w:val="7"/>
                <w:sz w:val="18"/>
                <w:szCs w:val="18"/>
              </w:rPr>
              <w:t>价年度</w:t>
            </w:r>
          </w:p>
        </w:tc>
        <w:tc>
          <w:tcPr>
            <w:tcW w:w="1561" w:type="dxa"/>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5"/>
                <w:sz w:val="18"/>
                <w:szCs w:val="18"/>
              </w:rPr>
              <w:t>初期</w:t>
            </w:r>
            <w:r>
              <w:rPr>
                <w:rFonts w:hint="default" w:ascii="Times New Roman" w:hAnsi="Times New Roman" w:cs="Times New Roman" w:eastAsiaTheme="minorEastAsia"/>
                <w:color w:val="auto"/>
                <w:position w:val="-4"/>
                <w:sz w:val="18"/>
                <w:szCs w:val="18"/>
              </w:rPr>
              <w:drawing>
                <wp:inline distT="0" distB="0" distL="114300" distR="114300">
                  <wp:extent cx="107950" cy="139700"/>
                  <wp:effectExtent l="0" t="0" r="6350" b="12700"/>
                  <wp:docPr id="64" name="图片 5"/>
                  <wp:cNvGraphicFramePr/>
                  <a:graphic xmlns:a="http://schemas.openxmlformats.org/drawingml/2006/main">
                    <a:graphicData uri="http://schemas.openxmlformats.org/drawingml/2006/picture">
                      <pic:pic xmlns:pic="http://schemas.openxmlformats.org/drawingml/2006/picture">
                        <pic:nvPicPr>
                          <pic:cNvPr id="64" name="图片 5"/>
                          <pic:cNvPicPr/>
                        </pic:nvPicPr>
                        <pic:blipFill>
                          <a:blip r:embed="rId140"/>
                          <a:stretch>
                            <a:fillRect/>
                          </a:stretch>
                        </pic:blipFill>
                        <pic:spPr>
                          <a:xfrm>
                            <a:off x="0" y="0"/>
                            <a:ext cx="107950" cy="139700"/>
                          </a:xfrm>
                          <a:prstGeom prst="rect">
                            <a:avLst/>
                          </a:prstGeom>
                          <a:noFill/>
                          <a:ln>
                            <a:noFill/>
                          </a:ln>
                        </pic:spPr>
                      </pic:pic>
                    </a:graphicData>
                  </a:graphic>
                </wp:inline>
              </w:drawing>
            </w:r>
          </w:p>
        </w:tc>
        <w:tc>
          <w:tcPr>
            <w:tcW w:w="1432" w:type="dxa"/>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4"/>
                <w:sz w:val="18"/>
                <w:szCs w:val="18"/>
              </w:rPr>
              <w:t>近</w:t>
            </w:r>
            <w:r>
              <w:rPr>
                <w:rFonts w:hint="default" w:ascii="Times New Roman" w:hAnsi="Times New Roman" w:cs="Times New Roman" w:eastAsiaTheme="minorEastAsia"/>
                <w:color w:val="auto"/>
                <w:spacing w:val="3"/>
                <w:sz w:val="18"/>
                <w:szCs w:val="18"/>
              </w:rPr>
              <w:t>期</w:t>
            </w:r>
            <w:r>
              <w:rPr>
                <w:rFonts w:hint="default" w:ascii="Times New Roman" w:hAnsi="Times New Roman" w:cs="Times New Roman" w:eastAsiaTheme="minorEastAsia"/>
                <w:color w:val="auto"/>
                <w:spacing w:val="4"/>
                <w:sz w:val="18"/>
                <w:szCs w:val="18"/>
              </w:rPr>
              <w:sym w:font="Wingdings 2" w:char="0052"/>
            </w:r>
          </w:p>
        </w:tc>
        <w:tc>
          <w:tcPr>
            <w:tcW w:w="1845"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
                <w:sz w:val="18"/>
                <w:szCs w:val="18"/>
              </w:rPr>
              <w:t>中期□</w:t>
            </w:r>
          </w:p>
        </w:tc>
        <w:tc>
          <w:tcPr>
            <w:tcW w:w="1840" w:type="dxa"/>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远</w:t>
            </w:r>
            <w:r>
              <w:rPr>
                <w:rFonts w:hint="default" w:ascii="Times New Roman" w:hAnsi="Times New Roman" w:cs="Times New Roman" w:eastAsiaTheme="minorEastAsia"/>
                <w:color w:val="auto"/>
                <w:spacing w:val="5"/>
                <w:sz w:val="18"/>
                <w:szCs w:val="18"/>
              </w:rPr>
              <w:t>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00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68"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现状调查</w:t>
            </w:r>
            <w:r>
              <w:rPr>
                <w:rFonts w:hint="default" w:ascii="Times New Roman" w:hAnsi="Times New Roman" w:cs="Times New Roman" w:eastAsiaTheme="minorEastAsia"/>
                <w:color w:val="auto"/>
                <w:spacing w:val="7"/>
                <w:sz w:val="18"/>
                <w:szCs w:val="18"/>
              </w:rPr>
              <w:t>方</w:t>
            </w:r>
            <w:r>
              <w:rPr>
                <w:rFonts w:hint="default" w:ascii="Times New Roman" w:hAnsi="Times New Roman" w:cs="Times New Roman" w:eastAsiaTheme="minorEastAsia"/>
                <w:color w:val="auto"/>
                <w:sz w:val="18"/>
                <w:szCs w:val="18"/>
              </w:rPr>
              <w:t xml:space="preserve"> 法</w:t>
            </w:r>
          </w:p>
        </w:tc>
        <w:tc>
          <w:tcPr>
            <w:tcW w:w="1936"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现</w:t>
            </w:r>
            <w:r>
              <w:rPr>
                <w:rFonts w:hint="default" w:ascii="Times New Roman" w:hAnsi="Times New Roman" w:cs="Times New Roman" w:eastAsiaTheme="minorEastAsia"/>
                <w:color w:val="auto"/>
                <w:spacing w:val="6"/>
                <w:sz w:val="18"/>
                <w:szCs w:val="18"/>
              </w:rPr>
              <w:t>场实测法</w:t>
            </w:r>
            <w:r>
              <w:rPr>
                <w:rFonts w:hint="default" w:ascii="Times New Roman" w:hAnsi="Times New Roman" w:cs="Times New Roman" w:eastAsiaTheme="minorEastAsia"/>
                <w:color w:val="auto"/>
                <w:spacing w:val="4"/>
                <w:sz w:val="18"/>
                <w:szCs w:val="18"/>
              </w:rPr>
              <w:sym w:font="Wingdings 2" w:char="0052"/>
            </w:r>
          </w:p>
        </w:tc>
        <w:tc>
          <w:tcPr>
            <w:tcW w:w="2389" w:type="dxa"/>
            <w:gridSpan w:val="6"/>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5"/>
                <w:sz w:val="18"/>
                <w:szCs w:val="18"/>
              </w:rPr>
              <w:t>现</w:t>
            </w:r>
            <w:r>
              <w:rPr>
                <w:rFonts w:hint="default" w:ascii="Times New Roman" w:hAnsi="Times New Roman" w:cs="Times New Roman" w:eastAsiaTheme="minorEastAsia"/>
                <w:color w:val="auto"/>
                <w:spacing w:val="8"/>
                <w:sz w:val="18"/>
                <w:szCs w:val="18"/>
              </w:rPr>
              <w:t>场实测加模型计算法</w:t>
            </w:r>
            <w:r>
              <w:rPr>
                <w:rFonts w:hint="default" w:ascii="Times New Roman" w:hAnsi="Times New Roman" w:cs="Times New Roman" w:eastAsiaTheme="minorEastAsia"/>
                <w:color w:val="auto"/>
                <w:spacing w:val="4"/>
                <w:sz w:val="18"/>
                <w:szCs w:val="18"/>
              </w:rPr>
              <w:sym w:font="Wingdings 2" w:char="0052"/>
            </w:r>
          </w:p>
        </w:tc>
        <w:tc>
          <w:tcPr>
            <w:tcW w:w="2353"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6"/>
                <w:sz w:val="18"/>
                <w:szCs w:val="18"/>
              </w:rPr>
              <w:t>收集资料</w:t>
            </w:r>
            <w:r>
              <w:rPr>
                <w:rFonts w:hint="default" w:ascii="Times New Roman" w:hAnsi="Times New Roman" w:cs="Times New Roman" w:eastAsiaTheme="minorEastAsia"/>
                <w:color w:val="auto"/>
                <w:spacing w:val="5"/>
                <w:sz w:val="18"/>
                <w:szCs w:val="18"/>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0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现状评</w:t>
            </w:r>
            <w:r>
              <w:rPr>
                <w:rFonts w:hint="default" w:ascii="Times New Roman" w:hAnsi="Times New Roman" w:cs="Times New Roman" w:eastAsiaTheme="minorEastAsia"/>
                <w:color w:val="auto"/>
                <w:spacing w:val="6"/>
                <w:sz w:val="18"/>
                <w:szCs w:val="18"/>
              </w:rPr>
              <w:t>价</w:t>
            </w:r>
          </w:p>
        </w:tc>
        <w:tc>
          <w:tcPr>
            <w:tcW w:w="1936"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达</w:t>
            </w:r>
            <w:r>
              <w:rPr>
                <w:rFonts w:hint="default" w:ascii="Times New Roman" w:hAnsi="Times New Roman" w:cs="Times New Roman" w:eastAsiaTheme="minorEastAsia"/>
                <w:color w:val="auto"/>
                <w:spacing w:val="8"/>
                <w:sz w:val="18"/>
                <w:szCs w:val="18"/>
              </w:rPr>
              <w:t>标百分比</w:t>
            </w:r>
          </w:p>
        </w:tc>
        <w:tc>
          <w:tcPr>
            <w:tcW w:w="2389" w:type="dxa"/>
            <w:gridSpan w:val="6"/>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4"/>
                <w:position w:val="1"/>
                <w:sz w:val="18"/>
                <w:szCs w:val="18"/>
              </w:rPr>
              <w:t>10</w:t>
            </w:r>
            <w:r>
              <w:rPr>
                <w:rFonts w:hint="default" w:ascii="Times New Roman" w:hAnsi="Times New Roman" w:cs="Times New Roman" w:eastAsiaTheme="minorEastAsia"/>
                <w:color w:val="auto"/>
                <w:spacing w:val="2"/>
                <w:position w:val="1"/>
                <w:sz w:val="18"/>
                <w:szCs w:val="18"/>
              </w:rPr>
              <w:t>0%达标</w:t>
            </w:r>
          </w:p>
        </w:tc>
        <w:tc>
          <w:tcPr>
            <w:tcW w:w="2353"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2" w:hRule="atLeast"/>
        </w:trPr>
        <w:tc>
          <w:tcPr>
            <w:tcW w:w="100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84"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5"/>
                <w:sz w:val="18"/>
                <w:szCs w:val="18"/>
              </w:rPr>
              <w:t>噪</w:t>
            </w:r>
            <w:r>
              <w:rPr>
                <w:rFonts w:hint="default" w:ascii="Times New Roman" w:hAnsi="Times New Roman" w:cs="Times New Roman" w:eastAsiaTheme="minorEastAsia"/>
                <w:color w:val="auto"/>
                <w:spacing w:val="3"/>
                <w:sz w:val="18"/>
                <w:szCs w:val="18"/>
              </w:rPr>
              <w:t>声源</w:t>
            </w:r>
            <w:r>
              <w:rPr>
                <w:rFonts w:hint="default" w:ascii="Times New Roman" w:hAnsi="Times New Roman" w:cs="Times New Roman" w:eastAsiaTheme="minorEastAsia"/>
                <w:color w:val="auto"/>
                <w:sz w:val="18"/>
                <w:szCs w:val="18"/>
              </w:rPr>
              <w:t xml:space="preserve"> </w:t>
            </w:r>
            <w:r>
              <w:rPr>
                <w:rFonts w:hint="default" w:ascii="Times New Roman" w:hAnsi="Times New Roman" w:cs="Times New Roman" w:eastAsiaTheme="minorEastAsia"/>
                <w:color w:val="auto"/>
                <w:spacing w:val="4"/>
                <w:sz w:val="18"/>
                <w:szCs w:val="18"/>
              </w:rPr>
              <w:t>调</w:t>
            </w:r>
            <w:r>
              <w:rPr>
                <w:rFonts w:hint="default" w:ascii="Times New Roman" w:hAnsi="Times New Roman" w:cs="Times New Roman" w:eastAsiaTheme="minorEastAsia"/>
                <w:color w:val="auto"/>
                <w:spacing w:val="3"/>
                <w:sz w:val="18"/>
                <w:szCs w:val="18"/>
              </w:rPr>
              <w:t>查</w:t>
            </w: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68"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6"/>
                <w:sz w:val="18"/>
                <w:szCs w:val="18"/>
              </w:rPr>
              <w:t>噪声源调查</w:t>
            </w:r>
            <w:r>
              <w:rPr>
                <w:rFonts w:hint="default" w:ascii="Times New Roman" w:hAnsi="Times New Roman" w:cs="Times New Roman" w:eastAsiaTheme="minorEastAsia"/>
                <w:color w:val="auto"/>
                <w:sz w:val="18"/>
                <w:szCs w:val="18"/>
              </w:rPr>
              <w:t xml:space="preserve"> </w:t>
            </w:r>
            <w:r>
              <w:rPr>
                <w:rFonts w:hint="default" w:ascii="Times New Roman" w:hAnsi="Times New Roman" w:cs="Times New Roman" w:eastAsiaTheme="minorEastAsia"/>
                <w:color w:val="auto"/>
                <w:spacing w:val="4"/>
                <w:sz w:val="18"/>
                <w:szCs w:val="18"/>
              </w:rPr>
              <w:t>方法</w:t>
            </w:r>
          </w:p>
        </w:tc>
        <w:tc>
          <w:tcPr>
            <w:tcW w:w="1936"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现</w:t>
            </w:r>
            <w:r>
              <w:rPr>
                <w:rFonts w:hint="default" w:ascii="Times New Roman" w:hAnsi="Times New Roman" w:cs="Times New Roman" w:eastAsiaTheme="minorEastAsia"/>
                <w:color w:val="auto"/>
                <w:spacing w:val="5"/>
                <w:sz w:val="18"/>
                <w:szCs w:val="18"/>
              </w:rPr>
              <w:t>场实测</w:t>
            </w:r>
            <w:r>
              <w:rPr>
                <w:rFonts w:hint="default" w:ascii="Times New Roman" w:hAnsi="Times New Roman" w:cs="Times New Roman" w:eastAsiaTheme="minorEastAsia"/>
                <w:color w:val="auto"/>
                <w:spacing w:val="4"/>
                <w:sz w:val="18"/>
                <w:szCs w:val="18"/>
              </w:rPr>
              <w:sym w:font="Wingdings 2" w:char="00A3"/>
            </w:r>
          </w:p>
        </w:tc>
        <w:tc>
          <w:tcPr>
            <w:tcW w:w="2389" w:type="dxa"/>
            <w:gridSpan w:val="6"/>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lang w:eastAsia="zh-CN"/>
              </w:rPr>
            </w:pPr>
            <w:r>
              <w:rPr>
                <w:rFonts w:hint="default" w:ascii="Times New Roman" w:hAnsi="Times New Roman" w:cs="Times New Roman" w:eastAsiaTheme="minorEastAsia"/>
                <w:color w:val="auto"/>
                <w:spacing w:val="3"/>
                <w:sz w:val="18"/>
                <w:szCs w:val="18"/>
              </w:rPr>
              <w:t>已有资料</w:t>
            </w:r>
            <w:r>
              <w:rPr>
                <w:rFonts w:hint="default" w:ascii="Times New Roman" w:hAnsi="Times New Roman" w:cs="Times New Roman" w:eastAsiaTheme="minorEastAsia"/>
                <w:color w:val="auto"/>
                <w:spacing w:val="2"/>
                <w:sz w:val="18"/>
                <w:szCs w:val="18"/>
                <w:lang w:eastAsia="zh-CN"/>
              </w:rPr>
              <w:t>☑</w:t>
            </w:r>
          </w:p>
        </w:tc>
        <w:tc>
          <w:tcPr>
            <w:tcW w:w="2353"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研</w:t>
            </w:r>
            <w:r>
              <w:rPr>
                <w:rFonts w:hint="default" w:ascii="Times New Roman" w:hAnsi="Times New Roman" w:cs="Times New Roman" w:eastAsiaTheme="minorEastAsia"/>
                <w:color w:val="auto"/>
                <w:spacing w:val="7"/>
                <w:sz w:val="18"/>
                <w:szCs w:val="18"/>
              </w:rPr>
              <w:t>究成果□</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001"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6"/>
                <w:sz w:val="18"/>
                <w:szCs w:val="18"/>
              </w:rPr>
              <w:t>声</w:t>
            </w:r>
            <w:r>
              <w:rPr>
                <w:rFonts w:hint="default" w:ascii="Times New Roman" w:hAnsi="Times New Roman" w:cs="Times New Roman" w:eastAsiaTheme="minorEastAsia"/>
                <w:color w:val="auto"/>
                <w:spacing w:val="5"/>
                <w:sz w:val="18"/>
                <w:szCs w:val="18"/>
              </w:rPr>
              <w:t>环境</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影</w:t>
            </w:r>
            <w:r>
              <w:rPr>
                <w:rFonts w:hint="default" w:ascii="Times New Roman" w:hAnsi="Times New Roman" w:cs="Times New Roman" w:eastAsiaTheme="minorEastAsia"/>
                <w:color w:val="auto"/>
                <w:spacing w:val="4"/>
                <w:sz w:val="18"/>
                <w:szCs w:val="18"/>
              </w:rPr>
              <w:t>响</w:t>
            </w:r>
            <w:r>
              <w:rPr>
                <w:rFonts w:hint="default" w:ascii="Times New Roman" w:hAnsi="Times New Roman" w:cs="Times New Roman" w:eastAsiaTheme="minorEastAsia"/>
                <w:color w:val="auto"/>
                <w:spacing w:val="3"/>
                <w:sz w:val="18"/>
                <w:szCs w:val="18"/>
              </w:rPr>
              <w:t>预测</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与</w:t>
            </w:r>
            <w:r>
              <w:rPr>
                <w:rFonts w:hint="default" w:ascii="Times New Roman" w:hAnsi="Times New Roman" w:cs="Times New Roman" w:eastAsiaTheme="minorEastAsia"/>
                <w:color w:val="auto"/>
                <w:spacing w:val="5"/>
                <w:sz w:val="18"/>
                <w:szCs w:val="18"/>
              </w:rPr>
              <w:t>评价</w:t>
            </w: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预测模</w:t>
            </w:r>
            <w:r>
              <w:rPr>
                <w:rFonts w:hint="default" w:ascii="Times New Roman" w:hAnsi="Times New Roman" w:cs="Times New Roman" w:eastAsiaTheme="minorEastAsia"/>
                <w:color w:val="auto"/>
                <w:spacing w:val="6"/>
                <w:sz w:val="18"/>
                <w:szCs w:val="18"/>
              </w:rPr>
              <w:t>型</w:t>
            </w:r>
          </w:p>
        </w:tc>
        <w:tc>
          <w:tcPr>
            <w:tcW w:w="1561" w:type="dxa"/>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导</w:t>
            </w:r>
            <w:r>
              <w:rPr>
                <w:rFonts w:hint="default" w:ascii="Times New Roman" w:hAnsi="Times New Roman" w:cs="Times New Roman" w:eastAsiaTheme="minorEastAsia"/>
                <w:color w:val="auto"/>
                <w:spacing w:val="4"/>
                <w:sz w:val="18"/>
                <w:szCs w:val="18"/>
              </w:rPr>
              <w:t>则推荐模型</w:t>
            </w:r>
            <w:r>
              <w:rPr>
                <w:rFonts w:hint="default" w:ascii="Times New Roman" w:hAnsi="Times New Roman" w:cs="Times New Roman" w:eastAsiaTheme="minorEastAsia"/>
                <w:color w:val="auto"/>
                <w:spacing w:val="4"/>
                <w:sz w:val="18"/>
                <w:szCs w:val="18"/>
              </w:rPr>
              <w:sym w:font="Wingdings 2" w:char="0052"/>
            </w:r>
          </w:p>
        </w:tc>
        <w:tc>
          <w:tcPr>
            <w:tcW w:w="5117" w:type="dxa"/>
            <w:gridSpan w:val="11"/>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6"/>
                <w:sz w:val="18"/>
                <w:szCs w:val="18"/>
              </w:rPr>
              <w:t>其</w:t>
            </w:r>
            <w:r>
              <w:rPr>
                <w:rFonts w:hint="default" w:ascii="Times New Roman" w:hAnsi="Times New Roman" w:cs="Times New Roman" w:eastAsiaTheme="minorEastAsia"/>
                <w:color w:val="auto"/>
                <w:spacing w:val="5"/>
                <w:sz w:val="18"/>
                <w:szCs w:val="18"/>
              </w:rPr>
              <w:t>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00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预测范</w:t>
            </w:r>
            <w:r>
              <w:rPr>
                <w:rFonts w:hint="default" w:ascii="Times New Roman" w:hAnsi="Times New Roman" w:cs="Times New Roman" w:eastAsiaTheme="minorEastAsia"/>
                <w:color w:val="auto"/>
                <w:spacing w:val="6"/>
                <w:sz w:val="18"/>
                <w:szCs w:val="18"/>
              </w:rPr>
              <w:t>围</w:t>
            </w:r>
          </w:p>
        </w:tc>
        <w:tc>
          <w:tcPr>
            <w:tcW w:w="1936"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5"/>
                <w:sz w:val="18"/>
                <w:szCs w:val="18"/>
              </w:rPr>
              <w:t>2</w:t>
            </w:r>
            <w:r>
              <w:rPr>
                <w:rFonts w:hint="default" w:ascii="Times New Roman" w:hAnsi="Times New Roman" w:cs="Times New Roman" w:eastAsiaTheme="minorEastAsia"/>
                <w:color w:val="auto"/>
                <w:spacing w:val="3"/>
                <w:sz w:val="18"/>
                <w:szCs w:val="18"/>
              </w:rPr>
              <w:t xml:space="preserve">00 </w:t>
            </w:r>
            <w:r>
              <w:rPr>
                <w:rFonts w:hint="default" w:ascii="Times New Roman" w:hAnsi="Times New Roman" w:cs="Times New Roman" w:eastAsiaTheme="minorEastAsia"/>
                <w:color w:val="auto"/>
                <w:sz w:val="18"/>
                <w:szCs w:val="18"/>
              </w:rPr>
              <w:t>m</w:t>
            </w:r>
            <w:r>
              <w:rPr>
                <w:rFonts w:hint="default" w:ascii="Times New Roman" w:hAnsi="Times New Roman" w:cs="Times New Roman" w:eastAsiaTheme="minorEastAsia"/>
                <w:color w:val="auto"/>
                <w:spacing w:val="4"/>
                <w:sz w:val="18"/>
                <w:szCs w:val="18"/>
              </w:rPr>
              <w:sym w:font="Wingdings 2" w:char="0052"/>
            </w:r>
          </w:p>
        </w:tc>
        <w:tc>
          <w:tcPr>
            <w:tcW w:w="1720"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
                <w:sz w:val="18"/>
                <w:szCs w:val="18"/>
              </w:rPr>
              <w:t>大于 2</w:t>
            </w:r>
            <w:r>
              <w:rPr>
                <w:rFonts w:hint="default" w:ascii="Times New Roman" w:hAnsi="Times New Roman" w:cs="Times New Roman" w:eastAsiaTheme="minorEastAsia"/>
                <w:color w:val="auto"/>
                <w:sz w:val="18"/>
                <w:szCs w:val="18"/>
              </w:rPr>
              <w:t>00 m □</w:t>
            </w:r>
          </w:p>
        </w:tc>
        <w:tc>
          <w:tcPr>
            <w:tcW w:w="3022" w:type="dxa"/>
            <w:gridSpan w:val="6"/>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
                <w:sz w:val="18"/>
                <w:szCs w:val="18"/>
              </w:rPr>
              <w:t>小于 2</w:t>
            </w:r>
            <w:r>
              <w:rPr>
                <w:rFonts w:hint="default" w:ascii="Times New Roman" w:hAnsi="Times New Roman" w:cs="Times New Roman" w:eastAsiaTheme="minorEastAsia"/>
                <w:color w:val="auto"/>
                <w:sz w:val="18"/>
                <w:szCs w:val="18"/>
              </w:rPr>
              <w:t xml:space="preserve">00 m </w:t>
            </w:r>
            <w:r>
              <w:rPr>
                <w:rFonts w:hint="default" w:ascii="Times New Roman" w:hAnsi="Times New Roman" w:cs="Times New Roman" w:eastAsiaTheme="minorEastAsia"/>
                <w:color w:val="auto"/>
                <w:position w:val="-4"/>
                <w:sz w:val="18"/>
                <w:szCs w:val="18"/>
              </w:rPr>
              <w:drawing>
                <wp:inline distT="0" distB="0" distL="114300" distR="114300">
                  <wp:extent cx="95885" cy="139700"/>
                  <wp:effectExtent l="0" t="0" r="18415" b="12700"/>
                  <wp:docPr id="65" name="图片 6"/>
                  <wp:cNvGraphicFramePr/>
                  <a:graphic xmlns:a="http://schemas.openxmlformats.org/drawingml/2006/main">
                    <a:graphicData uri="http://schemas.openxmlformats.org/drawingml/2006/picture">
                      <pic:pic xmlns:pic="http://schemas.openxmlformats.org/drawingml/2006/picture">
                        <pic:nvPicPr>
                          <pic:cNvPr id="65" name="图片 6"/>
                          <pic:cNvPicPr/>
                        </pic:nvPicPr>
                        <pic:blipFill>
                          <a:blip r:embed="rId141"/>
                          <a:stretch>
                            <a:fillRect/>
                          </a:stretch>
                        </pic:blipFill>
                        <pic:spPr>
                          <a:xfrm>
                            <a:off x="0" y="0"/>
                            <a:ext cx="95885" cy="139700"/>
                          </a:xfrm>
                          <a:prstGeom prst="rect">
                            <a:avLst/>
                          </a:prstGeom>
                          <a:noFill/>
                          <a:ln>
                            <a:noFill/>
                          </a:ln>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8" w:hRule="atLeast"/>
        </w:trPr>
        <w:tc>
          <w:tcPr>
            <w:tcW w:w="100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预测因</w:t>
            </w:r>
            <w:r>
              <w:rPr>
                <w:rFonts w:hint="default" w:ascii="Times New Roman" w:hAnsi="Times New Roman" w:cs="Times New Roman" w:eastAsiaTheme="minorEastAsia"/>
                <w:color w:val="auto"/>
                <w:spacing w:val="6"/>
                <w:sz w:val="18"/>
                <w:szCs w:val="18"/>
              </w:rPr>
              <w:t>子</w:t>
            </w:r>
          </w:p>
        </w:tc>
        <w:tc>
          <w:tcPr>
            <w:tcW w:w="1936"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57"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等</w:t>
            </w:r>
            <w:r>
              <w:rPr>
                <w:rFonts w:hint="default" w:ascii="Times New Roman" w:hAnsi="Times New Roman" w:cs="Times New Roman" w:eastAsiaTheme="minorEastAsia"/>
                <w:color w:val="auto"/>
                <w:spacing w:val="7"/>
                <w:sz w:val="18"/>
                <w:szCs w:val="18"/>
              </w:rPr>
              <w:t>效连续</w:t>
            </w:r>
            <w:r>
              <w:rPr>
                <w:rFonts w:hint="default" w:ascii="Times New Roman" w:hAnsi="Times New Roman" w:cs="Times New Roman" w:eastAsiaTheme="minorEastAsia"/>
                <w:color w:val="auto"/>
                <w:sz w:val="18"/>
                <w:szCs w:val="18"/>
              </w:rPr>
              <w:t>A</w:t>
            </w:r>
            <w:r>
              <w:rPr>
                <w:rFonts w:hint="default" w:ascii="Times New Roman" w:hAnsi="Times New Roman" w:cs="Times New Roman" w:eastAsiaTheme="minorEastAsia"/>
                <w:color w:val="auto"/>
                <w:spacing w:val="7"/>
                <w:sz w:val="18"/>
                <w:szCs w:val="18"/>
              </w:rPr>
              <w:t xml:space="preserve"> 声级</w:t>
            </w:r>
            <w:r>
              <w:rPr>
                <w:rFonts w:hint="default" w:ascii="Times New Roman" w:hAnsi="Times New Roman" w:cs="Times New Roman" w:eastAsiaTheme="minorEastAsia"/>
                <w:color w:val="auto"/>
                <w:sz w:val="18"/>
                <w:szCs w:val="18"/>
              </w:rPr>
              <w:t xml:space="preserve"> </w:t>
            </w:r>
            <w:r>
              <w:rPr>
                <w:rFonts w:hint="default" w:ascii="Times New Roman" w:hAnsi="Times New Roman" w:cs="Times New Roman" w:eastAsiaTheme="minorEastAsia"/>
                <w:color w:val="auto"/>
                <w:spacing w:val="4"/>
                <w:sz w:val="18"/>
                <w:szCs w:val="18"/>
              </w:rPr>
              <w:sym w:font="Wingdings 2" w:char="0052"/>
            </w:r>
          </w:p>
        </w:tc>
        <w:tc>
          <w:tcPr>
            <w:tcW w:w="1720"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6"/>
                <w:sz w:val="18"/>
                <w:szCs w:val="18"/>
              </w:rPr>
              <w:t>最大</w:t>
            </w:r>
            <w:r>
              <w:rPr>
                <w:rFonts w:hint="default" w:ascii="Times New Roman" w:hAnsi="Times New Roman" w:cs="Times New Roman" w:eastAsiaTheme="minorEastAsia"/>
                <w:color w:val="auto"/>
                <w:sz w:val="18"/>
                <w:szCs w:val="18"/>
              </w:rPr>
              <w:t>A</w:t>
            </w:r>
            <w:r>
              <w:rPr>
                <w:rFonts w:hint="default" w:ascii="Times New Roman" w:hAnsi="Times New Roman" w:cs="Times New Roman" w:eastAsiaTheme="minorEastAsia"/>
                <w:color w:val="auto"/>
                <w:spacing w:val="6"/>
                <w:sz w:val="18"/>
                <w:szCs w:val="18"/>
              </w:rPr>
              <w:t xml:space="preserve"> 声级</w:t>
            </w:r>
            <w:r>
              <w:rPr>
                <w:rFonts w:hint="default" w:ascii="Times New Roman" w:hAnsi="Times New Roman" w:cs="Times New Roman" w:eastAsiaTheme="minorEastAsia"/>
                <w:color w:val="auto"/>
                <w:spacing w:val="7"/>
                <w:sz w:val="18"/>
                <w:szCs w:val="18"/>
              </w:rPr>
              <w:t>□</w:t>
            </w:r>
          </w:p>
        </w:tc>
        <w:tc>
          <w:tcPr>
            <w:tcW w:w="3022" w:type="dxa"/>
            <w:gridSpan w:val="6"/>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计权等效连续感觉噪声级</w:t>
            </w:r>
            <w:r>
              <w:rPr>
                <w:rFonts w:hint="default" w:ascii="Times New Roman" w:hAnsi="Times New Roman" w:cs="Times New Roman" w:eastAsiaTheme="minorEastAsia"/>
                <w:color w:val="auto"/>
                <w:spacing w:val="7"/>
                <w:sz w:val="18"/>
                <w:szCs w:val="18"/>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0" w:hRule="atLeast"/>
        </w:trPr>
        <w:tc>
          <w:tcPr>
            <w:tcW w:w="100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68"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0"/>
                <w:sz w:val="18"/>
                <w:szCs w:val="18"/>
              </w:rPr>
              <w:t>厂</w:t>
            </w:r>
            <w:r>
              <w:rPr>
                <w:rFonts w:hint="default" w:ascii="Times New Roman" w:hAnsi="Times New Roman" w:cs="Times New Roman" w:eastAsiaTheme="minorEastAsia"/>
                <w:color w:val="auto"/>
                <w:spacing w:val="7"/>
                <w:sz w:val="18"/>
                <w:szCs w:val="18"/>
              </w:rPr>
              <w:t>界噪声贡</w:t>
            </w:r>
            <w:r>
              <w:rPr>
                <w:rFonts w:hint="default" w:ascii="Times New Roman" w:hAnsi="Times New Roman" w:cs="Times New Roman" w:eastAsiaTheme="minorEastAsia"/>
                <w:color w:val="auto"/>
                <w:sz w:val="18"/>
                <w:szCs w:val="18"/>
              </w:rPr>
              <w:t xml:space="preserve"> </w:t>
            </w:r>
            <w:r>
              <w:rPr>
                <w:rFonts w:hint="default" w:ascii="Times New Roman" w:hAnsi="Times New Roman" w:cs="Times New Roman" w:eastAsiaTheme="minorEastAsia"/>
                <w:color w:val="auto"/>
                <w:spacing w:val="4"/>
                <w:sz w:val="18"/>
                <w:szCs w:val="18"/>
              </w:rPr>
              <w:t>献值</w:t>
            </w:r>
          </w:p>
        </w:tc>
        <w:tc>
          <w:tcPr>
            <w:tcW w:w="1936"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达标</w:t>
            </w:r>
            <w:r>
              <w:rPr>
                <w:rFonts w:hint="default" w:ascii="Times New Roman" w:hAnsi="Times New Roman" w:cs="Times New Roman" w:eastAsiaTheme="minorEastAsia"/>
                <w:color w:val="auto"/>
                <w:spacing w:val="4"/>
                <w:sz w:val="18"/>
                <w:szCs w:val="18"/>
              </w:rPr>
              <w:sym w:font="Wingdings 2" w:char="0052"/>
            </w:r>
          </w:p>
        </w:tc>
        <w:tc>
          <w:tcPr>
            <w:tcW w:w="4742" w:type="dxa"/>
            <w:gridSpan w:val="10"/>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不</w:t>
            </w:r>
            <w:r>
              <w:rPr>
                <w:rFonts w:hint="default" w:ascii="Times New Roman" w:hAnsi="Times New Roman" w:cs="Times New Roman" w:eastAsiaTheme="minorEastAsia"/>
                <w:color w:val="auto"/>
                <w:spacing w:val="6"/>
                <w:sz w:val="18"/>
                <w:szCs w:val="18"/>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100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声</w:t>
            </w:r>
            <w:r>
              <w:rPr>
                <w:rFonts w:hint="default" w:ascii="Times New Roman" w:hAnsi="Times New Roman" w:cs="Times New Roman" w:eastAsiaTheme="minorEastAsia"/>
                <w:color w:val="auto"/>
                <w:spacing w:val="7"/>
                <w:sz w:val="18"/>
                <w:szCs w:val="18"/>
              </w:rPr>
              <w:t>环境保护</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目标处噪声</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值</w:t>
            </w:r>
          </w:p>
        </w:tc>
        <w:tc>
          <w:tcPr>
            <w:tcW w:w="1936"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4"/>
                <w:sz w:val="18"/>
                <w:szCs w:val="18"/>
              </w:rPr>
              <w:t>达</w:t>
            </w:r>
            <w:r>
              <w:rPr>
                <w:rFonts w:hint="default" w:ascii="Times New Roman" w:hAnsi="Times New Roman" w:cs="Times New Roman" w:eastAsiaTheme="minorEastAsia"/>
                <w:color w:val="auto"/>
                <w:spacing w:val="3"/>
                <w:sz w:val="18"/>
                <w:szCs w:val="18"/>
              </w:rPr>
              <w:t>标</w:t>
            </w:r>
            <w:r>
              <w:rPr>
                <w:rFonts w:hint="default" w:ascii="Times New Roman" w:hAnsi="Times New Roman" w:cs="Times New Roman" w:eastAsiaTheme="minorEastAsia"/>
                <w:color w:val="auto"/>
                <w:spacing w:val="4"/>
                <w:sz w:val="18"/>
                <w:szCs w:val="18"/>
              </w:rPr>
              <w:sym w:font="Wingdings 2" w:char="0052"/>
            </w:r>
          </w:p>
        </w:tc>
        <w:tc>
          <w:tcPr>
            <w:tcW w:w="4742" w:type="dxa"/>
            <w:gridSpan w:val="10"/>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不</w:t>
            </w:r>
            <w:r>
              <w:rPr>
                <w:rFonts w:hint="default" w:ascii="Times New Roman" w:hAnsi="Times New Roman" w:cs="Times New Roman" w:eastAsiaTheme="minorEastAsia"/>
                <w:color w:val="auto"/>
                <w:spacing w:val="5"/>
                <w:sz w:val="18"/>
                <w:szCs w:val="18"/>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1001"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环境</w:t>
            </w:r>
            <w:r>
              <w:rPr>
                <w:rFonts w:hint="default" w:ascii="Times New Roman" w:hAnsi="Times New Roman" w:cs="Times New Roman" w:eastAsiaTheme="minorEastAsia"/>
                <w:color w:val="auto"/>
                <w:spacing w:val="6"/>
                <w:sz w:val="18"/>
                <w:szCs w:val="18"/>
              </w:rPr>
              <w:t>监</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测</w:t>
            </w:r>
            <w:r>
              <w:rPr>
                <w:rFonts w:hint="default" w:ascii="Times New Roman" w:hAnsi="Times New Roman" w:cs="Times New Roman" w:eastAsiaTheme="minorEastAsia"/>
                <w:color w:val="auto"/>
                <w:spacing w:val="5"/>
                <w:sz w:val="18"/>
                <w:szCs w:val="18"/>
              </w:rPr>
              <w:t>计</w:t>
            </w:r>
            <w:r>
              <w:rPr>
                <w:rFonts w:hint="default" w:ascii="Times New Roman" w:hAnsi="Times New Roman" w:cs="Times New Roman" w:eastAsiaTheme="minorEastAsia"/>
                <w:color w:val="auto"/>
                <w:spacing w:val="4"/>
                <w:sz w:val="18"/>
                <w:szCs w:val="18"/>
              </w:rPr>
              <w:t>划</w:t>
            </w: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排</w:t>
            </w:r>
            <w:r>
              <w:rPr>
                <w:rFonts w:hint="default" w:ascii="Times New Roman" w:hAnsi="Times New Roman" w:cs="Times New Roman" w:eastAsiaTheme="minorEastAsia"/>
                <w:color w:val="auto"/>
                <w:spacing w:val="7"/>
                <w:sz w:val="18"/>
                <w:szCs w:val="18"/>
              </w:rPr>
              <w:t>放监测</w:t>
            </w:r>
          </w:p>
        </w:tc>
        <w:tc>
          <w:tcPr>
            <w:tcW w:w="1436" w:type="dxa"/>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厂</w:t>
            </w:r>
            <w:r>
              <w:rPr>
                <w:rFonts w:hint="default" w:ascii="Times New Roman" w:hAnsi="Times New Roman" w:cs="Times New Roman" w:eastAsiaTheme="minorEastAsia"/>
                <w:color w:val="auto"/>
                <w:spacing w:val="5"/>
                <w:sz w:val="18"/>
                <w:szCs w:val="18"/>
              </w:rPr>
              <w:t>界监测</w:t>
            </w:r>
            <w:r>
              <w:rPr>
                <w:rFonts w:hint="default" w:ascii="Times New Roman" w:hAnsi="Times New Roman" w:cs="Times New Roman" w:eastAsiaTheme="minorEastAsia"/>
                <w:color w:val="auto"/>
                <w:spacing w:val="4"/>
                <w:sz w:val="18"/>
                <w:szCs w:val="18"/>
              </w:rPr>
              <w:sym w:font="Wingdings 2" w:char="0052"/>
            </w:r>
          </w:p>
        </w:tc>
        <w:tc>
          <w:tcPr>
            <w:tcW w:w="1691" w:type="dxa"/>
            <w:gridSpan w:val="5"/>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9"/>
                <w:sz w:val="18"/>
                <w:szCs w:val="18"/>
              </w:rPr>
              <w:t>固</w:t>
            </w:r>
            <w:r>
              <w:rPr>
                <w:rFonts w:hint="default" w:ascii="Times New Roman" w:hAnsi="Times New Roman" w:cs="Times New Roman" w:eastAsiaTheme="minorEastAsia"/>
                <w:color w:val="auto"/>
                <w:spacing w:val="5"/>
                <w:sz w:val="18"/>
                <w:szCs w:val="18"/>
              </w:rPr>
              <w:t>定位置监测□</w:t>
            </w:r>
          </w:p>
        </w:tc>
        <w:tc>
          <w:tcPr>
            <w:tcW w:w="1198" w:type="dxa"/>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
                <w:sz w:val="18"/>
                <w:szCs w:val="18"/>
              </w:rPr>
              <w:t>自动监</w:t>
            </w:r>
            <w:r>
              <w:rPr>
                <w:rFonts w:hint="default" w:ascii="Times New Roman" w:hAnsi="Times New Roman" w:cs="Times New Roman" w:eastAsiaTheme="minorEastAsia"/>
                <w:color w:val="auto"/>
                <w:sz w:val="18"/>
                <w:szCs w:val="18"/>
              </w:rPr>
              <w:t>测□</w:t>
            </w:r>
          </w:p>
        </w:tc>
        <w:tc>
          <w:tcPr>
            <w:tcW w:w="1330" w:type="dxa"/>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59"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手</w:t>
            </w:r>
            <w:r>
              <w:rPr>
                <w:rFonts w:hint="default" w:ascii="Times New Roman" w:hAnsi="Times New Roman" w:cs="Times New Roman" w:eastAsiaTheme="minorEastAsia"/>
                <w:color w:val="auto"/>
                <w:spacing w:val="7"/>
                <w:sz w:val="18"/>
                <w:szCs w:val="18"/>
              </w:rPr>
              <w:t>动监测</w:t>
            </w:r>
            <w:r>
              <w:rPr>
                <w:rFonts w:hint="default" w:ascii="Times New Roman" w:hAnsi="Times New Roman" w:cs="Times New Roman" w:eastAsiaTheme="minorEastAsia"/>
                <w:color w:val="auto"/>
                <w:sz w:val="18"/>
                <w:szCs w:val="18"/>
              </w:rPr>
              <w:t xml:space="preserve"> </w:t>
            </w:r>
            <w:r>
              <w:rPr>
                <w:rFonts w:hint="default" w:ascii="Times New Roman" w:hAnsi="Times New Roman" w:cs="Times New Roman" w:eastAsiaTheme="minorEastAsia"/>
                <w:color w:val="auto"/>
                <w:spacing w:val="4"/>
                <w:sz w:val="18"/>
                <w:szCs w:val="18"/>
              </w:rPr>
              <w:sym w:font="Wingdings 2" w:char="0052"/>
            </w:r>
          </w:p>
        </w:tc>
        <w:tc>
          <w:tcPr>
            <w:tcW w:w="1023"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无</w:t>
            </w:r>
            <w:r>
              <w:rPr>
                <w:rFonts w:hint="default" w:ascii="Times New Roman" w:hAnsi="Times New Roman" w:cs="Times New Roman" w:eastAsiaTheme="minorEastAsia"/>
                <w:color w:val="auto"/>
                <w:spacing w:val="6"/>
                <w:sz w:val="18"/>
                <w:szCs w:val="18"/>
              </w:rPr>
              <w:t>监测□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100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声</w:t>
            </w:r>
            <w:r>
              <w:rPr>
                <w:rFonts w:hint="default" w:ascii="Times New Roman" w:hAnsi="Times New Roman" w:cs="Times New Roman" w:eastAsiaTheme="minorEastAsia"/>
                <w:color w:val="auto"/>
                <w:spacing w:val="7"/>
                <w:sz w:val="18"/>
                <w:szCs w:val="18"/>
              </w:rPr>
              <w:t>环境保护</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目标处噪声</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4"/>
                <w:sz w:val="18"/>
                <w:szCs w:val="18"/>
              </w:rPr>
              <w:t>监测</w:t>
            </w:r>
          </w:p>
        </w:tc>
        <w:tc>
          <w:tcPr>
            <w:tcW w:w="1936"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1"/>
                <w:sz w:val="18"/>
                <w:szCs w:val="18"/>
              </w:rPr>
              <w:t>监</w:t>
            </w:r>
            <w:r>
              <w:rPr>
                <w:rFonts w:hint="default" w:ascii="Times New Roman" w:hAnsi="Times New Roman" w:cs="Times New Roman" w:eastAsiaTheme="minorEastAsia"/>
                <w:color w:val="auto"/>
                <w:spacing w:val="-6"/>
                <w:sz w:val="18"/>
                <w:szCs w:val="18"/>
              </w:rPr>
              <w:t>测因子：  ()</w:t>
            </w:r>
          </w:p>
        </w:tc>
        <w:tc>
          <w:tcPr>
            <w:tcW w:w="2389" w:type="dxa"/>
            <w:gridSpan w:val="6"/>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14"/>
                <w:sz w:val="18"/>
                <w:szCs w:val="18"/>
              </w:rPr>
              <w:t>监</w:t>
            </w:r>
            <w:r>
              <w:rPr>
                <w:rFonts w:hint="default" w:ascii="Times New Roman" w:hAnsi="Times New Roman" w:cs="Times New Roman" w:eastAsiaTheme="minorEastAsia"/>
                <w:color w:val="auto"/>
                <w:spacing w:val="9"/>
                <w:sz w:val="18"/>
                <w:szCs w:val="18"/>
              </w:rPr>
              <w:t>测点位数 ( )</w:t>
            </w:r>
          </w:p>
        </w:tc>
        <w:tc>
          <w:tcPr>
            <w:tcW w:w="2353" w:type="dxa"/>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无</w:t>
            </w:r>
            <w:r>
              <w:rPr>
                <w:rFonts w:hint="default" w:ascii="Times New Roman" w:hAnsi="Times New Roman" w:cs="Times New Roman" w:eastAsiaTheme="minorEastAsia"/>
                <w:color w:val="auto"/>
                <w:spacing w:val="4"/>
                <w:sz w:val="18"/>
                <w:szCs w:val="18"/>
              </w:rPr>
              <w:t>监测</w:t>
            </w:r>
            <w:r>
              <w:rPr>
                <w:rFonts w:hint="default" w:ascii="Times New Roman" w:hAnsi="Times New Roman" w:cs="Times New Roman" w:eastAsiaTheme="minorEastAsia"/>
                <w:color w:val="auto"/>
                <w:spacing w:val="4"/>
                <w:sz w:val="18"/>
                <w:szCs w:val="18"/>
              </w:rPr>
              <w:sym w:font="Wingdings 2" w:char="0052"/>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00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184"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评价结</w:t>
            </w:r>
            <w:r>
              <w:rPr>
                <w:rFonts w:hint="default" w:ascii="Times New Roman" w:hAnsi="Times New Roman" w:cs="Times New Roman" w:eastAsiaTheme="minorEastAsia"/>
                <w:color w:val="auto"/>
                <w:sz w:val="18"/>
                <w:szCs w:val="18"/>
              </w:rPr>
              <w:t>论</w:t>
            </w:r>
          </w:p>
        </w:tc>
        <w:tc>
          <w:tcPr>
            <w:tcW w:w="138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环</w:t>
            </w:r>
            <w:r>
              <w:rPr>
                <w:rFonts w:hint="default" w:ascii="Times New Roman" w:hAnsi="Times New Roman" w:cs="Times New Roman" w:eastAsiaTheme="minorEastAsia"/>
                <w:color w:val="auto"/>
                <w:spacing w:val="7"/>
                <w:sz w:val="18"/>
                <w:szCs w:val="18"/>
              </w:rPr>
              <w:t>境影响</w:t>
            </w:r>
          </w:p>
        </w:tc>
        <w:tc>
          <w:tcPr>
            <w:tcW w:w="2993" w:type="dxa"/>
            <w:gridSpan w:val="6"/>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3"/>
                <w:sz w:val="18"/>
                <w:szCs w:val="18"/>
              </w:rPr>
              <w:t>可</w:t>
            </w:r>
            <w:r>
              <w:rPr>
                <w:rFonts w:hint="default" w:ascii="Times New Roman" w:hAnsi="Times New Roman" w:cs="Times New Roman" w:eastAsiaTheme="minorEastAsia"/>
                <w:color w:val="auto"/>
                <w:spacing w:val="2"/>
                <w:sz w:val="18"/>
                <w:szCs w:val="18"/>
              </w:rPr>
              <w:t>行</w:t>
            </w:r>
            <w:r>
              <w:rPr>
                <w:rFonts w:hint="default" w:ascii="Times New Roman" w:hAnsi="Times New Roman" w:cs="Times New Roman" w:eastAsiaTheme="minorEastAsia"/>
                <w:color w:val="auto"/>
                <w:spacing w:val="4"/>
                <w:sz w:val="18"/>
                <w:szCs w:val="18"/>
              </w:rPr>
              <w:sym w:font="Wingdings 2" w:char="0052"/>
            </w:r>
          </w:p>
        </w:tc>
        <w:tc>
          <w:tcPr>
            <w:tcW w:w="3685" w:type="dxa"/>
            <w:gridSpan w:val="8"/>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7"/>
                <w:sz w:val="18"/>
                <w:szCs w:val="18"/>
              </w:rPr>
              <w:t>不</w:t>
            </w:r>
            <w:r>
              <w:rPr>
                <w:rFonts w:hint="default" w:ascii="Times New Roman" w:hAnsi="Times New Roman" w:cs="Times New Roman" w:eastAsiaTheme="minorEastAsia"/>
                <w:color w:val="auto"/>
                <w:spacing w:val="5"/>
                <w:sz w:val="18"/>
                <w:szCs w:val="18"/>
              </w:rPr>
              <w:t>可行□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2" w:hRule="atLeast"/>
        </w:trPr>
        <w:tc>
          <w:tcPr>
            <w:tcW w:w="9064" w:type="dxa"/>
            <w:gridSpan w:val="16"/>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left"/>
              <w:textAlignment w:val="baseline"/>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pacing w:val="8"/>
                <w:sz w:val="18"/>
                <w:szCs w:val="18"/>
              </w:rPr>
              <w:t>注</w:t>
            </w:r>
            <w:r>
              <w:rPr>
                <w:rFonts w:hint="default" w:ascii="Times New Roman" w:hAnsi="Times New Roman" w:cs="Times New Roman" w:eastAsiaTheme="minorEastAsia"/>
                <w:color w:val="auto"/>
                <w:spacing w:val="6"/>
                <w:sz w:val="18"/>
                <w:szCs w:val="18"/>
              </w:rPr>
              <w:t>：</w:t>
            </w:r>
            <w:r>
              <w:rPr>
                <w:rFonts w:hint="eastAsia" w:cs="Times New Roman" w:eastAsiaTheme="minorEastAsia"/>
                <w:color w:val="auto"/>
                <w:spacing w:val="6"/>
                <w:sz w:val="18"/>
                <w:szCs w:val="18"/>
                <w:lang w:eastAsia="zh-CN"/>
              </w:rPr>
              <w:t>“</w:t>
            </w:r>
            <w:r>
              <w:rPr>
                <w:rFonts w:hint="default" w:ascii="Times New Roman" w:hAnsi="Times New Roman" w:cs="Times New Roman" w:eastAsiaTheme="minorEastAsia"/>
                <w:color w:val="auto"/>
                <w:spacing w:val="6"/>
                <w:sz w:val="18"/>
                <w:szCs w:val="18"/>
              </w:rPr>
              <w:t>□</w:t>
            </w:r>
            <w:r>
              <w:rPr>
                <w:rFonts w:hint="eastAsia" w:cs="Times New Roman" w:eastAsiaTheme="minorEastAsia"/>
                <w:color w:val="auto"/>
                <w:spacing w:val="6"/>
                <w:sz w:val="18"/>
                <w:szCs w:val="18"/>
                <w:lang w:eastAsia="zh-CN"/>
              </w:rPr>
              <w:t>”</w:t>
            </w:r>
            <w:r>
              <w:rPr>
                <w:rFonts w:hint="default" w:ascii="Times New Roman" w:hAnsi="Times New Roman" w:cs="Times New Roman" w:eastAsiaTheme="minorEastAsia"/>
                <w:color w:val="auto"/>
                <w:spacing w:val="6"/>
                <w:sz w:val="18"/>
                <w:szCs w:val="18"/>
              </w:rPr>
              <w:t xml:space="preserve">  为勾选项 ，可√  ；</w:t>
            </w:r>
            <w:r>
              <w:rPr>
                <w:rFonts w:hint="eastAsia" w:cs="Times New Roman" w:eastAsiaTheme="minorEastAsia"/>
                <w:color w:val="auto"/>
                <w:spacing w:val="6"/>
                <w:sz w:val="18"/>
                <w:szCs w:val="18"/>
                <w:lang w:eastAsia="zh-CN"/>
              </w:rPr>
              <w:t>“</w:t>
            </w:r>
            <w:r>
              <w:rPr>
                <w:rFonts w:hint="default" w:ascii="Times New Roman" w:hAnsi="Times New Roman" w:cs="Times New Roman" w:eastAsiaTheme="minorEastAsia"/>
                <w:color w:val="auto"/>
                <w:spacing w:val="6"/>
                <w:sz w:val="18"/>
                <w:szCs w:val="18"/>
              </w:rPr>
              <w:t xml:space="preserve">  ( ) </w:t>
            </w:r>
            <w:r>
              <w:rPr>
                <w:rFonts w:hint="eastAsia" w:cs="Times New Roman" w:eastAsiaTheme="minorEastAsia"/>
                <w:color w:val="auto"/>
                <w:spacing w:val="6"/>
                <w:sz w:val="18"/>
                <w:szCs w:val="18"/>
                <w:lang w:eastAsia="zh-CN"/>
              </w:rPr>
              <w:t>”</w:t>
            </w:r>
            <w:r>
              <w:rPr>
                <w:rFonts w:hint="default" w:ascii="Times New Roman" w:hAnsi="Times New Roman" w:cs="Times New Roman" w:eastAsiaTheme="minorEastAsia"/>
                <w:color w:val="auto"/>
                <w:spacing w:val="6"/>
                <w:sz w:val="18"/>
                <w:szCs w:val="18"/>
              </w:rPr>
              <w:t xml:space="preserve">  为内容填写项。</w:t>
            </w:r>
          </w:p>
        </w:tc>
      </w:tr>
    </w:tbl>
    <w:p>
      <w:pPr>
        <w:pStyle w:val="28"/>
        <w:rPr>
          <w:rFonts w:hint="default" w:ascii="Times New Roman" w:cs="Times New Roman"/>
          <w:color w:val="auto"/>
          <w:lang w:val="en-US" w:eastAsia="zh-CN"/>
        </w:rPr>
      </w:pP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139" w:name="_Toc12625"/>
      <w:r>
        <w:rPr>
          <w:rFonts w:hint="default" w:cs="Times New Roman"/>
          <w:b/>
          <w:bCs/>
          <w:color w:val="auto"/>
          <w:kern w:val="0"/>
          <w:sz w:val="28"/>
          <w:szCs w:val="28"/>
          <w:highlight w:val="none"/>
          <w:lang w:val="en-US" w:eastAsia="zh-CN"/>
        </w:rPr>
        <w:t>5.2.</w:t>
      </w:r>
      <w:r>
        <w:rPr>
          <w:rFonts w:hint="eastAsia" w:cs="Times New Roman"/>
          <w:b/>
          <w:bCs/>
          <w:color w:val="auto"/>
          <w:kern w:val="0"/>
          <w:sz w:val="28"/>
          <w:szCs w:val="28"/>
          <w:highlight w:val="none"/>
          <w:lang w:val="en-US" w:eastAsia="zh-CN"/>
        </w:rPr>
        <w:t>5</w:t>
      </w:r>
      <w:r>
        <w:rPr>
          <w:rFonts w:hint="default" w:cs="Times New Roman"/>
          <w:b/>
          <w:bCs/>
          <w:color w:val="auto"/>
          <w:kern w:val="0"/>
          <w:sz w:val="28"/>
          <w:szCs w:val="28"/>
          <w:highlight w:val="none"/>
          <w:lang w:val="en-US" w:eastAsia="zh-CN"/>
        </w:rPr>
        <w:t>固体废物影响分析</w:t>
      </w:r>
      <w:bookmarkEnd w:id="139"/>
    </w:p>
    <w:p>
      <w:pPr>
        <w:snapToGrid w:val="0"/>
        <w:spacing w:line="360" w:lineRule="auto"/>
        <w:ind w:firstLine="480" w:firstLineChars="200"/>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本项目产生的固体废弃物主要为游客及工作人员产生的生活垃圾，游客产生的生活垃圾分为可回收与不可回收垃圾，项目设置可分类的垃圾桶，做好垃圾分类管理，可回收利用的收集后交废旧物品回收站处理。不能回收利用</w:t>
      </w:r>
      <w:r>
        <w:rPr>
          <w:rFonts w:hint="eastAsia" w:cs="Times New Roman"/>
          <w:color w:val="auto"/>
          <w:sz w:val="24"/>
          <w:szCs w:val="24"/>
          <w:highlight w:val="none"/>
          <w:lang w:val="en-US" w:eastAsia="zh-CN"/>
        </w:rPr>
        <w:t>垃圾</w:t>
      </w:r>
      <w:r>
        <w:rPr>
          <w:rFonts w:hint="default" w:cs="Times New Roman"/>
          <w:color w:val="auto"/>
          <w:sz w:val="24"/>
          <w:szCs w:val="24"/>
          <w:highlight w:val="none"/>
          <w:lang w:val="en-US" w:eastAsia="zh-CN"/>
        </w:rPr>
        <w:t>由相关环卫部门定期清运。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各项固体废弃物得到有效的收集处理处置后，对环境影响较小。</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140" w:name="_Toc26515"/>
      <w:r>
        <w:rPr>
          <w:rFonts w:hint="default" w:cs="Times New Roman"/>
          <w:b/>
          <w:bCs/>
          <w:color w:val="auto"/>
          <w:kern w:val="0"/>
          <w:sz w:val="28"/>
          <w:szCs w:val="28"/>
          <w:highlight w:val="none"/>
          <w:lang w:val="en-US" w:eastAsia="zh-CN"/>
        </w:rPr>
        <w:t>5.2.</w:t>
      </w:r>
      <w:r>
        <w:rPr>
          <w:rFonts w:hint="eastAsia" w:cs="Times New Roman"/>
          <w:b/>
          <w:bCs/>
          <w:color w:val="auto"/>
          <w:kern w:val="0"/>
          <w:sz w:val="28"/>
          <w:szCs w:val="28"/>
          <w:highlight w:val="none"/>
          <w:lang w:val="en-US" w:eastAsia="zh-CN"/>
        </w:rPr>
        <w:t>6</w:t>
      </w:r>
      <w:r>
        <w:rPr>
          <w:rFonts w:hint="default" w:cs="Times New Roman"/>
          <w:b/>
          <w:bCs/>
          <w:color w:val="auto"/>
          <w:kern w:val="0"/>
          <w:sz w:val="28"/>
          <w:szCs w:val="28"/>
          <w:highlight w:val="none"/>
          <w:lang w:val="en-US" w:eastAsia="zh-CN"/>
        </w:rPr>
        <w:t>运营期环境影响评价结论</w:t>
      </w:r>
      <w:bookmarkEnd w:id="140"/>
      <w:r>
        <w:rPr>
          <w:rFonts w:hint="default" w:cs="Times New Roman"/>
          <w:b/>
          <w:bCs/>
          <w:color w:val="auto"/>
          <w:kern w:val="0"/>
          <w:sz w:val="28"/>
          <w:szCs w:val="28"/>
          <w:highlight w:val="none"/>
          <w:lang w:val="en-US" w:eastAsia="zh-CN"/>
        </w:rPr>
        <w:t xml:space="preserve"> </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综上所述，本项目在运行期交通运输车辆尾气、噪声等均会对周围环境产生一定影响，在采取措施最大限度降低其对环境的危害，运行期生态环境影响范围和程度在可接受范围内，此外道路工程配套建设景观绿化带，项目建设完成后可在一定程</w:t>
      </w:r>
      <w:bookmarkStart w:id="141" w:name="_Toc11281"/>
      <w:r>
        <w:rPr>
          <w:rFonts w:hint="eastAsia" w:cs="Times New Roman"/>
          <w:color w:val="auto"/>
          <w:kern w:val="0"/>
          <w:sz w:val="24"/>
          <w:szCs w:val="24"/>
          <w:highlight w:val="none"/>
          <w:lang w:val="en-US" w:eastAsia="zh-CN" w:bidi="ar"/>
        </w:rPr>
        <w:t>度上减缓生态环境影响</w:t>
      </w:r>
      <w:r>
        <w:rPr>
          <w:rFonts w:hint="default" w:ascii="Times New Roman" w:hAnsi="Times New Roman" w:eastAsia="宋体" w:cs="Times New Roman"/>
          <w:color w:val="auto"/>
          <w:kern w:val="0"/>
          <w:sz w:val="24"/>
          <w:szCs w:val="24"/>
          <w:highlight w:val="none"/>
          <w:lang w:val="en-US" w:eastAsia="zh-CN" w:bidi="ar"/>
        </w:rPr>
        <w:t>。</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142" w:name="_Toc21310"/>
      <w:r>
        <w:rPr>
          <w:rFonts w:hint="default" w:cs="Times New Roman"/>
          <w:b/>
          <w:bCs/>
          <w:color w:val="auto"/>
          <w:kern w:val="0"/>
          <w:sz w:val="30"/>
          <w:szCs w:val="30"/>
          <w:highlight w:val="none"/>
          <w:lang w:val="en-US" w:eastAsia="zh-CN"/>
        </w:rPr>
        <w:t>生态环境影响预测评价</w:t>
      </w:r>
      <w:bookmarkEnd w:id="142"/>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143" w:name="_Toc130573032"/>
      <w:bookmarkStart w:id="144" w:name="_Toc12220"/>
      <w:r>
        <w:rPr>
          <w:rFonts w:hint="default" w:cs="Times New Roman"/>
          <w:b/>
          <w:bCs/>
          <w:color w:val="auto"/>
          <w:kern w:val="0"/>
          <w:sz w:val="28"/>
          <w:szCs w:val="28"/>
          <w:highlight w:val="none"/>
          <w:lang w:val="en-US" w:eastAsia="zh-CN"/>
        </w:rPr>
        <w:t>5.3.1土地利用变化</w:t>
      </w:r>
      <w:bookmarkEnd w:id="143"/>
      <w:bookmarkEnd w:id="144"/>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本工程建设对土地的占用包括临时占地和永久占地两类，两类用地对土地利用类型和土地功能的影响不同。</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（1）临时占地对土地利用的影响分析</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临时占地工程主要为</w:t>
      </w:r>
      <w:r>
        <w:rPr>
          <w:rFonts w:hint="default" w:cs="Times New Roman"/>
          <w:color w:val="auto"/>
          <w:sz w:val="24"/>
          <w:highlight w:val="none"/>
          <w:lang w:val="en-US" w:eastAsia="zh-CN"/>
        </w:rPr>
        <w:t>取土场、弃土场</w:t>
      </w:r>
      <w:r>
        <w:rPr>
          <w:rFonts w:hint="default" w:ascii="Times New Roman" w:hAnsi="Times New Roman" w:cs="Times New Roman"/>
          <w:color w:val="auto"/>
          <w:sz w:val="24"/>
          <w:highlight w:val="none"/>
          <w:lang w:val="en-US" w:eastAsia="zh-CN"/>
        </w:rPr>
        <w:t>，</w:t>
      </w:r>
      <w:r>
        <w:rPr>
          <w:rFonts w:hint="default" w:cs="Times New Roman"/>
          <w:color w:val="auto"/>
          <w:sz w:val="24"/>
          <w:highlight w:val="none"/>
          <w:lang w:val="en-US" w:eastAsia="zh-CN"/>
        </w:rPr>
        <w:t>取、弃土场占地类型为灌木林地，占地面积为0.95hm</w:t>
      </w:r>
      <w:r>
        <w:rPr>
          <w:rFonts w:hint="default" w:cs="Times New Roman"/>
          <w:color w:val="auto"/>
          <w:sz w:val="24"/>
          <w:highlight w:val="none"/>
          <w:vertAlign w:val="superscript"/>
          <w:lang w:val="en-US" w:eastAsia="zh-CN"/>
        </w:rPr>
        <w:t>2</w:t>
      </w:r>
      <w:r>
        <w:rPr>
          <w:rFonts w:hint="default" w:cs="Times New Roman"/>
          <w:color w:val="auto"/>
          <w:sz w:val="24"/>
          <w:highlight w:val="none"/>
          <w:lang w:val="en-US" w:eastAsia="zh-CN"/>
        </w:rPr>
        <w:t>，项目使用后对取、弃土场进行绿化，播撒草籽、种植乔灌木，</w:t>
      </w:r>
      <w:r>
        <w:rPr>
          <w:rFonts w:hint="default" w:ascii="Times New Roman" w:hAnsi="Times New Roman" w:cs="Times New Roman"/>
          <w:color w:val="auto"/>
          <w:sz w:val="24"/>
          <w:highlight w:val="none"/>
        </w:rPr>
        <w:t>土地利用类型不会发生改变。</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（2）永久占地对土地利用的影响分析</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永久占地工程主要为</w:t>
      </w:r>
      <w:r>
        <w:rPr>
          <w:rFonts w:hint="default" w:cs="Times New Roman"/>
          <w:color w:val="auto"/>
          <w:sz w:val="24"/>
          <w:highlight w:val="none"/>
          <w:lang w:val="en-US" w:eastAsia="zh-CN"/>
        </w:rPr>
        <w:t>建筑物区</w:t>
      </w:r>
      <w:r>
        <w:rPr>
          <w:rFonts w:hint="default" w:ascii="Times New Roman" w:hAnsi="Times New Roman" w:cs="Times New Roman"/>
          <w:color w:val="auto"/>
          <w:sz w:val="24"/>
          <w:highlight w:val="none"/>
          <w:lang w:val="en-US" w:eastAsia="zh-CN"/>
        </w:rPr>
        <w:t>、</w:t>
      </w:r>
      <w:r>
        <w:rPr>
          <w:rFonts w:hint="default" w:cs="Times New Roman"/>
          <w:color w:val="auto"/>
          <w:sz w:val="24"/>
          <w:highlight w:val="none"/>
          <w:lang w:val="en-US" w:eastAsia="zh-CN"/>
        </w:rPr>
        <w:t>绿化工程区、广场园路及配套设施区</w:t>
      </w:r>
      <w:r>
        <w:rPr>
          <w:rFonts w:hint="default" w:ascii="Times New Roman" w:hAnsi="Times New Roman" w:cs="Times New Roman"/>
          <w:color w:val="auto"/>
          <w:sz w:val="24"/>
          <w:highlight w:val="none"/>
          <w:lang w:val="en-US" w:eastAsia="zh-CN"/>
        </w:rPr>
        <w:t>，占用地类主要为其他草地、灌木林、商业用地、城镇住宅用地，部分区域</w:t>
      </w:r>
      <w:r>
        <w:rPr>
          <w:rFonts w:hint="default" w:ascii="Times New Roman" w:hAnsi="Times New Roman" w:cs="Times New Roman"/>
          <w:color w:val="auto"/>
          <w:sz w:val="24"/>
          <w:highlight w:val="none"/>
        </w:rPr>
        <w:t>土地利用类型会发生改变</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对生态完整性</w:t>
      </w:r>
      <w:r>
        <w:rPr>
          <w:rFonts w:hint="default" w:ascii="Times New Roman" w:hAnsi="Times New Roman" w:cs="Times New Roman"/>
          <w:color w:val="auto"/>
          <w:sz w:val="24"/>
          <w:highlight w:val="none"/>
          <w:lang w:val="en-US" w:eastAsia="zh-CN"/>
        </w:rPr>
        <w:t>有一定影响</w:t>
      </w:r>
      <w:r>
        <w:rPr>
          <w:rFonts w:hint="default" w:ascii="Times New Roman" w:hAnsi="Times New Roman" w:cs="Times New Roman"/>
          <w:color w:val="auto"/>
          <w:sz w:val="24"/>
          <w:highlight w:val="none"/>
        </w:rPr>
        <w:t>影响。本工程建成后评价区土地利用面积变化情况见</w:t>
      </w:r>
      <w:r>
        <w:rPr>
          <w:rFonts w:hint="default" w:ascii="Times New Roman" w:hAnsi="Times New Roman" w:cs="Times New Roman"/>
          <w:color w:val="auto"/>
          <w:sz w:val="24"/>
          <w:highlight w:val="none"/>
          <w:lang w:val="en-US" w:eastAsia="zh-CN"/>
        </w:rPr>
        <w:t>下</w:t>
      </w:r>
      <w:r>
        <w:rPr>
          <w:rFonts w:hint="default" w:ascii="Times New Roman" w:hAnsi="Times New Roman" w:cs="Times New Roman"/>
          <w:color w:val="auto"/>
          <w:sz w:val="24"/>
          <w:highlight w:val="none"/>
        </w:rPr>
        <w:t>表。</w:t>
      </w:r>
    </w:p>
    <w:p>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0"/>
        <w:jc w:val="center"/>
        <w:textAlignment w:val="center"/>
        <w:outlineLvl w:val="9"/>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表</w:t>
      </w:r>
      <w:r>
        <w:rPr>
          <w:rFonts w:hint="default" w:cs="Times New Roman"/>
          <w:b/>
          <w:color w:val="auto"/>
          <w:szCs w:val="24"/>
          <w:highlight w:val="none"/>
          <w:lang w:val="en-US" w:eastAsia="zh-CN"/>
        </w:rPr>
        <w:t>5.3</w:t>
      </w:r>
      <w:r>
        <w:rPr>
          <w:rFonts w:hint="default" w:ascii="Times New Roman" w:hAnsi="Times New Roman" w:cs="Times New Roman"/>
          <w:b/>
          <w:color w:val="auto"/>
          <w:szCs w:val="24"/>
          <w:highlight w:val="none"/>
          <w:lang w:val="en-US" w:eastAsia="zh-CN"/>
        </w:rPr>
        <w:t>-1</w:t>
      </w:r>
      <w:r>
        <w:rPr>
          <w:rFonts w:hint="default" w:ascii="Times New Roman" w:hAnsi="Times New Roman" w:cs="Times New Roman"/>
          <w:b/>
          <w:color w:val="auto"/>
          <w:szCs w:val="24"/>
          <w:highlight w:val="none"/>
        </w:rPr>
        <w:t xml:space="preserve"> 评价区土地利用变化情况预测表</w:t>
      </w:r>
    </w:p>
    <w:tbl>
      <w:tblPr>
        <w:tblStyle w:val="22"/>
        <w:tblpPr w:leftFromText="180" w:rightFromText="180" w:vertAnchor="page" w:horzAnchor="page" w:tblpX="1157" w:tblpY="1424"/>
        <w:tblOverlap w:val="never"/>
        <w:tblW w:w="9795"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069"/>
        <w:gridCol w:w="2380"/>
        <w:gridCol w:w="891"/>
        <w:gridCol w:w="858"/>
        <w:gridCol w:w="692"/>
        <w:gridCol w:w="704"/>
        <w:gridCol w:w="946"/>
        <w:gridCol w:w="704"/>
        <w:gridCol w:w="787"/>
        <w:gridCol w:w="76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一级类</w:t>
            </w:r>
          </w:p>
        </w:tc>
        <w:tc>
          <w:tcPr>
            <w:tcW w:w="238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二级类</w:t>
            </w:r>
          </w:p>
        </w:tc>
        <w:tc>
          <w:tcPr>
            <w:tcW w:w="1749"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面积（</w:t>
            </w:r>
            <w:r>
              <w:rPr>
                <w:rFonts w:hint="eastAsia" w:ascii="Times New Roman" w:hAnsi="Times New Roman" w:eastAsia="宋体" w:cs="Times New Roman"/>
                <w:b/>
                <w:bCs/>
                <w:i w:val="0"/>
                <w:iCs w:val="0"/>
                <w:color w:val="auto"/>
                <w:kern w:val="0"/>
                <w:sz w:val="21"/>
                <w:szCs w:val="21"/>
                <w:u w:val="none"/>
                <w:lang w:val="en-US" w:eastAsia="zh-CN" w:bidi="ar"/>
              </w:rPr>
              <w:t>hm</w:t>
            </w:r>
            <w:r>
              <w:rPr>
                <w:rFonts w:hint="eastAsia" w:ascii="Times New Roman" w:hAnsi="Times New Roman" w:eastAsia="宋体" w:cs="Times New Roman"/>
                <w:b/>
                <w:bCs/>
                <w:i w:val="0"/>
                <w:iCs w:val="0"/>
                <w:color w:val="auto"/>
                <w:kern w:val="0"/>
                <w:sz w:val="21"/>
                <w:szCs w:val="21"/>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1396"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斑块数</w:t>
            </w:r>
          </w:p>
        </w:tc>
        <w:tc>
          <w:tcPr>
            <w:tcW w:w="1650"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变化量</w:t>
            </w:r>
          </w:p>
        </w:tc>
        <w:tc>
          <w:tcPr>
            <w:tcW w:w="1551"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变化比例</w:t>
            </w:r>
            <w:r>
              <w:rPr>
                <w:rFonts w:hint="eastAsia" w:ascii="Times New Roman" w:hAnsi="Times New Roman" w:eastAsia="宋体" w:cs="Times New Roman"/>
                <w:b/>
                <w:bCs/>
                <w:i w:val="0"/>
                <w:iCs w:val="0"/>
                <w:color w:val="auto"/>
                <w:kern w:val="0"/>
                <w:sz w:val="21"/>
                <w:szCs w:val="21"/>
                <w:u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p>
        </w:tc>
        <w:tc>
          <w:tcPr>
            <w:tcW w:w="2380" w:type="dxa"/>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建设前</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建设后</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建设前</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建设后</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面积（</w:t>
            </w:r>
            <w:r>
              <w:rPr>
                <w:rFonts w:hint="eastAsia" w:ascii="Times New Roman" w:hAnsi="Times New Roman" w:eastAsia="宋体" w:cs="Times New Roman"/>
                <w:b/>
                <w:bCs/>
                <w:i w:val="0"/>
                <w:iCs w:val="0"/>
                <w:color w:val="auto"/>
                <w:kern w:val="0"/>
                <w:sz w:val="21"/>
                <w:szCs w:val="21"/>
                <w:u w:val="none"/>
                <w:lang w:val="en-US" w:eastAsia="zh-CN" w:bidi="ar"/>
              </w:rPr>
              <w:t>hm</w:t>
            </w:r>
            <w:r>
              <w:rPr>
                <w:rFonts w:hint="eastAsia" w:ascii="Times New Roman" w:hAnsi="Times New Roman" w:eastAsia="宋体" w:cs="Times New Roman"/>
                <w:b/>
                <w:bCs/>
                <w:i w:val="0"/>
                <w:iCs w:val="0"/>
                <w:color w:val="auto"/>
                <w:kern w:val="0"/>
                <w:sz w:val="21"/>
                <w:szCs w:val="21"/>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斑块数</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面积</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斑块数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林地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其他林地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11.07</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11.07</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灌木林地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2.58</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1.76</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-0.82</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-31.78</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13.65</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12.83</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18</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-0.82</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-6.01</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草地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其他草地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4.17</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3.26</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-0.91</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-21.82</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4.17</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3.26</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8</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6</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-0.91</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-21.82</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耕地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旱地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1.77</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1.77</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9</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9</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水域及水利设施用地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坑塘水面</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11.49</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11.49</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河流水面</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190.52</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190.52</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水工建筑用地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7.69</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7.69</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209.7</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209.7</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29</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29</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交通运输用地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公路用地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23.38</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23.38</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交通服务场站用地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4.29</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4.29</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城镇村道路用地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41.25</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41.25</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港口码头用地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5.07</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5.07</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73.99</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73.99</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49</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49</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住宅用地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城镇住宅用地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219.4</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218.8</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67</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66</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-0.27</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农村宅基地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22.68</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22.68</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242.08</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241.48</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88</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87</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-0.6</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-0.25</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公共管理与公共服务用地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公用设施用地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35.4</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35.4</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公园与绿地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47.53</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51.46</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5</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3.93</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1</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8.27</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25</w:t>
            </w:r>
            <w:r>
              <w:rPr>
                <w:rFonts w:hint="default" w:ascii="Times New Roman" w:hAnsi="Times New Roman" w:eastAsia="宋体" w:cs="Times New Roman"/>
                <w:i w:val="0"/>
                <w:iCs w:val="0"/>
                <w:color w:val="auto"/>
                <w:kern w:val="0"/>
                <w:sz w:val="21"/>
                <w:szCs w:val="21"/>
                <w:u w:val="none"/>
                <w:lang w:val="en-US" w:eastAsia="zh-CN" w:bidi="ar"/>
              </w:rPr>
              <w:t>.00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科教文卫用地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13.09</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13.09</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机关团体新闻出版用地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29.64</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29.64</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125.66</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129.59</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23</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3.93</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3.13</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商服用地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商业服务业设施用地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3.86</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2.26</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-41.45</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3.86</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2.26</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-1.6</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-41.45</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lang w:val="en-US"/>
              </w:rPr>
            </w:pPr>
            <w:r>
              <w:rPr>
                <w:rFonts w:hint="default" w:ascii="Times New Roman" w:hAnsi="Times New Roman" w:eastAsia="宋体" w:cs="Times New Roman"/>
                <w:b/>
                <w:bCs/>
                <w:i w:val="0"/>
                <w:iCs w:val="0"/>
                <w:color w:val="auto"/>
                <w:kern w:val="0"/>
                <w:sz w:val="21"/>
                <w:szCs w:val="21"/>
                <w:u w:val="none"/>
                <w:lang w:val="en-US" w:eastAsia="zh-CN" w:bidi="ar"/>
              </w:rPr>
              <w:t>-2</w:t>
            </w:r>
            <w:r>
              <w:rPr>
                <w:rFonts w:hint="eastAsia" w:ascii="Times New Roman" w:hAnsi="Times New Roman" w:eastAsia="宋体" w:cs="Times New Roman"/>
                <w:b/>
                <w:bCs/>
                <w:i w:val="0"/>
                <w:iCs w:val="0"/>
                <w:color w:val="auto"/>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特殊用地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特殊用地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0.79</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0.79</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0.79</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0.79</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工矿仓储用地</w:t>
            </w: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工业用地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57.41</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57.41</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采矿用地</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0.33</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0.33</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0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u w:val="none"/>
              </w:rPr>
            </w:pPr>
          </w:p>
        </w:tc>
        <w:tc>
          <w:tcPr>
            <w:tcW w:w="2380" w:type="dxa"/>
            <w:tcBorders>
              <w:tl2br w:val="nil"/>
              <w:tr2bl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57.74</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57.74</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19</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19</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3449"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总计</w:t>
            </w:r>
          </w:p>
        </w:tc>
        <w:tc>
          <w:tcPr>
            <w:tcW w:w="89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733.41</w:t>
            </w:r>
          </w:p>
        </w:tc>
        <w:tc>
          <w:tcPr>
            <w:tcW w:w="858"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733.41</w:t>
            </w:r>
          </w:p>
        </w:tc>
        <w:tc>
          <w:tcPr>
            <w:tcW w:w="6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247</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24</w:t>
            </w:r>
            <w:r>
              <w:rPr>
                <w:rFonts w:hint="eastAsia" w:ascii="Times New Roman" w:hAnsi="Times New Roman" w:eastAsia="宋体" w:cs="Times New Roman"/>
                <w:b/>
                <w:bCs/>
                <w:i w:val="0"/>
                <w:iCs w:val="0"/>
                <w:color w:val="auto"/>
                <w:kern w:val="0"/>
                <w:sz w:val="21"/>
                <w:szCs w:val="21"/>
                <w:u w:val="none"/>
                <w:lang w:val="en-US" w:eastAsia="zh-CN" w:bidi="ar"/>
              </w:rPr>
              <w:t>3</w:t>
            </w:r>
          </w:p>
        </w:tc>
        <w:tc>
          <w:tcPr>
            <w:tcW w:w="9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70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w:t>
            </w:r>
            <w:r>
              <w:rPr>
                <w:rFonts w:hint="eastAsia" w:ascii="Times New Roman" w:hAnsi="Times New Roman" w:eastAsia="宋体" w:cs="Times New Roman"/>
                <w:b/>
                <w:bCs/>
                <w:i w:val="0"/>
                <w:iCs w:val="0"/>
                <w:color w:val="auto"/>
                <w:kern w:val="0"/>
                <w:sz w:val="21"/>
                <w:szCs w:val="21"/>
                <w:u w:val="none"/>
                <w:lang w:val="en-US" w:eastAsia="zh-CN" w:bidi="ar"/>
              </w:rPr>
              <w:t>4</w:t>
            </w:r>
          </w:p>
        </w:tc>
        <w:tc>
          <w:tcPr>
            <w:tcW w:w="7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eastAsia" w:ascii="Times New Roman" w:hAnsi="Times New Roman" w:eastAsia="宋体" w:cs="Times New Roman"/>
                <w:b/>
                <w:bCs/>
                <w:i w:val="0"/>
                <w:iCs w:val="0"/>
                <w:color w:val="auto"/>
                <w:kern w:val="0"/>
                <w:sz w:val="21"/>
                <w:szCs w:val="21"/>
                <w:u w:val="none"/>
                <w:lang w:val="en-US" w:eastAsia="zh-CN" w:bidi="ar"/>
              </w:rPr>
              <w:t>0</w:t>
            </w:r>
          </w:p>
        </w:tc>
        <w:tc>
          <w:tcPr>
            <w:tcW w:w="7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lang w:val="en-US"/>
              </w:rPr>
            </w:pPr>
            <w:r>
              <w:rPr>
                <w:rFonts w:hint="default" w:ascii="Times New Roman" w:hAnsi="Times New Roman" w:eastAsia="宋体" w:cs="Times New Roman"/>
                <w:b/>
                <w:bCs/>
                <w:i w:val="0"/>
                <w:iCs w:val="0"/>
                <w:color w:val="auto"/>
                <w:kern w:val="0"/>
                <w:sz w:val="21"/>
                <w:szCs w:val="21"/>
                <w:u w:val="none"/>
                <w:lang w:val="en-US" w:eastAsia="zh-CN" w:bidi="ar"/>
              </w:rPr>
              <w:t>-</w:t>
            </w:r>
            <w:r>
              <w:rPr>
                <w:rFonts w:hint="eastAsia" w:ascii="Times New Roman" w:hAnsi="Times New Roman" w:eastAsia="宋体" w:cs="Times New Roman"/>
                <w:b/>
                <w:bCs/>
                <w:i w:val="0"/>
                <w:iCs w:val="0"/>
                <w:color w:val="auto"/>
                <w:kern w:val="0"/>
                <w:sz w:val="21"/>
                <w:szCs w:val="21"/>
                <w:u w:val="none"/>
                <w:lang w:val="en-US" w:eastAsia="zh-CN" w:bidi="ar"/>
              </w:rPr>
              <w:t>1.62</w:t>
            </w:r>
          </w:p>
        </w:tc>
      </w:tr>
    </w:tbl>
    <w:p>
      <w:pPr>
        <w:spacing w:line="360" w:lineRule="auto"/>
        <w:ind w:firstLine="480" w:firstLineChars="200"/>
        <w:rPr>
          <w:rFonts w:hint="default" w:ascii="Times New Roman" w:hAnsi="Times New Roman" w:cs="Times New Roman"/>
          <w:color w:val="auto"/>
          <w:sz w:val="24"/>
          <w:highlight w:val="none"/>
          <w:vertAlign w:val="baseline"/>
          <w:lang w:val="en-US" w:eastAsia="zh-CN"/>
        </w:rPr>
      </w:pPr>
      <w:r>
        <w:rPr>
          <w:rFonts w:hint="default" w:ascii="Times New Roman" w:hAnsi="Times New Roman" w:cs="Times New Roman"/>
          <w:color w:val="auto"/>
          <w:sz w:val="24"/>
          <w:highlight w:val="none"/>
        </w:rPr>
        <w:t>由</w:t>
      </w:r>
      <w:r>
        <w:rPr>
          <w:rFonts w:hint="default" w:ascii="Times New Roman" w:hAnsi="Times New Roman" w:cs="Times New Roman"/>
          <w:color w:val="auto"/>
          <w:sz w:val="24"/>
          <w:highlight w:val="none"/>
          <w:lang w:val="en-US" w:eastAsia="zh-CN"/>
        </w:rPr>
        <w:t>上</w:t>
      </w:r>
      <w:r>
        <w:rPr>
          <w:rFonts w:hint="default" w:ascii="Times New Roman" w:hAnsi="Times New Roman" w:cs="Times New Roman"/>
          <w:color w:val="auto"/>
          <w:sz w:val="24"/>
          <w:highlight w:val="none"/>
        </w:rPr>
        <w:t>表可知</w:t>
      </w:r>
      <w:r>
        <w:rPr>
          <w:rFonts w:hint="default" w:ascii="Times New Roman" w:hAnsi="Times New Roman" w:cs="Times New Roman"/>
          <w:color w:val="auto"/>
          <w:sz w:val="24"/>
          <w:highlight w:val="none"/>
          <w:lang w:val="en-US" w:eastAsia="zh-CN"/>
        </w:rPr>
        <w:t>项目</w:t>
      </w:r>
      <w:r>
        <w:rPr>
          <w:rFonts w:hint="default" w:ascii="Times New Roman" w:hAnsi="Times New Roman" w:cs="Times New Roman"/>
          <w:color w:val="auto"/>
          <w:sz w:val="24"/>
          <w:highlight w:val="none"/>
        </w:rPr>
        <w:t>建设导致评价区内其他草地</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灌木林</w:t>
      </w:r>
      <w:r>
        <w:rPr>
          <w:rFonts w:hint="eastAsia" w:cs="Times New Roman"/>
          <w:color w:val="auto"/>
          <w:sz w:val="24"/>
          <w:highlight w:val="none"/>
          <w:lang w:eastAsia="zh-CN"/>
        </w:rPr>
        <w:t>、商业服务业设施用地、</w:t>
      </w:r>
      <w:r>
        <w:rPr>
          <w:rFonts w:hint="default" w:ascii="Times New Roman" w:hAnsi="Times New Roman" w:cs="Times New Roman"/>
          <w:color w:val="auto"/>
          <w:sz w:val="24"/>
          <w:highlight w:val="none"/>
        </w:rPr>
        <w:t>城镇住宅用地面积减少，分别减少0.91</w:t>
      </w:r>
      <w:r>
        <w:rPr>
          <w:rFonts w:hint="eastAsia" w:cs="Times New Roman"/>
          <w:color w:val="auto"/>
          <w:sz w:val="24"/>
          <w:highlight w:val="none"/>
          <w:lang w:val="en-US" w:eastAsia="zh-CN"/>
        </w:rPr>
        <w:t>hm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rPr>
        <w:t>0.82</w:t>
      </w:r>
      <w:r>
        <w:rPr>
          <w:rFonts w:hint="eastAsia" w:cs="Times New Roman"/>
          <w:color w:val="auto"/>
          <w:sz w:val="24"/>
          <w:highlight w:val="none"/>
          <w:lang w:val="en-US" w:eastAsia="zh-CN"/>
        </w:rPr>
        <w:t>hm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rPr>
        <w:t>1.6</w:t>
      </w:r>
      <w:r>
        <w:rPr>
          <w:rFonts w:hint="eastAsia" w:cs="Times New Roman"/>
          <w:color w:val="auto"/>
          <w:sz w:val="24"/>
          <w:highlight w:val="none"/>
          <w:lang w:val="en-US" w:eastAsia="zh-CN"/>
        </w:rPr>
        <w:t>hm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和</w:t>
      </w:r>
      <w:r>
        <w:rPr>
          <w:rFonts w:hint="default" w:ascii="Times New Roman" w:hAnsi="Times New Roman" w:cs="Times New Roman"/>
          <w:color w:val="auto"/>
          <w:sz w:val="24"/>
          <w:highlight w:val="none"/>
        </w:rPr>
        <w:t>0.6</w:t>
      </w:r>
      <w:r>
        <w:rPr>
          <w:rFonts w:hint="eastAsia" w:cs="Times New Roman"/>
          <w:color w:val="auto"/>
          <w:sz w:val="24"/>
          <w:highlight w:val="none"/>
          <w:lang w:val="en-US" w:eastAsia="zh-CN"/>
        </w:rPr>
        <w:t>hm</w:t>
      </w:r>
      <w:r>
        <w:rPr>
          <w:rFonts w:hint="eastAsia" w:cs="Times New Roman"/>
          <w:color w:val="auto"/>
          <w:sz w:val="24"/>
          <w:highlight w:val="none"/>
          <w:vertAlign w:val="superscript"/>
          <w:lang w:val="en-US" w:eastAsia="zh-CN"/>
        </w:rPr>
        <w:t>2</w:t>
      </w: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减少比例分别为21.82%、31.78%、41.45%</w:t>
      </w:r>
      <w:r>
        <w:rPr>
          <w:rFonts w:hint="eastAsia" w:cs="Times New Roman"/>
          <w:color w:val="auto"/>
          <w:sz w:val="24"/>
          <w:highlight w:val="none"/>
          <w:vertAlign w:val="baseline"/>
          <w:lang w:val="en-US" w:eastAsia="zh-CN"/>
        </w:rPr>
        <w:t>和0.27</w:t>
      </w:r>
      <w:r>
        <w:rPr>
          <w:rFonts w:hint="default" w:ascii="Times New Roman" w:hAnsi="Times New Roman" w:cs="Times New Roman"/>
          <w:color w:val="auto"/>
          <w:sz w:val="24"/>
          <w:highlight w:val="none"/>
          <w:vertAlign w:val="baseline"/>
          <w:lang w:val="en-US" w:eastAsia="zh-CN"/>
        </w:rPr>
        <w:t>%。其中其他草地、灌木林、商业服务业设施用地变化幅度较大，城镇住宅用地变化幅度小。项目建设到评价区内公园与绿地面增加</w:t>
      </w:r>
      <w:r>
        <w:rPr>
          <w:rFonts w:hint="eastAsia" w:cs="Times New Roman"/>
          <w:color w:val="auto"/>
          <w:sz w:val="24"/>
          <w:highlight w:val="none"/>
          <w:vertAlign w:val="baseline"/>
          <w:lang w:val="en-US" w:eastAsia="zh-CN"/>
        </w:rPr>
        <w:t>3.93</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vertAlign w:val="baseline"/>
          <w:lang w:val="en-US" w:eastAsia="zh-CN"/>
        </w:rPr>
        <w:t>，变化比例为8.27%，变化幅度</w:t>
      </w:r>
      <w:r>
        <w:rPr>
          <w:rFonts w:hint="eastAsia" w:cs="Times New Roman"/>
          <w:color w:val="auto"/>
          <w:sz w:val="24"/>
          <w:highlight w:val="none"/>
          <w:vertAlign w:val="baseline"/>
          <w:lang w:val="en-US" w:eastAsia="zh-CN"/>
        </w:rPr>
        <w:t>较小</w:t>
      </w:r>
      <w:r>
        <w:rPr>
          <w:rFonts w:hint="default" w:ascii="Times New Roman" w:hAnsi="Times New Roman" w:cs="Times New Roman"/>
          <w:color w:val="auto"/>
          <w:sz w:val="24"/>
          <w:highlight w:val="none"/>
          <w:vertAlign w:val="baseline"/>
          <w:lang w:val="en-US" w:eastAsia="zh-CN"/>
        </w:rPr>
        <w:t>。由于项目建设占地占用、分割导致部分地类斑块数发生改变，主要为其他草地、灌木林、商业服务业设施用地、城镇住宅用地地斑块数减少，分别减少</w:t>
      </w:r>
      <w:r>
        <w:rPr>
          <w:rFonts w:hint="eastAsia" w:cs="Times New Roman"/>
          <w:color w:val="auto"/>
          <w:sz w:val="24"/>
          <w:highlight w:val="none"/>
          <w:vertAlign w:val="baseline"/>
          <w:lang w:val="en-US" w:eastAsia="zh-CN"/>
        </w:rPr>
        <w:t>2</w:t>
      </w:r>
      <w:r>
        <w:rPr>
          <w:rFonts w:hint="default" w:ascii="Times New Roman" w:hAnsi="Times New Roman" w:cs="Times New Roman"/>
          <w:color w:val="auto"/>
          <w:sz w:val="24"/>
          <w:highlight w:val="none"/>
          <w:vertAlign w:val="baseline"/>
          <w:lang w:val="en-US" w:eastAsia="zh-CN"/>
        </w:rPr>
        <w:t>块、1块、1块和1块；公园与绿地斑块数增加，增量为1块，变化比例分别为</w:t>
      </w:r>
      <w:r>
        <w:rPr>
          <w:rFonts w:hint="eastAsia" w:cs="Times New Roman"/>
          <w:color w:val="auto"/>
          <w:sz w:val="24"/>
          <w:highlight w:val="none"/>
          <w:vertAlign w:val="baseline"/>
          <w:lang w:val="en-US" w:eastAsia="zh-CN"/>
        </w:rPr>
        <w:t>25.00</w:t>
      </w:r>
      <w:r>
        <w:rPr>
          <w:rFonts w:hint="default" w:ascii="Times New Roman" w:hAnsi="Times New Roman" w:cs="Times New Roman"/>
          <w:color w:val="auto"/>
          <w:sz w:val="24"/>
          <w:highlight w:val="none"/>
          <w:vertAlign w:val="baseline"/>
          <w:lang w:val="en-US" w:eastAsia="zh-CN"/>
        </w:rPr>
        <w:t>%、</w:t>
      </w:r>
      <w:r>
        <w:rPr>
          <w:rFonts w:hint="eastAsia" w:cs="Times New Roman"/>
          <w:color w:val="auto"/>
          <w:sz w:val="24"/>
          <w:highlight w:val="none"/>
          <w:vertAlign w:val="baseline"/>
          <w:lang w:val="en-US" w:eastAsia="zh-CN"/>
        </w:rPr>
        <w:t>25.00</w:t>
      </w:r>
      <w:r>
        <w:rPr>
          <w:rFonts w:hint="default" w:ascii="Times New Roman" w:hAnsi="Times New Roman" w:cs="Times New Roman"/>
          <w:color w:val="auto"/>
          <w:sz w:val="24"/>
          <w:highlight w:val="none"/>
          <w:vertAlign w:val="baseline"/>
          <w:lang w:val="en-US" w:eastAsia="zh-CN"/>
        </w:rPr>
        <w:t>%、</w:t>
      </w:r>
      <w:r>
        <w:rPr>
          <w:rFonts w:hint="eastAsia" w:cs="Times New Roman"/>
          <w:color w:val="auto"/>
          <w:sz w:val="24"/>
          <w:highlight w:val="none"/>
          <w:vertAlign w:val="baseline"/>
          <w:lang w:val="en-US" w:eastAsia="zh-CN"/>
        </w:rPr>
        <w:t>20.00</w:t>
      </w:r>
      <w:r>
        <w:rPr>
          <w:rFonts w:hint="default" w:ascii="Times New Roman" w:hAnsi="Times New Roman" w:cs="Times New Roman"/>
          <w:color w:val="auto"/>
          <w:sz w:val="24"/>
          <w:highlight w:val="none"/>
          <w:vertAlign w:val="baseline"/>
          <w:lang w:val="en-US" w:eastAsia="zh-CN"/>
        </w:rPr>
        <w:t>%、</w:t>
      </w:r>
      <w:r>
        <w:rPr>
          <w:rFonts w:hint="eastAsia" w:cs="Times New Roman"/>
          <w:color w:val="auto"/>
          <w:sz w:val="24"/>
          <w:highlight w:val="none"/>
          <w:vertAlign w:val="baseline"/>
          <w:lang w:val="en-US" w:eastAsia="zh-CN"/>
        </w:rPr>
        <w:t>1.49</w:t>
      </w:r>
      <w:r>
        <w:rPr>
          <w:rFonts w:hint="default" w:ascii="Times New Roman" w:hAnsi="Times New Roman" w:cs="Times New Roman"/>
          <w:color w:val="auto"/>
          <w:sz w:val="24"/>
          <w:highlight w:val="none"/>
          <w:vertAlign w:val="baseline"/>
          <w:lang w:val="en-US" w:eastAsia="zh-CN"/>
        </w:rPr>
        <w:t>%和25.00%，</w:t>
      </w:r>
      <w:r>
        <w:rPr>
          <w:rFonts w:hint="eastAsia" w:cs="Times New Roman"/>
          <w:color w:val="auto"/>
          <w:sz w:val="24"/>
          <w:highlight w:val="none"/>
          <w:vertAlign w:val="baseline"/>
          <w:lang w:val="en-US" w:eastAsia="zh-CN"/>
        </w:rPr>
        <w:t>除</w:t>
      </w:r>
      <w:r>
        <w:rPr>
          <w:rFonts w:hint="default" w:ascii="Times New Roman" w:hAnsi="Times New Roman" w:cs="Times New Roman"/>
          <w:color w:val="auto"/>
          <w:sz w:val="24"/>
          <w:highlight w:val="none"/>
          <w:vertAlign w:val="baseline"/>
          <w:lang w:val="en-US" w:eastAsia="zh-CN"/>
        </w:rPr>
        <w:t>城镇住宅用地</w:t>
      </w:r>
      <w:r>
        <w:rPr>
          <w:rFonts w:hint="eastAsia" w:cs="Times New Roman"/>
          <w:color w:val="auto"/>
          <w:sz w:val="24"/>
          <w:highlight w:val="none"/>
          <w:vertAlign w:val="baseline"/>
          <w:lang w:val="en-US" w:eastAsia="zh-CN"/>
        </w:rPr>
        <w:t>外，其余地类</w:t>
      </w:r>
      <w:r>
        <w:rPr>
          <w:rFonts w:hint="default" w:ascii="Times New Roman" w:hAnsi="Times New Roman" w:cs="Times New Roman"/>
          <w:color w:val="auto"/>
          <w:sz w:val="24"/>
          <w:highlight w:val="none"/>
          <w:vertAlign w:val="baseline"/>
          <w:lang w:val="en-US" w:eastAsia="zh-CN"/>
        </w:rPr>
        <w:t>变化幅度较大。</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vertAlign w:val="baseline"/>
          <w:lang w:val="en-US" w:eastAsia="zh-CN"/>
        </w:rPr>
        <w:t>评价区内有二级地类21种，变化地类</w:t>
      </w:r>
      <w:r>
        <w:rPr>
          <w:rFonts w:hint="eastAsia" w:cs="Times New Roman"/>
          <w:color w:val="auto"/>
          <w:sz w:val="24"/>
          <w:highlight w:val="none"/>
          <w:vertAlign w:val="baseline"/>
          <w:lang w:val="en-US" w:eastAsia="zh-CN"/>
        </w:rPr>
        <w:t>5</w:t>
      </w:r>
      <w:r>
        <w:rPr>
          <w:rFonts w:hint="default" w:ascii="Times New Roman" w:hAnsi="Times New Roman" w:cs="Times New Roman"/>
          <w:color w:val="auto"/>
          <w:sz w:val="24"/>
          <w:highlight w:val="none"/>
          <w:vertAlign w:val="baseline"/>
          <w:lang w:val="en-US" w:eastAsia="zh-CN"/>
        </w:rPr>
        <w:t>种，</w:t>
      </w:r>
      <w:r>
        <w:rPr>
          <w:rFonts w:hint="default" w:ascii="Times New Roman" w:hAnsi="Times New Roman" w:cs="Times New Roman"/>
          <w:color w:val="auto"/>
          <w:sz w:val="24"/>
          <w:highlight w:val="none"/>
        </w:rPr>
        <w:t>其他草地</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灌木林</w:t>
      </w:r>
      <w:r>
        <w:rPr>
          <w:rFonts w:hint="eastAsia" w:cs="Times New Roman"/>
          <w:color w:val="auto"/>
          <w:sz w:val="24"/>
          <w:highlight w:val="none"/>
          <w:lang w:eastAsia="zh-CN"/>
        </w:rPr>
        <w:t>、商业服务业设施用地</w:t>
      </w:r>
      <w:r>
        <w:rPr>
          <w:rFonts w:hint="default" w:ascii="Times New Roman" w:hAnsi="Times New Roman" w:cs="Times New Roman"/>
          <w:color w:val="auto"/>
          <w:sz w:val="24"/>
          <w:highlight w:val="none"/>
          <w:vertAlign w:val="baseline"/>
          <w:lang w:val="en-US" w:eastAsia="zh-CN"/>
        </w:rPr>
        <w:t>二级地类斑块数变化幅度较大，主要是项目实施前区域对应地类斑块数</w:t>
      </w:r>
      <w:r>
        <w:rPr>
          <w:rFonts w:hint="eastAsia" w:cs="Times New Roman"/>
          <w:color w:val="auto"/>
          <w:sz w:val="24"/>
          <w:highlight w:val="none"/>
          <w:vertAlign w:val="baseline"/>
          <w:lang w:val="en-US" w:eastAsia="zh-CN"/>
        </w:rPr>
        <w:t>和面积</w:t>
      </w:r>
      <w:r>
        <w:rPr>
          <w:rFonts w:hint="default" w:ascii="Times New Roman" w:hAnsi="Times New Roman" w:cs="Times New Roman"/>
          <w:color w:val="auto"/>
          <w:sz w:val="24"/>
          <w:highlight w:val="none"/>
          <w:vertAlign w:val="baseline"/>
          <w:lang w:val="en-US" w:eastAsia="zh-CN"/>
        </w:rPr>
        <w:t>较少，稍微变化就会导致比例发生大的改变</w:t>
      </w:r>
      <w:r>
        <w:rPr>
          <w:rFonts w:hint="eastAsia" w:cs="Times New Roman"/>
          <w:color w:val="auto"/>
          <w:sz w:val="24"/>
          <w:highlight w:val="none"/>
          <w:vertAlign w:val="baseline"/>
          <w:lang w:val="en-US" w:eastAsia="zh-CN"/>
        </w:rPr>
        <w:t>。</w:t>
      </w:r>
      <w:r>
        <w:rPr>
          <w:rFonts w:hint="default" w:ascii="Times New Roman" w:hAnsi="Times New Roman" w:cs="Times New Roman"/>
          <w:color w:val="auto"/>
          <w:sz w:val="24"/>
          <w:highlight w:val="none"/>
          <w:vertAlign w:val="baseline"/>
          <w:lang w:val="en-US" w:eastAsia="zh-CN"/>
        </w:rPr>
        <w:t>项目实施前后评价区内优势地类依然为住宅用地</w:t>
      </w:r>
      <w:r>
        <w:rPr>
          <w:rFonts w:hint="eastAsia" w:cs="Times New Roman"/>
          <w:color w:val="auto"/>
          <w:sz w:val="24"/>
          <w:highlight w:val="none"/>
          <w:vertAlign w:val="baseline"/>
          <w:lang w:val="en-US" w:eastAsia="zh-CN"/>
        </w:rPr>
        <w:t>、</w:t>
      </w:r>
      <w:r>
        <w:rPr>
          <w:rFonts w:hint="default" w:ascii="Times New Roman" w:hAnsi="Times New Roman" w:cs="Times New Roman"/>
          <w:color w:val="auto"/>
          <w:sz w:val="24"/>
          <w:highlight w:val="none"/>
          <w:vertAlign w:val="baseline"/>
          <w:lang w:val="en-US" w:eastAsia="zh-CN"/>
        </w:rPr>
        <w:t>水域及水利设施用地</w:t>
      </w:r>
      <w:r>
        <w:rPr>
          <w:rFonts w:hint="eastAsia" w:cs="Times New Roman"/>
          <w:color w:val="auto"/>
          <w:sz w:val="24"/>
          <w:highlight w:val="none"/>
          <w:vertAlign w:val="baseline"/>
          <w:lang w:val="en-US" w:eastAsia="zh-CN"/>
        </w:rPr>
        <w:t>和</w:t>
      </w:r>
      <w:r>
        <w:rPr>
          <w:rFonts w:hint="default" w:ascii="Times New Roman" w:hAnsi="Times New Roman" w:cs="Times New Roman"/>
          <w:color w:val="auto"/>
          <w:sz w:val="24"/>
          <w:highlight w:val="none"/>
          <w:vertAlign w:val="baseline"/>
          <w:lang w:val="en-US" w:eastAsia="zh-CN"/>
        </w:rPr>
        <w:t>公共管理与公共服务用地，面积优势次序未发生改变。因此</w:t>
      </w:r>
      <w:r>
        <w:rPr>
          <w:rFonts w:hint="default" w:ascii="Times New Roman" w:hAnsi="Times New Roman" w:cs="Times New Roman"/>
          <w:color w:val="auto"/>
          <w:sz w:val="24"/>
          <w:highlight w:val="none"/>
        </w:rPr>
        <w:t>项目建设对评价区土地利用类型影响不大。</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145" w:name="_Toc7002"/>
      <w:bookmarkStart w:id="146" w:name="_Toc130573033"/>
      <w:r>
        <w:rPr>
          <w:rFonts w:hint="default" w:cs="Times New Roman"/>
          <w:b/>
          <w:bCs/>
          <w:color w:val="auto"/>
          <w:kern w:val="0"/>
          <w:sz w:val="28"/>
          <w:szCs w:val="28"/>
          <w:highlight w:val="none"/>
          <w:lang w:val="en-US" w:eastAsia="zh-CN"/>
        </w:rPr>
        <w:t>5.3.2对生态系统的影响</w:t>
      </w:r>
      <w:bookmarkEnd w:id="145"/>
      <w:bookmarkEnd w:id="146"/>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47" w:name="_Toc20642"/>
      <w:bookmarkStart w:id="148" w:name="_Toc109901216"/>
      <w:bookmarkStart w:id="149" w:name="_Toc130573034"/>
      <w:r>
        <w:rPr>
          <w:rFonts w:hint="default" w:cs="Times New Roman"/>
          <w:b/>
          <w:bCs/>
          <w:color w:val="auto"/>
          <w:kern w:val="0"/>
          <w:sz w:val="28"/>
          <w:szCs w:val="28"/>
          <w:highlight w:val="none"/>
          <w:lang w:val="en-US" w:eastAsia="zh-CN"/>
        </w:rPr>
        <w:t>5.3.2.1对生态系统组成的影响</w:t>
      </w:r>
      <w:bookmarkEnd w:id="147"/>
      <w:bookmarkEnd w:id="148"/>
      <w:bookmarkEnd w:id="149"/>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评价区内生态系统由自然生态系统和人工生态系统组成，具体包括森林生态系统、灌丛生态系统、草地生态系统、湿地生态系统、农田生态系统和城镇生态系统。工程永久占地面积</w:t>
      </w:r>
      <w:r>
        <w:rPr>
          <w:rFonts w:hint="eastAsia" w:cs="Times New Roman"/>
          <w:color w:val="auto"/>
          <w:sz w:val="24"/>
          <w:highlight w:val="none"/>
          <w:lang w:val="en-US" w:eastAsia="zh-CN"/>
        </w:rPr>
        <w:t>3.93</w:t>
      </w:r>
      <w:r>
        <w:rPr>
          <w:rFonts w:hint="default" w:ascii="Times New Roman" w:hAnsi="Times New Roman" w:cs="Times New Roman"/>
          <w:color w:val="auto"/>
          <w:sz w:val="24"/>
          <w:highlight w:val="none"/>
        </w:rPr>
        <w:t>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项目建设占用部分</w:t>
      </w:r>
      <w:r>
        <w:rPr>
          <w:rFonts w:hint="default" w:cs="Times New Roman"/>
          <w:color w:val="auto"/>
          <w:sz w:val="24"/>
          <w:highlight w:val="none"/>
          <w:lang w:val="en-US" w:eastAsia="zh-CN"/>
        </w:rPr>
        <w:t>灌丛生态系统</w:t>
      </w:r>
      <w:r>
        <w:rPr>
          <w:rFonts w:hint="default" w:ascii="Times New Roman" w:hAnsi="Times New Roman" w:cs="Times New Roman"/>
          <w:color w:val="auto"/>
          <w:sz w:val="24"/>
          <w:highlight w:val="none"/>
          <w:lang w:val="en-US" w:eastAsia="zh-CN"/>
        </w:rPr>
        <w:t>和</w:t>
      </w:r>
      <w:r>
        <w:rPr>
          <w:rFonts w:hint="default" w:cs="Times New Roman"/>
          <w:color w:val="auto"/>
          <w:sz w:val="24"/>
          <w:highlight w:val="none"/>
          <w:lang w:val="en-US" w:eastAsia="zh-CN"/>
        </w:rPr>
        <w:t>草地</w:t>
      </w:r>
      <w:r>
        <w:rPr>
          <w:rFonts w:hint="default" w:ascii="Times New Roman" w:hAnsi="Times New Roman" w:cs="Times New Roman"/>
          <w:color w:val="auto"/>
          <w:sz w:val="24"/>
          <w:highlight w:val="none"/>
          <w:lang w:val="en-US" w:eastAsia="zh-CN"/>
        </w:rPr>
        <w:t>生态系将变为城镇生态系统。</w:t>
      </w:r>
    </w:p>
    <w:p>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0"/>
        <w:jc w:val="center"/>
        <w:textAlignment w:val="center"/>
        <w:outlineLvl w:val="9"/>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表</w:t>
      </w:r>
      <w:r>
        <w:rPr>
          <w:rFonts w:hint="default" w:cs="Times New Roman"/>
          <w:b/>
          <w:color w:val="auto"/>
          <w:szCs w:val="24"/>
          <w:highlight w:val="none"/>
          <w:lang w:val="en-US" w:eastAsia="zh-CN"/>
        </w:rPr>
        <w:t>5.3</w:t>
      </w:r>
      <w:r>
        <w:rPr>
          <w:rFonts w:hint="default" w:ascii="Times New Roman" w:hAnsi="Times New Roman" w:cs="Times New Roman"/>
          <w:b/>
          <w:color w:val="auto"/>
          <w:szCs w:val="24"/>
          <w:highlight w:val="none"/>
        </w:rPr>
        <w:t>-</w:t>
      </w:r>
      <w:r>
        <w:rPr>
          <w:rFonts w:hint="default" w:cs="Times New Roman"/>
          <w:b/>
          <w:color w:val="auto"/>
          <w:szCs w:val="24"/>
          <w:highlight w:val="none"/>
          <w:lang w:val="en-US" w:eastAsia="zh-CN"/>
        </w:rPr>
        <w:t>2</w:t>
      </w:r>
      <w:r>
        <w:rPr>
          <w:rFonts w:hint="default" w:ascii="Times New Roman" w:hAnsi="Times New Roman" w:cs="Times New Roman"/>
          <w:b/>
          <w:color w:val="auto"/>
          <w:szCs w:val="24"/>
          <w:highlight w:val="none"/>
        </w:rPr>
        <w:t xml:space="preserve"> </w:t>
      </w:r>
      <w:r>
        <w:rPr>
          <w:rFonts w:hint="default" w:ascii="Times New Roman" w:hAnsi="Times New Roman" w:cs="Times New Roman"/>
          <w:b/>
          <w:color w:val="auto"/>
          <w:szCs w:val="24"/>
          <w:highlight w:val="none"/>
          <w:lang w:val="en-US" w:eastAsia="zh-CN"/>
        </w:rPr>
        <w:t>项目</w:t>
      </w:r>
      <w:r>
        <w:rPr>
          <w:rFonts w:hint="default" w:ascii="Times New Roman" w:hAnsi="Times New Roman" w:cs="Times New Roman"/>
          <w:b/>
          <w:color w:val="auto"/>
          <w:szCs w:val="24"/>
          <w:highlight w:val="none"/>
        </w:rPr>
        <w:t>建设前后评价区生态系统类型变化</w:t>
      </w:r>
    </w:p>
    <w:tbl>
      <w:tblPr>
        <w:tblStyle w:val="22"/>
        <w:tblW w:w="8459" w:type="dxa"/>
        <w:jc w:val="right"/>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476"/>
        <w:gridCol w:w="1056"/>
        <w:gridCol w:w="999"/>
        <w:gridCol w:w="947"/>
        <w:gridCol w:w="900"/>
        <w:gridCol w:w="1003"/>
        <w:gridCol w:w="1057"/>
        <w:gridCol w:w="102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right"/>
        </w:trPr>
        <w:tc>
          <w:tcPr>
            <w:tcW w:w="1476"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I级分类</w:t>
            </w:r>
          </w:p>
        </w:tc>
        <w:tc>
          <w:tcPr>
            <w:tcW w:w="1056"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II级分类</w:t>
            </w:r>
          </w:p>
        </w:tc>
        <w:tc>
          <w:tcPr>
            <w:tcW w:w="1946"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建设前</w:t>
            </w:r>
          </w:p>
        </w:tc>
        <w:tc>
          <w:tcPr>
            <w:tcW w:w="1903"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建设后</w:t>
            </w:r>
          </w:p>
        </w:tc>
        <w:tc>
          <w:tcPr>
            <w:tcW w:w="2078"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变化量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105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面积（hm</w:t>
            </w:r>
            <w:r>
              <w:rPr>
                <w:rFonts w:hint="default" w:ascii="Times New Roman" w:hAnsi="Times New Roman" w:eastAsia="宋体" w:cs="Times New Roman"/>
                <w:b/>
                <w:bCs/>
                <w:i w:val="0"/>
                <w:iCs w:val="0"/>
                <w:color w:val="auto"/>
                <w:kern w:val="0"/>
                <w:sz w:val="21"/>
                <w:szCs w:val="21"/>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面积占比（%）</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面积（hm</w:t>
            </w:r>
            <w:r>
              <w:rPr>
                <w:rFonts w:hint="default" w:ascii="Times New Roman" w:hAnsi="Times New Roman" w:eastAsia="宋体" w:cs="Times New Roman"/>
                <w:b/>
                <w:bCs/>
                <w:i w:val="0"/>
                <w:iCs w:val="0"/>
                <w:color w:val="auto"/>
                <w:kern w:val="0"/>
                <w:sz w:val="21"/>
                <w:szCs w:val="21"/>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面积占比（%）</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变化面积（hm</w:t>
            </w:r>
            <w:r>
              <w:rPr>
                <w:rFonts w:hint="default" w:ascii="Times New Roman" w:hAnsi="Times New Roman" w:eastAsia="宋体" w:cs="Times New Roman"/>
                <w:b/>
                <w:bCs/>
                <w:i w:val="0"/>
                <w:iCs w:val="0"/>
                <w:color w:val="auto"/>
                <w:kern w:val="0"/>
                <w:sz w:val="21"/>
                <w:szCs w:val="21"/>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变化比例（%）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3" w:hRule="atLeast"/>
          <w:jc w:val="right"/>
        </w:trPr>
        <w:tc>
          <w:tcPr>
            <w:tcW w:w="1476"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森林生态系统</w:t>
            </w: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稀疏林</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11.07</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1.51</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11.07</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1.51</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11.07</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1.51</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11.07</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1.51</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灌丛生态系统</w:t>
            </w: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阔叶灌丛</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2.58</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0.35</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1.76</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0.24</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-0.82</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2.58</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0.35</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1.76</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0.24</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-0.82</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-31.78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jc w:val="right"/>
        </w:trPr>
        <w:tc>
          <w:tcPr>
            <w:tcW w:w="1476"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草地生态系统</w:t>
            </w: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草丛</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4.17</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0.57</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3.26</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0.44</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-0.91</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4.17</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0.57</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3.26</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0.44</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-0.91</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-21.82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5" w:hRule="atLeast"/>
          <w:jc w:val="right"/>
        </w:trPr>
        <w:tc>
          <w:tcPr>
            <w:tcW w:w="1476"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湿地生态系统</w:t>
            </w: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河流</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190.52</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25.98</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190.52</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25.98</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湖泊</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11.49</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1.57</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11.49</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1.57</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202.01</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27.54</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202.01</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27.54</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农田生态系统</w:t>
            </w: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耕地</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0.24</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0.24</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b/>
                <w:bCs/>
                <w:i w:val="0"/>
                <w:iCs w:val="0"/>
                <w:color w:val="auto"/>
                <w:sz w:val="21"/>
                <w:szCs w:val="21"/>
                <w:u w:val="none"/>
              </w:rPr>
            </w:pP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1.77</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0.24</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1.77</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0.24</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城镇生态系统</w:t>
            </w: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城市绿地</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47.53</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6.48</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51.46</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7.02</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3.93</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8.27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u w:val="none"/>
              </w:rPr>
            </w:pP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工矿交通</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222.20</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30.30</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220.60</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30.08</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-0.72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u w:val="none"/>
              </w:rPr>
            </w:pP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居住地</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242.08</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33.01</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241.48</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32.93</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5" w:hRule="atLeast"/>
          <w:jc w:val="right"/>
        </w:trPr>
        <w:tc>
          <w:tcPr>
            <w:tcW w:w="1476"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u w:val="none"/>
              </w:rPr>
            </w:pPr>
          </w:p>
        </w:tc>
        <w:tc>
          <w:tcPr>
            <w:tcW w:w="10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小计</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511.81</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69.78</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513.54</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70.02</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1.73</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0.34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5" w:hRule="atLeast"/>
          <w:jc w:val="right"/>
        </w:trPr>
        <w:tc>
          <w:tcPr>
            <w:tcW w:w="2532"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总计</w:t>
            </w:r>
          </w:p>
        </w:tc>
        <w:tc>
          <w:tcPr>
            <w:tcW w:w="9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733.41</w:t>
            </w:r>
          </w:p>
        </w:tc>
        <w:tc>
          <w:tcPr>
            <w:tcW w:w="94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100</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733.41</w:t>
            </w:r>
          </w:p>
        </w:tc>
        <w:tc>
          <w:tcPr>
            <w:tcW w:w="100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100</w:t>
            </w:r>
          </w:p>
        </w:tc>
        <w:tc>
          <w:tcPr>
            <w:tcW w:w="105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102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r>
    </w:tbl>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由上表数据可知，受项目建设占地影响面积减少的生态系统为</w:t>
      </w:r>
      <w:r>
        <w:rPr>
          <w:rFonts w:hint="default" w:cs="Times New Roman"/>
          <w:color w:val="auto"/>
          <w:sz w:val="24"/>
          <w:highlight w:val="none"/>
          <w:lang w:val="en-US" w:eastAsia="zh-CN"/>
        </w:rPr>
        <w:t>灌丛生态系统和</w:t>
      </w:r>
      <w:r>
        <w:rPr>
          <w:rFonts w:hint="default" w:ascii="Times New Roman" w:hAnsi="Times New Roman" w:cs="Times New Roman"/>
          <w:color w:val="auto"/>
          <w:sz w:val="24"/>
          <w:highlight w:val="none"/>
        </w:rPr>
        <w:t>草地生态系统。</w:t>
      </w:r>
      <w:r>
        <w:rPr>
          <w:rFonts w:hint="default" w:cs="Times New Roman"/>
          <w:color w:val="auto"/>
          <w:sz w:val="24"/>
          <w:highlight w:val="none"/>
          <w:lang w:val="en-US" w:eastAsia="zh-CN"/>
        </w:rPr>
        <w:t>灌丛生态系统</w:t>
      </w:r>
      <w:r>
        <w:rPr>
          <w:rFonts w:hint="default" w:ascii="Times New Roman" w:hAnsi="Times New Roman" w:cs="Times New Roman"/>
          <w:color w:val="auto"/>
          <w:sz w:val="24"/>
          <w:highlight w:val="none"/>
        </w:rPr>
        <w:t>面积减少了0.82hm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，变化比例为31.78%；草地生态系统面积减少了0.91hm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，变化比例为21.82%。受项目建设影响面积增加的生态系统为城镇生态系统，面积增加1.73hm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，变化比例为</w:t>
      </w:r>
      <w:r>
        <w:rPr>
          <w:rFonts w:hint="default" w:ascii="Times New Roman" w:hAnsi="Times New Roman" w:cs="Times New Roman"/>
          <w:color w:val="auto"/>
          <w:sz w:val="24"/>
          <w:highlight w:val="none"/>
          <w:lang w:val="en-US" w:eastAsia="zh-CN"/>
        </w:rPr>
        <w:t>0.3</w:t>
      </w:r>
      <w:r>
        <w:rPr>
          <w:rFonts w:hint="default" w:cs="Times New Roman"/>
          <w:color w:val="auto"/>
          <w:sz w:val="24"/>
          <w:highlight w:val="none"/>
          <w:lang w:val="en-US" w:eastAsia="zh-CN"/>
        </w:rPr>
        <w:t>4</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w:t>
      </w:r>
      <w:r>
        <w:rPr>
          <w:rFonts w:hint="default" w:cs="Times New Roman"/>
          <w:color w:val="auto"/>
          <w:sz w:val="24"/>
          <w:highlight w:val="none"/>
          <w:lang w:val="en-US" w:eastAsia="zh-CN"/>
        </w:rPr>
        <w:t>灌丛生态系统和</w:t>
      </w:r>
      <w:r>
        <w:rPr>
          <w:rFonts w:hint="default" w:ascii="Times New Roman" w:hAnsi="Times New Roman" w:cs="Times New Roman"/>
          <w:color w:val="auto"/>
          <w:sz w:val="24"/>
          <w:highlight w:val="none"/>
          <w:lang w:val="en-US" w:eastAsia="zh-CN"/>
        </w:rPr>
        <w:t>草地生态系统面积变化幅度较大。评价区内</w:t>
      </w:r>
      <w:r>
        <w:rPr>
          <w:rFonts w:hint="default" w:cs="Times New Roman"/>
          <w:color w:val="auto"/>
          <w:sz w:val="24"/>
          <w:highlight w:val="none"/>
          <w:lang w:val="en-US" w:eastAsia="zh-CN"/>
        </w:rPr>
        <w:t>灌丛生态系统和</w:t>
      </w:r>
      <w:r>
        <w:rPr>
          <w:rFonts w:hint="default" w:ascii="Times New Roman" w:hAnsi="Times New Roman" w:cs="Times New Roman"/>
          <w:color w:val="auto"/>
          <w:sz w:val="24"/>
          <w:highlight w:val="none"/>
          <w:lang w:val="en-US" w:eastAsia="zh-CN"/>
        </w:rPr>
        <w:t>草地生态系统面积</w:t>
      </w:r>
      <w:r>
        <w:rPr>
          <w:rFonts w:hint="default" w:cs="Times New Roman"/>
          <w:color w:val="auto"/>
          <w:sz w:val="24"/>
          <w:highlight w:val="none"/>
          <w:lang w:val="en-US" w:eastAsia="zh-CN"/>
        </w:rPr>
        <w:t>分别</w:t>
      </w:r>
      <w:r>
        <w:rPr>
          <w:rFonts w:hint="default" w:ascii="Times New Roman" w:hAnsi="Times New Roman" w:cs="Times New Roman"/>
          <w:color w:val="auto"/>
          <w:sz w:val="24"/>
          <w:highlight w:val="none"/>
          <w:lang w:val="en-US" w:eastAsia="zh-CN"/>
        </w:rPr>
        <w:t>为2.58hm</w:t>
      </w:r>
      <w:r>
        <w:rPr>
          <w:rFonts w:hint="default" w:ascii="Times New Roman" w:hAnsi="Times New Roman" w:cs="Times New Roman"/>
          <w:color w:val="auto"/>
          <w:sz w:val="24"/>
          <w:highlight w:val="none"/>
          <w:vertAlign w:val="superscript"/>
          <w:lang w:val="en-US" w:eastAsia="zh-CN"/>
        </w:rPr>
        <w:t>2</w:t>
      </w:r>
      <w:r>
        <w:rPr>
          <w:rFonts w:hint="default" w:cs="Times New Roman"/>
          <w:color w:val="auto"/>
          <w:sz w:val="24"/>
          <w:highlight w:val="none"/>
          <w:vertAlign w:val="baseline"/>
          <w:lang w:val="en-US" w:eastAsia="zh-CN"/>
        </w:rPr>
        <w:t>和</w:t>
      </w:r>
      <w:r>
        <w:rPr>
          <w:rFonts w:hint="default" w:cs="Times New Roman"/>
          <w:color w:val="auto"/>
          <w:sz w:val="24"/>
          <w:highlight w:val="none"/>
          <w:lang w:val="en-US" w:eastAsia="zh-CN"/>
        </w:rPr>
        <w:t>4.17</w:t>
      </w:r>
      <w:r>
        <w:rPr>
          <w:rFonts w:hint="default" w:ascii="Times New Roman" w:hAnsi="Times New Roman" w:cs="Times New Roman"/>
          <w:color w:val="auto"/>
          <w:sz w:val="24"/>
          <w:highlight w:val="none"/>
          <w:lang w:val="en-US" w:eastAsia="zh-CN"/>
        </w:rPr>
        <w:t>hm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w:t>
      </w:r>
      <w:r>
        <w:rPr>
          <w:rFonts w:hint="default" w:cs="Times New Roman"/>
          <w:color w:val="auto"/>
          <w:sz w:val="24"/>
          <w:highlight w:val="none"/>
          <w:lang w:val="en-US" w:eastAsia="zh-CN"/>
        </w:rPr>
        <w:t>分别</w:t>
      </w:r>
      <w:r>
        <w:rPr>
          <w:rFonts w:hint="default" w:ascii="Times New Roman" w:hAnsi="Times New Roman" w:cs="Times New Roman"/>
          <w:color w:val="auto"/>
          <w:sz w:val="24"/>
          <w:highlight w:val="none"/>
          <w:lang w:val="en-US" w:eastAsia="zh-CN"/>
        </w:rPr>
        <w:t>占比0.35</w:t>
      </w:r>
      <w:r>
        <w:rPr>
          <w:rFonts w:hint="default" w:cs="Times New Roman"/>
          <w:color w:val="auto"/>
          <w:sz w:val="24"/>
          <w:highlight w:val="none"/>
          <w:lang w:val="en-US" w:eastAsia="zh-CN"/>
        </w:rPr>
        <w:t>%和</w:t>
      </w:r>
      <w:r>
        <w:rPr>
          <w:rFonts w:hint="default" w:ascii="Times New Roman" w:hAnsi="Times New Roman" w:cs="Times New Roman"/>
          <w:color w:val="auto"/>
          <w:sz w:val="24"/>
          <w:highlight w:val="none"/>
          <w:lang w:val="en-US" w:eastAsia="zh-CN"/>
        </w:rPr>
        <w:t>0.</w:t>
      </w:r>
      <w:r>
        <w:rPr>
          <w:rFonts w:hint="default" w:cs="Times New Roman"/>
          <w:color w:val="auto"/>
          <w:sz w:val="24"/>
          <w:highlight w:val="none"/>
          <w:lang w:val="en-US" w:eastAsia="zh-CN"/>
        </w:rPr>
        <w:t>5</w:t>
      </w:r>
      <w:r>
        <w:rPr>
          <w:rFonts w:hint="default" w:ascii="Times New Roman" w:hAnsi="Times New Roman" w:cs="Times New Roman"/>
          <w:color w:val="auto"/>
          <w:sz w:val="24"/>
          <w:highlight w:val="none"/>
          <w:lang w:val="en-US" w:eastAsia="zh-CN"/>
        </w:rPr>
        <w:t>7%，占比极小，并不是评价区内主要生态系统类型</w:t>
      </w:r>
      <w:r>
        <w:rPr>
          <w:rFonts w:hint="default" w:ascii="Times New Roman" w:hAnsi="Times New Roman" w:cs="Times New Roman"/>
          <w:color w:val="auto"/>
          <w:sz w:val="24"/>
          <w:highlight w:val="none"/>
        </w:rPr>
        <w:t>。由此可知</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项目建设虽导致评价区内</w:t>
      </w:r>
      <w:r>
        <w:rPr>
          <w:rFonts w:hint="default" w:ascii="Times New Roman" w:hAnsi="Times New Roman" w:cs="Times New Roman"/>
          <w:color w:val="auto"/>
          <w:sz w:val="24"/>
          <w:highlight w:val="none"/>
          <w:lang w:val="en-US" w:eastAsia="zh-CN"/>
        </w:rPr>
        <w:t>部分</w:t>
      </w:r>
      <w:r>
        <w:rPr>
          <w:rFonts w:hint="default" w:ascii="Times New Roman" w:hAnsi="Times New Roman" w:cs="Times New Roman"/>
          <w:color w:val="auto"/>
          <w:sz w:val="24"/>
          <w:highlight w:val="none"/>
        </w:rPr>
        <w:t>生态系统变化占比发生一定变化，但不改变评价区内主要生态系统类型，对生态系统组成影响不大。</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50" w:name="_Toc25939"/>
      <w:bookmarkStart w:id="151" w:name="_Toc109901217"/>
      <w:bookmarkStart w:id="152" w:name="_Toc130573035"/>
      <w:r>
        <w:rPr>
          <w:rFonts w:hint="default" w:cs="Times New Roman"/>
          <w:b/>
          <w:bCs/>
          <w:color w:val="auto"/>
          <w:kern w:val="0"/>
          <w:sz w:val="28"/>
          <w:szCs w:val="28"/>
          <w:highlight w:val="none"/>
          <w:lang w:val="en-US" w:eastAsia="zh-CN"/>
        </w:rPr>
        <w:t>5.3.2.2对生态系统结构和功能的影响</w:t>
      </w:r>
      <w:bookmarkEnd w:id="150"/>
      <w:bookmarkEnd w:id="151"/>
      <w:bookmarkEnd w:id="152"/>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生态系统结构主要包括组分结构、时空结构和营养结构三个方面。</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2" w:firstLineChars="200"/>
        <w:jc w:val="left"/>
        <w:textAlignment w:val="auto"/>
        <w:outlineLvl w:val="9"/>
        <w:rPr>
          <w:rFonts w:hint="default" w:ascii="Times New Roman" w:hAnsi="Times New Roman" w:cs="Times New Roman"/>
          <w:b/>
          <w:bCs/>
          <w:color w:val="auto"/>
          <w:sz w:val="28"/>
          <w:szCs w:val="28"/>
          <w:highlight w:val="none"/>
        </w:rPr>
      </w:pPr>
      <w:r>
        <w:rPr>
          <w:rFonts w:hint="default" w:cs="Times New Roman"/>
          <w:b/>
          <w:bCs/>
          <w:color w:val="auto"/>
          <w:sz w:val="28"/>
          <w:szCs w:val="28"/>
          <w:highlight w:val="none"/>
          <w:lang w:val="en-US" w:eastAsia="zh-CN"/>
        </w:rPr>
        <w:t>1、</w:t>
      </w:r>
      <w:r>
        <w:rPr>
          <w:rFonts w:hint="default" w:ascii="Times New Roman" w:hAnsi="Times New Roman" w:cs="Times New Roman"/>
          <w:b/>
          <w:bCs/>
          <w:color w:val="auto"/>
          <w:sz w:val="28"/>
          <w:szCs w:val="28"/>
          <w:highlight w:val="none"/>
        </w:rPr>
        <w:t>组分结构</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组分结构主要讨论的是生物群落的种类组成及各组分之间的量比关系。通过对比施工前后生态系统类型变化可知，评价区内湿地生态系统</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城镇生态系统在</w:t>
      </w:r>
      <w:r>
        <w:rPr>
          <w:rFonts w:hint="default" w:ascii="Times New Roman" w:hAnsi="Times New Roman" w:cs="Times New Roman"/>
          <w:color w:val="auto"/>
          <w:sz w:val="24"/>
          <w:highlight w:val="none"/>
          <w:lang w:val="en-US" w:eastAsia="zh-CN"/>
        </w:rPr>
        <w:t>项目</w:t>
      </w:r>
      <w:r>
        <w:rPr>
          <w:rFonts w:hint="default" w:ascii="Times New Roman" w:hAnsi="Times New Roman" w:cs="Times New Roman"/>
          <w:color w:val="auto"/>
          <w:sz w:val="24"/>
          <w:highlight w:val="none"/>
        </w:rPr>
        <w:t>建设前后均占优势，草地生态系统、</w:t>
      </w:r>
      <w:r>
        <w:rPr>
          <w:rFonts w:hint="default" w:ascii="Times New Roman" w:hAnsi="Times New Roman" w:cs="Times New Roman"/>
          <w:color w:val="auto"/>
          <w:sz w:val="24"/>
          <w:highlight w:val="none"/>
          <w:lang w:val="en-US" w:eastAsia="zh-CN"/>
        </w:rPr>
        <w:t>湿地生态系统</w:t>
      </w:r>
      <w:r>
        <w:rPr>
          <w:rFonts w:hint="default" w:ascii="Times New Roman" w:hAnsi="Times New Roman" w:cs="Times New Roman"/>
          <w:color w:val="auto"/>
          <w:sz w:val="24"/>
          <w:highlight w:val="none"/>
        </w:rPr>
        <w:t>有所减少，城镇生态系统有所增加。因此，评价区内的生态系统组分结构发生了一定改变，表现为部分草地生态系统、</w:t>
      </w:r>
      <w:r>
        <w:rPr>
          <w:rFonts w:hint="default" w:ascii="Times New Roman" w:hAnsi="Times New Roman" w:cs="Times New Roman"/>
          <w:color w:val="auto"/>
          <w:sz w:val="24"/>
          <w:highlight w:val="none"/>
          <w:lang w:val="en-US" w:eastAsia="zh-CN"/>
        </w:rPr>
        <w:t>湿地生态系统</w:t>
      </w:r>
      <w:r>
        <w:rPr>
          <w:rFonts w:hint="default" w:ascii="Times New Roman" w:hAnsi="Times New Roman" w:cs="Times New Roman"/>
          <w:color w:val="auto"/>
          <w:sz w:val="24"/>
          <w:highlight w:val="none"/>
        </w:rPr>
        <w:t>转变为城镇生态系统。</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2" w:firstLineChars="200"/>
        <w:jc w:val="left"/>
        <w:textAlignment w:val="auto"/>
        <w:outlineLvl w:val="9"/>
        <w:rPr>
          <w:rFonts w:hint="default" w:cs="Times New Roman"/>
          <w:b/>
          <w:bCs/>
          <w:color w:val="auto"/>
          <w:sz w:val="28"/>
          <w:szCs w:val="28"/>
          <w:highlight w:val="none"/>
          <w:lang w:val="en-US" w:eastAsia="zh-CN"/>
        </w:rPr>
      </w:pPr>
      <w:r>
        <w:rPr>
          <w:rFonts w:hint="default" w:cs="Times New Roman"/>
          <w:b/>
          <w:bCs/>
          <w:color w:val="auto"/>
          <w:sz w:val="28"/>
          <w:szCs w:val="28"/>
          <w:highlight w:val="none"/>
          <w:lang w:val="en-US" w:eastAsia="zh-CN"/>
        </w:rPr>
        <w:t>时空结构</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时空结构包括水平分布上的镶嵌性、垂直分布上的成层性和时间上的发展演替特征，即水平结构、垂直结构和时空分布格局。</w:t>
      </w:r>
    </w:p>
    <w:p>
      <w:pPr>
        <w:spacing w:line="360" w:lineRule="auto"/>
        <w:ind w:firstLine="482"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color w:val="auto"/>
          <w:sz w:val="24"/>
          <w:highlight w:val="none"/>
        </w:rPr>
        <w:t>水平结构：</w:t>
      </w:r>
      <w:r>
        <w:rPr>
          <w:rFonts w:hint="default" w:ascii="Times New Roman" w:hAnsi="Times New Roman" w:cs="Times New Roman"/>
          <w:color w:val="auto"/>
          <w:sz w:val="24"/>
          <w:highlight w:val="none"/>
        </w:rPr>
        <w:t>生态系统的水平结构是指在一定生态区域内生物类群在水平空间上的组合与分布。在不同的地理环境条件下，受地形、水文、土壤、气候等环境因子的综合影响。植物在地面上的分布</w:t>
      </w:r>
      <w:r>
        <w:rPr>
          <w:rFonts w:hint="eastAsia" w:cs="Times New Roman"/>
          <w:color w:val="auto"/>
          <w:sz w:val="24"/>
          <w:highlight w:val="none"/>
          <w:lang w:eastAsia="zh-CN"/>
        </w:rPr>
        <w:t>并非</w:t>
      </w:r>
      <w:r>
        <w:rPr>
          <w:rFonts w:hint="default" w:ascii="Times New Roman" w:hAnsi="Times New Roman" w:cs="Times New Roman"/>
          <w:color w:val="auto"/>
          <w:sz w:val="24"/>
          <w:highlight w:val="none"/>
        </w:rPr>
        <w:t>均匀的，有的地段种类多、植被盖度大的地段动物种类也相应多，反之则少。评价区内</w:t>
      </w:r>
      <w:r>
        <w:rPr>
          <w:rFonts w:hint="default" w:ascii="Times New Roman" w:hAnsi="Times New Roman" w:cs="Times New Roman"/>
          <w:color w:val="auto"/>
          <w:sz w:val="24"/>
          <w:highlight w:val="none"/>
          <w:lang w:val="en-US" w:eastAsia="zh-CN"/>
        </w:rPr>
        <w:t>湿地生态系统主要</w:t>
      </w:r>
      <w:r>
        <w:rPr>
          <w:rFonts w:hint="eastAsia" w:cs="Times New Roman"/>
          <w:color w:val="auto"/>
          <w:sz w:val="24"/>
          <w:highlight w:val="none"/>
          <w:lang w:val="en-US" w:eastAsia="zh-CN"/>
        </w:rPr>
        <w:t>为</w:t>
      </w:r>
      <w:r>
        <w:rPr>
          <w:rFonts w:hint="default" w:ascii="Times New Roman" w:hAnsi="Times New Roman" w:cs="Times New Roman"/>
          <w:color w:val="auto"/>
          <w:sz w:val="24"/>
          <w:highlight w:val="none"/>
          <w:lang w:val="en-US" w:eastAsia="zh-CN"/>
        </w:rPr>
        <w:t>湘江水域；城镇生态系统广泛分布；森林生态系统、灌丛生态系统、草地生态系统在评价区内零散分布；农田生态系统主要分布于村庄周边。项目建设仅占用了部分草地生态系统和湿地生态系统，不同类型生态系统所处区域未发生改变，对生态系统内的</w:t>
      </w:r>
      <w:r>
        <w:rPr>
          <w:rFonts w:hint="default" w:ascii="Times New Roman" w:hAnsi="Times New Roman" w:cs="Times New Roman"/>
          <w:color w:val="auto"/>
          <w:sz w:val="24"/>
          <w:highlight w:val="none"/>
        </w:rPr>
        <w:t>生物类群</w:t>
      </w:r>
      <w:r>
        <w:rPr>
          <w:rFonts w:hint="default" w:ascii="Times New Roman" w:hAnsi="Times New Roman" w:cs="Times New Roman"/>
          <w:color w:val="auto"/>
          <w:sz w:val="24"/>
          <w:highlight w:val="none"/>
          <w:lang w:val="en-US" w:eastAsia="zh-CN"/>
        </w:rPr>
        <w:t>在</w:t>
      </w:r>
      <w:r>
        <w:rPr>
          <w:rFonts w:hint="default" w:ascii="Times New Roman" w:hAnsi="Times New Roman" w:cs="Times New Roman"/>
          <w:color w:val="auto"/>
          <w:sz w:val="24"/>
          <w:highlight w:val="none"/>
        </w:rPr>
        <w:t>水平空间上的组合与分布</w:t>
      </w:r>
      <w:r>
        <w:rPr>
          <w:rFonts w:hint="default" w:ascii="Times New Roman" w:hAnsi="Times New Roman" w:cs="Times New Roman"/>
          <w:color w:val="auto"/>
          <w:sz w:val="24"/>
          <w:highlight w:val="none"/>
          <w:lang w:val="en-US" w:eastAsia="zh-CN"/>
        </w:rPr>
        <w:t>影响甚微。</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b/>
          <w:color w:val="auto"/>
          <w:sz w:val="24"/>
          <w:szCs w:val="24"/>
          <w:highlight w:val="none"/>
        </w:rPr>
        <w:t>垂直结构：</w:t>
      </w:r>
      <w:r>
        <w:rPr>
          <w:rFonts w:hint="default" w:ascii="Times New Roman" w:hAnsi="Times New Roman" w:cs="Times New Roman"/>
          <w:color w:val="auto"/>
          <w:sz w:val="24"/>
          <w:szCs w:val="24"/>
          <w:highlight w:val="none"/>
        </w:rPr>
        <w:t>生态系统的垂直结构包括不同类型生态系统在海拔不同的生境上的垂直分布和生态系统内部不同类型物种及不同个体的垂直分层两个方面。评价区位于</w:t>
      </w:r>
      <w:r>
        <w:rPr>
          <w:rFonts w:hint="default" w:ascii="Times New Roman" w:hAnsi="Times New Roman" w:cs="Times New Roman"/>
          <w:color w:val="auto"/>
          <w:sz w:val="24"/>
          <w:szCs w:val="24"/>
          <w:highlight w:val="none"/>
          <w:lang w:val="en-US" w:eastAsia="zh-CN"/>
        </w:rPr>
        <w:t>市区平地，各类型生态系统无垂直差异。</w:t>
      </w:r>
      <w:r>
        <w:rPr>
          <w:rFonts w:hint="default" w:ascii="Times New Roman" w:hAnsi="Times New Roman" w:cs="Times New Roman"/>
          <w:color w:val="auto"/>
          <w:sz w:val="24"/>
          <w:szCs w:val="24"/>
          <w:highlight w:val="none"/>
        </w:rPr>
        <w:t>生态系统内部不同类型物种及不同个体的垂直分层主要表现为陆生脊椎动物和水生生物生态位的不同。项目仅会导致施工区域陆生脊椎动物和水生生物多样性、丰富度发生改变，不会改变评价区内生物的生态位，项目建设对评价区生态系统内部不同类型物种垂直结构影响较小。综上所述，项目建设对生态系统垂直结构影响</w:t>
      </w:r>
      <w:r>
        <w:rPr>
          <w:rFonts w:hint="default" w:ascii="Times New Roman" w:hAnsi="Times New Roman" w:cs="Times New Roman"/>
          <w:color w:val="auto"/>
          <w:sz w:val="24"/>
          <w:highlight w:val="none"/>
          <w:lang w:val="en-US" w:eastAsia="zh-CN"/>
        </w:rPr>
        <w:t>甚微</w:t>
      </w:r>
      <w:r>
        <w:rPr>
          <w:rFonts w:hint="default" w:ascii="Times New Roman" w:hAnsi="Times New Roman" w:cs="Times New Roman"/>
          <w:color w:val="auto"/>
          <w:sz w:val="24"/>
          <w:szCs w:val="24"/>
          <w:highlight w:val="none"/>
        </w:rPr>
        <w:t>。</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b/>
          <w:color w:val="auto"/>
          <w:sz w:val="24"/>
          <w:szCs w:val="24"/>
          <w:highlight w:val="none"/>
        </w:rPr>
        <w:t>时空分布格局：</w:t>
      </w:r>
      <w:r>
        <w:rPr>
          <w:rFonts w:hint="default" w:ascii="Times New Roman" w:hAnsi="Times New Roman" w:cs="Times New Roman"/>
          <w:color w:val="auto"/>
          <w:sz w:val="24"/>
          <w:szCs w:val="24"/>
          <w:highlight w:val="none"/>
        </w:rPr>
        <w:t>生态系统的时空分布格局表现为生态系统的演替。项目建设前后评价区内主要以</w:t>
      </w:r>
      <w:r>
        <w:rPr>
          <w:rFonts w:hint="default" w:ascii="Times New Roman" w:hAnsi="Times New Roman" w:cs="Times New Roman"/>
          <w:color w:val="auto"/>
          <w:sz w:val="24"/>
          <w:szCs w:val="24"/>
          <w:highlight w:val="none"/>
          <w:lang w:val="en-US" w:eastAsia="zh-CN"/>
        </w:rPr>
        <w:t>城镇生态系统和湿地生态系统</w:t>
      </w:r>
      <w:r>
        <w:rPr>
          <w:rFonts w:hint="default" w:ascii="Times New Roman" w:hAnsi="Times New Roman" w:cs="Times New Roman"/>
          <w:color w:val="auto"/>
          <w:sz w:val="24"/>
          <w:szCs w:val="24"/>
          <w:highlight w:val="none"/>
        </w:rPr>
        <w:t>为主，其他类型生态系统占比较小，特别是灌丛生态系统和草地生态系统，其经次生演替会逐渐转为森林生态系统，但这个过程非常缓慢。另外，项目仅占用部分草地生态系统，对评价区内生态系统的演替影响有限。</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综合可知，项目建设对评价生态系统时空结构影响有限。</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2" w:firstLineChars="200"/>
        <w:jc w:val="left"/>
        <w:textAlignment w:val="auto"/>
        <w:outlineLvl w:val="9"/>
        <w:rPr>
          <w:rFonts w:hint="default" w:cs="Times New Roman"/>
          <w:b/>
          <w:bCs/>
          <w:color w:val="auto"/>
          <w:sz w:val="28"/>
          <w:szCs w:val="28"/>
          <w:highlight w:val="none"/>
          <w:lang w:val="en-US" w:eastAsia="zh-CN"/>
        </w:rPr>
      </w:pPr>
      <w:r>
        <w:rPr>
          <w:rFonts w:hint="default" w:cs="Times New Roman"/>
          <w:b/>
          <w:bCs/>
          <w:color w:val="auto"/>
          <w:sz w:val="28"/>
          <w:szCs w:val="28"/>
          <w:highlight w:val="none"/>
          <w:lang w:val="en-US" w:eastAsia="zh-CN"/>
        </w:rPr>
        <w:t>营养结构</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营养结构是指生态系统中生物与生物之间，生产者、消费者和分解者之间以食物营养为纽带所形成的食物链和食物网。生产者是生态系统营养结构的基础，也是本工程建设的直接影响对象。评价区内的生产者包括乔木、灌木、草本、农作物等能进行光合作用的生物类群，主要为乔木。消费者为栖息于植物群落中的人类和动物等。工程建设占用了</w:t>
      </w:r>
      <w:r>
        <w:rPr>
          <w:rFonts w:hint="default" w:ascii="Times New Roman" w:hAnsi="Times New Roman" w:cs="Times New Roman"/>
          <w:color w:val="auto"/>
          <w:sz w:val="24"/>
          <w:highlight w:val="none"/>
          <w:lang w:val="en-US" w:eastAsia="zh-CN"/>
        </w:rPr>
        <w:t>部分自然植被生长区</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占用面积为</w:t>
      </w:r>
      <w:r>
        <w:rPr>
          <w:rFonts w:hint="default" w:cs="Times New Roman"/>
          <w:color w:val="auto"/>
          <w:sz w:val="24"/>
          <w:highlight w:val="none"/>
          <w:lang w:val="en-US" w:eastAsia="zh-CN"/>
        </w:rPr>
        <w:t>1.73</w:t>
      </w:r>
      <w:r>
        <w:rPr>
          <w:rFonts w:hint="default" w:ascii="Times New Roman" w:hAnsi="Times New Roman" w:cs="Times New Roman"/>
          <w:color w:val="auto"/>
          <w:sz w:val="24"/>
          <w:highlight w:val="none"/>
          <w:lang w:val="en-US" w:eastAsia="zh-CN"/>
        </w:rPr>
        <w:t>hm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vertAlign w:val="baseline"/>
          <w:lang w:val="en-US" w:eastAsia="zh-CN"/>
        </w:rPr>
        <w:t>，占地面积小，占用区域为</w:t>
      </w:r>
      <w:r>
        <w:rPr>
          <w:rFonts w:hint="default" w:cs="Times New Roman"/>
          <w:color w:val="auto"/>
          <w:sz w:val="24"/>
          <w:highlight w:val="none"/>
          <w:vertAlign w:val="baseline"/>
          <w:lang w:val="en-US" w:eastAsia="zh-CN"/>
        </w:rPr>
        <w:t>灌木和</w:t>
      </w:r>
      <w:r>
        <w:rPr>
          <w:rFonts w:hint="default" w:ascii="Times New Roman" w:hAnsi="Times New Roman" w:cs="Times New Roman"/>
          <w:color w:val="auto"/>
          <w:sz w:val="24"/>
          <w:highlight w:val="none"/>
          <w:vertAlign w:val="baseline"/>
          <w:lang w:val="en-US" w:eastAsia="zh-CN"/>
        </w:rPr>
        <w:t>草本，自然植被生物量损失约</w:t>
      </w:r>
      <w:r>
        <w:rPr>
          <w:rFonts w:hint="default" w:cs="Times New Roman"/>
          <w:color w:val="auto"/>
          <w:sz w:val="24"/>
          <w:highlight w:val="none"/>
          <w:vertAlign w:val="baseline"/>
          <w:lang w:val="en-US" w:eastAsia="zh-CN"/>
        </w:rPr>
        <w:t>17.13</w:t>
      </w:r>
      <w:r>
        <w:rPr>
          <w:rFonts w:hint="default" w:ascii="Times New Roman" w:hAnsi="Times New Roman" w:cs="Times New Roman"/>
          <w:color w:val="auto"/>
          <w:sz w:val="24"/>
          <w:highlight w:val="none"/>
          <w:vertAlign w:val="baseline"/>
          <w:lang w:val="en-US" w:eastAsia="zh-CN"/>
        </w:rPr>
        <w:t>t，占比</w:t>
      </w:r>
      <w:r>
        <w:rPr>
          <w:rFonts w:hint="default" w:cs="Times New Roman"/>
          <w:color w:val="auto"/>
          <w:sz w:val="24"/>
          <w:highlight w:val="none"/>
          <w:vertAlign w:val="baseline"/>
          <w:lang w:val="en-US" w:eastAsia="zh-CN"/>
        </w:rPr>
        <w:t>1.16</w:t>
      </w:r>
      <w:r>
        <w:rPr>
          <w:rFonts w:hint="default" w:ascii="Times New Roman" w:hAnsi="Times New Roman" w:cs="Times New Roman"/>
          <w:color w:val="auto"/>
          <w:sz w:val="24"/>
          <w:highlight w:val="none"/>
          <w:vertAlign w:val="baseline"/>
          <w:lang w:val="en-US" w:eastAsia="zh-CN"/>
        </w:rPr>
        <w:t>%，变化幅度小。且随着项目实施，区域园林绿化植被种植，生产者增加，对评价内生态系统</w:t>
      </w:r>
      <w:r>
        <w:rPr>
          <w:rFonts w:hint="default" w:ascii="Times New Roman" w:hAnsi="Times New Roman" w:cs="Times New Roman"/>
          <w:color w:val="auto"/>
          <w:sz w:val="24"/>
          <w:highlight w:val="none"/>
        </w:rPr>
        <w:t>营养结构</w:t>
      </w:r>
      <w:r>
        <w:rPr>
          <w:rFonts w:hint="default" w:ascii="Times New Roman" w:hAnsi="Times New Roman" w:cs="Times New Roman"/>
          <w:color w:val="auto"/>
          <w:sz w:val="24"/>
          <w:highlight w:val="none"/>
          <w:lang w:val="en-US" w:eastAsia="zh-CN"/>
        </w:rPr>
        <w:t>有一定积极意义。综合来看，</w:t>
      </w:r>
      <w:r>
        <w:rPr>
          <w:rFonts w:hint="default" w:ascii="Times New Roman" w:hAnsi="Times New Roman" w:cs="Times New Roman"/>
          <w:color w:val="auto"/>
          <w:sz w:val="24"/>
          <w:highlight w:val="none"/>
        </w:rPr>
        <w:t>项目</w:t>
      </w:r>
      <w:r>
        <w:rPr>
          <w:rFonts w:hint="default" w:ascii="Times New Roman" w:hAnsi="Times New Roman" w:cs="Times New Roman"/>
          <w:color w:val="auto"/>
          <w:sz w:val="24"/>
          <w:highlight w:val="none"/>
          <w:lang w:val="en-US" w:eastAsia="zh-CN"/>
        </w:rPr>
        <w:t>实施</w:t>
      </w:r>
      <w:r>
        <w:rPr>
          <w:rFonts w:hint="default" w:ascii="Times New Roman" w:hAnsi="Times New Roman" w:cs="Times New Roman"/>
          <w:color w:val="auto"/>
          <w:sz w:val="24"/>
          <w:highlight w:val="none"/>
        </w:rPr>
        <w:t>对评价区内生态系统的营养结构影响有限。</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53" w:name="_Toc109901218"/>
      <w:bookmarkStart w:id="154" w:name="_Toc130573036"/>
      <w:bookmarkStart w:id="155" w:name="_Toc29396"/>
      <w:r>
        <w:rPr>
          <w:rFonts w:hint="default" w:cs="Times New Roman"/>
          <w:b/>
          <w:bCs/>
          <w:color w:val="auto"/>
          <w:kern w:val="0"/>
          <w:sz w:val="28"/>
          <w:szCs w:val="28"/>
          <w:highlight w:val="none"/>
          <w:lang w:val="en-US" w:eastAsia="zh-CN"/>
        </w:rPr>
        <w:t>5.3.2.3对生态系统服务功能的影响</w:t>
      </w:r>
      <w:bookmarkEnd w:id="153"/>
      <w:bookmarkEnd w:id="154"/>
      <w:bookmarkEnd w:id="155"/>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根据评价内典型的生态系统为</w:t>
      </w:r>
      <w:r>
        <w:rPr>
          <w:rFonts w:hint="default" w:ascii="Times New Roman" w:hAnsi="Times New Roman" w:cs="Times New Roman"/>
          <w:color w:val="auto"/>
          <w:sz w:val="24"/>
          <w:highlight w:val="none"/>
          <w:lang w:val="en-US" w:eastAsia="zh-CN"/>
        </w:rPr>
        <w:t>城镇生态系统和湿地生态系统</w:t>
      </w:r>
      <w:r>
        <w:rPr>
          <w:rFonts w:hint="default" w:ascii="Times New Roman" w:hAnsi="Times New Roman" w:cs="Times New Roman"/>
          <w:color w:val="auto"/>
          <w:sz w:val="24"/>
          <w:highlight w:val="none"/>
        </w:rPr>
        <w:t>，生态系统服务功能主要为提供水源</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补充地下水</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szCs w:val="24"/>
          <w:highlight w:val="none"/>
        </w:rPr>
        <w:t>提供生活生产物质</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highlight w:val="none"/>
          <w:lang w:val="en-US" w:eastAsia="zh-CN"/>
        </w:rPr>
        <w:t>满足人类精神生活需求</w:t>
      </w:r>
      <w:r>
        <w:rPr>
          <w:rFonts w:hint="default" w:ascii="Times New Roman" w:hAnsi="Times New Roman" w:cs="Times New Roman"/>
          <w:color w:val="auto"/>
          <w:sz w:val="24"/>
          <w:szCs w:val="24"/>
          <w:highlight w:val="none"/>
          <w:lang w:val="en-US" w:eastAsia="zh-CN"/>
        </w:rPr>
        <w:t>等</w:t>
      </w:r>
      <w:r>
        <w:rPr>
          <w:rFonts w:hint="default" w:ascii="Times New Roman" w:hAnsi="Times New Roman" w:cs="Times New Roman"/>
          <w:color w:val="auto"/>
          <w:sz w:val="24"/>
          <w:szCs w:val="24"/>
          <w:highlight w:val="none"/>
        </w:rPr>
        <w:t>功能</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highlight w:val="none"/>
        </w:rPr>
        <w:t>工程的施工占地</w:t>
      </w:r>
      <w:r>
        <w:rPr>
          <w:rFonts w:hint="default" w:ascii="Times New Roman" w:hAnsi="Times New Roman" w:cs="Times New Roman"/>
          <w:color w:val="auto"/>
          <w:sz w:val="24"/>
          <w:highlight w:val="none"/>
          <w:lang w:val="en-US" w:eastAsia="zh-CN"/>
        </w:rPr>
        <w:t>占用城镇生态系统（工矿交通、居住地）和湿地生态系统面积分别为</w:t>
      </w:r>
      <w:r>
        <w:rPr>
          <w:rFonts w:hint="default" w:cs="Times New Roman"/>
          <w:color w:val="auto"/>
          <w:sz w:val="24"/>
          <w:highlight w:val="none"/>
          <w:lang w:val="en-US" w:eastAsia="zh-CN"/>
        </w:rPr>
        <w:t>1.60</w:t>
      </w:r>
      <w:r>
        <w:rPr>
          <w:rFonts w:hint="default" w:ascii="Times New Roman" w:hAnsi="Times New Roman" w:cs="Times New Roman"/>
          <w:color w:val="auto"/>
          <w:sz w:val="24"/>
          <w:highlight w:val="none"/>
          <w:lang w:val="en-US" w:eastAsia="zh-CN"/>
        </w:rPr>
        <w:t>hm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和0.6</w:t>
      </w:r>
      <w:r>
        <w:rPr>
          <w:rFonts w:hint="default" w:cs="Times New Roman"/>
          <w:color w:val="auto"/>
          <w:sz w:val="24"/>
          <w:highlight w:val="none"/>
          <w:lang w:val="en-US" w:eastAsia="zh-CN"/>
        </w:rPr>
        <w:t>0</w:t>
      </w:r>
      <w:r>
        <w:rPr>
          <w:rFonts w:hint="default" w:ascii="Times New Roman" w:hAnsi="Times New Roman" w:cs="Times New Roman"/>
          <w:color w:val="auto"/>
          <w:sz w:val="24"/>
          <w:highlight w:val="none"/>
          <w:lang w:val="en-US" w:eastAsia="zh-CN"/>
        </w:rPr>
        <w:t>hm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，分别占比</w:t>
      </w:r>
      <w:r>
        <w:rPr>
          <w:rFonts w:hint="default" w:cs="Times New Roman"/>
          <w:color w:val="auto"/>
          <w:sz w:val="24"/>
          <w:highlight w:val="none"/>
          <w:lang w:val="en-US" w:eastAsia="zh-CN"/>
        </w:rPr>
        <w:t>0.72</w:t>
      </w:r>
      <w:r>
        <w:rPr>
          <w:rFonts w:hint="default" w:ascii="Times New Roman" w:hAnsi="Times New Roman" w:cs="Times New Roman"/>
          <w:color w:val="auto"/>
          <w:sz w:val="24"/>
          <w:highlight w:val="none"/>
          <w:lang w:val="en-US" w:eastAsia="zh-CN"/>
        </w:rPr>
        <w:t>%和</w:t>
      </w:r>
      <w:r>
        <w:rPr>
          <w:rFonts w:hint="default" w:cs="Times New Roman"/>
          <w:color w:val="auto"/>
          <w:sz w:val="24"/>
          <w:highlight w:val="none"/>
          <w:lang w:val="en-US" w:eastAsia="zh-CN"/>
        </w:rPr>
        <w:t>0.25</w:t>
      </w:r>
      <w:r>
        <w:rPr>
          <w:rFonts w:hint="default" w:ascii="Times New Roman" w:hAnsi="Times New Roman" w:cs="Times New Roman"/>
          <w:color w:val="auto"/>
          <w:sz w:val="24"/>
          <w:highlight w:val="none"/>
          <w:lang w:val="en-US" w:eastAsia="zh-CN"/>
        </w:rPr>
        <w:t>%，占比较少，不会对</w:t>
      </w:r>
      <w:r>
        <w:rPr>
          <w:rFonts w:hint="default" w:ascii="Times New Roman" w:hAnsi="Times New Roman" w:cs="Times New Roman"/>
          <w:color w:val="auto"/>
          <w:sz w:val="24"/>
          <w:highlight w:val="none"/>
        </w:rPr>
        <w:t>生态系统服务功能</w:t>
      </w:r>
      <w:r>
        <w:rPr>
          <w:rFonts w:hint="default" w:ascii="Times New Roman" w:hAnsi="Times New Roman" w:cs="Times New Roman"/>
          <w:color w:val="auto"/>
          <w:sz w:val="24"/>
          <w:highlight w:val="none"/>
          <w:lang w:val="en-US" w:eastAsia="zh-CN"/>
        </w:rPr>
        <w:t>产生明显影响。且项目施工完成后，城镇生态系统（城市绿地）面积增加3.93hm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，占比</w:t>
      </w:r>
      <w:r>
        <w:rPr>
          <w:rFonts w:hint="default" w:cs="Times New Roman"/>
          <w:color w:val="auto"/>
          <w:sz w:val="24"/>
          <w:highlight w:val="none"/>
          <w:lang w:val="en-US" w:eastAsia="zh-CN"/>
        </w:rPr>
        <w:t>8.27</w:t>
      </w:r>
      <w:r>
        <w:rPr>
          <w:rFonts w:hint="default" w:ascii="Times New Roman" w:hAnsi="Times New Roman" w:cs="Times New Roman"/>
          <w:color w:val="auto"/>
          <w:sz w:val="24"/>
          <w:highlight w:val="none"/>
          <w:lang w:val="en-US" w:eastAsia="zh-CN"/>
        </w:rPr>
        <w:t>%，对满足人类精神生活需求的功能具有积极意义</w:t>
      </w:r>
      <w:r>
        <w:rPr>
          <w:rFonts w:hint="default" w:ascii="Times New Roman" w:hAnsi="Times New Roman" w:cs="Times New Roman"/>
          <w:color w:val="auto"/>
          <w:sz w:val="24"/>
          <w:highlight w:val="none"/>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156" w:name="_Toc130573037"/>
      <w:bookmarkStart w:id="157" w:name="_Toc27647"/>
      <w:r>
        <w:rPr>
          <w:rFonts w:hint="default" w:cs="Times New Roman"/>
          <w:b/>
          <w:bCs/>
          <w:color w:val="auto"/>
          <w:kern w:val="0"/>
          <w:sz w:val="28"/>
          <w:szCs w:val="28"/>
          <w:highlight w:val="none"/>
          <w:lang w:val="en-US" w:eastAsia="zh-CN"/>
        </w:rPr>
        <w:t>5.3.3对陆生生态的影响</w:t>
      </w:r>
      <w:bookmarkEnd w:id="156"/>
      <w:bookmarkEnd w:id="157"/>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58" w:name="_Toc30744"/>
      <w:bookmarkStart w:id="159" w:name="_Toc20008"/>
      <w:bookmarkStart w:id="160" w:name="_Toc116917294"/>
      <w:bookmarkStart w:id="161" w:name="_Toc132313690"/>
      <w:r>
        <w:rPr>
          <w:rFonts w:hint="default" w:cs="Times New Roman"/>
          <w:b/>
          <w:bCs/>
          <w:color w:val="auto"/>
          <w:kern w:val="0"/>
          <w:sz w:val="28"/>
          <w:szCs w:val="28"/>
          <w:highlight w:val="none"/>
          <w:lang w:val="en-US" w:eastAsia="zh-CN"/>
        </w:rPr>
        <w:t>5.3.3.1对陆生植物的影响</w:t>
      </w:r>
      <w:bookmarkEnd w:id="158"/>
      <w:bookmarkEnd w:id="159"/>
      <w:bookmarkEnd w:id="160"/>
      <w:bookmarkEnd w:id="161"/>
    </w:p>
    <w:p>
      <w:pPr>
        <w:spacing w:line="360" w:lineRule="auto"/>
        <w:ind w:firstLine="480" w:firstLineChars="200"/>
        <w:jc w:val="left"/>
        <w:rPr>
          <w:rFonts w:hint="default" w:ascii="Times New Roman" w:hAnsi="Times New Roman" w:cs="Times New Roman"/>
          <w:bCs/>
          <w:color w:val="auto"/>
          <w:spacing w:val="-4"/>
          <w:sz w:val="24"/>
          <w:szCs w:val="24"/>
          <w:highlight w:val="none"/>
        </w:rPr>
      </w:pPr>
      <w:r>
        <w:rPr>
          <w:rFonts w:hint="default" w:ascii="Times New Roman" w:hAnsi="Times New Roman" w:cs="Times New Roman"/>
          <w:color w:val="auto"/>
          <w:sz w:val="24"/>
          <w:szCs w:val="24"/>
          <w:highlight w:val="none"/>
        </w:rPr>
        <w:t>本项目施工期主要有建筑物建设、地表开挖、材料运输等工程活动，施工期对评价区的影响主要有工程占地、工程施工、外来入侵物种、水土流失等。</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bookmarkStart w:id="162" w:name="_Toc132313691"/>
      <w:r>
        <w:rPr>
          <w:rFonts w:hint="default" w:cs="Times New Roman"/>
          <w:b/>
          <w:bCs/>
          <w:color w:val="auto"/>
          <w:kern w:val="0"/>
          <w:sz w:val="24"/>
          <w:szCs w:val="24"/>
          <w:highlight w:val="none"/>
          <w:lang w:val="en-US" w:eastAsia="zh-CN" w:bidi="ar"/>
        </w:rPr>
        <w:t>5.3.3.1.1施工期影响</w:t>
      </w:r>
      <w:bookmarkEnd w:id="162"/>
    </w:p>
    <w:p>
      <w:pPr>
        <w:pStyle w:val="7"/>
        <w:keepNext w:val="0"/>
        <w:keepLines w:val="0"/>
        <w:pageBreakBefore w:val="0"/>
        <w:widowControl w:val="0"/>
        <w:numPr>
          <w:ilvl w:val="0"/>
          <w:numId w:val="0"/>
        </w:numPr>
        <w:kinsoku/>
        <w:wordWrap/>
        <w:overflowPunct/>
        <w:topLinePunct w:val="0"/>
        <w:autoSpaceDE/>
        <w:autoSpaceDN/>
        <w:bidi w:val="0"/>
        <w:adjustRightInd/>
        <w:snapToGrid w:val="0"/>
        <w:spacing w:afterLines="0" w:line="360" w:lineRule="auto"/>
        <w:ind w:left="200" w:leftChars="0"/>
        <w:textAlignment w:val="auto"/>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（1）施工占地的影响</w:t>
      </w:r>
    </w:p>
    <w:p>
      <w:p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①</w:t>
      </w:r>
      <w:r>
        <w:rPr>
          <w:rFonts w:hint="default" w:ascii="Times New Roman" w:hAnsi="Times New Roman" w:cs="Times New Roman"/>
          <w:color w:val="auto"/>
          <w:sz w:val="24"/>
          <w:szCs w:val="24"/>
          <w:highlight w:val="none"/>
        </w:rPr>
        <w:t>永久占地对植物的影响</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占地包括永久占地和临时占地两类。永久占地对自然植物的影响是长期的、不可逆的。永久占地区施工将使区域内土地利用类型发生改变，植物物种及个体消失，植被生物量减少。结合具体工程布置，根据现场调查，评价区占地区土地利用类型</w:t>
      </w:r>
      <w:r>
        <w:rPr>
          <w:rFonts w:hint="default" w:cs="Times New Roman"/>
          <w:color w:val="auto"/>
          <w:sz w:val="24"/>
          <w:szCs w:val="24"/>
          <w:highlight w:val="none"/>
          <w:lang w:val="en-US" w:eastAsia="zh-CN"/>
        </w:rPr>
        <w:t>中</w:t>
      </w:r>
      <w:r>
        <w:rPr>
          <w:rFonts w:hint="default" w:ascii="Times New Roman" w:hAnsi="Times New Roman" w:cs="Times New Roman"/>
          <w:color w:val="auto"/>
          <w:sz w:val="24"/>
          <w:szCs w:val="24"/>
          <w:highlight w:val="none"/>
        </w:rPr>
        <w:t>灌木林地</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其他草地</w:t>
      </w:r>
      <w:r>
        <w:rPr>
          <w:rFonts w:hint="default" w:cs="Times New Roman"/>
          <w:color w:val="auto"/>
          <w:sz w:val="24"/>
          <w:szCs w:val="24"/>
          <w:highlight w:val="none"/>
          <w:lang w:val="en-US" w:eastAsia="zh-CN"/>
        </w:rPr>
        <w:t>面积分别为0.82hm</w:t>
      </w:r>
      <w:r>
        <w:rPr>
          <w:rFonts w:hint="default" w:cs="Times New Roman"/>
          <w:color w:val="auto"/>
          <w:sz w:val="24"/>
          <w:szCs w:val="24"/>
          <w:highlight w:val="none"/>
          <w:vertAlign w:val="superscript"/>
          <w:lang w:val="en-US" w:eastAsia="zh-CN"/>
        </w:rPr>
        <w:t>2</w:t>
      </w:r>
      <w:r>
        <w:rPr>
          <w:rFonts w:hint="default" w:cs="Times New Roman"/>
          <w:color w:val="auto"/>
          <w:sz w:val="24"/>
          <w:szCs w:val="24"/>
          <w:highlight w:val="none"/>
          <w:vertAlign w:val="baseline"/>
          <w:lang w:val="en-US" w:eastAsia="zh-CN"/>
        </w:rPr>
        <w:t>和0.91</w:t>
      </w:r>
      <w:r>
        <w:rPr>
          <w:rFonts w:hint="default" w:cs="Times New Roman"/>
          <w:color w:val="auto"/>
          <w:sz w:val="24"/>
          <w:szCs w:val="24"/>
          <w:highlight w:val="none"/>
          <w:lang w:val="en-US" w:eastAsia="zh-CN"/>
        </w:rPr>
        <w:t>hm</w:t>
      </w:r>
      <w:r>
        <w:rPr>
          <w:rFonts w:hint="default"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rPr>
        <w:t>，常见</w:t>
      </w:r>
      <w:r>
        <w:rPr>
          <w:rFonts w:hint="default" w:cs="Times New Roman"/>
          <w:color w:val="auto"/>
          <w:sz w:val="24"/>
          <w:szCs w:val="24"/>
          <w:highlight w:val="none"/>
          <w:lang w:val="en-US" w:eastAsia="zh-CN"/>
        </w:rPr>
        <w:t>自然</w:t>
      </w:r>
      <w:r>
        <w:rPr>
          <w:rFonts w:hint="default" w:ascii="Times New Roman" w:hAnsi="Times New Roman" w:cs="Times New Roman"/>
          <w:color w:val="auto"/>
          <w:sz w:val="24"/>
          <w:szCs w:val="24"/>
          <w:highlight w:val="none"/>
        </w:rPr>
        <w:t>植被类型有苎麻灌丛、野艾蒿灌草丛、苍耳灌草丛、白茅灌草丛、窃衣灌草丛、稗灌草丛等。工程施工将导致以上自然植被及物种消失，但项目占用的自然植被均为抗逆性极强的次生植被，在衡阳市及其他地区广泛分布，且本工程永久占地占用自然植被面积小，影响范围小，因此项目建设永久占地对占地区自然植物和植被影响较小。</w:t>
      </w:r>
    </w:p>
    <w:p>
      <w:pPr>
        <w:spacing w:line="360" w:lineRule="auto"/>
        <w:ind w:firstLine="480" w:firstLineChars="200"/>
        <w:rPr>
          <w:rFonts w:hint="default" w:ascii="Times New Roman" w:hAnsi="Times New Roman" w:cs="Times New Roman"/>
          <w:color w:val="auto"/>
          <w:sz w:val="24"/>
          <w:szCs w:val="24"/>
          <w:highlight w:val="none"/>
        </w:rPr>
      </w:pPr>
      <w:bookmarkStart w:id="163" w:name="_Toc444533989"/>
      <w:r>
        <w:rPr>
          <w:rFonts w:hint="default" w:cs="Times New Roman"/>
          <w:color w:val="auto"/>
          <w:sz w:val="24"/>
          <w:szCs w:val="24"/>
          <w:highlight w:val="none"/>
          <w:lang w:val="en-US" w:eastAsia="zh-CN"/>
        </w:rPr>
        <w:t>②</w:t>
      </w:r>
      <w:r>
        <w:rPr>
          <w:rFonts w:hint="default" w:ascii="Times New Roman" w:hAnsi="Times New Roman" w:cs="Times New Roman"/>
          <w:color w:val="auto"/>
          <w:sz w:val="24"/>
          <w:szCs w:val="24"/>
          <w:highlight w:val="none"/>
        </w:rPr>
        <w:t>临时占地对植物及植被的影响</w:t>
      </w:r>
      <w:bookmarkEnd w:id="163"/>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程建设区临时占地对占地区植物及植被的影响是暂时的、可恢复的。结合具体工程布置，根据现场调查，评价区占地区土地利用类型以灌木林地和其他草地为主，常见植被类型有野蔷薇灌丛、苎麻灌丛、五节芒灌草丛、芦竹灌草丛、野艾蒿灌草丛、苍耳灌草丛、白茅灌草丛、窃衣灌草丛、稗灌草丛等。工程施工将导致以上自然植被及物种消失，但项目占用的自然植被均为抗逆性极强的次生植被，在衡阳市及其他地区广泛分布，且本工程占用自然植被面积小，影响范围小，工程结束后将采取生态绿化措施对占地区植被进行恢复，可有效减缓施工对植物物种和生物量造成的损失。综上所述，综上所述，工程临时占地对占地区植物种类、植被类型影响较小。</w:t>
      </w:r>
    </w:p>
    <w:p>
      <w:pPr>
        <w:pStyle w:val="7"/>
        <w:keepNext w:val="0"/>
        <w:keepLines w:val="0"/>
        <w:pageBreakBefore w:val="0"/>
        <w:widowControl w:val="0"/>
        <w:numPr>
          <w:ilvl w:val="0"/>
          <w:numId w:val="0"/>
        </w:numPr>
        <w:kinsoku/>
        <w:wordWrap/>
        <w:overflowPunct/>
        <w:topLinePunct w:val="0"/>
        <w:autoSpaceDE/>
        <w:autoSpaceDN/>
        <w:bidi w:val="0"/>
        <w:adjustRightInd/>
        <w:snapToGrid w:val="0"/>
        <w:spacing w:afterLines="0" w:line="360" w:lineRule="auto"/>
        <w:ind w:left="200" w:leftChars="0"/>
        <w:textAlignment w:val="auto"/>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（2）施工活动的影响</w:t>
      </w:r>
      <w:bookmarkStart w:id="164" w:name="_Toc444533992"/>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施工活动对植物及植被的影响因素主要有施工活动产生的废气、废水、弃渣、扬尘及人为干扰等。依据施工活动对植物的影响方式，可分为直接影响及间接影响，直接影响主要是指人员活动、车辆碾压等会使周边植物个体损失，植被生物量减少；间接影响主要是指施工过程中产生的废气、废水、弃渣、固废、扬尘等会使周边植物的生命活动受阻。以上这些影响在采取相应的环保措施之后，对植物及植被的影响可以得到有效控制。工程施工活动对植物和植被的影响整体较小。</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1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废气</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废气主要来源于燃油机械的尾气，其主要污染物为SO2、NO2、CO等。废气对植物的影响主要是在叶脉间或边缘出现不规则水渍状，导致叶片逐渐坏死，植物光合生产受阻，生长发育变缓。由于各施工区施工机械相对较少，燃油机械的废气排放量相对较低，再加上施工期机械尾气属移动线源排放，因此施工期废气对植物及植被的影响较小。</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2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②</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废水和污水</w:t>
      </w:r>
    </w:p>
    <w:p>
      <w:pPr>
        <w:spacing w:line="360" w:lineRule="auto"/>
        <w:ind w:firstLine="480" w:firstLineChars="200"/>
        <w:rPr>
          <w:rFonts w:hint="default" w:ascii="Times New Roman" w:hAnsi="Times New Roman" w:cs="Times New Roman"/>
          <w:color w:val="auto"/>
          <w:sz w:val="24"/>
          <w:szCs w:val="24"/>
          <w:highlight w:val="none"/>
        </w:rPr>
      </w:pPr>
      <w:bookmarkStart w:id="165" w:name="_Hlk141314414"/>
      <w:r>
        <w:rPr>
          <w:rFonts w:hint="default" w:ascii="Times New Roman" w:hAnsi="Times New Roman" w:cs="Times New Roman"/>
          <w:color w:val="auto"/>
          <w:sz w:val="24"/>
          <w:szCs w:val="24"/>
          <w:highlight w:val="none"/>
        </w:rPr>
        <w:t>施工期废水分为生产废水和生活污水，生产废水主要来源于砂石料冲洗废水和机械检修场含油废水等，生活污水主要是工程施工时施工人员的生活产生的污水等。废水对植物的影响主要是废水的随意排放会改变土壤理化性质，改变植物生长发育环境，进而影响其正常生命活动。</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以上这种影响可通过在施工区布置污水处理系统等进行缓解，对于产生少量砂石料废水，建议污水收集后流入简易沉沙池沉淀，沉沙池泥沙与场地内弃土一同处理；施工人员集中的施工场地的生活污水不得随地倾倒，应设有临时集水池、沉砂池等临时性污水简易处理设施。另外，还需设置干厕或临时冲水厕所，粪便经一定时间发酵后作为农家肥。经以上措施后，废水和污水污染影响可控。</w:t>
      </w:r>
    </w:p>
    <w:bookmarkEnd w:id="165"/>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3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③</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弃渣</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弃渣主要来源于地基开挖、施工场地建设等，弃渣的随意堆放不仅会压覆区域内植物及植被，改变区域生境条件，还可能导致局部区域的水土流失。但这种影响可通过对弃渣等进行统一调配与处理等措施进行缓解。</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4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④</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扬尘</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扬尘主要来源于地基开挖、工程施工，直至工程完工后场地清理、恢复等诸多工程，其中以车辆运输引起的二次扬尘影响时间最长，对周围植物及植被影响最严重。扬尘粗颗粒随风飘落到附近地面或植物叶、茎、花表面，会使其生命活动受到一定影响。由于评价区空气湿度相对较大，土壤湿润，扬尘扩散范围相对较小，再加上施工期如能采取洒水抑尘等措施，可有效减轻扬尘对周围植物及植被的影响。</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5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⑤</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人为干扰</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工程人为干扰对植物及植被的影响因素主要有人为践踏、运输作业等。人为干扰对植物及植被的影响主要有：施工期工程区人员增多，施工人员会破坏区域内植物及其生境，会影响群落结构及种类组成；施工期施工人员践踏、施工机械碾压会对植物地上部分造成机械性伤害，从而影响植物的生长发育，同时践踏等造成的土壤结构变化会间接影响区域内植物的生长发育；施工期施工车辆的剐蹭等人为活动导致植物形成创伤，伤口暴露后易导致病虫害，进而会影响其生长发育。</w:t>
      </w:r>
    </w:p>
    <w:p>
      <w:pPr>
        <w:pStyle w:val="8"/>
        <w:spacing w:line="360" w:lineRule="auto"/>
        <w:ind w:firstLine="48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由于本工程占地面积不大，占地区相对集中，施工期人为干扰等可通过加强宣传教育活动，加强施工监理，在施工前划定施工范围，规范施工人员活动等进行缓解，在相对措施得到落实后，人为干扰对植物及植被的影响较小</w:t>
      </w:r>
    </w:p>
    <w:p>
      <w:pPr>
        <w:pStyle w:val="7"/>
        <w:keepNext w:val="0"/>
        <w:keepLines w:val="0"/>
        <w:pageBreakBefore w:val="0"/>
        <w:widowControl w:val="0"/>
        <w:numPr>
          <w:ilvl w:val="0"/>
          <w:numId w:val="0"/>
        </w:numPr>
        <w:kinsoku/>
        <w:wordWrap/>
        <w:overflowPunct/>
        <w:topLinePunct w:val="0"/>
        <w:autoSpaceDE/>
        <w:autoSpaceDN/>
        <w:bidi w:val="0"/>
        <w:adjustRightInd/>
        <w:snapToGrid w:val="0"/>
        <w:spacing w:afterLines="0" w:line="360" w:lineRule="auto"/>
        <w:ind w:left="200" w:leftChars="0"/>
        <w:textAlignment w:val="auto"/>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（3）外来入侵物种的影响</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占地区开挖，地表植物及植被破坏，土壤层裸露，其对外界干扰的抵抗能力降低，加上工程区人流、车流量加大，人员出入及施工材料的运输等可能会引起外来入侵物种扩散，或带来一些新的外来入侵物种，外来入侵物种由于强的竞争力及适应性，较有利于在评价区占据一定生态位，外来入侵物种若形成优势群落，将对土著物种的生存产生一定的排斥作用。</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因此，对评价区原本存在的一年蓬、鬼针草等种外来入侵植物必须进行严格监管，严格执行《国家林业局关于加强外来有害生物防范和管理工作的通知》文件精神，加强对施工材料的植物检疫工作，避免带入新的外来入侵物种。施工种若发现外来入侵物种，需要对施工人员进行宣传教育，在施工过程中遇到入侵物种植株或者群落及时进行处理，如在春夏季未结果前全部铲除，对一年生植物采用烧毁的方式，对多年生植物进行连根清除或者用化学药剂等方式。</w:t>
      </w:r>
    </w:p>
    <w:p>
      <w:pPr>
        <w:pStyle w:val="7"/>
        <w:keepNext w:val="0"/>
        <w:keepLines w:val="0"/>
        <w:pageBreakBefore w:val="0"/>
        <w:widowControl w:val="0"/>
        <w:numPr>
          <w:ilvl w:val="0"/>
          <w:numId w:val="0"/>
        </w:numPr>
        <w:kinsoku/>
        <w:wordWrap/>
        <w:overflowPunct/>
        <w:topLinePunct w:val="0"/>
        <w:autoSpaceDE/>
        <w:autoSpaceDN/>
        <w:bidi w:val="0"/>
        <w:adjustRightInd/>
        <w:snapToGrid w:val="0"/>
        <w:spacing w:afterLines="0" w:line="360" w:lineRule="auto"/>
        <w:ind w:left="200" w:leftChars="0"/>
        <w:textAlignment w:val="auto"/>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（4）水土流失的影响</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道路修筑、施工机械碾压等活动会扰动地表，将造成土壤裸露，受雨水冲击时易造成水土流失。水土流失除对植物产生直接破坏外，还将破坏土壤结构，导致土壤中的有机质也不断流失，增加植被恢复工作的难度。由于本项目已充分考虑到了水土流失问题，只要切实落实水土流失</w:t>
      </w:r>
      <w:r>
        <w:rPr>
          <w:rFonts w:hint="eastAsia" w:cs="Times New Roman"/>
          <w:color w:val="auto"/>
          <w:sz w:val="24"/>
          <w:szCs w:val="24"/>
          <w:highlight w:val="none"/>
          <w:lang w:eastAsia="zh-CN"/>
        </w:rPr>
        <w:t>防治措施</w:t>
      </w:r>
      <w:r>
        <w:rPr>
          <w:rFonts w:hint="default" w:ascii="Times New Roman" w:hAnsi="Times New Roman" w:cs="Times New Roman"/>
          <w:color w:val="auto"/>
          <w:sz w:val="24"/>
          <w:szCs w:val="24"/>
          <w:highlight w:val="none"/>
        </w:rPr>
        <w:t>方案，项目建设过程中水土流失将得到有效治理，水土流失对区域植物及植被的影响较小。</w:t>
      </w:r>
    </w:p>
    <w:bookmarkEnd w:id="164"/>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bookmarkStart w:id="166" w:name="_Toc132313693"/>
      <w:r>
        <w:rPr>
          <w:rFonts w:hint="default" w:cs="Times New Roman"/>
          <w:b/>
          <w:bCs/>
          <w:color w:val="auto"/>
          <w:kern w:val="0"/>
          <w:sz w:val="24"/>
          <w:szCs w:val="24"/>
          <w:highlight w:val="none"/>
          <w:lang w:val="en-US" w:eastAsia="zh-CN" w:bidi="ar"/>
        </w:rPr>
        <w:t>5.3.3.1.2运行期影响</w:t>
      </w:r>
      <w:bookmarkEnd w:id="166"/>
    </w:p>
    <w:p>
      <w:pPr>
        <w:pStyle w:val="8"/>
        <w:spacing w:line="360" w:lineRule="auto"/>
        <w:ind w:firstLine="48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运营期间可能会对植物及植被造成一定的不利影响。管护人员维护产生的生活污水、生活垃圾、废机油、其他人为干扰等得不到合理的处理处置，会对评价区植物及植被产生一定影响。可通过对生活污水处理回用、生活垃圾集中收集纳、废机油回收处置等措施，避免这种不利</w:t>
      </w:r>
      <w:r>
        <w:rPr>
          <w:rFonts w:hint="eastAsia" w:cs="Times New Roman"/>
          <w:color w:val="auto"/>
          <w:sz w:val="24"/>
          <w:szCs w:val="24"/>
          <w:highlight w:val="none"/>
          <w:lang w:eastAsia="zh-CN"/>
        </w:rPr>
        <w:t>影响</w:t>
      </w:r>
      <w:r>
        <w:rPr>
          <w:rFonts w:hint="default" w:ascii="Times New Roman" w:hAnsi="Times New Roman" w:cs="Times New Roman"/>
          <w:color w:val="auto"/>
          <w:sz w:val="24"/>
          <w:szCs w:val="24"/>
          <w:highlight w:val="none"/>
        </w:rPr>
        <w:t>。</w:t>
      </w:r>
    </w:p>
    <w:p>
      <w:pPr>
        <w:pStyle w:val="8"/>
        <w:spacing w:line="360" w:lineRule="auto"/>
        <w:ind w:firstLine="48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同时本项目进入运行期后，临时占地区将采取有效的生态绿化措施进行植被恢复。随着生态绿化措施的实施，受临时施工占地影响区域的植被逐渐恢复，对区域内植被生长、植物群落结构有积极意义。因此，本项目运营期对植物及植被的影响较小。</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bookmarkStart w:id="167" w:name="_Toc132313694"/>
      <w:r>
        <w:rPr>
          <w:rFonts w:hint="default" w:cs="Times New Roman"/>
          <w:b/>
          <w:bCs/>
          <w:color w:val="auto"/>
          <w:kern w:val="0"/>
          <w:sz w:val="24"/>
          <w:szCs w:val="24"/>
          <w:highlight w:val="none"/>
          <w:lang w:val="en-US" w:eastAsia="zh-CN" w:bidi="ar"/>
        </w:rPr>
        <w:t>5.3.3.1.3对重点保护植物和古树的影响</w:t>
      </w:r>
      <w:bookmarkEnd w:id="167"/>
    </w:p>
    <w:p>
      <w:pPr>
        <w:pStyle w:val="55"/>
        <w:adjustRightInd w:val="0"/>
        <w:snapToGrid w:val="0"/>
        <w:spacing w:line="360" w:lineRule="auto"/>
        <w:ind w:firstLine="482"/>
        <w:rPr>
          <w:rFonts w:hint="default" w:ascii="Times New Roman" w:hAnsi="Times New Roman" w:cs="Times New Roman"/>
          <w:b/>
          <w:bCs/>
          <w:color w:val="auto"/>
          <w:sz w:val="24"/>
          <w:szCs w:val="24"/>
          <w:highlight w:val="none"/>
        </w:rPr>
      </w:pPr>
      <w:bookmarkStart w:id="168" w:name="_Toc137550104"/>
      <w:bookmarkStart w:id="169" w:name="_Toc130573039"/>
      <w:r>
        <w:rPr>
          <w:rFonts w:hint="default" w:ascii="Times New Roman" w:hAnsi="Times New Roman" w:cs="Times New Roman"/>
          <w:b/>
          <w:bCs/>
          <w:color w:val="auto"/>
          <w:sz w:val="24"/>
          <w:szCs w:val="24"/>
          <w:highlight w:val="none"/>
        </w:rPr>
        <w:t>（1）重点保护植物的影响</w:t>
      </w:r>
    </w:p>
    <w:p>
      <w:pPr>
        <w:pStyle w:val="8"/>
        <w:spacing w:line="360" w:lineRule="auto"/>
        <w:ind w:firstLine="480"/>
        <w:jc w:val="both"/>
        <w:rPr>
          <w:rFonts w:hint="default" w:ascii="Times New Roman" w:hAnsi="Times New Roman" w:cs="Times New Roman"/>
          <w:color w:val="auto"/>
          <w:sz w:val="24"/>
          <w:szCs w:val="24"/>
          <w:highlight w:val="none"/>
        </w:rPr>
      </w:pPr>
      <w:bookmarkStart w:id="170" w:name="_Hlk113995539"/>
      <w:r>
        <w:rPr>
          <w:rFonts w:hint="default" w:ascii="Times New Roman" w:hAnsi="Times New Roman" w:cs="Times New Roman"/>
          <w:color w:val="auto"/>
          <w:kern w:val="0"/>
          <w:sz w:val="24"/>
          <w:szCs w:val="24"/>
          <w:highlight w:val="none"/>
        </w:rPr>
        <w:t>工程对保护植物的影响主要为施工期影响。</w:t>
      </w:r>
      <w:r>
        <w:rPr>
          <w:rFonts w:hint="default" w:ascii="Times New Roman" w:hAnsi="Times New Roman" w:cs="Times New Roman"/>
          <w:color w:val="auto"/>
          <w:sz w:val="24"/>
          <w:szCs w:val="24"/>
          <w:highlight w:val="none"/>
        </w:rPr>
        <w:t>根据工程布局，工程建设对重点保护野生植物的影响主要为以下几点：</w:t>
      </w:r>
    </w:p>
    <w:p>
      <w:pPr>
        <w:pStyle w:val="8"/>
        <w:spacing w:line="360" w:lineRule="auto"/>
        <w:ind w:firstLine="48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①施工活动产生的扬尘粉尘、废水、固废、水土流失等会对重点保护野生植物产生一定的不利影响。</w:t>
      </w:r>
    </w:p>
    <w:p>
      <w:pPr>
        <w:pStyle w:val="8"/>
        <w:spacing w:line="360" w:lineRule="auto"/>
        <w:ind w:firstLine="480"/>
        <w:jc w:val="both"/>
        <w:rPr>
          <w:rFonts w:hint="default" w:ascii="Times New Roman" w:hAnsi="Times New Roman" w:cs="Times New Roman"/>
          <w:color w:val="auto"/>
          <w:kern w:val="0"/>
          <w:szCs w:val="24"/>
          <w:highlight w:val="none"/>
        </w:rPr>
      </w:pPr>
      <w:r>
        <w:rPr>
          <w:rFonts w:hint="default" w:ascii="Times New Roman" w:hAnsi="Times New Roman" w:cs="Times New Roman"/>
          <w:color w:val="auto"/>
          <w:sz w:val="24"/>
          <w:szCs w:val="24"/>
          <w:highlight w:val="none"/>
        </w:rPr>
        <w:t>②工程引起当地植被退化或植物多样性的降低，当威胁到部分重点保护野生植物的伴生及附生植物生长时，会导致重点保护野生植物的生存环境恶化，间接影响其生长繁育。</w:t>
      </w:r>
    </w:p>
    <w:p>
      <w:pPr>
        <w:suppressAutoHyphens/>
        <w:topLinePunct/>
        <w:adjustRightInd w:val="0"/>
        <w:snapToGrid w:val="0"/>
        <w:spacing w:line="360" w:lineRule="auto"/>
        <w:ind w:firstLine="480" w:firstLineChars="200"/>
        <w:textAlignment w:val="top"/>
        <w:rPr>
          <w:rFonts w:hint="default" w:ascii="Times New Roman" w:hAnsi="Times New Roman" w:cs="Times New Roman"/>
          <w:color w:val="auto"/>
          <w:kern w:val="0"/>
          <w:sz w:val="24"/>
          <w:szCs w:val="24"/>
          <w:highlight w:val="none"/>
        </w:rPr>
      </w:pPr>
      <w:bookmarkStart w:id="171" w:name="_Hlk158649082"/>
      <w:r>
        <w:rPr>
          <w:rFonts w:hint="default" w:ascii="Times New Roman" w:hAnsi="Times New Roman" w:cs="Times New Roman"/>
          <w:color w:val="auto"/>
          <w:kern w:val="0"/>
          <w:sz w:val="24"/>
          <w:szCs w:val="24"/>
          <w:highlight w:val="none"/>
        </w:rPr>
        <w:t>根据现场调查结果，评价范围内无国家级重点保护野生植物和湖南省重点保护野生植物分布。因此，</w:t>
      </w:r>
      <w:r>
        <w:rPr>
          <w:rFonts w:hint="default" w:ascii="Times New Roman" w:hAnsi="Times New Roman" w:cs="Times New Roman"/>
          <w:color w:val="auto"/>
          <w:sz w:val="24"/>
          <w:szCs w:val="24"/>
          <w:highlight w:val="none"/>
        </w:rPr>
        <w:t>工程在施工期对重点保护野生植物无影响。</w:t>
      </w:r>
    </w:p>
    <w:bookmarkEnd w:id="170"/>
    <w:bookmarkEnd w:id="171"/>
    <w:p>
      <w:pPr>
        <w:pStyle w:val="55"/>
        <w:adjustRightInd w:val="0"/>
        <w:snapToGrid w:val="0"/>
        <w:spacing w:line="360" w:lineRule="auto"/>
        <w:ind w:firstLine="482"/>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（2）古树名木的影响</w:t>
      </w:r>
    </w:p>
    <w:p>
      <w:pPr>
        <w:suppressAutoHyphens/>
        <w:topLinePunct/>
        <w:adjustRightInd w:val="0"/>
        <w:snapToGrid w:val="0"/>
        <w:spacing w:line="360" w:lineRule="auto"/>
        <w:ind w:firstLine="480" w:firstLineChars="200"/>
        <w:textAlignment w:val="top"/>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根据资料搜集结果，结合现场实地调查，在评价区内发现古樟树</w:t>
      </w:r>
      <w:r>
        <w:rPr>
          <w:rFonts w:hint="default" w:ascii="Times New Roman" w:hAnsi="Times New Roman" w:cs="Times New Roman"/>
          <w:color w:val="auto"/>
          <w:kern w:val="0"/>
          <w:sz w:val="24"/>
          <w:szCs w:val="24"/>
          <w:highlight w:val="none"/>
          <w:lang w:val="en-US" w:eastAsia="zh-CN"/>
        </w:rPr>
        <w:t>7</w:t>
      </w:r>
      <w:r>
        <w:rPr>
          <w:rFonts w:hint="default" w:ascii="Times New Roman" w:hAnsi="Times New Roman" w:cs="Times New Roman"/>
          <w:color w:val="auto"/>
          <w:kern w:val="0"/>
          <w:sz w:val="24"/>
          <w:szCs w:val="24"/>
          <w:highlight w:val="none"/>
        </w:rPr>
        <w:t>株，均位于项目工程区附近。项目施工会对附近古树名木造成间接的不利影响，施工期工程建设产生的废水和油污等渗入地下，可能会改变周边土壤或水环境，施工过程也可能会造成临近施工区古树地下部分根系断裂，以上不利影响会导致古树生长势态减弱；同时工程建设产生的扬尘和运输车辆产生的尾气会漂浮至叶片，造成气孔堵塞或降低植物光合作用效率，对部分古树产生间接不利影响。</w:t>
      </w:r>
    </w:p>
    <w:p>
      <w:pPr>
        <w:pStyle w:val="55"/>
        <w:adjustRightInd w:val="0"/>
        <w:snapToGrid w:val="0"/>
        <w:spacing w:line="360" w:lineRule="auto"/>
        <w:ind w:firstLine="482"/>
        <w:rPr>
          <w:rFonts w:hint="default" w:ascii="Times New Roman" w:hAnsi="Times New Roman" w:cs="Times New Roman"/>
          <w:b/>
          <w:bCs/>
          <w:color w:val="auto"/>
          <w:sz w:val="24"/>
          <w:szCs w:val="24"/>
          <w:highlight w:val="none"/>
        </w:rPr>
      </w:pPr>
      <w:bookmarkStart w:id="172" w:name="_Hlk141317046"/>
      <w:r>
        <w:rPr>
          <w:rFonts w:hint="default" w:ascii="Times New Roman" w:hAnsi="Times New Roman" w:cs="Times New Roman"/>
          <w:b/>
          <w:bCs/>
          <w:color w:val="auto"/>
          <w:sz w:val="24"/>
          <w:szCs w:val="24"/>
          <w:highlight w:val="none"/>
        </w:rPr>
        <w:t>（3）珍稀濒危物种、特有物种、极小种群的影响</w:t>
      </w:r>
    </w:p>
    <w:p>
      <w:pPr>
        <w:adjustRightInd w:val="0"/>
        <w:snapToGrid w:val="0"/>
        <w:spacing w:line="360" w:lineRule="auto"/>
        <w:ind w:firstLine="442"/>
        <w:rPr>
          <w:rFonts w:hint="default" w:ascii="Times New Roman" w:hAnsi="Times New Roman" w:cs="Times New Roman"/>
          <w:color w:val="auto"/>
          <w:kern w:val="0"/>
          <w:sz w:val="24"/>
          <w:szCs w:val="24"/>
          <w:highlight w:val="none"/>
        </w:rPr>
      </w:pPr>
      <w:r>
        <w:rPr>
          <w:rFonts w:hint="default" w:ascii="Times New Roman" w:hAnsi="Times New Roman" w:cs="Times New Roman"/>
          <w:bCs/>
          <w:color w:val="auto"/>
          <w:sz w:val="24"/>
          <w:szCs w:val="24"/>
          <w:highlight w:val="none"/>
        </w:rPr>
        <w:t>评价区无珍稀濒危</w:t>
      </w:r>
      <w:r>
        <w:rPr>
          <w:rFonts w:hint="default" w:ascii="Times New Roman" w:hAnsi="Times New Roman" w:cs="Times New Roman"/>
          <w:color w:val="auto"/>
          <w:sz w:val="24"/>
          <w:szCs w:val="24"/>
          <w:highlight w:val="none"/>
        </w:rPr>
        <w:t>植物分布，无极小种群分布，有中国特有种植物7种。</w:t>
      </w:r>
      <w:r>
        <w:rPr>
          <w:rFonts w:hint="default" w:ascii="Times New Roman" w:hAnsi="Times New Roman" w:cs="Times New Roman"/>
          <w:bCs/>
          <w:color w:val="auto"/>
          <w:sz w:val="24"/>
          <w:szCs w:val="24"/>
          <w:highlight w:val="none"/>
        </w:rPr>
        <w:t>中国特有种植物中仅有白花泡桐1种分布于施工区占地区。</w:t>
      </w:r>
      <w:r>
        <w:rPr>
          <w:rFonts w:hint="default" w:ascii="Times New Roman" w:hAnsi="Times New Roman" w:cs="Times New Roman"/>
          <w:color w:val="auto"/>
          <w:kern w:val="0"/>
          <w:sz w:val="24"/>
          <w:szCs w:val="24"/>
          <w:highlight w:val="none"/>
        </w:rPr>
        <w:t>对于位于施工区及附近的</w:t>
      </w:r>
      <w:r>
        <w:rPr>
          <w:rFonts w:hint="default" w:ascii="Times New Roman" w:hAnsi="Times New Roman" w:cs="Times New Roman"/>
          <w:color w:val="auto"/>
          <w:sz w:val="24"/>
          <w:szCs w:val="24"/>
          <w:highlight w:val="none"/>
        </w:rPr>
        <w:t>特有物种</w:t>
      </w:r>
      <w:r>
        <w:rPr>
          <w:rFonts w:hint="default" w:ascii="Times New Roman" w:hAnsi="Times New Roman" w:cs="Times New Roman"/>
          <w:color w:val="auto"/>
          <w:kern w:val="0"/>
          <w:sz w:val="24"/>
          <w:szCs w:val="24"/>
          <w:highlight w:val="none"/>
        </w:rPr>
        <w:t>，会受到施工人为活动的影响，具体变现为：</w:t>
      </w:r>
    </w:p>
    <w:p>
      <w:pPr>
        <w:widowControl/>
        <w:spacing w:line="360" w:lineRule="auto"/>
        <w:ind w:firstLine="480" w:firstLineChars="200"/>
        <w:textAlignment w:val="center"/>
        <w:rPr>
          <w:rFonts w:hint="default" w:ascii="Times New Roman" w:hAnsi="Times New Roman" w:cs="Times New Roman"/>
          <w:bCs/>
          <w:color w:val="auto"/>
          <w:sz w:val="24"/>
          <w:szCs w:val="24"/>
          <w:highlight w:val="none"/>
        </w:rPr>
      </w:pPr>
      <w:r>
        <w:rPr>
          <w:rFonts w:hint="default" w:cs="Times New Roman"/>
          <w:bCs/>
          <w:color w:val="auto"/>
          <w:sz w:val="24"/>
          <w:szCs w:val="24"/>
          <w:highlight w:val="none"/>
          <w:lang w:val="en-US" w:eastAsia="zh-CN"/>
        </w:rPr>
        <w:t>①</w:t>
      </w:r>
      <w:r>
        <w:rPr>
          <w:rFonts w:hint="default" w:ascii="Times New Roman" w:hAnsi="Times New Roman" w:cs="Times New Roman"/>
          <w:bCs/>
          <w:color w:val="auto"/>
          <w:sz w:val="24"/>
          <w:szCs w:val="24"/>
          <w:highlight w:val="none"/>
        </w:rPr>
        <w:t>工程占地的影响：工程施工不可避免的占用或破坏部分植物生境，导致评价区白花泡桐中国特有种植株消失。白花泡桐为</w:t>
      </w:r>
      <w:bookmarkStart w:id="173" w:name="_Hlk513724329"/>
      <w:r>
        <w:rPr>
          <w:rFonts w:hint="default" w:ascii="Times New Roman" w:hAnsi="Times New Roman" w:cs="Times New Roman"/>
          <w:bCs/>
          <w:color w:val="auto"/>
          <w:sz w:val="24"/>
          <w:szCs w:val="24"/>
          <w:highlight w:val="none"/>
        </w:rPr>
        <w:t>评价区适应性强、抗逆性强物种，在衡阳市及其他地区广泛分布，工程施工对该物种造成的不利影响有限。</w:t>
      </w:r>
    </w:p>
    <w:p>
      <w:pPr>
        <w:widowControl/>
        <w:spacing w:line="360" w:lineRule="auto"/>
        <w:ind w:firstLine="480" w:firstLineChars="200"/>
        <w:textAlignment w:val="center"/>
        <w:rPr>
          <w:rFonts w:hint="default" w:ascii="Times New Roman" w:hAnsi="Times New Roman" w:cs="Times New Roman"/>
          <w:bCs/>
          <w:color w:val="auto"/>
          <w:sz w:val="24"/>
          <w:szCs w:val="24"/>
          <w:highlight w:val="none"/>
        </w:rPr>
      </w:pPr>
      <w:r>
        <w:rPr>
          <w:rFonts w:hint="default" w:cs="Times New Roman"/>
          <w:bCs/>
          <w:color w:val="auto"/>
          <w:sz w:val="24"/>
          <w:szCs w:val="24"/>
          <w:highlight w:val="none"/>
          <w:lang w:val="en-US" w:eastAsia="zh-CN"/>
        </w:rPr>
        <w:t>②</w:t>
      </w:r>
      <w:r>
        <w:rPr>
          <w:rFonts w:hint="default" w:ascii="Times New Roman" w:hAnsi="Times New Roman" w:cs="Times New Roman"/>
          <w:bCs/>
          <w:color w:val="auto"/>
          <w:sz w:val="24"/>
          <w:szCs w:val="24"/>
          <w:highlight w:val="none"/>
        </w:rPr>
        <w:t>人为干扰的影响：施工过程中，施工人员及施工机械增加，施工机械碾压及施工人员踩踏等会破坏附近特有物种的生境，施工人员采挖、折枝、采叶等会影响附近它们生命活动</w:t>
      </w:r>
      <w:bookmarkEnd w:id="173"/>
      <w:r>
        <w:rPr>
          <w:rFonts w:hint="default" w:ascii="Times New Roman" w:hAnsi="Times New Roman" w:cs="Times New Roman"/>
          <w:bCs/>
          <w:color w:val="auto"/>
          <w:sz w:val="24"/>
          <w:szCs w:val="24"/>
          <w:highlight w:val="none"/>
        </w:rPr>
        <w:t>。人为干扰</w:t>
      </w:r>
      <w:bookmarkStart w:id="174" w:name="_Hlk513724387"/>
      <w:r>
        <w:rPr>
          <w:rFonts w:hint="default" w:ascii="Times New Roman" w:hAnsi="Times New Roman" w:cs="Times New Roman"/>
          <w:bCs/>
          <w:color w:val="auto"/>
          <w:sz w:val="24"/>
          <w:szCs w:val="24"/>
          <w:highlight w:val="none"/>
        </w:rPr>
        <w:t>可通过在施工前划定施工活动范围，加强对施工人员宣传教育活动，加强施工监理等工程措施或在特有物种分布区采取挂牌、围栏等生态保护措施进行缓解，在相关措施得到落实后，人为干扰对特有物种的影响较小。</w:t>
      </w:r>
    </w:p>
    <w:bookmarkEnd w:id="174"/>
    <w:p>
      <w:pPr>
        <w:widowControl/>
        <w:spacing w:line="360" w:lineRule="auto"/>
        <w:ind w:firstLine="480" w:firstLineChars="200"/>
        <w:textAlignment w:val="center"/>
        <w:rPr>
          <w:rFonts w:hint="default" w:ascii="Times New Roman" w:hAnsi="Times New Roman" w:cs="Times New Roman"/>
          <w:bCs/>
          <w:color w:val="auto"/>
          <w:sz w:val="24"/>
          <w:szCs w:val="24"/>
          <w:highlight w:val="none"/>
        </w:rPr>
      </w:pPr>
      <w:r>
        <w:rPr>
          <w:rFonts w:hint="default" w:cs="Times New Roman"/>
          <w:bCs/>
          <w:color w:val="auto"/>
          <w:sz w:val="24"/>
          <w:szCs w:val="24"/>
          <w:highlight w:val="none"/>
          <w:lang w:val="en-US" w:eastAsia="zh-CN"/>
        </w:rPr>
        <w:t>③</w:t>
      </w:r>
      <w:r>
        <w:rPr>
          <w:rFonts w:hint="default" w:ascii="Times New Roman" w:hAnsi="Times New Roman" w:cs="Times New Roman"/>
          <w:bCs/>
          <w:color w:val="auto"/>
          <w:sz w:val="24"/>
          <w:szCs w:val="24"/>
          <w:highlight w:val="none"/>
        </w:rPr>
        <w:t>弃渣、废水、扬尘等的影响：施工期施工时，施工活动产生的弃渣、废水、扬尘等可能会对附近珍特有物种植物产生不利影响。施工期弃渣如随意堆放不仅会压覆该处特有物种，改变区域内特有物种的生境状况，还可能引起局部区域的水土流失；废水如随意排放可能会改变区域内水分、土壤等生境条件，可能</w:t>
      </w:r>
      <w:r>
        <w:rPr>
          <w:rFonts w:hint="eastAsia" w:cs="Times New Roman"/>
          <w:bCs/>
          <w:color w:val="auto"/>
          <w:sz w:val="24"/>
          <w:szCs w:val="24"/>
          <w:highlight w:val="none"/>
          <w:lang w:eastAsia="zh-CN"/>
        </w:rPr>
        <w:t>会对</w:t>
      </w:r>
      <w:r>
        <w:rPr>
          <w:rFonts w:hint="default" w:ascii="Times New Roman" w:hAnsi="Times New Roman" w:cs="Times New Roman"/>
          <w:bCs/>
          <w:color w:val="auto"/>
          <w:sz w:val="24"/>
          <w:szCs w:val="24"/>
          <w:highlight w:val="none"/>
        </w:rPr>
        <w:t>特有物种生长发育产生不利影响；扬尘粗颗粒如随风飘落到附近特有物种植株上，可能会使其生命活动及生境受到一定影响。由于施工期弃渣可通过统一调配与处理，废水可通过相应处理，扬尘等可通过洒水抑尘等措施进行缓解，在相关措施得到落实后施工活动产生的弃渣、废水、扬尘等对工程区特有物种的影响较小。</w:t>
      </w:r>
    </w:p>
    <w:bookmarkEnd w:id="172"/>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75" w:name="_Toc26272"/>
      <w:r>
        <w:rPr>
          <w:rFonts w:hint="default" w:cs="Times New Roman"/>
          <w:b/>
          <w:bCs/>
          <w:color w:val="auto"/>
          <w:kern w:val="0"/>
          <w:sz w:val="28"/>
          <w:szCs w:val="28"/>
          <w:highlight w:val="none"/>
          <w:lang w:val="en-US" w:eastAsia="zh-CN"/>
        </w:rPr>
        <w:t>5.3.3.2对陆生动物的影响</w:t>
      </w:r>
      <w:bookmarkEnd w:id="168"/>
      <w:bookmarkEnd w:id="169"/>
      <w:bookmarkEnd w:id="175"/>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5.3.3.2.1施工期影响</w:t>
      </w:r>
    </w:p>
    <w:p>
      <w:pPr>
        <w:spacing w:line="360" w:lineRule="auto"/>
        <w:ind w:firstLine="482" w:firstLineChars="200"/>
        <w:rPr>
          <w:rFonts w:hint="default" w:ascii="Times New Roman" w:hAnsi="Times New Roman" w:cs="Times New Roman"/>
          <w:b/>
          <w:color w:val="auto"/>
          <w:kern w:val="0"/>
          <w:sz w:val="24"/>
          <w:szCs w:val="24"/>
          <w:highlight w:val="none"/>
        </w:rPr>
      </w:pPr>
      <w:r>
        <w:rPr>
          <w:rFonts w:hint="default" w:ascii="Times New Roman" w:hAnsi="Times New Roman" w:cs="Times New Roman"/>
          <w:b/>
          <w:color w:val="auto"/>
          <w:kern w:val="0"/>
          <w:sz w:val="24"/>
          <w:szCs w:val="24"/>
          <w:highlight w:val="none"/>
        </w:rPr>
        <w:t>（1）对两栖类的影响</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工程施工对两栖动物的影响主要是由水污染、工程占地、噪声引起。</w:t>
      </w:r>
    </w:p>
    <w:p>
      <w:pPr>
        <w:spacing w:line="360" w:lineRule="auto"/>
        <w:ind w:firstLine="480" w:firstLineChars="200"/>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kern w:val="0"/>
          <w:sz w:val="24"/>
          <w:szCs w:val="24"/>
          <w:highlight w:val="none"/>
          <w:lang w:val="en-US" w:eastAsia="zh-CN"/>
        </w:rPr>
        <w:t>①</w:t>
      </w:r>
      <w:r>
        <w:rPr>
          <w:rFonts w:hint="default" w:ascii="Times New Roman" w:hAnsi="Times New Roman" w:cs="Times New Roman"/>
          <w:color w:val="auto"/>
          <w:sz w:val="24"/>
          <w:szCs w:val="24"/>
          <w:highlight w:val="none"/>
        </w:rPr>
        <w:t>水污染的影响：由于施工期</w:t>
      </w:r>
      <w:r>
        <w:rPr>
          <w:rFonts w:hint="default" w:ascii="Times New Roman" w:hAnsi="Times New Roman" w:cs="Times New Roman"/>
          <w:color w:val="auto"/>
          <w:sz w:val="24"/>
          <w:szCs w:val="24"/>
          <w:highlight w:val="none"/>
          <w:lang w:val="en-US" w:eastAsia="zh-CN"/>
        </w:rPr>
        <w:t>湘江</w:t>
      </w:r>
      <w:r>
        <w:rPr>
          <w:rFonts w:hint="default" w:ascii="Times New Roman" w:hAnsi="Times New Roman" w:cs="Times New Roman"/>
          <w:color w:val="auto"/>
          <w:sz w:val="24"/>
          <w:szCs w:val="24"/>
          <w:highlight w:val="none"/>
        </w:rPr>
        <w:t>水域周边</w:t>
      </w:r>
      <w:r>
        <w:rPr>
          <w:rFonts w:hint="default" w:ascii="Times New Roman" w:hAnsi="Times New Roman" w:cs="Times New Roman"/>
          <w:color w:val="auto"/>
          <w:sz w:val="24"/>
          <w:szCs w:val="24"/>
          <w:highlight w:val="none"/>
          <w:lang w:val="en-US" w:eastAsia="zh-CN"/>
        </w:rPr>
        <w:t>亲水栈道修建、岸坡治理施工扰动湘江岸线，</w:t>
      </w:r>
      <w:r>
        <w:rPr>
          <w:rFonts w:hint="default" w:ascii="Times New Roman" w:hAnsi="Times New Roman" w:cs="Times New Roman"/>
          <w:color w:val="auto"/>
          <w:sz w:val="24"/>
          <w:szCs w:val="24"/>
          <w:highlight w:val="none"/>
        </w:rPr>
        <w:t>破坏地表植被</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工程区裸露的土壤会随雨水流入</w:t>
      </w:r>
      <w:r>
        <w:rPr>
          <w:rFonts w:hint="default" w:ascii="Times New Roman" w:hAnsi="Times New Roman" w:cs="Times New Roman"/>
          <w:color w:val="auto"/>
          <w:sz w:val="24"/>
          <w:szCs w:val="24"/>
          <w:highlight w:val="none"/>
          <w:lang w:val="en-US" w:eastAsia="zh-CN"/>
        </w:rPr>
        <w:t>湘江</w:t>
      </w:r>
      <w:r>
        <w:rPr>
          <w:rFonts w:hint="default" w:ascii="Times New Roman" w:hAnsi="Times New Roman" w:cs="Times New Roman"/>
          <w:color w:val="auto"/>
          <w:sz w:val="24"/>
          <w:szCs w:val="24"/>
          <w:highlight w:val="none"/>
        </w:rPr>
        <w:t>水域内，使水体悬浮物和有毒有害物质增加。水土流失导致的水体悬浮物和有毒有害物质增加，不仅降低水体透光率，影响藻类和浮游生物的生存，进而破坏两栖类幼体的食物来源，而且有毒有害物质还会在其体内富集，直接对其生长发育造成影响。</w:t>
      </w:r>
      <w:r>
        <w:rPr>
          <w:rFonts w:hint="default" w:ascii="Times New Roman" w:hAnsi="Times New Roman" w:cs="Times New Roman"/>
          <w:color w:val="auto"/>
          <w:sz w:val="24"/>
          <w:szCs w:val="24"/>
          <w:highlight w:val="none"/>
          <w:lang w:val="en-US" w:eastAsia="zh-CN"/>
        </w:rPr>
        <w:t>水域边</w:t>
      </w:r>
      <w:r>
        <w:rPr>
          <w:rFonts w:hint="default" w:ascii="Times New Roman" w:hAnsi="Times New Roman" w:cs="Times New Roman"/>
          <w:color w:val="auto"/>
          <w:sz w:val="24"/>
          <w:szCs w:val="24"/>
          <w:highlight w:val="none"/>
        </w:rPr>
        <w:t>施工机械机修及工作时油污跑冒滴漏产生的含油污水，如处理不当</w:t>
      </w:r>
      <w:r>
        <w:rPr>
          <w:rFonts w:hint="eastAsia" w:cs="Times New Roman"/>
          <w:color w:val="auto"/>
          <w:sz w:val="24"/>
          <w:szCs w:val="24"/>
          <w:highlight w:val="none"/>
          <w:lang w:eastAsia="zh-CN"/>
        </w:rPr>
        <w:t>会随</w:t>
      </w:r>
      <w:r>
        <w:rPr>
          <w:rFonts w:hint="default" w:ascii="Times New Roman" w:hAnsi="Times New Roman" w:cs="Times New Roman"/>
          <w:color w:val="auto"/>
          <w:sz w:val="24"/>
          <w:szCs w:val="24"/>
          <w:highlight w:val="none"/>
        </w:rPr>
        <w:t>雨水流入水域，造成生境污染和水质的破坏。施工器械跑冒滴漏油污较少，施工器械产生的油污不会在河面形成油膜。因此若不发生重大漏油事故，油污对两栖类影响较小。</w:t>
      </w:r>
    </w:p>
    <w:p>
      <w:pPr>
        <w:autoSpaceDE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时的石灰、水泥等建筑原材料溶于水体会造成水体pH值、无机盐浓度的改变。这对于皮肤是透水性的、能通过表皮吸水的蛙类来说，有很大的威胁。水体pH值、无机盐浓度的改变会破坏两栖类体内的水盐平衡，将导致其大量失水和积累盐分而死亡，对两栖类影响较大。施工期间需要对建筑原材料进行严格监管，防止其随雨水流入</w:t>
      </w:r>
      <w:r>
        <w:rPr>
          <w:rFonts w:hint="default" w:ascii="Times New Roman" w:hAnsi="Times New Roman" w:cs="Times New Roman"/>
          <w:color w:val="auto"/>
          <w:sz w:val="24"/>
          <w:szCs w:val="24"/>
          <w:highlight w:val="none"/>
          <w:lang w:val="en-US" w:eastAsia="zh-CN"/>
        </w:rPr>
        <w:t>湘江和施工区附近养殖坑塘</w:t>
      </w:r>
      <w:r>
        <w:rPr>
          <w:rFonts w:hint="default" w:ascii="Times New Roman" w:hAnsi="Times New Roman" w:cs="Times New Roman"/>
          <w:color w:val="auto"/>
          <w:sz w:val="24"/>
          <w:szCs w:val="24"/>
          <w:highlight w:val="none"/>
        </w:rPr>
        <w:t>。</w:t>
      </w:r>
    </w:p>
    <w:p>
      <w:pPr>
        <w:autoSpaceDE w:val="0"/>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lang w:val="en-US" w:eastAsia="zh-CN"/>
        </w:rPr>
        <w:t>②</w:t>
      </w:r>
      <w:r>
        <w:rPr>
          <w:rFonts w:hint="default" w:ascii="Times New Roman" w:hAnsi="Times New Roman" w:cs="Times New Roman"/>
          <w:color w:val="auto"/>
          <w:kern w:val="0"/>
          <w:sz w:val="24"/>
          <w:szCs w:val="24"/>
          <w:highlight w:val="none"/>
        </w:rPr>
        <w:t>占地的影响：</w:t>
      </w:r>
      <w:r>
        <w:rPr>
          <w:rFonts w:hint="default" w:cs="Times New Roman"/>
          <w:color w:val="auto"/>
          <w:kern w:val="0"/>
          <w:sz w:val="24"/>
          <w:szCs w:val="24"/>
          <w:highlight w:val="none"/>
          <w:lang w:eastAsia="zh-CN"/>
        </w:rPr>
        <w:t>衡阳市</w:t>
      </w:r>
      <w:r>
        <w:rPr>
          <w:rFonts w:hint="eastAsia" w:cs="Times New Roman"/>
          <w:color w:val="auto"/>
          <w:kern w:val="0"/>
          <w:sz w:val="24"/>
          <w:szCs w:val="24"/>
          <w:highlight w:val="none"/>
          <w:lang w:eastAsia="zh-CN"/>
        </w:rPr>
        <w:t>“</w:t>
      </w:r>
      <w:r>
        <w:rPr>
          <w:rFonts w:hint="default" w:cs="Times New Roman"/>
          <w:color w:val="auto"/>
          <w:kern w:val="0"/>
          <w:sz w:val="24"/>
          <w:szCs w:val="24"/>
          <w:highlight w:val="none"/>
          <w:lang w:eastAsia="zh-CN"/>
        </w:rPr>
        <w:t>美丽湘江</w:t>
      </w:r>
      <w:r>
        <w:rPr>
          <w:rFonts w:hint="eastAsia" w:cs="Times New Roman"/>
          <w:color w:val="auto"/>
          <w:kern w:val="0"/>
          <w:sz w:val="24"/>
          <w:szCs w:val="24"/>
          <w:highlight w:val="none"/>
          <w:lang w:eastAsia="zh-CN"/>
        </w:rPr>
        <w:t>”</w:t>
      </w:r>
      <w:r>
        <w:rPr>
          <w:rFonts w:hint="default" w:cs="Times New Roman"/>
          <w:color w:val="auto"/>
          <w:kern w:val="0"/>
          <w:sz w:val="24"/>
          <w:szCs w:val="24"/>
          <w:highlight w:val="none"/>
          <w:lang w:eastAsia="zh-CN"/>
        </w:rPr>
        <w:t>项目</w:t>
      </w:r>
      <w:r>
        <w:rPr>
          <w:rFonts w:hint="default" w:ascii="Times New Roman" w:hAnsi="Times New Roman" w:cs="Times New Roman"/>
          <w:color w:val="auto"/>
          <w:kern w:val="0"/>
          <w:sz w:val="24"/>
          <w:szCs w:val="24"/>
          <w:highlight w:val="none"/>
          <w:lang w:val="en-US" w:eastAsia="zh-CN"/>
        </w:rPr>
        <w:t>建设</w:t>
      </w:r>
      <w:r>
        <w:rPr>
          <w:rFonts w:hint="default" w:ascii="Times New Roman" w:hAnsi="Times New Roman" w:cs="Times New Roman"/>
          <w:color w:val="auto"/>
          <w:kern w:val="0"/>
          <w:sz w:val="24"/>
          <w:szCs w:val="24"/>
          <w:highlight w:val="none"/>
        </w:rPr>
        <w:t>占地总面积</w:t>
      </w:r>
      <w:r>
        <w:rPr>
          <w:rFonts w:hint="default" w:cs="Times New Roman"/>
          <w:color w:val="auto"/>
          <w:kern w:val="0"/>
          <w:sz w:val="24"/>
          <w:szCs w:val="24"/>
          <w:highlight w:val="none"/>
          <w:lang w:val="en-US" w:eastAsia="zh-CN"/>
        </w:rPr>
        <w:t>4.88</w:t>
      </w:r>
      <w:r>
        <w:rPr>
          <w:rFonts w:hint="default" w:ascii="Times New Roman" w:hAnsi="Times New Roman" w:cs="Times New Roman"/>
          <w:color w:val="auto"/>
          <w:kern w:val="0"/>
          <w:sz w:val="24"/>
          <w:szCs w:val="24"/>
          <w:highlight w:val="none"/>
          <w:lang w:val="en-US" w:eastAsia="zh-CN"/>
        </w:rPr>
        <w:t>hm</w:t>
      </w:r>
      <w:r>
        <w:rPr>
          <w:rFonts w:hint="default" w:ascii="Times New Roman" w:hAnsi="Times New Roman" w:cs="Times New Roman"/>
          <w:color w:val="auto"/>
          <w:kern w:val="0"/>
          <w:sz w:val="24"/>
          <w:szCs w:val="24"/>
          <w:highlight w:val="none"/>
          <w:vertAlign w:val="superscript"/>
          <w:lang w:val="en-US" w:eastAsia="zh-CN"/>
        </w:rPr>
        <w:t>2</w:t>
      </w:r>
      <w:r>
        <w:rPr>
          <w:rFonts w:hint="default" w:ascii="Times New Roman" w:hAnsi="Times New Roman" w:cs="Times New Roman"/>
          <w:color w:val="auto"/>
          <w:kern w:val="0"/>
          <w:sz w:val="24"/>
          <w:szCs w:val="24"/>
          <w:highlight w:val="none"/>
          <w:lang w:val="en-US" w:eastAsia="zh-CN"/>
        </w:rPr>
        <w:t>，永久占地</w:t>
      </w:r>
      <w:r>
        <w:rPr>
          <w:rFonts w:hint="default" w:cs="Times New Roman"/>
          <w:color w:val="auto"/>
          <w:kern w:val="0"/>
          <w:sz w:val="24"/>
          <w:szCs w:val="24"/>
          <w:highlight w:val="none"/>
          <w:lang w:val="en-US" w:eastAsia="zh-CN"/>
        </w:rPr>
        <w:t>3.93</w:t>
      </w:r>
      <w:r>
        <w:rPr>
          <w:rFonts w:hint="default" w:ascii="Times New Roman" w:hAnsi="Times New Roman" w:cs="Times New Roman"/>
          <w:color w:val="auto"/>
          <w:kern w:val="0"/>
          <w:sz w:val="24"/>
          <w:szCs w:val="24"/>
          <w:highlight w:val="none"/>
          <w:lang w:val="en-US" w:eastAsia="zh-CN"/>
        </w:rPr>
        <w:t>hm</w:t>
      </w:r>
      <w:r>
        <w:rPr>
          <w:rFonts w:hint="default" w:ascii="Times New Roman" w:hAnsi="Times New Roman" w:cs="Times New Roman"/>
          <w:color w:val="auto"/>
          <w:kern w:val="0"/>
          <w:sz w:val="24"/>
          <w:szCs w:val="24"/>
          <w:highlight w:val="none"/>
          <w:vertAlign w:val="superscript"/>
          <w:lang w:val="en-US" w:eastAsia="zh-CN"/>
        </w:rPr>
        <w:t>2</w:t>
      </w:r>
      <w:r>
        <w:rPr>
          <w:rFonts w:hint="default" w:ascii="Times New Roman" w:hAnsi="Times New Roman" w:cs="Times New Roman"/>
          <w:color w:val="auto"/>
          <w:kern w:val="0"/>
          <w:sz w:val="24"/>
          <w:szCs w:val="24"/>
          <w:highlight w:val="none"/>
          <w:lang w:val="en-US" w:eastAsia="zh-CN"/>
        </w:rPr>
        <w:t>，包括新建亲水平台、亲水栈道、游步道、景观工程、木栈道、木平台等；临时占地</w:t>
      </w:r>
      <w:r>
        <w:rPr>
          <w:rFonts w:hint="default" w:cs="Times New Roman"/>
          <w:color w:val="auto"/>
          <w:kern w:val="0"/>
          <w:sz w:val="24"/>
          <w:szCs w:val="24"/>
          <w:highlight w:val="none"/>
          <w:lang w:val="en-US" w:eastAsia="zh-CN"/>
        </w:rPr>
        <w:t>0.95</w:t>
      </w:r>
      <w:r>
        <w:rPr>
          <w:rFonts w:hint="default" w:ascii="Times New Roman" w:hAnsi="Times New Roman" w:cs="Times New Roman"/>
          <w:color w:val="auto"/>
          <w:kern w:val="0"/>
          <w:sz w:val="24"/>
          <w:szCs w:val="24"/>
          <w:highlight w:val="none"/>
          <w:lang w:val="en-US" w:eastAsia="zh-CN"/>
        </w:rPr>
        <w:t>hm</w:t>
      </w:r>
      <w:r>
        <w:rPr>
          <w:rFonts w:hint="default" w:ascii="Times New Roman" w:hAnsi="Times New Roman" w:cs="Times New Roman"/>
          <w:color w:val="auto"/>
          <w:kern w:val="0"/>
          <w:sz w:val="24"/>
          <w:szCs w:val="24"/>
          <w:highlight w:val="none"/>
          <w:vertAlign w:val="superscript"/>
          <w:lang w:val="en-US" w:eastAsia="zh-CN"/>
        </w:rPr>
        <w:t>2</w:t>
      </w:r>
      <w:r>
        <w:rPr>
          <w:rFonts w:hint="default" w:ascii="Times New Roman" w:hAnsi="Times New Roman" w:cs="Times New Roman"/>
          <w:color w:val="auto"/>
          <w:kern w:val="0"/>
          <w:sz w:val="24"/>
          <w:szCs w:val="24"/>
          <w:highlight w:val="none"/>
          <w:vertAlign w:val="baseline"/>
          <w:lang w:val="en-US" w:eastAsia="zh-CN"/>
        </w:rPr>
        <w:t>，包括</w:t>
      </w:r>
      <w:r>
        <w:rPr>
          <w:rFonts w:hint="default" w:cs="Times New Roman"/>
          <w:color w:val="auto"/>
          <w:kern w:val="0"/>
          <w:sz w:val="24"/>
          <w:szCs w:val="24"/>
          <w:highlight w:val="none"/>
          <w:vertAlign w:val="baseline"/>
          <w:lang w:val="en-US" w:eastAsia="zh-CN"/>
        </w:rPr>
        <w:t>取、弃土场</w:t>
      </w:r>
      <w:r>
        <w:rPr>
          <w:rFonts w:hint="default" w:ascii="Times New Roman" w:hAnsi="Times New Roman" w:cs="Times New Roman"/>
          <w:color w:val="auto"/>
          <w:kern w:val="0"/>
          <w:sz w:val="24"/>
          <w:szCs w:val="24"/>
          <w:highlight w:val="none"/>
          <w:vertAlign w:val="baseline"/>
          <w:lang w:val="en-US" w:eastAsia="zh-CN"/>
        </w:rPr>
        <w:t>等。占用地类主要为其他草地</w:t>
      </w:r>
      <w:r>
        <w:rPr>
          <w:rFonts w:hint="default" w:cs="Times New Roman"/>
          <w:color w:val="auto"/>
          <w:kern w:val="0"/>
          <w:sz w:val="24"/>
          <w:szCs w:val="24"/>
          <w:highlight w:val="none"/>
          <w:vertAlign w:val="baseline"/>
          <w:lang w:val="en-US" w:eastAsia="zh-CN"/>
        </w:rPr>
        <w:t>、</w:t>
      </w:r>
      <w:r>
        <w:rPr>
          <w:rFonts w:hint="default" w:ascii="Times New Roman" w:hAnsi="Times New Roman" w:cs="Times New Roman"/>
          <w:color w:val="auto"/>
          <w:kern w:val="0"/>
          <w:sz w:val="24"/>
          <w:szCs w:val="24"/>
          <w:highlight w:val="none"/>
          <w:vertAlign w:val="baseline"/>
          <w:lang w:val="en-US" w:eastAsia="zh-CN"/>
        </w:rPr>
        <w:t>灌木林</w:t>
      </w:r>
      <w:r>
        <w:rPr>
          <w:rFonts w:hint="default" w:cs="Times New Roman"/>
          <w:color w:val="auto"/>
          <w:kern w:val="0"/>
          <w:sz w:val="24"/>
          <w:szCs w:val="24"/>
          <w:highlight w:val="none"/>
          <w:vertAlign w:val="baseline"/>
          <w:lang w:val="en-US" w:eastAsia="zh-CN"/>
        </w:rPr>
        <w:t>、</w:t>
      </w:r>
      <w:r>
        <w:rPr>
          <w:rFonts w:hint="default" w:ascii="Times New Roman" w:hAnsi="Times New Roman" w:cs="Times New Roman"/>
          <w:color w:val="auto"/>
          <w:kern w:val="0"/>
          <w:sz w:val="24"/>
          <w:szCs w:val="24"/>
          <w:highlight w:val="none"/>
          <w:vertAlign w:val="baseline"/>
          <w:lang w:val="en-US" w:eastAsia="zh-CN"/>
        </w:rPr>
        <w:t>商业服务业设施用地</w:t>
      </w:r>
      <w:r>
        <w:rPr>
          <w:rFonts w:hint="default" w:cs="Times New Roman"/>
          <w:color w:val="auto"/>
          <w:kern w:val="0"/>
          <w:sz w:val="24"/>
          <w:szCs w:val="24"/>
          <w:highlight w:val="none"/>
          <w:vertAlign w:val="baseline"/>
          <w:lang w:val="en-US" w:eastAsia="zh-CN"/>
        </w:rPr>
        <w:t>、</w:t>
      </w:r>
      <w:r>
        <w:rPr>
          <w:rFonts w:hint="default" w:ascii="Times New Roman" w:hAnsi="Times New Roman" w:cs="Times New Roman"/>
          <w:color w:val="auto"/>
          <w:kern w:val="0"/>
          <w:sz w:val="24"/>
          <w:szCs w:val="24"/>
          <w:highlight w:val="none"/>
          <w:vertAlign w:val="baseline"/>
          <w:lang w:val="en-US" w:eastAsia="zh-CN"/>
        </w:rPr>
        <w:t>城镇住宅用地</w:t>
      </w:r>
      <w:r>
        <w:rPr>
          <w:rFonts w:hint="default" w:cs="Times New Roman"/>
          <w:color w:val="auto"/>
          <w:kern w:val="0"/>
          <w:sz w:val="24"/>
          <w:szCs w:val="24"/>
          <w:highlight w:val="none"/>
          <w:vertAlign w:val="baseline"/>
          <w:lang w:val="en-US" w:eastAsia="zh-CN"/>
        </w:rPr>
        <w:t>等</w:t>
      </w:r>
      <w:r>
        <w:rPr>
          <w:rFonts w:hint="default" w:ascii="Times New Roman" w:hAnsi="Times New Roman" w:cs="Times New Roman"/>
          <w:color w:val="auto"/>
          <w:kern w:val="0"/>
          <w:sz w:val="24"/>
          <w:szCs w:val="24"/>
          <w:highlight w:val="none"/>
          <w:vertAlign w:val="baseline"/>
          <w:lang w:val="en-US" w:eastAsia="zh-CN"/>
        </w:rPr>
        <w:t>。</w:t>
      </w:r>
    </w:p>
    <w:p>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施工</w:t>
      </w:r>
      <w:r>
        <w:rPr>
          <w:rFonts w:hint="default" w:ascii="Times New Roman" w:hAnsi="Times New Roman" w:cs="Times New Roman"/>
          <w:color w:val="auto"/>
          <w:kern w:val="0"/>
          <w:sz w:val="24"/>
          <w:szCs w:val="24"/>
          <w:highlight w:val="none"/>
        </w:rPr>
        <w:t>占地</w:t>
      </w:r>
      <w:r>
        <w:rPr>
          <w:rFonts w:hint="default" w:ascii="Times New Roman" w:hAnsi="Times New Roman" w:cs="Times New Roman"/>
          <w:color w:val="auto"/>
          <w:kern w:val="0"/>
          <w:sz w:val="24"/>
          <w:szCs w:val="24"/>
          <w:highlight w:val="none"/>
          <w:lang w:val="en-US" w:eastAsia="zh-CN"/>
        </w:rPr>
        <w:t>可能</w:t>
      </w:r>
      <w:r>
        <w:rPr>
          <w:rFonts w:hint="default" w:ascii="Times New Roman" w:hAnsi="Times New Roman" w:cs="Times New Roman"/>
          <w:color w:val="auto"/>
          <w:kern w:val="0"/>
          <w:sz w:val="24"/>
          <w:szCs w:val="24"/>
          <w:highlight w:val="none"/>
        </w:rPr>
        <w:t>永久破坏两栖类的栖息地，直接造成其栖息地的损失，导致其生境范围缩小，加剧了种内种间竞争，造成工程影响区内个体及种群数量的下降。工程直接影响区主要是</w:t>
      </w:r>
      <w:r>
        <w:rPr>
          <w:rFonts w:hint="default" w:ascii="Times New Roman" w:hAnsi="Times New Roman" w:cs="Times New Roman"/>
          <w:color w:val="auto"/>
          <w:kern w:val="0"/>
          <w:sz w:val="24"/>
          <w:szCs w:val="24"/>
          <w:highlight w:val="none"/>
          <w:lang w:val="en-US" w:eastAsia="zh-CN"/>
        </w:rPr>
        <w:t>居住点</w:t>
      </w:r>
      <w:r>
        <w:rPr>
          <w:rFonts w:hint="default" w:cs="Times New Roman"/>
          <w:color w:val="auto"/>
          <w:kern w:val="0"/>
          <w:sz w:val="24"/>
          <w:szCs w:val="24"/>
          <w:highlight w:val="none"/>
          <w:lang w:val="en-US" w:eastAsia="zh-CN"/>
        </w:rPr>
        <w:t>和灌</w:t>
      </w:r>
      <w:r>
        <w:rPr>
          <w:rFonts w:hint="eastAsia" w:cs="Times New Roman"/>
          <w:color w:val="auto"/>
          <w:kern w:val="0"/>
          <w:sz w:val="24"/>
          <w:szCs w:val="24"/>
          <w:highlight w:val="none"/>
          <w:lang w:val="en-US" w:eastAsia="zh-CN"/>
        </w:rPr>
        <w:t>草丛</w:t>
      </w:r>
      <w:r>
        <w:rPr>
          <w:rFonts w:hint="default" w:ascii="Times New Roman" w:hAnsi="Times New Roman" w:cs="Times New Roman"/>
          <w:color w:val="auto"/>
          <w:kern w:val="0"/>
          <w:sz w:val="24"/>
          <w:szCs w:val="24"/>
          <w:highlight w:val="none"/>
        </w:rPr>
        <w:t>生境</w:t>
      </w:r>
      <w:r>
        <w:rPr>
          <w:rFonts w:hint="default" w:ascii="Times New Roman" w:hAnsi="Times New Roman" w:cs="Times New Roman"/>
          <w:color w:val="auto"/>
          <w:kern w:val="0"/>
          <w:sz w:val="24"/>
          <w:szCs w:val="24"/>
          <w:highlight w:val="none"/>
          <w:lang w:val="en-US" w:eastAsia="zh-CN"/>
        </w:rPr>
        <w:t>。根据两栖类生活习性及现场调查，居住点</w:t>
      </w:r>
      <w:r>
        <w:rPr>
          <w:rFonts w:hint="default" w:cs="Times New Roman"/>
          <w:color w:val="auto"/>
          <w:kern w:val="0"/>
          <w:sz w:val="24"/>
          <w:szCs w:val="24"/>
          <w:highlight w:val="none"/>
          <w:lang w:val="en-US" w:eastAsia="zh-CN"/>
        </w:rPr>
        <w:t>和灌</w:t>
      </w:r>
      <w:r>
        <w:rPr>
          <w:rFonts w:hint="eastAsia" w:cs="Times New Roman"/>
          <w:color w:val="auto"/>
          <w:kern w:val="0"/>
          <w:sz w:val="24"/>
          <w:szCs w:val="24"/>
          <w:highlight w:val="none"/>
          <w:lang w:val="en-US" w:eastAsia="zh-CN"/>
        </w:rPr>
        <w:t>草丛</w:t>
      </w:r>
      <w:r>
        <w:rPr>
          <w:rFonts w:hint="default" w:ascii="Times New Roman" w:hAnsi="Times New Roman" w:cs="Times New Roman"/>
          <w:color w:val="auto"/>
          <w:kern w:val="0"/>
          <w:sz w:val="24"/>
          <w:szCs w:val="24"/>
          <w:highlight w:val="none"/>
          <w:lang w:val="en-US" w:eastAsia="zh-CN"/>
        </w:rPr>
        <w:t>生境活动的两栖类种类和数量均较少，</w:t>
      </w:r>
      <w:r>
        <w:rPr>
          <w:rFonts w:hint="default" w:ascii="Times New Roman" w:hAnsi="Times New Roman" w:cs="Times New Roman"/>
          <w:color w:val="auto"/>
          <w:kern w:val="0"/>
          <w:sz w:val="24"/>
          <w:szCs w:val="24"/>
          <w:highlight w:val="none"/>
        </w:rPr>
        <w:t>占地</w:t>
      </w:r>
      <w:r>
        <w:rPr>
          <w:rFonts w:hint="default" w:ascii="Times New Roman" w:hAnsi="Times New Roman" w:cs="Times New Roman"/>
          <w:color w:val="auto"/>
          <w:sz w:val="24"/>
          <w:szCs w:val="24"/>
          <w:highlight w:val="none"/>
        </w:rPr>
        <w:t>并不会使</w:t>
      </w:r>
      <w:r>
        <w:rPr>
          <w:rFonts w:hint="default" w:ascii="Times New Roman" w:hAnsi="Times New Roman" w:cs="Times New Roman"/>
          <w:color w:val="auto"/>
          <w:sz w:val="24"/>
          <w:szCs w:val="24"/>
          <w:highlight w:val="none"/>
          <w:lang w:val="en-US" w:eastAsia="zh-CN"/>
        </w:rPr>
        <w:t>两栖类适宜</w:t>
      </w:r>
      <w:r>
        <w:rPr>
          <w:rFonts w:hint="default" w:ascii="Times New Roman" w:hAnsi="Times New Roman" w:cs="Times New Roman"/>
          <w:color w:val="auto"/>
          <w:sz w:val="24"/>
          <w:szCs w:val="24"/>
          <w:highlight w:val="none"/>
        </w:rPr>
        <w:t>生境面积</w:t>
      </w:r>
      <w:r>
        <w:rPr>
          <w:rFonts w:hint="default" w:ascii="Times New Roman" w:hAnsi="Times New Roman" w:cs="Times New Roman"/>
          <w:color w:val="auto"/>
          <w:sz w:val="24"/>
          <w:szCs w:val="24"/>
          <w:highlight w:val="none"/>
          <w:lang w:val="en-US" w:eastAsia="zh-CN"/>
        </w:rPr>
        <w:t>发生明显改变，</w:t>
      </w:r>
      <w:r>
        <w:rPr>
          <w:rFonts w:hint="default" w:ascii="Times New Roman" w:hAnsi="Times New Roman" w:cs="Times New Roman"/>
          <w:color w:val="auto"/>
          <w:kern w:val="0"/>
          <w:sz w:val="24"/>
          <w:szCs w:val="24"/>
          <w:highlight w:val="none"/>
        </w:rPr>
        <w:t>区域内两栖可以较容易找到替代生境，工程占地</w:t>
      </w:r>
      <w:r>
        <w:rPr>
          <w:rFonts w:hint="default" w:ascii="Times New Roman" w:hAnsi="Times New Roman" w:cs="Times New Roman"/>
          <w:color w:val="auto"/>
          <w:kern w:val="0"/>
          <w:sz w:val="24"/>
          <w:szCs w:val="24"/>
          <w:highlight w:val="none"/>
          <w:lang w:val="en-US" w:eastAsia="zh-CN"/>
        </w:rPr>
        <w:t>对两栖类</w:t>
      </w:r>
      <w:r>
        <w:rPr>
          <w:rFonts w:hint="default" w:ascii="Times New Roman" w:hAnsi="Times New Roman" w:cs="Times New Roman"/>
          <w:color w:val="auto"/>
          <w:kern w:val="0"/>
          <w:sz w:val="24"/>
          <w:szCs w:val="24"/>
          <w:highlight w:val="none"/>
        </w:rPr>
        <w:t>的影响较为有限。</w:t>
      </w:r>
    </w:p>
    <w:p>
      <w:pPr>
        <w:autoSpaceDE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③噪声的影响：蛙类主要通过鸣声求偶，</w:t>
      </w:r>
      <w:r>
        <w:rPr>
          <w:rFonts w:hint="default" w:ascii="Times New Roman" w:hAnsi="Times New Roman" w:cs="Times New Roman"/>
          <w:color w:val="auto"/>
          <w:sz w:val="24"/>
          <w:szCs w:val="24"/>
          <w:highlight w:val="none"/>
          <w:lang w:val="en-US" w:eastAsia="zh-CN"/>
        </w:rPr>
        <w:t>求偶高峰时间为每年的3~6月，主要区域为湘江岸边及坑塘区域。工程施工产生的噪声和城市噪声叠加，</w:t>
      </w:r>
      <w:r>
        <w:rPr>
          <w:rFonts w:hint="default" w:ascii="Times New Roman" w:hAnsi="Times New Roman" w:cs="Times New Roman"/>
          <w:color w:val="auto"/>
          <w:sz w:val="24"/>
          <w:szCs w:val="24"/>
          <w:highlight w:val="none"/>
        </w:rPr>
        <w:t>蛙类会因抵抗噪声而造成额外的能量消失，降低其求偶繁殖率。蛙类求偶时间一般为晚上或凌晨，工程夜间施工少，</w:t>
      </w:r>
      <w:r>
        <w:rPr>
          <w:rFonts w:hint="default" w:ascii="Times New Roman" w:hAnsi="Times New Roman" w:cs="Times New Roman"/>
          <w:color w:val="auto"/>
          <w:sz w:val="24"/>
          <w:szCs w:val="24"/>
          <w:highlight w:val="none"/>
          <w:lang w:val="en-US" w:eastAsia="zh-CN"/>
        </w:rPr>
        <w:t>且工程施工时间短，</w:t>
      </w:r>
      <w:r>
        <w:rPr>
          <w:rFonts w:hint="default" w:ascii="Times New Roman" w:hAnsi="Times New Roman" w:cs="Times New Roman"/>
          <w:color w:val="auto"/>
          <w:sz w:val="24"/>
          <w:szCs w:val="24"/>
          <w:highlight w:val="none"/>
        </w:rPr>
        <w:t>施工噪声对其影响较小。</w:t>
      </w:r>
    </w:p>
    <w:p>
      <w:pPr>
        <w:autoSpaceDE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4"/>
          <w:highlight w:val="none"/>
        </w:rPr>
        <w:t>由上可知，</w:t>
      </w:r>
      <w:r>
        <w:rPr>
          <w:rFonts w:hint="default" w:ascii="Times New Roman" w:hAnsi="Times New Roman" w:cs="Times New Roman"/>
          <w:bCs/>
          <w:color w:val="auto"/>
          <w:sz w:val="24"/>
          <w:szCs w:val="24"/>
          <w:highlight w:val="none"/>
          <w:lang w:val="en-US" w:eastAsia="zh-CN"/>
        </w:rPr>
        <w:t>项目</w:t>
      </w:r>
      <w:r>
        <w:rPr>
          <w:rFonts w:hint="default" w:ascii="Times New Roman" w:hAnsi="Times New Roman" w:cs="Times New Roman"/>
          <w:bCs/>
          <w:color w:val="auto"/>
          <w:sz w:val="24"/>
          <w:szCs w:val="24"/>
          <w:highlight w:val="none"/>
        </w:rPr>
        <w:t>施工对两栖类的主要影响因素为水土流失、施工原材料溶于水体导致的水体污染。因此</w:t>
      </w:r>
      <w:r>
        <w:rPr>
          <w:rFonts w:hint="default" w:ascii="Times New Roman" w:hAnsi="Times New Roman" w:cs="Times New Roman"/>
          <w:bCs/>
          <w:color w:val="auto"/>
          <w:sz w:val="24"/>
          <w:szCs w:val="24"/>
          <w:highlight w:val="none"/>
          <w:lang w:val="en-US" w:eastAsia="zh-CN"/>
        </w:rPr>
        <w:t>项目</w:t>
      </w:r>
      <w:r>
        <w:rPr>
          <w:rFonts w:hint="default" w:ascii="Times New Roman" w:hAnsi="Times New Roman" w:cs="Times New Roman"/>
          <w:bCs/>
          <w:color w:val="auto"/>
          <w:sz w:val="24"/>
          <w:szCs w:val="24"/>
          <w:highlight w:val="none"/>
        </w:rPr>
        <w:t>施工过程中应该加强水土保持工作和施工原材料保管工作。</w:t>
      </w:r>
      <w:r>
        <w:rPr>
          <w:rFonts w:hint="default" w:ascii="Times New Roman" w:hAnsi="Times New Roman" w:cs="Times New Roman"/>
          <w:bCs/>
          <w:color w:val="auto"/>
          <w:sz w:val="24"/>
          <w:szCs w:val="24"/>
          <w:highlight w:val="none"/>
          <w:lang w:val="en-US" w:eastAsia="zh-CN"/>
        </w:rPr>
        <w:t>项目</w:t>
      </w:r>
      <w:r>
        <w:rPr>
          <w:rFonts w:hint="default" w:ascii="Times New Roman" w:hAnsi="Times New Roman" w:cs="Times New Roman"/>
          <w:bCs/>
          <w:color w:val="auto"/>
          <w:sz w:val="24"/>
          <w:szCs w:val="24"/>
          <w:highlight w:val="none"/>
        </w:rPr>
        <w:t>建设对两栖动物的影响主要是导致其远离施工区，往施工影响区外围地带迁移，其在施工区及外围地带的分布及种群数量将发生变化，不改变评价范围内的区系组成，不会造成物种</w:t>
      </w:r>
      <w:r>
        <w:rPr>
          <w:rFonts w:hint="default" w:ascii="Times New Roman" w:hAnsi="Times New Roman" w:cs="Times New Roman"/>
          <w:bCs/>
          <w:color w:val="auto"/>
          <w:sz w:val="24"/>
          <w:szCs w:val="24"/>
          <w:highlight w:val="none"/>
          <w:lang w:val="en-US" w:eastAsia="zh-CN"/>
        </w:rPr>
        <w:t>多样性和丰富度的改变</w:t>
      </w:r>
      <w:r>
        <w:rPr>
          <w:rFonts w:hint="default" w:ascii="Times New Roman" w:hAnsi="Times New Roman" w:cs="Times New Roman"/>
          <w:bCs/>
          <w:color w:val="auto"/>
          <w:sz w:val="24"/>
          <w:szCs w:val="24"/>
          <w:highlight w:val="none"/>
        </w:rPr>
        <w:t>，</w:t>
      </w:r>
      <w:r>
        <w:rPr>
          <w:rFonts w:hint="default" w:ascii="Times New Roman" w:hAnsi="Times New Roman" w:cs="Times New Roman"/>
          <w:bCs/>
          <w:color w:val="auto"/>
          <w:sz w:val="24"/>
          <w:szCs w:val="24"/>
          <w:highlight w:val="none"/>
          <w:lang w:val="en-US" w:eastAsia="zh-CN"/>
        </w:rPr>
        <w:t>项目</w:t>
      </w:r>
      <w:r>
        <w:rPr>
          <w:rFonts w:hint="default" w:ascii="Times New Roman" w:hAnsi="Times New Roman" w:cs="Times New Roman"/>
          <w:bCs/>
          <w:color w:val="auto"/>
          <w:sz w:val="24"/>
          <w:szCs w:val="24"/>
          <w:highlight w:val="none"/>
        </w:rPr>
        <w:t>施工期对两栖类影响有限。</w:t>
      </w:r>
    </w:p>
    <w:p>
      <w:pPr>
        <w:spacing w:line="360" w:lineRule="auto"/>
        <w:ind w:firstLine="482" w:firstLineChars="200"/>
        <w:rPr>
          <w:rFonts w:hint="default" w:ascii="Times New Roman" w:hAnsi="Times New Roman" w:cs="Times New Roman"/>
          <w:b/>
          <w:color w:val="auto"/>
          <w:kern w:val="0"/>
          <w:sz w:val="24"/>
          <w:szCs w:val="24"/>
          <w:highlight w:val="none"/>
        </w:rPr>
      </w:pPr>
      <w:r>
        <w:rPr>
          <w:rFonts w:hint="default" w:ascii="Times New Roman" w:hAnsi="Times New Roman" w:cs="Times New Roman"/>
          <w:b/>
          <w:color w:val="auto"/>
          <w:kern w:val="0"/>
          <w:sz w:val="24"/>
          <w:szCs w:val="24"/>
          <w:highlight w:val="none"/>
        </w:rPr>
        <w:t>（2）对爬行类的影响</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lang w:val="en-US" w:eastAsia="zh-CN"/>
        </w:rPr>
        <w:t>项目</w:t>
      </w:r>
      <w:r>
        <w:rPr>
          <w:rFonts w:hint="default" w:ascii="Times New Roman" w:hAnsi="Times New Roman" w:cs="Times New Roman"/>
          <w:color w:val="auto"/>
          <w:kern w:val="0"/>
          <w:sz w:val="24"/>
          <w:szCs w:val="24"/>
          <w:highlight w:val="none"/>
        </w:rPr>
        <w:t>施工对爬行动物的影响主要是由工程占地、</w:t>
      </w:r>
      <w:r>
        <w:rPr>
          <w:rFonts w:hint="default" w:ascii="Times New Roman" w:hAnsi="Times New Roman" w:cs="Times New Roman"/>
          <w:color w:val="auto"/>
          <w:kern w:val="0"/>
          <w:sz w:val="24"/>
          <w:szCs w:val="24"/>
          <w:highlight w:val="none"/>
          <w:lang w:eastAsia="zh-CN"/>
        </w:rPr>
        <w:t>振动</w:t>
      </w:r>
      <w:r>
        <w:rPr>
          <w:rFonts w:hint="default" w:ascii="Times New Roman" w:hAnsi="Times New Roman" w:cs="Times New Roman"/>
          <w:color w:val="auto"/>
          <w:kern w:val="0"/>
          <w:sz w:val="24"/>
          <w:szCs w:val="24"/>
          <w:highlight w:val="none"/>
        </w:rPr>
        <w:t>、人为活动引起。</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①占地的影响：评价范围内的爬行类</w:t>
      </w:r>
      <w:r>
        <w:rPr>
          <w:rFonts w:hint="default" w:ascii="Times New Roman" w:hAnsi="Times New Roman" w:cs="Times New Roman"/>
          <w:color w:val="auto"/>
          <w:kern w:val="0"/>
          <w:sz w:val="24"/>
          <w:szCs w:val="24"/>
          <w:highlight w:val="none"/>
          <w:lang w:val="en-US" w:eastAsia="zh-CN"/>
        </w:rPr>
        <w:t>包括</w:t>
      </w:r>
      <w:r>
        <w:rPr>
          <w:rFonts w:hint="default" w:ascii="Times New Roman" w:hAnsi="Times New Roman" w:cs="Times New Roman"/>
          <w:color w:val="auto"/>
          <w:kern w:val="0"/>
          <w:sz w:val="24"/>
          <w:szCs w:val="24"/>
          <w:highlight w:val="none"/>
        </w:rPr>
        <w:t>水栖型</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住宅型</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灌丛石隙型</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林栖傍水型</w:t>
      </w:r>
      <w:r>
        <w:rPr>
          <w:rFonts w:hint="default" w:ascii="Times New Roman" w:hAnsi="Times New Roman" w:cs="Times New Roman"/>
          <w:color w:val="auto"/>
          <w:kern w:val="0"/>
          <w:sz w:val="24"/>
          <w:szCs w:val="24"/>
          <w:highlight w:val="none"/>
          <w:lang w:val="en-US" w:eastAsia="zh-CN"/>
        </w:rPr>
        <w:t>4种生态类型，</w:t>
      </w:r>
      <w:r>
        <w:rPr>
          <w:rFonts w:hint="default" w:ascii="Times New Roman" w:hAnsi="Times New Roman" w:cs="Times New Roman"/>
          <w:color w:val="auto"/>
          <w:kern w:val="0"/>
          <w:sz w:val="24"/>
          <w:szCs w:val="24"/>
          <w:highlight w:val="none"/>
        </w:rPr>
        <w:t>主要为灌丛石隙型和林栖傍水型种类，它们在评价区内的</w:t>
      </w:r>
      <w:r>
        <w:rPr>
          <w:rFonts w:hint="default" w:ascii="Times New Roman" w:hAnsi="Times New Roman" w:cs="Times New Roman"/>
          <w:color w:val="auto"/>
          <w:kern w:val="0"/>
          <w:sz w:val="24"/>
          <w:szCs w:val="24"/>
          <w:highlight w:val="none"/>
          <w:lang w:val="en-US" w:eastAsia="zh-CN"/>
        </w:rPr>
        <w:t>林地、草地</w:t>
      </w:r>
      <w:r>
        <w:rPr>
          <w:rFonts w:hint="default" w:cs="Times New Roman"/>
          <w:color w:val="auto"/>
          <w:kern w:val="0"/>
          <w:sz w:val="24"/>
          <w:szCs w:val="24"/>
          <w:highlight w:val="none"/>
          <w:lang w:val="en-US" w:eastAsia="zh-CN"/>
        </w:rPr>
        <w:t>、耕地</w:t>
      </w:r>
      <w:r>
        <w:rPr>
          <w:rFonts w:hint="default" w:ascii="Times New Roman" w:hAnsi="Times New Roman" w:cs="Times New Roman"/>
          <w:color w:val="auto"/>
          <w:kern w:val="0"/>
          <w:sz w:val="24"/>
          <w:szCs w:val="24"/>
          <w:highlight w:val="none"/>
        </w:rPr>
        <w:t>中栖息活动</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水栖型</w:t>
      </w:r>
      <w:r>
        <w:rPr>
          <w:rFonts w:hint="default" w:ascii="Times New Roman" w:hAnsi="Times New Roman" w:cs="Times New Roman"/>
          <w:color w:val="auto"/>
          <w:kern w:val="0"/>
          <w:sz w:val="24"/>
          <w:szCs w:val="24"/>
          <w:highlight w:val="none"/>
          <w:lang w:val="en-US" w:eastAsia="zh-CN"/>
        </w:rPr>
        <w:t>爬行类主要分布于湘江水域；</w:t>
      </w:r>
      <w:r>
        <w:rPr>
          <w:rFonts w:hint="default" w:ascii="Times New Roman" w:hAnsi="Times New Roman" w:cs="Times New Roman"/>
          <w:color w:val="auto"/>
          <w:kern w:val="0"/>
          <w:sz w:val="24"/>
          <w:szCs w:val="24"/>
          <w:highlight w:val="none"/>
        </w:rPr>
        <w:t>住宅型</w:t>
      </w:r>
      <w:r>
        <w:rPr>
          <w:rFonts w:hint="default" w:ascii="Times New Roman" w:hAnsi="Times New Roman" w:cs="Times New Roman"/>
          <w:color w:val="auto"/>
          <w:kern w:val="0"/>
          <w:sz w:val="24"/>
          <w:szCs w:val="24"/>
          <w:highlight w:val="none"/>
          <w:lang w:val="en-US" w:eastAsia="zh-CN"/>
        </w:rPr>
        <w:t>爬行类主要分布于评价区</w:t>
      </w:r>
      <w:r>
        <w:rPr>
          <w:rFonts w:hint="default" w:cs="Times New Roman"/>
          <w:color w:val="auto"/>
          <w:kern w:val="0"/>
          <w:sz w:val="24"/>
          <w:szCs w:val="24"/>
          <w:highlight w:val="none"/>
          <w:lang w:val="en-US" w:eastAsia="zh-CN"/>
        </w:rPr>
        <w:t>居民点生境</w:t>
      </w:r>
      <w:r>
        <w:rPr>
          <w:rFonts w:hint="default" w:ascii="Times New Roman" w:hAnsi="Times New Roman" w:cs="Times New Roman"/>
          <w:color w:val="auto"/>
          <w:kern w:val="0"/>
          <w:sz w:val="24"/>
          <w:szCs w:val="24"/>
          <w:highlight w:val="none"/>
          <w:lang w:val="en-US" w:eastAsia="zh-CN"/>
        </w:rPr>
        <w:t>。根据</w:t>
      </w:r>
      <w:r>
        <w:rPr>
          <w:rFonts w:hint="default" w:cs="Times New Roman"/>
          <w:color w:val="auto"/>
          <w:kern w:val="0"/>
          <w:sz w:val="24"/>
          <w:szCs w:val="24"/>
          <w:highlight w:val="none"/>
          <w:lang w:val="en-US" w:eastAsia="zh-CN"/>
        </w:rPr>
        <w:t>水保报告</w:t>
      </w:r>
      <w:r>
        <w:rPr>
          <w:rFonts w:hint="default" w:ascii="Times New Roman" w:hAnsi="Times New Roman" w:cs="Times New Roman"/>
          <w:color w:val="auto"/>
          <w:kern w:val="0"/>
          <w:sz w:val="24"/>
          <w:szCs w:val="24"/>
          <w:highlight w:val="none"/>
          <w:lang w:val="en-US" w:eastAsia="zh-CN"/>
        </w:rPr>
        <w:t>和国土三调数据，项目施工不占用</w:t>
      </w:r>
      <w:r>
        <w:rPr>
          <w:rFonts w:hint="default" w:cs="Times New Roman"/>
          <w:color w:val="auto"/>
          <w:kern w:val="0"/>
          <w:sz w:val="24"/>
          <w:szCs w:val="24"/>
          <w:highlight w:val="none"/>
          <w:lang w:val="en-US" w:eastAsia="zh-CN"/>
        </w:rPr>
        <w:t>乔木林地</w:t>
      </w:r>
      <w:r>
        <w:rPr>
          <w:rFonts w:hint="default" w:ascii="Times New Roman" w:hAnsi="Times New Roman" w:cs="Times New Roman"/>
          <w:color w:val="auto"/>
          <w:kern w:val="0"/>
          <w:sz w:val="24"/>
          <w:szCs w:val="24"/>
          <w:highlight w:val="none"/>
          <w:lang w:val="en-US" w:eastAsia="zh-CN"/>
        </w:rPr>
        <w:t>，占用部分</w:t>
      </w:r>
      <w:r>
        <w:rPr>
          <w:rFonts w:hint="default" w:cs="Times New Roman"/>
          <w:color w:val="auto"/>
          <w:kern w:val="0"/>
          <w:sz w:val="24"/>
          <w:szCs w:val="24"/>
          <w:highlight w:val="none"/>
          <w:lang w:val="en-US" w:eastAsia="zh-CN"/>
        </w:rPr>
        <w:t>灌木林地、其他</w:t>
      </w:r>
      <w:r>
        <w:rPr>
          <w:rFonts w:hint="default" w:ascii="Times New Roman" w:hAnsi="Times New Roman" w:cs="Times New Roman"/>
          <w:color w:val="auto"/>
          <w:kern w:val="0"/>
          <w:sz w:val="24"/>
          <w:szCs w:val="24"/>
          <w:highlight w:val="none"/>
          <w:lang w:val="en-US" w:eastAsia="zh-CN"/>
        </w:rPr>
        <w:t>草地</w:t>
      </w:r>
      <w:r>
        <w:rPr>
          <w:rFonts w:hint="default"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vertAlign w:val="baseline"/>
          <w:lang w:val="en-US" w:eastAsia="zh-CN"/>
        </w:rPr>
        <w:t>业服务业设施用地</w:t>
      </w:r>
      <w:r>
        <w:rPr>
          <w:rFonts w:hint="default" w:cs="Times New Roman"/>
          <w:color w:val="auto"/>
          <w:kern w:val="0"/>
          <w:sz w:val="24"/>
          <w:szCs w:val="24"/>
          <w:highlight w:val="none"/>
          <w:vertAlign w:val="baseline"/>
          <w:lang w:val="en-US" w:eastAsia="zh-CN"/>
        </w:rPr>
        <w:t>、</w:t>
      </w:r>
      <w:r>
        <w:rPr>
          <w:rFonts w:hint="default" w:ascii="Times New Roman" w:hAnsi="Times New Roman" w:cs="Times New Roman"/>
          <w:color w:val="auto"/>
          <w:kern w:val="0"/>
          <w:sz w:val="24"/>
          <w:szCs w:val="24"/>
          <w:highlight w:val="none"/>
          <w:vertAlign w:val="baseline"/>
          <w:lang w:val="en-US" w:eastAsia="zh-CN"/>
        </w:rPr>
        <w:t>城镇住宅用地</w:t>
      </w:r>
      <w:r>
        <w:rPr>
          <w:rFonts w:hint="default" w:cs="Times New Roman"/>
          <w:color w:val="auto"/>
          <w:kern w:val="0"/>
          <w:sz w:val="24"/>
          <w:szCs w:val="24"/>
          <w:highlight w:val="none"/>
          <w:vertAlign w:val="baseline"/>
          <w:lang w:val="en-US" w:eastAsia="zh-CN"/>
        </w:rPr>
        <w:t>等</w:t>
      </w:r>
      <w:r>
        <w:rPr>
          <w:rFonts w:hint="default" w:ascii="Times New Roman" w:hAnsi="Times New Roman" w:cs="Times New Roman"/>
          <w:color w:val="auto"/>
          <w:kern w:val="0"/>
          <w:sz w:val="24"/>
          <w:szCs w:val="24"/>
          <w:highlight w:val="none"/>
          <w:lang w:val="en-US" w:eastAsia="zh-CN"/>
        </w:rPr>
        <w:t>，占评价区林地、草地</w:t>
      </w:r>
      <w:r>
        <w:rPr>
          <w:rFonts w:hint="default" w:cs="Times New Roman"/>
          <w:color w:val="auto"/>
          <w:kern w:val="0"/>
          <w:sz w:val="24"/>
          <w:szCs w:val="24"/>
          <w:highlight w:val="none"/>
          <w:lang w:val="en-US" w:eastAsia="zh-CN"/>
        </w:rPr>
        <w:t>、耕地</w:t>
      </w:r>
      <w:r>
        <w:rPr>
          <w:rFonts w:hint="default" w:ascii="Times New Roman" w:hAnsi="Times New Roman" w:cs="Times New Roman"/>
          <w:color w:val="auto"/>
          <w:kern w:val="0"/>
          <w:sz w:val="24"/>
          <w:szCs w:val="24"/>
          <w:highlight w:val="none"/>
          <w:lang w:val="en-US" w:eastAsia="zh-CN"/>
        </w:rPr>
        <w:t>面积的</w:t>
      </w:r>
      <w:r>
        <w:rPr>
          <w:rFonts w:hint="default" w:cs="Times New Roman"/>
          <w:color w:val="auto"/>
          <w:kern w:val="0"/>
          <w:sz w:val="24"/>
          <w:szCs w:val="24"/>
          <w:highlight w:val="none"/>
          <w:lang w:val="en-US" w:eastAsia="zh-CN"/>
        </w:rPr>
        <w:t>13.68</w:t>
      </w:r>
      <w:r>
        <w:rPr>
          <w:rFonts w:hint="default" w:ascii="Times New Roman" w:hAnsi="Times New Roman" w:cs="Times New Roman"/>
          <w:color w:val="auto"/>
          <w:kern w:val="0"/>
          <w:sz w:val="24"/>
          <w:szCs w:val="24"/>
          <w:highlight w:val="none"/>
          <w:lang w:val="en-US" w:eastAsia="zh-CN"/>
        </w:rPr>
        <w:t>%，占比</w:t>
      </w:r>
      <w:r>
        <w:rPr>
          <w:rFonts w:hint="default" w:cs="Times New Roman"/>
          <w:color w:val="auto"/>
          <w:kern w:val="0"/>
          <w:sz w:val="24"/>
          <w:szCs w:val="24"/>
          <w:highlight w:val="none"/>
          <w:lang w:val="en-US" w:eastAsia="zh-CN"/>
        </w:rPr>
        <w:t>相对</w:t>
      </w:r>
      <w:r>
        <w:rPr>
          <w:rFonts w:hint="default" w:ascii="Times New Roman" w:hAnsi="Times New Roman" w:cs="Times New Roman"/>
          <w:color w:val="auto"/>
          <w:kern w:val="0"/>
          <w:sz w:val="24"/>
          <w:szCs w:val="24"/>
          <w:highlight w:val="none"/>
          <w:lang w:val="en-US" w:eastAsia="zh-CN"/>
        </w:rPr>
        <w:t>较小；占用</w:t>
      </w:r>
      <w:r>
        <w:rPr>
          <w:rFonts w:hint="default" w:cs="Times New Roman"/>
          <w:color w:val="auto"/>
          <w:kern w:val="0"/>
          <w:sz w:val="24"/>
          <w:szCs w:val="24"/>
          <w:highlight w:val="none"/>
          <w:lang w:val="en-US" w:eastAsia="zh-CN"/>
        </w:rPr>
        <w:t>居民点生境</w:t>
      </w:r>
      <w:r>
        <w:rPr>
          <w:rFonts w:hint="default" w:ascii="Times New Roman" w:hAnsi="Times New Roman" w:cs="Times New Roman"/>
          <w:color w:val="auto"/>
          <w:kern w:val="0"/>
          <w:sz w:val="24"/>
          <w:szCs w:val="24"/>
          <w:highlight w:val="none"/>
          <w:lang w:val="en-US" w:eastAsia="zh-CN"/>
        </w:rPr>
        <w:t>面积占整个评价区的</w:t>
      </w:r>
      <w:r>
        <w:rPr>
          <w:rFonts w:hint="default" w:cs="Times New Roman"/>
          <w:color w:val="auto"/>
          <w:kern w:val="0"/>
          <w:sz w:val="24"/>
          <w:szCs w:val="24"/>
          <w:highlight w:val="none"/>
          <w:lang w:val="en-US" w:eastAsia="zh-CN"/>
        </w:rPr>
        <w:t>0.25</w:t>
      </w:r>
      <w:r>
        <w:rPr>
          <w:rFonts w:hint="default" w:ascii="Times New Roman" w:hAnsi="Times New Roman" w:cs="Times New Roman"/>
          <w:color w:val="auto"/>
          <w:kern w:val="0"/>
          <w:sz w:val="24"/>
          <w:szCs w:val="24"/>
          <w:highlight w:val="none"/>
          <w:lang w:val="en-US" w:eastAsia="zh-CN"/>
        </w:rPr>
        <w:t>%，占比较</w:t>
      </w:r>
      <w:r>
        <w:rPr>
          <w:rFonts w:hint="default" w:cs="Times New Roman"/>
          <w:color w:val="auto"/>
          <w:kern w:val="0"/>
          <w:sz w:val="24"/>
          <w:szCs w:val="24"/>
          <w:highlight w:val="none"/>
          <w:lang w:val="en-US" w:eastAsia="zh-CN"/>
        </w:rPr>
        <w:t>小</w:t>
      </w:r>
      <w:r>
        <w:rPr>
          <w:rFonts w:hint="default" w:ascii="Times New Roman" w:hAnsi="Times New Roman" w:cs="Times New Roman"/>
          <w:color w:val="auto"/>
          <w:kern w:val="0"/>
          <w:sz w:val="24"/>
          <w:szCs w:val="24"/>
          <w:highlight w:val="none"/>
          <w:lang w:val="en-US" w:eastAsia="zh-CN"/>
        </w:rPr>
        <w:t>。</w:t>
      </w:r>
      <w:r>
        <w:rPr>
          <w:rFonts w:hint="default" w:cs="Times New Roman"/>
          <w:color w:val="auto"/>
          <w:kern w:val="0"/>
          <w:sz w:val="24"/>
          <w:szCs w:val="24"/>
          <w:highlight w:val="none"/>
          <w:lang w:val="en-US" w:eastAsia="zh-CN"/>
        </w:rPr>
        <w:t>且</w:t>
      </w:r>
      <w:r>
        <w:rPr>
          <w:rFonts w:hint="default" w:ascii="Times New Roman" w:hAnsi="Times New Roman" w:cs="Times New Roman"/>
          <w:color w:val="auto"/>
          <w:kern w:val="0"/>
          <w:sz w:val="24"/>
          <w:szCs w:val="24"/>
          <w:highlight w:val="none"/>
          <w:lang w:val="en-US" w:eastAsia="zh-CN"/>
        </w:rPr>
        <w:t>评价区内住宅用地包括城镇住宅用地和农村宅基地2类，</w:t>
      </w:r>
      <w:r>
        <w:rPr>
          <w:rFonts w:hint="default" w:ascii="Times New Roman" w:hAnsi="Times New Roman" w:cs="Times New Roman"/>
          <w:color w:val="auto"/>
          <w:kern w:val="0"/>
          <w:sz w:val="24"/>
          <w:szCs w:val="24"/>
          <w:highlight w:val="none"/>
        </w:rPr>
        <w:t>住宅型</w:t>
      </w:r>
      <w:r>
        <w:rPr>
          <w:rFonts w:hint="default" w:ascii="Times New Roman" w:hAnsi="Times New Roman" w:cs="Times New Roman"/>
          <w:color w:val="auto"/>
          <w:kern w:val="0"/>
          <w:sz w:val="24"/>
          <w:szCs w:val="24"/>
          <w:highlight w:val="none"/>
          <w:lang w:val="en-US" w:eastAsia="zh-CN"/>
        </w:rPr>
        <w:t>爬行类主要分布于农村宅</w:t>
      </w:r>
      <w:r>
        <w:rPr>
          <w:rFonts w:hint="eastAsia" w:cs="Times New Roman"/>
          <w:color w:val="auto"/>
          <w:kern w:val="0"/>
          <w:sz w:val="24"/>
          <w:szCs w:val="24"/>
          <w:highlight w:val="none"/>
          <w:lang w:val="en-US" w:eastAsia="zh-CN"/>
        </w:rPr>
        <w:t>基地</w:t>
      </w:r>
      <w:r>
        <w:rPr>
          <w:rFonts w:hint="default" w:ascii="Times New Roman" w:hAnsi="Times New Roman" w:cs="Times New Roman"/>
          <w:color w:val="auto"/>
          <w:kern w:val="0"/>
          <w:sz w:val="24"/>
          <w:szCs w:val="24"/>
          <w:highlight w:val="none"/>
          <w:lang w:val="en-US" w:eastAsia="zh-CN"/>
        </w:rPr>
        <w:t>区域，项目施工主要占用城镇住宅用地，不占用农村宅基地。由上可知，工程占用爬行类的适宜生境面积较少，且</w:t>
      </w:r>
      <w:r>
        <w:rPr>
          <w:rFonts w:hint="default" w:ascii="Times New Roman" w:hAnsi="Times New Roman" w:cs="Times New Roman"/>
          <w:color w:val="auto"/>
          <w:kern w:val="0"/>
          <w:sz w:val="24"/>
          <w:szCs w:val="24"/>
          <w:highlight w:val="none"/>
        </w:rPr>
        <w:t>评价范围内替代生境多，爬行类活动能力</w:t>
      </w:r>
      <w:r>
        <w:rPr>
          <w:rFonts w:hint="default" w:ascii="Times New Roman" w:hAnsi="Times New Roman" w:cs="Times New Roman"/>
          <w:color w:val="auto"/>
          <w:kern w:val="0"/>
          <w:sz w:val="24"/>
          <w:szCs w:val="24"/>
          <w:highlight w:val="none"/>
          <w:lang w:val="en-US" w:eastAsia="zh-CN"/>
        </w:rPr>
        <w:t>相对</w:t>
      </w:r>
      <w:r>
        <w:rPr>
          <w:rFonts w:hint="default" w:ascii="Times New Roman" w:hAnsi="Times New Roman" w:cs="Times New Roman"/>
          <w:color w:val="auto"/>
          <w:kern w:val="0"/>
          <w:sz w:val="24"/>
          <w:szCs w:val="24"/>
          <w:highlight w:val="none"/>
        </w:rPr>
        <w:t>较强，工程占地对其生存不会造成明显威胁。</w:t>
      </w:r>
    </w:p>
    <w:p>
      <w:pPr>
        <w:pStyle w:val="55"/>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②</w:t>
      </w:r>
      <w:r>
        <w:rPr>
          <w:rFonts w:hint="default" w:ascii="Times New Roman" w:hAnsi="Times New Roman" w:cs="Times New Roman"/>
          <w:color w:val="auto"/>
          <w:kern w:val="0"/>
          <w:sz w:val="24"/>
          <w:szCs w:val="24"/>
          <w:highlight w:val="none"/>
          <w:lang w:eastAsia="zh-CN"/>
        </w:rPr>
        <w:t>振动</w:t>
      </w:r>
      <w:r>
        <w:rPr>
          <w:rFonts w:hint="default" w:ascii="Times New Roman" w:hAnsi="Times New Roman" w:cs="Times New Roman"/>
          <w:color w:val="auto"/>
          <w:kern w:val="0"/>
          <w:sz w:val="24"/>
          <w:szCs w:val="24"/>
          <w:highlight w:val="none"/>
        </w:rPr>
        <w:t>的影响：</w:t>
      </w:r>
      <w:r>
        <w:rPr>
          <w:rFonts w:hint="default" w:ascii="Times New Roman" w:hAnsi="Times New Roman" w:cs="Times New Roman"/>
          <w:color w:val="auto"/>
          <w:kern w:val="0"/>
          <w:sz w:val="24"/>
          <w:szCs w:val="24"/>
          <w:highlight w:val="none"/>
          <w:lang w:val="en-US" w:eastAsia="zh-CN"/>
        </w:rPr>
        <w:t>爬行类中的</w:t>
      </w:r>
      <w:r>
        <w:rPr>
          <w:rFonts w:hint="default" w:ascii="Times New Roman" w:hAnsi="Times New Roman" w:cs="Times New Roman"/>
          <w:color w:val="auto"/>
          <w:kern w:val="0"/>
          <w:sz w:val="24"/>
          <w:szCs w:val="24"/>
          <w:highlight w:val="none"/>
        </w:rPr>
        <w:t>蛇</w:t>
      </w:r>
      <w:r>
        <w:rPr>
          <w:rFonts w:hint="default" w:ascii="Times New Roman" w:hAnsi="Times New Roman" w:cs="Times New Roman"/>
          <w:color w:val="auto"/>
          <w:kern w:val="0"/>
          <w:sz w:val="24"/>
          <w:szCs w:val="24"/>
          <w:highlight w:val="none"/>
          <w:lang w:val="en-US" w:eastAsia="zh-CN"/>
        </w:rPr>
        <w:t>类</w:t>
      </w:r>
      <w:r>
        <w:rPr>
          <w:rFonts w:hint="default" w:ascii="Times New Roman" w:hAnsi="Times New Roman" w:cs="Times New Roman"/>
          <w:color w:val="auto"/>
          <w:kern w:val="0"/>
          <w:sz w:val="24"/>
          <w:szCs w:val="24"/>
          <w:highlight w:val="none"/>
        </w:rPr>
        <w:t>内耳和耳骨发达，对地面传过来的</w:t>
      </w:r>
      <w:r>
        <w:rPr>
          <w:rFonts w:hint="default" w:ascii="Times New Roman" w:hAnsi="Times New Roman" w:cs="Times New Roman"/>
          <w:color w:val="auto"/>
          <w:kern w:val="0"/>
          <w:sz w:val="24"/>
          <w:szCs w:val="24"/>
          <w:highlight w:val="none"/>
          <w:lang w:eastAsia="zh-CN"/>
        </w:rPr>
        <w:t>振动</w:t>
      </w:r>
      <w:r>
        <w:rPr>
          <w:rFonts w:hint="default" w:ascii="Times New Roman" w:hAnsi="Times New Roman" w:cs="Times New Roman"/>
          <w:color w:val="auto"/>
          <w:kern w:val="0"/>
          <w:sz w:val="24"/>
          <w:szCs w:val="24"/>
          <w:highlight w:val="none"/>
        </w:rPr>
        <w:t>很敏感。</w:t>
      </w:r>
      <w:r>
        <w:rPr>
          <w:rFonts w:hint="default" w:ascii="Times New Roman" w:hAnsi="Times New Roman" w:cs="Times New Roman"/>
          <w:color w:val="auto"/>
          <w:kern w:val="0"/>
          <w:sz w:val="24"/>
          <w:szCs w:val="24"/>
          <w:highlight w:val="none"/>
          <w:lang w:val="en-US" w:eastAsia="zh-CN"/>
        </w:rPr>
        <w:t>项目</w:t>
      </w:r>
      <w:r>
        <w:rPr>
          <w:rFonts w:hint="default" w:ascii="Times New Roman" w:hAnsi="Times New Roman" w:cs="Times New Roman"/>
          <w:color w:val="auto"/>
          <w:kern w:val="0"/>
          <w:sz w:val="24"/>
          <w:szCs w:val="24"/>
          <w:highlight w:val="none"/>
        </w:rPr>
        <w:t>施工期游客服务中心</w:t>
      </w:r>
      <w:r>
        <w:rPr>
          <w:rFonts w:hint="default" w:ascii="Times New Roman" w:hAnsi="Times New Roman" w:cs="Times New Roman"/>
          <w:color w:val="auto"/>
          <w:kern w:val="0"/>
          <w:sz w:val="24"/>
          <w:szCs w:val="24"/>
          <w:highlight w:val="none"/>
          <w:lang w:val="en-US" w:eastAsia="zh-CN"/>
        </w:rPr>
        <w:t>等建筑物地基开挖、打桩</w:t>
      </w:r>
      <w:r>
        <w:rPr>
          <w:rFonts w:hint="default" w:ascii="Times New Roman" w:hAnsi="Times New Roman" w:cs="Times New Roman"/>
          <w:color w:val="auto"/>
          <w:kern w:val="0"/>
          <w:sz w:val="24"/>
          <w:szCs w:val="24"/>
          <w:highlight w:val="none"/>
        </w:rPr>
        <w:t>会产生明显</w:t>
      </w:r>
      <w:r>
        <w:rPr>
          <w:rFonts w:hint="default" w:ascii="Times New Roman" w:hAnsi="Times New Roman" w:cs="Times New Roman"/>
          <w:color w:val="auto"/>
          <w:kern w:val="0"/>
          <w:sz w:val="24"/>
          <w:szCs w:val="24"/>
          <w:highlight w:val="none"/>
          <w:lang w:eastAsia="zh-CN"/>
        </w:rPr>
        <w:t>振动</w:t>
      </w:r>
      <w:r>
        <w:rPr>
          <w:rFonts w:hint="default" w:ascii="Times New Roman" w:hAnsi="Times New Roman" w:cs="Times New Roman"/>
          <w:color w:val="auto"/>
          <w:kern w:val="0"/>
          <w:sz w:val="24"/>
          <w:szCs w:val="24"/>
          <w:highlight w:val="none"/>
        </w:rPr>
        <w:t>，干扰</w:t>
      </w:r>
      <w:r>
        <w:rPr>
          <w:rFonts w:hint="default" w:ascii="Times New Roman" w:hAnsi="Times New Roman" w:cs="Times New Roman"/>
          <w:color w:val="auto"/>
          <w:kern w:val="0"/>
          <w:sz w:val="24"/>
          <w:szCs w:val="24"/>
          <w:highlight w:val="none"/>
          <w:lang w:val="en-US" w:eastAsia="zh-CN"/>
        </w:rPr>
        <w:t>施工区周边湘江岸线区域活动的</w:t>
      </w:r>
      <w:r>
        <w:rPr>
          <w:rFonts w:hint="default" w:ascii="Times New Roman" w:hAnsi="Times New Roman" w:cs="Times New Roman"/>
          <w:color w:val="auto"/>
          <w:kern w:val="0"/>
          <w:sz w:val="24"/>
          <w:szCs w:val="24"/>
          <w:highlight w:val="none"/>
        </w:rPr>
        <w:t>蛇类捕食和对其造成惊吓，迫使其迁出施工</w:t>
      </w:r>
      <w:r>
        <w:rPr>
          <w:rFonts w:hint="default" w:ascii="Times New Roman" w:hAnsi="Times New Roman" w:cs="Times New Roman"/>
          <w:color w:val="auto"/>
          <w:kern w:val="0"/>
          <w:sz w:val="24"/>
          <w:szCs w:val="24"/>
          <w:highlight w:val="none"/>
          <w:lang w:val="en-US" w:eastAsia="zh-CN"/>
        </w:rPr>
        <w:t>影响</w:t>
      </w:r>
      <w:r>
        <w:rPr>
          <w:rFonts w:hint="default" w:ascii="Times New Roman" w:hAnsi="Times New Roman" w:cs="Times New Roman"/>
          <w:color w:val="auto"/>
          <w:kern w:val="0"/>
          <w:sz w:val="24"/>
          <w:szCs w:val="24"/>
          <w:highlight w:val="none"/>
        </w:rPr>
        <w:t>区域，迁移至其他替代生境。这种影响局限于</w:t>
      </w:r>
      <w:r>
        <w:rPr>
          <w:rFonts w:hint="default" w:ascii="Times New Roman" w:hAnsi="Times New Roman" w:cs="Times New Roman"/>
          <w:color w:val="auto"/>
          <w:kern w:val="0"/>
          <w:sz w:val="24"/>
          <w:szCs w:val="24"/>
          <w:highlight w:val="none"/>
          <w:lang w:val="en-US" w:eastAsia="zh-CN"/>
        </w:rPr>
        <w:t>打桩</w:t>
      </w:r>
      <w:r>
        <w:rPr>
          <w:rFonts w:hint="default" w:ascii="Times New Roman" w:hAnsi="Times New Roman" w:cs="Times New Roman"/>
          <w:color w:val="auto"/>
          <w:kern w:val="0"/>
          <w:sz w:val="24"/>
          <w:szCs w:val="24"/>
          <w:highlight w:val="none"/>
        </w:rPr>
        <w:t>时间段，时间短</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强度低，</w:t>
      </w:r>
      <w:r>
        <w:rPr>
          <w:rFonts w:hint="default" w:ascii="Times New Roman" w:hAnsi="Times New Roman" w:cs="Times New Roman"/>
          <w:color w:val="auto"/>
          <w:kern w:val="0"/>
          <w:sz w:val="24"/>
          <w:szCs w:val="24"/>
          <w:highlight w:val="none"/>
        </w:rPr>
        <w:t>影响小。</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③人为活动的影响：施工过程中，施工人员的生活垃圾若随意丢弃</w:t>
      </w:r>
      <w:r>
        <w:rPr>
          <w:rFonts w:hint="default" w:ascii="Times New Roman" w:hAnsi="Times New Roman" w:cs="Times New Roman"/>
          <w:color w:val="auto"/>
          <w:kern w:val="0"/>
          <w:sz w:val="24"/>
          <w:szCs w:val="24"/>
          <w:highlight w:val="none"/>
          <w:lang w:val="en-US" w:eastAsia="zh-CN"/>
        </w:rPr>
        <w:t>在湘江边</w:t>
      </w:r>
      <w:r>
        <w:rPr>
          <w:rFonts w:hint="default" w:ascii="Times New Roman" w:hAnsi="Times New Roman" w:cs="Times New Roman"/>
          <w:color w:val="auto"/>
          <w:kern w:val="0"/>
          <w:sz w:val="24"/>
          <w:szCs w:val="24"/>
          <w:highlight w:val="none"/>
        </w:rPr>
        <w:t>，将对爬行类产生一定影响。生活垃圾的丢弃将吸引鼠类的聚集，以鼠类为食物的爬行类较多，会使这些爬行类聚集在这些区域，对其分布格局产生一定影响。这些影响可以通过对施工人员生活垃圾集中处理加以避免。爬行类中有一些种类食用价值和经济价值较高，可能遭到施工人员的捕杀，造成该区域内种群数量的减少，如</w:t>
      </w:r>
      <w:r>
        <w:rPr>
          <w:rFonts w:hint="default" w:ascii="Times New Roman" w:hAnsi="Times New Roman" w:cs="Times New Roman"/>
          <w:color w:val="auto"/>
          <w:kern w:val="0"/>
          <w:sz w:val="24"/>
          <w:szCs w:val="24"/>
          <w:highlight w:val="none"/>
          <w:lang w:val="en-US" w:eastAsia="zh-CN"/>
        </w:rPr>
        <w:t>中华鳖、</w:t>
      </w:r>
      <w:r>
        <w:rPr>
          <w:rFonts w:hint="default" w:ascii="Times New Roman" w:hAnsi="Times New Roman" w:cs="Times New Roman"/>
          <w:color w:val="auto"/>
          <w:kern w:val="0"/>
          <w:sz w:val="24"/>
          <w:szCs w:val="24"/>
          <w:highlight w:val="none"/>
        </w:rPr>
        <w:t>乌梢蛇等。这种影响可通过制定相关的惩罚制度与宣传教育的方式加以避免。</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总体而言，工程施工会使爬行类转移到非施工区的替代生境中，改变爬行类在施工区及其范围外的分布格局，但不会导致某种爬行类物种消失和大量减少，对爬行类影响小。</w:t>
      </w:r>
    </w:p>
    <w:p>
      <w:pPr>
        <w:spacing w:line="360" w:lineRule="auto"/>
        <w:ind w:firstLine="482" w:firstLineChars="200"/>
        <w:rPr>
          <w:rFonts w:hint="default" w:ascii="Times New Roman" w:hAnsi="Times New Roman" w:cs="Times New Roman"/>
          <w:b/>
          <w:color w:val="auto"/>
          <w:kern w:val="0"/>
          <w:sz w:val="24"/>
          <w:szCs w:val="24"/>
          <w:highlight w:val="none"/>
        </w:rPr>
      </w:pPr>
      <w:r>
        <w:rPr>
          <w:rFonts w:hint="default" w:ascii="Times New Roman" w:hAnsi="Times New Roman" w:cs="Times New Roman"/>
          <w:b/>
          <w:color w:val="auto"/>
          <w:kern w:val="0"/>
          <w:sz w:val="24"/>
          <w:szCs w:val="24"/>
          <w:highlight w:val="none"/>
        </w:rPr>
        <w:t>（3）对鸟类的影响</w:t>
      </w:r>
    </w:p>
    <w:p>
      <w:pPr>
        <w:autoSpaceDE w:val="0"/>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工程施工对鸟类的影响主要是由工程占地、噪声、水污染及人为活动等引起。</w:t>
      </w:r>
    </w:p>
    <w:p>
      <w:pPr>
        <w:autoSpaceDE w:val="0"/>
        <w:spacing w:line="360" w:lineRule="auto"/>
        <w:ind w:firstLine="480" w:firstLineChars="200"/>
        <w:rPr>
          <w:rFonts w:hint="default" w:ascii="Times New Roman" w:hAnsi="Times New Roman" w:eastAsia="宋体" w:cs="Times New Roman"/>
          <w:bCs/>
          <w:color w:val="auto"/>
          <w:sz w:val="24"/>
          <w:szCs w:val="24"/>
          <w:highlight w:val="none"/>
          <w:lang w:eastAsia="zh-CN"/>
        </w:rPr>
      </w:pPr>
      <w:r>
        <w:rPr>
          <w:rFonts w:hint="default" w:ascii="Times New Roman" w:hAnsi="Times New Roman" w:cs="Times New Roman"/>
          <w:bCs/>
          <w:color w:val="auto"/>
          <w:sz w:val="24"/>
          <w:szCs w:val="24"/>
          <w:highlight w:val="none"/>
          <w:lang w:val="en-US" w:eastAsia="zh-CN"/>
        </w:rPr>
        <w:t>①</w:t>
      </w:r>
      <w:r>
        <w:rPr>
          <w:rFonts w:hint="default" w:ascii="Times New Roman" w:hAnsi="Times New Roman" w:cs="Times New Roman"/>
          <w:bCs/>
          <w:color w:val="auto"/>
          <w:sz w:val="24"/>
          <w:szCs w:val="24"/>
          <w:highlight w:val="none"/>
        </w:rPr>
        <w:t>占地的影响：施工期间对</w:t>
      </w:r>
      <w:r>
        <w:rPr>
          <w:rFonts w:hint="default" w:ascii="Times New Roman" w:hAnsi="Times New Roman" w:cs="Times New Roman"/>
          <w:bCs/>
          <w:color w:val="auto"/>
          <w:sz w:val="24"/>
          <w:szCs w:val="24"/>
          <w:highlight w:val="none"/>
          <w:lang w:val="en-US" w:eastAsia="zh-CN"/>
        </w:rPr>
        <w:t>占地</w:t>
      </w:r>
      <w:r>
        <w:rPr>
          <w:rFonts w:hint="default" w:ascii="Times New Roman" w:hAnsi="Times New Roman" w:cs="Times New Roman"/>
          <w:bCs/>
          <w:color w:val="auto"/>
          <w:sz w:val="24"/>
          <w:szCs w:val="24"/>
          <w:highlight w:val="none"/>
        </w:rPr>
        <w:t>会破坏喜栖于其中鸟类的生境，迫使其迁徙至其他替代生境。</w:t>
      </w:r>
      <w:r>
        <w:rPr>
          <w:rFonts w:hint="default" w:ascii="Times New Roman" w:hAnsi="Times New Roman" w:cs="Times New Roman"/>
          <w:bCs/>
          <w:color w:val="auto"/>
          <w:sz w:val="24"/>
          <w:szCs w:val="24"/>
          <w:highlight w:val="none"/>
          <w:lang w:val="en-US" w:eastAsia="zh-CN"/>
        </w:rPr>
        <w:t>工程区域主要为居住点生境，鸟类主要以城镇生态系统鸟类为主。工程施工占用城镇生态系统面积</w:t>
      </w:r>
      <w:r>
        <w:rPr>
          <w:rFonts w:hint="default" w:cs="Times New Roman"/>
          <w:bCs/>
          <w:color w:val="auto"/>
          <w:sz w:val="24"/>
          <w:szCs w:val="24"/>
          <w:highlight w:val="none"/>
          <w:lang w:val="en-US" w:eastAsia="zh-CN"/>
        </w:rPr>
        <w:t>2.20</w:t>
      </w:r>
      <w:r>
        <w:rPr>
          <w:rFonts w:hint="default" w:ascii="Times New Roman" w:hAnsi="Times New Roman" w:cs="Times New Roman"/>
          <w:bCs/>
          <w:color w:val="auto"/>
          <w:sz w:val="24"/>
          <w:szCs w:val="24"/>
          <w:highlight w:val="none"/>
          <w:lang w:val="en-US" w:eastAsia="zh-CN"/>
        </w:rPr>
        <w:t>hm</w:t>
      </w:r>
      <w:r>
        <w:rPr>
          <w:rFonts w:hint="default" w:ascii="Times New Roman" w:hAnsi="Times New Roman" w:cs="Times New Roman"/>
          <w:bCs/>
          <w:color w:val="auto"/>
          <w:sz w:val="24"/>
          <w:szCs w:val="24"/>
          <w:highlight w:val="none"/>
          <w:vertAlign w:val="superscript"/>
          <w:lang w:val="en-US" w:eastAsia="zh-CN"/>
        </w:rPr>
        <w:t>2</w:t>
      </w:r>
      <w:r>
        <w:rPr>
          <w:rFonts w:hint="default" w:ascii="Times New Roman" w:hAnsi="Times New Roman" w:cs="Times New Roman"/>
          <w:bCs/>
          <w:color w:val="auto"/>
          <w:sz w:val="24"/>
          <w:szCs w:val="24"/>
          <w:highlight w:val="none"/>
          <w:vertAlign w:val="baseline"/>
          <w:lang w:val="en-US" w:eastAsia="zh-CN"/>
        </w:rPr>
        <w:t>，占评价区内城镇生态系统面积的</w:t>
      </w:r>
      <w:r>
        <w:rPr>
          <w:rFonts w:hint="default" w:cs="Times New Roman"/>
          <w:bCs/>
          <w:color w:val="auto"/>
          <w:sz w:val="24"/>
          <w:szCs w:val="24"/>
          <w:highlight w:val="none"/>
          <w:vertAlign w:val="baseline"/>
          <w:lang w:val="en-US" w:eastAsia="zh-CN"/>
        </w:rPr>
        <w:t>0.43</w:t>
      </w:r>
      <w:r>
        <w:rPr>
          <w:rFonts w:hint="default" w:ascii="Times New Roman" w:hAnsi="Times New Roman" w:cs="Times New Roman"/>
          <w:bCs/>
          <w:color w:val="auto"/>
          <w:sz w:val="24"/>
          <w:szCs w:val="24"/>
          <w:highlight w:val="none"/>
          <w:vertAlign w:val="baseline"/>
          <w:lang w:val="en-US" w:eastAsia="zh-CN"/>
        </w:rPr>
        <w:t>%，占比小。项目占用</w:t>
      </w:r>
      <w:r>
        <w:rPr>
          <w:rFonts w:hint="default" w:cs="Times New Roman"/>
          <w:bCs/>
          <w:color w:val="auto"/>
          <w:sz w:val="24"/>
          <w:szCs w:val="24"/>
          <w:highlight w:val="none"/>
          <w:vertAlign w:val="baseline"/>
          <w:lang w:val="en-US" w:eastAsia="zh-CN"/>
        </w:rPr>
        <w:t>灌丛生态系统、</w:t>
      </w:r>
      <w:r>
        <w:rPr>
          <w:rFonts w:hint="default" w:ascii="Times New Roman" w:hAnsi="Times New Roman" w:cs="Times New Roman"/>
          <w:bCs/>
          <w:color w:val="auto"/>
          <w:sz w:val="24"/>
          <w:szCs w:val="24"/>
          <w:highlight w:val="none"/>
          <w:vertAlign w:val="baseline"/>
          <w:lang w:val="en-US" w:eastAsia="zh-CN"/>
        </w:rPr>
        <w:t>草地生态系统面积占评价区的</w:t>
      </w:r>
      <w:r>
        <w:rPr>
          <w:rFonts w:hint="default" w:cs="Times New Roman"/>
          <w:bCs/>
          <w:color w:val="auto"/>
          <w:sz w:val="24"/>
          <w:szCs w:val="24"/>
          <w:highlight w:val="none"/>
          <w:lang w:val="en-US" w:eastAsia="zh-CN"/>
        </w:rPr>
        <w:t>68.60</w:t>
      </w:r>
      <w:r>
        <w:rPr>
          <w:rFonts w:hint="default" w:ascii="Times New Roman" w:hAnsi="Times New Roman" w:cs="Times New Roman"/>
          <w:bCs/>
          <w:color w:val="auto"/>
          <w:sz w:val="24"/>
          <w:szCs w:val="24"/>
          <w:highlight w:val="none"/>
          <w:lang w:val="en-US" w:eastAsia="zh-CN"/>
        </w:rPr>
        <w:t>%和</w:t>
      </w:r>
      <w:r>
        <w:rPr>
          <w:rFonts w:hint="default" w:cs="Times New Roman"/>
          <w:bCs/>
          <w:color w:val="auto"/>
          <w:sz w:val="24"/>
          <w:szCs w:val="24"/>
          <w:highlight w:val="none"/>
          <w:lang w:val="en-US" w:eastAsia="zh-CN"/>
        </w:rPr>
        <w:t>21.82</w:t>
      </w:r>
      <w:r>
        <w:rPr>
          <w:rFonts w:hint="default" w:ascii="Times New Roman" w:hAnsi="Times New Roman" w:cs="Times New Roman"/>
          <w:bCs/>
          <w:color w:val="auto"/>
          <w:sz w:val="24"/>
          <w:szCs w:val="24"/>
          <w:highlight w:val="none"/>
          <w:lang w:val="en-US" w:eastAsia="zh-CN"/>
        </w:rPr>
        <w:t>%，占</w:t>
      </w:r>
      <w:r>
        <w:rPr>
          <w:rFonts w:hint="default" w:cs="Times New Roman"/>
          <w:bCs/>
          <w:color w:val="auto"/>
          <w:sz w:val="24"/>
          <w:szCs w:val="24"/>
          <w:highlight w:val="none"/>
          <w:lang w:val="en-US" w:eastAsia="zh-CN"/>
        </w:rPr>
        <w:t>比</w:t>
      </w:r>
      <w:r>
        <w:rPr>
          <w:rFonts w:hint="default" w:ascii="Times New Roman" w:hAnsi="Times New Roman" w:cs="Times New Roman"/>
          <w:bCs/>
          <w:color w:val="auto"/>
          <w:sz w:val="24"/>
          <w:szCs w:val="24"/>
          <w:highlight w:val="none"/>
          <w:vertAlign w:val="baseline"/>
          <w:lang w:val="en-US" w:eastAsia="zh-CN"/>
        </w:rPr>
        <w:t>较大。</w:t>
      </w:r>
      <w:r>
        <w:rPr>
          <w:rFonts w:hint="default" w:cs="Times New Roman"/>
          <w:bCs/>
          <w:color w:val="auto"/>
          <w:sz w:val="24"/>
          <w:szCs w:val="24"/>
          <w:highlight w:val="none"/>
          <w:vertAlign w:val="baseline"/>
          <w:lang w:val="en-US" w:eastAsia="zh-CN"/>
        </w:rPr>
        <w:t>灌丛生态系统、</w:t>
      </w:r>
      <w:r>
        <w:rPr>
          <w:rFonts w:hint="default" w:ascii="Times New Roman" w:hAnsi="Times New Roman" w:cs="Times New Roman"/>
          <w:bCs/>
          <w:color w:val="auto"/>
          <w:sz w:val="24"/>
          <w:szCs w:val="24"/>
          <w:highlight w:val="none"/>
          <w:vertAlign w:val="baseline"/>
          <w:lang w:val="en-US" w:eastAsia="zh-CN"/>
        </w:rPr>
        <w:t>草地生态系统面积小，仅占评价区的</w:t>
      </w:r>
      <w:r>
        <w:rPr>
          <w:rFonts w:hint="default" w:cs="Times New Roman"/>
          <w:bCs/>
          <w:color w:val="auto"/>
          <w:sz w:val="24"/>
          <w:szCs w:val="24"/>
          <w:highlight w:val="none"/>
          <w:vertAlign w:val="baseline"/>
          <w:lang w:val="en-US" w:eastAsia="zh-CN"/>
        </w:rPr>
        <w:t>0.35</w:t>
      </w:r>
      <w:r>
        <w:rPr>
          <w:rFonts w:hint="default" w:ascii="Times New Roman" w:hAnsi="Times New Roman" w:cs="Times New Roman"/>
          <w:bCs/>
          <w:color w:val="auto"/>
          <w:sz w:val="24"/>
          <w:szCs w:val="24"/>
          <w:highlight w:val="none"/>
          <w:vertAlign w:val="baseline"/>
          <w:lang w:val="en-US" w:eastAsia="zh-CN"/>
        </w:rPr>
        <w:t>%</w:t>
      </w:r>
      <w:r>
        <w:rPr>
          <w:rFonts w:hint="default" w:cs="Times New Roman"/>
          <w:bCs/>
          <w:color w:val="auto"/>
          <w:sz w:val="24"/>
          <w:szCs w:val="24"/>
          <w:highlight w:val="none"/>
          <w:vertAlign w:val="baseline"/>
          <w:lang w:val="en-US" w:eastAsia="zh-CN"/>
        </w:rPr>
        <w:t>和0.57</w:t>
      </w:r>
      <w:r>
        <w:rPr>
          <w:rFonts w:hint="default" w:ascii="Times New Roman" w:hAnsi="Times New Roman" w:cs="Times New Roman"/>
          <w:bCs/>
          <w:color w:val="auto"/>
          <w:sz w:val="24"/>
          <w:szCs w:val="24"/>
          <w:highlight w:val="none"/>
          <w:vertAlign w:val="baseline"/>
          <w:lang w:val="en-US" w:eastAsia="zh-CN"/>
        </w:rPr>
        <w:t>%，活动在</w:t>
      </w:r>
      <w:r>
        <w:rPr>
          <w:rFonts w:hint="default" w:cs="Times New Roman"/>
          <w:bCs/>
          <w:color w:val="auto"/>
          <w:sz w:val="24"/>
          <w:szCs w:val="24"/>
          <w:highlight w:val="none"/>
          <w:vertAlign w:val="baseline"/>
          <w:lang w:val="en-US" w:eastAsia="zh-CN"/>
        </w:rPr>
        <w:t>灌丛生态系统、</w:t>
      </w:r>
      <w:r>
        <w:rPr>
          <w:rFonts w:hint="default" w:ascii="Times New Roman" w:hAnsi="Times New Roman" w:cs="Times New Roman"/>
          <w:bCs/>
          <w:color w:val="auto"/>
          <w:sz w:val="24"/>
          <w:szCs w:val="24"/>
          <w:highlight w:val="none"/>
          <w:vertAlign w:val="baseline"/>
          <w:lang w:val="en-US" w:eastAsia="zh-CN"/>
        </w:rPr>
        <w:t>草地生态系统内的鸟类数量少，且在森林生态系统、农田生态系统内也有分布，工程不占用</w:t>
      </w:r>
      <w:r>
        <w:rPr>
          <w:rFonts w:hint="default" w:cs="Times New Roman"/>
          <w:bCs/>
          <w:color w:val="auto"/>
          <w:sz w:val="24"/>
          <w:szCs w:val="24"/>
          <w:highlight w:val="none"/>
          <w:vertAlign w:val="baseline"/>
          <w:lang w:val="en-US" w:eastAsia="zh-CN"/>
        </w:rPr>
        <w:t>乔木</w:t>
      </w:r>
      <w:r>
        <w:rPr>
          <w:rFonts w:hint="default" w:ascii="Times New Roman" w:hAnsi="Times New Roman" w:cs="Times New Roman"/>
          <w:bCs/>
          <w:color w:val="auto"/>
          <w:sz w:val="24"/>
          <w:szCs w:val="24"/>
          <w:highlight w:val="none"/>
          <w:vertAlign w:val="baseline"/>
          <w:lang w:val="en-US" w:eastAsia="zh-CN"/>
        </w:rPr>
        <w:t>林地和耕地。</w:t>
      </w:r>
      <w:r>
        <w:rPr>
          <w:rFonts w:hint="default" w:ascii="Times New Roman" w:hAnsi="Times New Roman" w:cs="Times New Roman"/>
          <w:bCs/>
          <w:color w:val="auto"/>
          <w:sz w:val="24"/>
          <w:szCs w:val="24"/>
          <w:highlight w:val="none"/>
        </w:rPr>
        <w:t>鸟类迁徙能力强，周边可替代生境多，工程占地对鸟类的影响较小</w:t>
      </w:r>
      <w:r>
        <w:rPr>
          <w:rFonts w:hint="default" w:ascii="Times New Roman" w:hAnsi="Times New Roman" w:cs="Times New Roman"/>
          <w:bCs/>
          <w:color w:val="auto"/>
          <w:sz w:val="24"/>
          <w:szCs w:val="24"/>
          <w:highlight w:val="none"/>
          <w:lang w:eastAsia="zh-CN"/>
        </w:rPr>
        <w:t>。</w:t>
      </w:r>
    </w:p>
    <w:p>
      <w:pPr>
        <w:autoSpaceDE w:val="0"/>
        <w:autoSpaceDN w:val="0"/>
        <w:adjustRightIn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4"/>
          <w:highlight w:val="none"/>
          <w:lang w:val="en-US" w:eastAsia="zh-CN"/>
        </w:rPr>
        <w:t>②</w:t>
      </w:r>
      <w:r>
        <w:rPr>
          <w:rFonts w:hint="default" w:ascii="Times New Roman" w:hAnsi="Times New Roman" w:cs="Times New Roman"/>
          <w:bCs/>
          <w:color w:val="auto"/>
          <w:sz w:val="24"/>
          <w:szCs w:val="24"/>
          <w:highlight w:val="none"/>
        </w:rPr>
        <w:t>噪声的影响：鸟类对噪声比较敏感，在噪声影响下鸟类的窝卵数会下降</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鸟儿筑巢的时间会推迟</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觅食效率降低等</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噪声源主要为</w:t>
      </w:r>
      <w:r>
        <w:rPr>
          <w:rFonts w:hint="default" w:ascii="Times New Roman" w:hAnsi="Times New Roman" w:cs="Times New Roman"/>
          <w:bCs/>
          <w:color w:val="auto"/>
          <w:sz w:val="24"/>
          <w:szCs w:val="24"/>
          <w:highlight w:val="none"/>
          <w:lang w:val="en-US" w:eastAsia="zh-CN"/>
        </w:rPr>
        <w:t>混凝土搅拌</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lang w:val="en-US" w:eastAsia="zh-CN"/>
        </w:rPr>
        <w:t>建筑物地基开挖打桩噪声，</w:t>
      </w:r>
      <w:r>
        <w:rPr>
          <w:rFonts w:hint="default" w:ascii="Times New Roman" w:hAnsi="Times New Roman" w:cs="Times New Roman"/>
          <w:color w:val="auto"/>
          <w:sz w:val="24"/>
          <w:szCs w:val="24"/>
          <w:highlight w:val="none"/>
        </w:rPr>
        <w:t>混凝土拌和</w:t>
      </w:r>
      <w:r>
        <w:rPr>
          <w:rFonts w:hint="default" w:ascii="Times New Roman" w:hAnsi="Times New Roman" w:cs="Times New Roman"/>
          <w:color w:val="auto"/>
          <w:sz w:val="24"/>
          <w:szCs w:val="24"/>
          <w:highlight w:val="none"/>
          <w:lang w:val="en-US" w:eastAsia="zh-CN"/>
        </w:rPr>
        <w:t>噪声值一般为</w:t>
      </w:r>
      <w:r>
        <w:rPr>
          <w:rFonts w:hint="default" w:ascii="Times New Roman" w:hAnsi="Times New Roman" w:cs="Times New Roman"/>
          <w:color w:val="auto"/>
          <w:sz w:val="24"/>
          <w:szCs w:val="24"/>
          <w:highlight w:val="none"/>
        </w:rPr>
        <w:t>90dB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～98dB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打桩噪声值一般为</w:t>
      </w:r>
      <w:r>
        <w:rPr>
          <w:rFonts w:hint="default" w:ascii="Times New Roman" w:hAnsi="Times New Roman" w:cs="Times New Roman"/>
          <w:color w:val="auto"/>
          <w:sz w:val="24"/>
          <w:szCs w:val="24"/>
          <w:highlight w:val="none"/>
        </w:rPr>
        <w:t>96dB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～104dB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bCs/>
          <w:color w:val="auto"/>
          <w:sz w:val="24"/>
          <w:szCs w:val="24"/>
          <w:highlight w:val="none"/>
        </w:rPr>
        <w:t>通常鸟类栖息地以外的周围背景噪声（如树叶摇动等）平均为45dB（A），当等效连续A声级LAeq，24h超过50dB时，噪声将对鸟类栖息繁殖产生影响（辜小安，1999年）。项目主要为白天施工，</w:t>
      </w:r>
      <w:r>
        <w:rPr>
          <w:rFonts w:hint="default" w:ascii="Times New Roman" w:hAnsi="Times New Roman" w:cs="Times New Roman"/>
          <w:color w:val="auto"/>
          <w:sz w:val="24"/>
          <w:szCs w:val="24"/>
          <w:highlight w:val="none"/>
        </w:rPr>
        <w:t>施工器械不会全天开启，再加</w:t>
      </w:r>
      <w:r>
        <w:rPr>
          <w:rFonts w:hint="default" w:ascii="Times New Roman" w:hAnsi="Times New Roman" w:cs="Times New Roman"/>
          <w:color w:val="auto"/>
          <w:sz w:val="24"/>
          <w:szCs w:val="24"/>
          <w:highlight w:val="none"/>
          <w:lang w:val="en-US" w:eastAsia="zh-CN"/>
        </w:rPr>
        <w:t>项目为衡阳市市区，根据《2022年衡阳市功能区域声环境质量、道路交通声环境质量》，区域昼间等效声级处于50~68</w:t>
      </w:r>
      <w:r>
        <w:rPr>
          <w:rFonts w:hint="default" w:ascii="Times New Roman" w:hAnsi="Times New Roman" w:cs="Times New Roman"/>
          <w:bCs/>
          <w:color w:val="auto"/>
          <w:sz w:val="24"/>
          <w:szCs w:val="24"/>
          <w:highlight w:val="none"/>
        </w:rPr>
        <w:t>dB（A）</w:t>
      </w:r>
      <w:r>
        <w:rPr>
          <w:rFonts w:hint="default" w:ascii="Times New Roman" w:hAnsi="Times New Roman" w:cs="Times New Roman"/>
          <w:bCs/>
          <w:color w:val="auto"/>
          <w:sz w:val="24"/>
          <w:szCs w:val="24"/>
          <w:highlight w:val="none"/>
          <w:lang w:val="en-US" w:eastAsia="zh-CN"/>
        </w:rPr>
        <w:t>区间，大</w:t>
      </w:r>
      <w:r>
        <w:rPr>
          <w:rFonts w:hint="default" w:ascii="Times New Roman" w:hAnsi="Times New Roman" w:cs="Times New Roman"/>
          <w:color w:val="auto"/>
          <w:sz w:val="24"/>
          <w:szCs w:val="24"/>
          <w:highlight w:val="none"/>
        </w:rPr>
        <w:t>部分</w:t>
      </w:r>
      <w:r>
        <w:rPr>
          <w:rFonts w:hint="default" w:ascii="Times New Roman" w:hAnsi="Times New Roman" w:cs="Times New Roman"/>
          <w:color w:val="auto"/>
          <w:sz w:val="24"/>
          <w:szCs w:val="24"/>
          <w:highlight w:val="none"/>
          <w:lang w:val="en-US" w:eastAsia="zh-CN"/>
        </w:rPr>
        <w:t>鸟类</w:t>
      </w:r>
      <w:r>
        <w:rPr>
          <w:rFonts w:hint="default" w:ascii="Times New Roman" w:hAnsi="Times New Roman" w:cs="Times New Roman"/>
          <w:color w:val="auto"/>
          <w:sz w:val="24"/>
          <w:szCs w:val="24"/>
          <w:highlight w:val="none"/>
        </w:rPr>
        <w:t>对周边噪声干扰产生了一定的适应，因此施工噪声对价区内</w:t>
      </w:r>
      <w:r>
        <w:rPr>
          <w:rFonts w:hint="default" w:ascii="Times New Roman" w:hAnsi="Times New Roman" w:cs="Times New Roman"/>
          <w:color w:val="auto"/>
          <w:sz w:val="24"/>
          <w:szCs w:val="24"/>
          <w:highlight w:val="none"/>
          <w:lang w:val="en-US" w:eastAsia="zh-CN"/>
        </w:rPr>
        <w:t>鸟类</w:t>
      </w:r>
      <w:r>
        <w:rPr>
          <w:rFonts w:hint="default" w:ascii="Times New Roman" w:hAnsi="Times New Roman" w:cs="Times New Roman"/>
          <w:color w:val="auto"/>
          <w:sz w:val="24"/>
          <w:szCs w:val="24"/>
          <w:highlight w:val="none"/>
        </w:rPr>
        <w:t>的栖息影响不大。</w:t>
      </w:r>
    </w:p>
    <w:p>
      <w:pPr>
        <w:autoSpaceDE w:val="0"/>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lang w:val="en-US" w:eastAsia="zh-CN"/>
        </w:rPr>
        <w:t>③</w:t>
      </w:r>
      <w:r>
        <w:rPr>
          <w:rFonts w:hint="default" w:ascii="Times New Roman" w:hAnsi="Times New Roman" w:cs="Times New Roman"/>
          <w:bCs/>
          <w:color w:val="auto"/>
          <w:sz w:val="24"/>
          <w:szCs w:val="24"/>
          <w:highlight w:val="none"/>
        </w:rPr>
        <w:t>水污染的影响：水污染对鸟类的影响主要是</w:t>
      </w:r>
      <w:r>
        <w:rPr>
          <w:rFonts w:hint="default" w:ascii="Times New Roman" w:hAnsi="Times New Roman" w:cs="Times New Roman"/>
          <w:color w:val="auto"/>
          <w:sz w:val="24"/>
          <w:szCs w:val="24"/>
          <w:highlight w:val="none"/>
          <w:lang w:val="en-US" w:eastAsia="zh-CN"/>
        </w:rPr>
        <w:t>抛石护岸</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岸坡整治</w:t>
      </w:r>
      <w:r>
        <w:rPr>
          <w:rFonts w:hint="default" w:cs="Times New Roman"/>
          <w:bCs/>
          <w:color w:val="auto"/>
          <w:sz w:val="24"/>
          <w:szCs w:val="24"/>
          <w:highlight w:val="none"/>
          <w:lang w:val="en-US" w:eastAsia="zh-CN"/>
        </w:rPr>
        <w:t>涉水及</w:t>
      </w:r>
      <w:r>
        <w:rPr>
          <w:rFonts w:hint="default" w:ascii="Times New Roman" w:hAnsi="Times New Roman" w:cs="Times New Roman"/>
          <w:bCs/>
          <w:color w:val="auto"/>
          <w:sz w:val="24"/>
          <w:szCs w:val="24"/>
          <w:highlight w:val="none"/>
          <w:lang w:val="en-US" w:eastAsia="zh-CN"/>
        </w:rPr>
        <w:t>临水建筑物施工时导致的</w:t>
      </w:r>
      <w:r>
        <w:rPr>
          <w:rFonts w:hint="default" w:ascii="Times New Roman" w:hAnsi="Times New Roman" w:cs="Times New Roman"/>
          <w:bCs/>
          <w:color w:val="auto"/>
          <w:sz w:val="24"/>
          <w:szCs w:val="24"/>
          <w:highlight w:val="none"/>
        </w:rPr>
        <w:t>水质污染</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从而影响湿地鸟类和傍水型鸟类的栖息环境，间接影响到鸟类的取水或取食。受影响的种类主要为游禽（如：小䴙䴘）、涉禽（如：白鹭、池鹭等）、部分攀禽（如：普通翠鸟、白胸翡翠）和部分鸣禽（如：白鹡鸰、红尾水鸲等）。影响区域主要</w:t>
      </w:r>
      <w:r>
        <w:rPr>
          <w:rFonts w:hint="default" w:ascii="Times New Roman" w:hAnsi="Times New Roman" w:cs="Times New Roman"/>
          <w:bCs/>
          <w:color w:val="auto"/>
          <w:sz w:val="24"/>
          <w:szCs w:val="24"/>
          <w:highlight w:val="none"/>
          <w:lang w:val="en-US" w:eastAsia="zh-CN"/>
        </w:rPr>
        <w:t>湘江东岸</w:t>
      </w:r>
      <w:r>
        <w:rPr>
          <w:rFonts w:hint="default" w:ascii="Times New Roman" w:hAnsi="Times New Roman" w:cs="Times New Roman"/>
          <w:bCs/>
          <w:color w:val="auto"/>
          <w:sz w:val="24"/>
          <w:szCs w:val="24"/>
          <w:highlight w:val="none"/>
        </w:rPr>
        <w:t>。根据</w:t>
      </w:r>
      <w:r>
        <w:rPr>
          <w:rFonts w:hint="default" w:ascii="Times New Roman" w:hAnsi="Times New Roman" w:cs="Times New Roman"/>
          <w:bCs/>
          <w:color w:val="auto"/>
          <w:sz w:val="24"/>
          <w:szCs w:val="24"/>
          <w:highlight w:val="none"/>
          <w:lang w:val="en-US" w:eastAsia="zh-CN"/>
        </w:rPr>
        <w:t>现场调查湘江水域面积广，邻水和涉水建筑物施工区域小</w:t>
      </w:r>
      <w:r>
        <w:rPr>
          <w:rFonts w:hint="default" w:ascii="Times New Roman" w:hAnsi="Times New Roman" w:cs="Times New Roman"/>
          <w:bCs/>
          <w:color w:val="auto"/>
          <w:sz w:val="24"/>
          <w:szCs w:val="24"/>
          <w:highlight w:val="none"/>
        </w:rPr>
        <w:t>，水污染影响范围有限。且鸟类活动能力强，生境范围广，项目造成的水污染不会使评价范围内的湿地鸟类多样性</w:t>
      </w:r>
      <w:r>
        <w:rPr>
          <w:rFonts w:hint="default" w:ascii="Times New Roman" w:hAnsi="Times New Roman" w:cs="Times New Roman"/>
          <w:bCs/>
          <w:color w:val="auto"/>
          <w:sz w:val="24"/>
          <w:szCs w:val="24"/>
          <w:highlight w:val="none"/>
          <w:lang w:val="en-US" w:eastAsia="zh-CN"/>
        </w:rPr>
        <w:t>和丰富度</w:t>
      </w:r>
      <w:r>
        <w:rPr>
          <w:rFonts w:hint="default" w:ascii="Times New Roman" w:hAnsi="Times New Roman" w:cs="Times New Roman"/>
          <w:bCs/>
          <w:color w:val="auto"/>
          <w:sz w:val="24"/>
          <w:szCs w:val="24"/>
          <w:highlight w:val="none"/>
        </w:rPr>
        <w:t>有明显改变。此外随着水土保持措施的实施和水环境的自净作用，水污染对鸟类的影响将逐渐被削减。</w:t>
      </w:r>
    </w:p>
    <w:p>
      <w:pPr>
        <w:autoSpaceDE w:val="0"/>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lang w:val="en-US" w:eastAsia="zh-CN"/>
        </w:rPr>
        <w:t>④</w:t>
      </w:r>
      <w:r>
        <w:rPr>
          <w:rFonts w:hint="default" w:ascii="Times New Roman" w:hAnsi="Times New Roman" w:cs="Times New Roman"/>
          <w:bCs/>
          <w:color w:val="auto"/>
          <w:sz w:val="24"/>
          <w:szCs w:val="24"/>
          <w:highlight w:val="none"/>
        </w:rPr>
        <w:t>人为活动的影响：评价范围内的鸟类中有部分种类具有食用和观赏价值，如环颈雉、画眉等。它们有可能会遭到施工人员的捕捉和杀害，造成其种群数量减少或消失，这种影响可以通过对施工人员进行生态保护意识教育，禁止捕杀动物加以避免。</w:t>
      </w:r>
    </w:p>
    <w:p>
      <w:pPr>
        <w:autoSpaceDE w:val="0"/>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总的来说，工程施工对鸟类的影响主要是施工噪声及人为活动引起</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lang w:val="en-US" w:eastAsia="zh-CN"/>
        </w:rPr>
        <w:t>影响强度低，影响小</w:t>
      </w:r>
      <w:r>
        <w:rPr>
          <w:rFonts w:hint="default" w:ascii="Times New Roman" w:hAnsi="Times New Roman" w:cs="Times New Roman"/>
          <w:bCs/>
          <w:color w:val="auto"/>
          <w:sz w:val="24"/>
          <w:szCs w:val="24"/>
          <w:highlight w:val="none"/>
        </w:rPr>
        <w:t>。</w:t>
      </w:r>
    </w:p>
    <w:p>
      <w:pPr>
        <w:spacing w:line="360" w:lineRule="auto"/>
        <w:ind w:firstLine="482" w:firstLineChars="200"/>
        <w:rPr>
          <w:rFonts w:hint="default" w:ascii="Times New Roman" w:hAnsi="Times New Roman" w:cs="Times New Roman"/>
          <w:b/>
          <w:color w:val="auto"/>
          <w:kern w:val="0"/>
          <w:sz w:val="24"/>
          <w:szCs w:val="24"/>
          <w:highlight w:val="none"/>
        </w:rPr>
      </w:pPr>
      <w:r>
        <w:rPr>
          <w:rFonts w:hint="default" w:ascii="Times New Roman" w:hAnsi="Times New Roman" w:cs="Times New Roman"/>
          <w:b/>
          <w:color w:val="auto"/>
          <w:kern w:val="0"/>
          <w:sz w:val="24"/>
          <w:szCs w:val="24"/>
          <w:highlight w:val="none"/>
        </w:rPr>
        <w:t>（4）对</w:t>
      </w:r>
      <w:r>
        <w:rPr>
          <w:rFonts w:hint="default" w:ascii="Times New Roman" w:hAnsi="Times New Roman" w:cs="Times New Roman"/>
          <w:b/>
          <w:color w:val="auto"/>
          <w:kern w:val="0"/>
          <w:sz w:val="24"/>
          <w:szCs w:val="24"/>
          <w:highlight w:val="none"/>
          <w:lang w:eastAsia="zh-CN"/>
        </w:rPr>
        <w:t>哺乳类</w:t>
      </w:r>
      <w:r>
        <w:rPr>
          <w:rFonts w:hint="default" w:ascii="Times New Roman" w:hAnsi="Times New Roman" w:cs="Times New Roman"/>
          <w:b/>
          <w:color w:val="auto"/>
          <w:kern w:val="0"/>
          <w:sz w:val="24"/>
          <w:szCs w:val="24"/>
          <w:highlight w:val="none"/>
        </w:rPr>
        <w:t>的影响</w:t>
      </w:r>
    </w:p>
    <w:p>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工程施工对</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的影响主要是由水污染、噪声、占地及人为活动等引起。</w:t>
      </w:r>
    </w:p>
    <w:p>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lang w:val="en-US" w:eastAsia="zh-CN"/>
        </w:rPr>
        <w:t>①</w:t>
      </w:r>
      <w:r>
        <w:rPr>
          <w:rFonts w:hint="default" w:ascii="Times New Roman" w:hAnsi="Times New Roman" w:cs="Times New Roman"/>
          <w:bCs/>
          <w:color w:val="auto"/>
          <w:sz w:val="24"/>
          <w:szCs w:val="24"/>
          <w:highlight w:val="none"/>
        </w:rPr>
        <w:t>水污染的影响：评价范围内的</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会在工程区附近</w:t>
      </w:r>
      <w:r>
        <w:rPr>
          <w:rFonts w:hint="default" w:ascii="Times New Roman" w:hAnsi="Times New Roman" w:cs="Times New Roman"/>
          <w:bCs/>
          <w:color w:val="auto"/>
          <w:sz w:val="24"/>
          <w:szCs w:val="24"/>
          <w:highlight w:val="none"/>
          <w:lang w:val="en-US" w:eastAsia="zh-CN"/>
        </w:rPr>
        <w:t>湘江</w:t>
      </w:r>
      <w:r>
        <w:rPr>
          <w:rFonts w:hint="default" w:ascii="Times New Roman" w:hAnsi="Times New Roman" w:cs="Times New Roman"/>
          <w:bCs/>
          <w:color w:val="auto"/>
          <w:sz w:val="24"/>
          <w:szCs w:val="24"/>
          <w:highlight w:val="none"/>
        </w:rPr>
        <w:t>水域内饮水或活动，水体污染后会迫使</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寻找新的水源地和栖息地，造成</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暂时性迁移，区域内</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减少，或水体内的有毒有害物质在</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体内富集，损害脏器，危害</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健康。水污染影响区域主要为</w:t>
      </w:r>
      <w:r>
        <w:rPr>
          <w:rFonts w:hint="default" w:ascii="Times New Roman" w:hAnsi="Times New Roman" w:cs="Times New Roman"/>
          <w:bCs/>
          <w:color w:val="auto"/>
          <w:sz w:val="24"/>
          <w:szCs w:val="24"/>
          <w:highlight w:val="none"/>
          <w:lang w:val="en-US" w:eastAsia="zh-CN"/>
        </w:rPr>
        <w:t>湘江边临水、涉水建筑物施工导致，评价区内哺乳类以啮齿类种的鼠类为主，主要活动于居民点和农田区域，在湘江内饮水物种较少，且湘江</w:t>
      </w:r>
      <w:r>
        <w:rPr>
          <w:rFonts w:hint="default" w:ascii="Times New Roman" w:hAnsi="Times New Roman" w:cs="Times New Roman"/>
          <w:bCs/>
          <w:color w:val="auto"/>
          <w:sz w:val="24"/>
          <w:szCs w:val="24"/>
          <w:highlight w:val="none"/>
        </w:rPr>
        <w:t>不是</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唯一水源地，</w:t>
      </w:r>
      <w:r>
        <w:rPr>
          <w:rFonts w:hint="default" w:ascii="Times New Roman" w:hAnsi="Times New Roman" w:cs="Times New Roman"/>
          <w:bCs/>
          <w:color w:val="auto"/>
          <w:sz w:val="24"/>
          <w:szCs w:val="24"/>
          <w:highlight w:val="none"/>
          <w:lang w:val="en-US" w:eastAsia="zh-CN"/>
        </w:rPr>
        <w:t>水污染</w:t>
      </w:r>
      <w:r>
        <w:rPr>
          <w:rFonts w:hint="default" w:ascii="Times New Roman" w:hAnsi="Times New Roman" w:cs="Times New Roman"/>
          <w:bCs/>
          <w:color w:val="auto"/>
          <w:sz w:val="24"/>
          <w:szCs w:val="24"/>
          <w:highlight w:val="none"/>
        </w:rPr>
        <w:t>对</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影响有限。</w:t>
      </w:r>
    </w:p>
    <w:p>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lang w:val="en-US" w:eastAsia="zh-CN"/>
        </w:rPr>
        <w:t>②</w:t>
      </w:r>
      <w:r>
        <w:rPr>
          <w:rFonts w:hint="default" w:ascii="Times New Roman" w:hAnsi="Times New Roman" w:cs="Times New Roman"/>
          <w:bCs/>
          <w:color w:val="auto"/>
          <w:sz w:val="24"/>
          <w:szCs w:val="24"/>
          <w:highlight w:val="none"/>
        </w:rPr>
        <w:t>噪声的影响：工程施工时，受施工噪声的影响，将使噪声影响区域内的</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远离原来的栖息地。</w:t>
      </w:r>
      <w:r>
        <w:rPr>
          <w:rFonts w:hint="default" w:ascii="Times New Roman" w:hAnsi="Times New Roman" w:cs="Times New Roman"/>
          <w:bCs/>
          <w:color w:val="auto"/>
          <w:sz w:val="24"/>
          <w:szCs w:val="24"/>
          <w:highlight w:val="none"/>
          <w:lang w:val="en-US" w:eastAsia="zh-CN"/>
        </w:rPr>
        <w:t>施工噪声影响区主要为城市区域，该区域内生活的哺乳类对城市噪声已有一定的适应，工程施工无高强度突发噪声源。</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活动能力强，能较容易的找到替代生境，工程完工后，它们仍可以回到原来的栖息地。因此噪声对</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影响较小。</w:t>
      </w:r>
    </w:p>
    <w:p>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lang w:val="en-US" w:eastAsia="zh-CN"/>
        </w:rPr>
        <w:t>③</w:t>
      </w:r>
      <w:r>
        <w:rPr>
          <w:rFonts w:hint="default" w:ascii="Times New Roman" w:hAnsi="Times New Roman" w:cs="Times New Roman"/>
          <w:bCs/>
          <w:color w:val="auto"/>
          <w:sz w:val="24"/>
          <w:szCs w:val="24"/>
          <w:highlight w:val="none"/>
        </w:rPr>
        <w:t>占地的影响：工程施工将占用部分</w:t>
      </w:r>
      <w:r>
        <w:rPr>
          <w:rFonts w:hint="default" w:ascii="Times New Roman" w:hAnsi="Times New Roman" w:cs="Times New Roman"/>
          <w:bCs/>
          <w:color w:val="auto"/>
          <w:sz w:val="24"/>
          <w:szCs w:val="24"/>
          <w:highlight w:val="none"/>
          <w:lang w:val="en-US" w:eastAsia="zh-CN"/>
        </w:rPr>
        <w:t>草地</w:t>
      </w:r>
      <w:r>
        <w:rPr>
          <w:rFonts w:hint="default" w:ascii="Times New Roman" w:hAnsi="Times New Roman" w:cs="Times New Roman"/>
          <w:bCs/>
          <w:color w:val="auto"/>
          <w:sz w:val="24"/>
          <w:szCs w:val="24"/>
          <w:highlight w:val="none"/>
        </w:rPr>
        <w:t>、</w:t>
      </w:r>
      <w:r>
        <w:rPr>
          <w:rFonts w:hint="default" w:ascii="Times New Roman" w:hAnsi="Times New Roman" w:cs="Times New Roman"/>
          <w:bCs/>
          <w:color w:val="auto"/>
          <w:sz w:val="24"/>
          <w:szCs w:val="24"/>
          <w:highlight w:val="none"/>
          <w:lang w:val="en-US" w:eastAsia="zh-CN"/>
        </w:rPr>
        <w:t>建筑用地</w:t>
      </w:r>
      <w:r>
        <w:rPr>
          <w:rFonts w:hint="default" w:ascii="Times New Roman" w:hAnsi="Times New Roman" w:cs="Times New Roman"/>
          <w:bCs/>
          <w:color w:val="auto"/>
          <w:sz w:val="24"/>
          <w:szCs w:val="24"/>
          <w:highlight w:val="none"/>
        </w:rPr>
        <w:t>等生境，会迫使原有生境的</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迁移至它处，迁徙过程可能会引发种间和种内斗争，造成评价范围内</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生存压力增加，数量减少。结合现场调查，评价区内</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密度较低，工程占地面积较少，</w:t>
      </w:r>
      <w:r>
        <w:rPr>
          <w:rFonts w:hint="default" w:ascii="Times New Roman" w:hAnsi="Times New Roman" w:cs="Times New Roman"/>
          <w:bCs/>
          <w:color w:val="auto"/>
          <w:sz w:val="24"/>
          <w:szCs w:val="24"/>
          <w:highlight w:val="none"/>
          <w:lang w:val="en-US" w:eastAsia="zh-CN"/>
        </w:rPr>
        <w:t>占评价区的</w:t>
      </w:r>
      <w:r>
        <w:rPr>
          <w:rFonts w:hint="default" w:cs="Times New Roman"/>
          <w:bCs/>
          <w:color w:val="auto"/>
          <w:sz w:val="24"/>
          <w:szCs w:val="24"/>
          <w:highlight w:val="none"/>
          <w:lang w:val="en-US" w:eastAsia="zh-CN"/>
        </w:rPr>
        <w:t>0.67</w:t>
      </w:r>
      <w:r>
        <w:rPr>
          <w:rFonts w:hint="default" w:ascii="Times New Roman" w:hAnsi="Times New Roman"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rPr>
        <w:t>不会使某一生境大幅减少或消失</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且评价范围内可替代生境多，引发种间和种内斗争的概率低，工程占地对</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影响小。</w:t>
      </w:r>
    </w:p>
    <w:p>
      <w:pPr>
        <w:spacing w:line="360" w:lineRule="auto"/>
        <w:ind w:firstLine="480" w:firstLineChars="20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④</w:t>
      </w:r>
      <w:r>
        <w:rPr>
          <w:rFonts w:hint="default" w:ascii="Times New Roman" w:hAnsi="Times New Roman" w:cs="Times New Roman"/>
          <w:bCs/>
          <w:color w:val="auto"/>
          <w:sz w:val="24"/>
          <w:szCs w:val="24"/>
          <w:highlight w:val="none"/>
        </w:rPr>
        <w:t>人为活动的影响：</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中的黄鼬</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华南兔等经济价值很高，存在被施工人员捕杀的风险。此外施工人员的进驻、生活垃圾的堆放会引起伴人生存的种类如小家鼠、褐家鼠等种群密度上升，将改变区域内栖息</w:t>
      </w:r>
      <w:r>
        <w:rPr>
          <w:rFonts w:hint="eastAsia" w:cs="Times New Roman"/>
          <w:bCs/>
          <w:color w:val="auto"/>
          <w:sz w:val="24"/>
          <w:szCs w:val="24"/>
          <w:highlight w:val="none"/>
          <w:lang w:eastAsia="zh-CN"/>
        </w:rPr>
        <w:t>者</w:t>
      </w:r>
      <w:r>
        <w:rPr>
          <w:rFonts w:hint="default" w:ascii="Times New Roman" w:hAnsi="Times New Roman" w:cs="Times New Roman"/>
          <w:bCs/>
          <w:color w:val="auto"/>
          <w:sz w:val="24"/>
          <w:szCs w:val="24"/>
          <w:highlight w:val="none"/>
        </w:rPr>
        <w:t>的自然属性。小家鼠、褐家鼠</w:t>
      </w:r>
      <w:r>
        <w:rPr>
          <w:rFonts w:hint="default" w:ascii="Times New Roman" w:hAnsi="Times New Roman" w:cs="Times New Roman"/>
          <w:bCs/>
          <w:color w:val="auto"/>
          <w:sz w:val="24"/>
          <w:szCs w:val="24"/>
          <w:highlight w:val="none"/>
          <w:lang w:val="en-US" w:eastAsia="zh-CN"/>
        </w:rPr>
        <w:t>为家野两栖类哺乳类，评价区主要生境类型为居民点，区域生活居民多，施工人员进驻不会导致区域人为活动强度明显上升，产生的生活垃圾对</w:t>
      </w:r>
      <w:r>
        <w:rPr>
          <w:rFonts w:hint="default" w:ascii="Times New Roman" w:hAnsi="Times New Roman" w:cs="Times New Roman"/>
          <w:bCs/>
          <w:color w:val="auto"/>
          <w:sz w:val="24"/>
          <w:szCs w:val="24"/>
          <w:highlight w:val="none"/>
        </w:rPr>
        <w:t>小家鼠、褐家鼠等</w:t>
      </w:r>
      <w:r>
        <w:rPr>
          <w:rFonts w:hint="default" w:ascii="Times New Roman" w:hAnsi="Times New Roman" w:cs="Times New Roman"/>
          <w:bCs/>
          <w:color w:val="auto"/>
          <w:sz w:val="24"/>
          <w:szCs w:val="24"/>
          <w:highlight w:val="none"/>
          <w:lang w:val="en-US" w:eastAsia="zh-CN"/>
        </w:rPr>
        <w:t>吸引强度不高，对其种群密度的影响有限。</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4"/>
          <w:highlight w:val="none"/>
        </w:rPr>
        <w:t>总体而言，工程施工对</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的影响主要为</w:t>
      </w:r>
      <w:r>
        <w:rPr>
          <w:rFonts w:hint="default" w:ascii="Times New Roman" w:hAnsi="Times New Roman" w:cs="Times New Roman"/>
          <w:bCs/>
          <w:color w:val="auto"/>
          <w:sz w:val="24"/>
          <w:szCs w:val="24"/>
          <w:highlight w:val="none"/>
          <w:lang w:val="en-US" w:eastAsia="zh-CN"/>
        </w:rPr>
        <w:t>施工噪音、占地对其的驱赶。项目施工强度低，时间短（1年），影响范围小，不会导致评价区内哺乳类种群结构发生改变，施工结束后影响会较快消失，</w:t>
      </w:r>
      <w:r>
        <w:rPr>
          <w:rFonts w:hint="default" w:ascii="Times New Roman" w:hAnsi="Times New Roman" w:cs="Times New Roman"/>
          <w:bCs/>
          <w:color w:val="auto"/>
          <w:sz w:val="24"/>
          <w:szCs w:val="24"/>
          <w:highlight w:val="none"/>
        </w:rPr>
        <w:t>工程施工对</w:t>
      </w:r>
      <w:r>
        <w:rPr>
          <w:rFonts w:hint="default" w:ascii="Times New Roman" w:hAnsi="Times New Roman" w:cs="Times New Roman"/>
          <w:bCs/>
          <w:color w:val="auto"/>
          <w:sz w:val="24"/>
          <w:szCs w:val="24"/>
          <w:highlight w:val="none"/>
          <w:lang w:eastAsia="zh-CN"/>
        </w:rPr>
        <w:t>哺乳类</w:t>
      </w:r>
      <w:r>
        <w:rPr>
          <w:rFonts w:hint="default" w:ascii="Times New Roman" w:hAnsi="Times New Roman" w:cs="Times New Roman"/>
          <w:bCs/>
          <w:color w:val="auto"/>
          <w:sz w:val="24"/>
          <w:szCs w:val="24"/>
          <w:highlight w:val="none"/>
        </w:rPr>
        <w:t>的影响</w:t>
      </w:r>
      <w:r>
        <w:rPr>
          <w:rFonts w:hint="default" w:ascii="Times New Roman" w:hAnsi="Times New Roman" w:cs="Times New Roman"/>
          <w:bCs/>
          <w:color w:val="auto"/>
          <w:sz w:val="24"/>
          <w:szCs w:val="24"/>
          <w:highlight w:val="none"/>
          <w:lang w:val="en-US" w:eastAsia="zh-CN"/>
        </w:rPr>
        <w:t>小</w:t>
      </w:r>
      <w:r>
        <w:rPr>
          <w:rFonts w:hint="default" w:ascii="Times New Roman" w:hAnsi="Times New Roman" w:cs="Times New Roman"/>
          <w:bCs/>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5.3.3.2.2运行期影响</w:t>
      </w:r>
    </w:p>
    <w:p>
      <w:pPr>
        <w:spacing w:line="360" w:lineRule="auto"/>
        <w:ind w:firstLine="480" w:firstLineChars="200"/>
        <w:rPr>
          <w:rFonts w:hint="default" w:ascii="Times New Roman" w:hAnsi="Times New Roman" w:eastAsia="宋体" w:cs="Times New Roman"/>
          <w:b w:val="0"/>
          <w:bCs/>
          <w:color w:val="auto"/>
          <w:kern w:val="0"/>
          <w:sz w:val="24"/>
          <w:szCs w:val="24"/>
          <w:highlight w:val="none"/>
          <w:lang w:val="en-US" w:eastAsia="zh-CN"/>
        </w:rPr>
      </w:pPr>
      <w:r>
        <w:rPr>
          <w:rFonts w:hint="default" w:ascii="Times New Roman" w:hAnsi="Times New Roman" w:cs="Times New Roman"/>
          <w:b w:val="0"/>
          <w:bCs/>
          <w:color w:val="auto"/>
          <w:kern w:val="0"/>
          <w:sz w:val="24"/>
          <w:szCs w:val="24"/>
          <w:highlight w:val="none"/>
          <w:lang w:val="en-US" w:eastAsia="zh-CN"/>
        </w:rPr>
        <w:t>本项目为城市文旅建设项目，运行期间对区域野生动物的影响主要为游客增加带来的人为干扰，以及灯光秀工程、亮化工程导致区域夜间灯光增强，干扰野生动物的昼夜节律。</w:t>
      </w:r>
    </w:p>
    <w:p>
      <w:pPr>
        <w:spacing w:line="360" w:lineRule="auto"/>
        <w:ind w:firstLine="480" w:firstLineChars="200"/>
        <w:rPr>
          <w:rFonts w:hint="default" w:ascii="Times New Roman" w:hAnsi="Times New Roman" w:cs="Times New Roman"/>
          <w:b w:val="0"/>
          <w:bCs/>
          <w:color w:val="auto"/>
          <w:kern w:val="0"/>
          <w:sz w:val="24"/>
          <w:szCs w:val="24"/>
          <w:highlight w:val="none"/>
          <w:lang w:val="en-US" w:eastAsia="zh-CN"/>
        </w:rPr>
      </w:pPr>
      <w:r>
        <w:rPr>
          <w:rFonts w:hint="default" w:ascii="Times New Roman" w:hAnsi="Times New Roman" w:cs="Times New Roman"/>
          <w:b w:val="0"/>
          <w:bCs/>
          <w:color w:val="auto"/>
          <w:kern w:val="0"/>
          <w:sz w:val="24"/>
          <w:szCs w:val="24"/>
          <w:highlight w:val="none"/>
          <w:lang w:val="en-US" w:eastAsia="zh-CN"/>
        </w:rPr>
        <w:t>（1）游客活动的影响</w:t>
      </w:r>
    </w:p>
    <w:p>
      <w:pPr>
        <w:spacing w:line="360" w:lineRule="auto"/>
        <w:ind w:firstLine="480" w:firstLineChars="200"/>
        <w:rPr>
          <w:rFonts w:hint="default" w:ascii="Times New Roman" w:hAnsi="Times New Roman" w:cs="Times New Roman"/>
          <w:b w:val="0"/>
          <w:bCs/>
          <w:color w:val="auto"/>
          <w:kern w:val="0"/>
          <w:sz w:val="24"/>
          <w:szCs w:val="24"/>
          <w:highlight w:val="none"/>
          <w:lang w:val="en-US" w:eastAsia="zh-CN"/>
        </w:rPr>
      </w:pPr>
      <w:r>
        <w:rPr>
          <w:rFonts w:hint="default" w:ascii="Times New Roman" w:hAnsi="Times New Roman" w:cs="Times New Roman"/>
          <w:b w:val="0"/>
          <w:bCs/>
          <w:color w:val="auto"/>
          <w:kern w:val="0"/>
          <w:sz w:val="24"/>
          <w:szCs w:val="24"/>
          <w:highlight w:val="none"/>
          <w:lang w:val="en-US" w:eastAsia="zh-CN"/>
        </w:rPr>
        <w:t>运行期间游客数量增加，产生的垃圾若随意丢弃，不及时清理，不仅会吸引啮齿类和部分鸦科鸟类在垃圾堆放区域聚集，改变垃圾堆放区域周边的动物分布格局。而且垃圾长时间不清理，发酵和雨水淋溶、冲刷渗滤出来的污水，其中不仅含有大量的有机物、氨氮和重金属，同时含有多种微生物、致病菌和病毒等，是一种营养物质与有毒物质共存的高浓度难降解的有机废水，可造成垃圾丢弃区域周边地区地表水和地下水的污染，破坏植被生长，降低动物生境质量，对区域内的动物影响相对较大。本项目会新增垃圾桶，并且有专人负责旅游区清理，保证旅游区域的整洁度，游客产生的垃圾会及时转运至垃圾处理站。因此游客游玩产生的垃圾对区域动物影响小。</w:t>
      </w:r>
    </w:p>
    <w:p>
      <w:pPr>
        <w:spacing w:line="360" w:lineRule="auto"/>
        <w:ind w:firstLine="480" w:firstLineChars="200"/>
        <w:rPr>
          <w:rFonts w:hint="default" w:ascii="Times New Roman" w:hAnsi="Times New Roman" w:eastAsia="宋体" w:cs="Times New Roman"/>
          <w:b w:val="0"/>
          <w:bCs/>
          <w:color w:val="auto"/>
          <w:kern w:val="0"/>
          <w:sz w:val="24"/>
          <w:szCs w:val="24"/>
          <w:highlight w:val="none"/>
          <w:lang w:val="en-US" w:eastAsia="zh-CN"/>
        </w:rPr>
      </w:pPr>
      <w:r>
        <w:rPr>
          <w:rFonts w:hint="default" w:ascii="Times New Roman" w:hAnsi="Times New Roman" w:cs="Times New Roman"/>
          <w:color w:val="auto"/>
          <w:sz w:val="24"/>
          <w:szCs w:val="28"/>
          <w:highlight w:val="none"/>
          <w:lang w:val="en-US" w:eastAsia="zh-CN"/>
        </w:rPr>
        <w:t>动物</w:t>
      </w:r>
      <w:r>
        <w:rPr>
          <w:rFonts w:hint="default" w:ascii="Times New Roman" w:hAnsi="Times New Roman" w:cs="Times New Roman"/>
          <w:color w:val="auto"/>
          <w:sz w:val="24"/>
          <w:szCs w:val="28"/>
          <w:highlight w:val="none"/>
        </w:rPr>
        <w:t>对人为活动有所警戒，不同类型</w:t>
      </w:r>
      <w:r>
        <w:rPr>
          <w:rFonts w:hint="default" w:ascii="Times New Roman" w:hAnsi="Times New Roman" w:cs="Times New Roman"/>
          <w:color w:val="auto"/>
          <w:sz w:val="24"/>
          <w:szCs w:val="28"/>
          <w:highlight w:val="none"/>
          <w:lang w:val="en-US" w:eastAsia="zh-CN"/>
        </w:rPr>
        <w:t>动物的</w:t>
      </w:r>
      <w:r>
        <w:rPr>
          <w:rFonts w:hint="default" w:ascii="Times New Roman" w:hAnsi="Times New Roman" w:cs="Times New Roman"/>
          <w:color w:val="auto"/>
          <w:sz w:val="24"/>
          <w:szCs w:val="28"/>
          <w:highlight w:val="none"/>
        </w:rPr>
        <w:t>警戒距离有所差异，如</w:t>
      </w:r>
      <w:r>
        <w:rPr>
          <w:rFonts w:hint="default" w:ascii="Times New Roman" w:hAnsi="Times New Roman" w:cs="Times New Roman"/>
          <w:color w:val="auto"/>
          <w:sz w:val="24"/>
          <w:szCs w:val="28"/>
          <w:highlight w:val="none"/>
          <w:lang w:val="en-US" w:eastAsia="zh-CN"/>
        </w:rPr>
        <w:t>鸟类中的</w:t>
      </w:r>
      <w:r>
        <w:rPr>
          <w:rFonts w:hint="default" w:ascii="Times New Roman" w:hAnsi="Times New Roman" w:cs="Times New Roman"/>
          <w:color w:val="auto"/>
          <w:sz w:val="24"/>
          <w:szCs w:val="28"/>
          <w:highlight w:val="none"/>
        </w:rPr>
        <w:t>鸡形目</w:t>
      </w:r>
      <w:r>
        <w:rPr>
          <w:rFonts w:hint="default" w:ascii="Times New Roman" w:hAnsi="Times New Roman" w:cs="Times New Roman"/>
          <w:color w:val="auto"/>
          <w:sz w:val="24"/>
          <w:szCs w:val="28"/>
          <w:highlight w:val="none"/>
          <w:lang w:eastAsia="zh-CN"/>
        </w:rPr>
        <w:t>、雁形目、䴙䴘目、鹤形目、鹈形目、鹰形目、佛法僧目</w:t>
      </w:r>
      <w:r>
        <w:rPr>
          <w:rFonts w:hint="default" w:ascii="Times New Roman" w:hAnsi="Times New Roman" w:cs="Times New Roman"/>
          <w:color w:val="auto"/>
          <w:sz w:val="24"/>
          <w:szCs w:val="28"/>
          <w:highlight w:val="none"/>
          <w:lang w:val="en-US" w:eastAsia="zh-CN"/>
        </w:rPr>
        <w:t>和雀形目大部分</w:t>
      </w:r>
      <w:r>
        <w:rPr>
          <w:rFonts w:hint="default" w:ascii="Times New Roman" w:hAnsi="Times New Roman" w:cs="Times New Roman"/>
          <w:color w:val="auto"/>
          <w:sz w:val="24"/>
          <w:szCs w:val="28"/>
          <w:highlight w:val="none"/>
        </w:rPr>
        <w:t>鸟类</w:t>
      </w:r>
      <w:r>
        <w:rPr>
          <w:rFonts w:hint="default" w:ascii="Times New Roman" w:hAnsi="Times New Roman" w:cs="Times New Roman"/>
          <w:color w:val="auto"/>
          <w:sz w:val="24"/>
          <w:szCs w:val="28"/>
          <w:highlight w:val="none"/>
          <w:lang w:eastAsia="zh-CN"/>
        </w:rPr>
        <w:t>；劳亚食虫目、翼手目、食肉目、兔形目</w:t>
      </w:r>
      <w:r>
        <w:rPr>
          <w:rFonts w:hint="default" w:ascii="Times New Roman" w:hAnsi="Times New Roman" w:cs="Times New Roman"/>
          <w:color w:val="auto"/>
          <w:sz w:val="24"/>
          <w:szCs w:val="28"/>
          <w:highlight w:val="none"/>
          <w:lang w:val="en-US" w:eastAsia="zh-CN"/>
        </w:rPr>
        <w:t>等哺乳类</w:t>
      </w:r>
      <w:r>
        <w:rPr>
          <w:rFonts w:hint="default" w:ascii="Times New Roman" w:hAnsi="Times New Roman" w:cs="Times New Roman"/>
          <w:color w:val="auto"/>
          <w:sz w:val="24"/>
          <w:szCs w:val="28"/>
          <w:highlight w:val="none"/>
        </w:rPr>
        <w:t>对人的警戒距离较长</w:t>
      </w:r>
      <w:r>
        <w:rPr>
          <w:rFonts w:hint="default" w:ascii="Times New Roman" w:hAnsi="Times New Roman" w:cs="Times New Roman"/>
          <w:color w:val="auto"/>
          <w:sz w:val="24"/>
          <w:szCs w:val="28"/>
          <w:highlight w:val="none"/>
          <w:lang w:eastAsia="zh-CN"/>
        </w:rPr>
        <w:t>。</w:t>
      </w:r>
      <w:r>
        <w:rPr>
          <w:rFonts w:hint="default" w:ascii="Times New Roman" w:hAnsi="Times New Roman" w:cs="Times New Roman"/>
          <w:color w:val="auto"/>
          <w:sz w:val="24"/>
          <w:szCs w:val="28"/>
          <w:highlight w:val="none"/>
          <w:lang w:val="en-US" w:eastAsia="zh-CN"/>
        </w:rPr>
        <w:t>雀形目</w:t>
      </w:r>
      <w:r>
        <w:rPr>
          <w:rFonts w:hint="default" w:ascii="Times New Roman" w:hAnsi="Times New Roman" w:cs="Times New Roman"/>
          <w:color w:val="auto"/>
          <w:sz w:val="24"/>
          <w:szCs w:val="28"/>
          <w:highlight w:val="none"/>
        </w:rPr>
        <w:t>雀科</w:t>
      </w:r>
      <w:r>
        <w:rPr>
          <w:rFonts w:hint="default" w:ascii="Times New Roman" w:hAnsi="Times New Roman" w:cs="Times New Roman"/>
          <w:color w:val="auto"/>
          <w:sz w:val="24"/>
          <w:szCs w:val="28"/>
          <w:highlight w:val="none"/>
          <w:lang w:eastAsia="zh-CN"/>
        </w:rPr>
        <w:t>、</w:t>
      </w:r>
      <w:r>
        <w:rPr>
          <w:rFonts w:hint="default" w:ascii="Times New Roman" w:hAnsi="Times New Roman" w:cs="Times New Roman"/>
          <w:color w:val="auto"/>
          <w:sz w:val="24"/>
          <w:szCs w:val="28"/>
          <w:highlight w:val="none"/>
          <w:lang w:val="en-US" w:eastAsia="zh-CN"/>
        </w:rPr>
        <w:t>燕</w:t>
      </w:r>
      <w:r>
        <w:rPr>
          <w:rFonts w:hint="default" w:ascii="Times New Roman" w:hAnsi="Times New Roman" w:cs="Times New Roman"/>
          <w:color w:val="auto"/>
          <w:sz w:val="24"/>
          <w:szCs w:val="28"/>
          <w:highlight w:val="none"/>
          <w:lang w:eastAsia="zh-CN"/>
        </w:rPr>
        <w:t>科</w:t>
      </w:r>
      <w:r>
        <w:rPr>
          <w:rFonts w:hint="default" w:ascii="Times New Roman" w:hAnsi="Times New Roman" w:cs="Times New Roman"/>
          <w:color w:val="auto"/>
          <w:sz w:val="24"/>
          <w:szCs w:val="28"/>
          <w:highlight w:val="none"/>
          <w:lang w:val="en-US" w:eastAsia="zh-CN"/>
        </w:rPr>
        <w:t>等</w:t>
      </w:r>
      <w:r>
        <w:rPr>
          <w:rFonts w:hint="default" w:ascii="Times New Roman" w:hAnsi="Times New Roman" w:cs="Times New Roman"/>
          <w:color w:val="auto"/>
          <w:sz w:val="24"/>
          <w:szCs w:val="28"/>
          <w:highlight w:val="none"/>
        </w:rPr>
        <w:t>鸟类</w:t>
      </w:r>
      <w:r>
        <w:rPr>
          <w:rFonts w:hint="default" w:ascii="Times New Roman" w:hAnsi="Times New Roman" w:cs="Times New Roman"/>
          <w:color w:val="auto"/>
          <w:sz w:val="24"/>
          <w:szCs w:val="28"/>
          <w:highlight w:val="none"/>
          <w:lang w:eastAsia="zh-CN"/>
        </w:rPr>
        <w:t>；啮齿目</w:t>
      </w:r>
      <w:r>
        <w:rPr>
          <w:rFonts w:hint="default" w:ascii="Times New Roman" w:hAnsi="Times New Roman" w:cs="Times New Roman"/>
          <w:color w:val="auto"/>
          <w:sz w:val="24"/>
          <w:szCs w:val="28"/>
          <w:highlight w:val="none"/>
          <w:lang w:val="en-US" w:eastAsia="zh-CN"/>
        </w:rPr>
        <w:t>哺乳类</w:t>
      </w:r>
      <w:r>
        <w:rPr>
          <w:rFonts w:hint="default" w:ascii="Times New Roman" w:hAnsi="Times New Roman" w:cs="Times New Roman"/>
          <w:color w:val="auto"/>
          <w:sz w:val="24"/>
          <w:szCs w:val="28"/>
          <w:highlight w:val="none"/>
        </w:rPr>
        <w:t>警戒距离较短。</w:t>
      </w:r>
      <w:r>
        <w:rPr>
          <w:rFonts w:hint="default" w:ascii="Times New Roman" w:hAnsi="Times New Roman" w:cs="Times New Roman"/>
          <w:color w:val="auto"/>
          <w:sz w:val="24"/>
          <w:szCs w:val="28"/>
          <w:highlight w:val="none"/>
          <w:lang w:val="en-US" w:eastAsia="zh-CN"/>
        </w:rPr>
        <w:t>运行期间区内人为活动</w:t>
      </w:r>
      <w:r>
        <w:rPr>
          <w:rFonts w:hint="default" w:ascii="Times New Roman" w:hAnsi="Times New Roman" w:cs="Times New Roman"/>
          <w:color w:val="auto"/>
          <w:sz w:val="24"/>
          <w:szCs w:val="28"/>
          <w:highlight w:val="none"/>
        </w:rPr>
        <w:t>频繁，</w:t>
      </w:r>
      <w:r>
        <w:rPr>
          <w:rFonts w:hint="default" w:ascii="Times New Roman" w:hAnsi="Times New Roman" w:cs="Times New Roman"/>
          <w:color w:val="auto"/>
          <w:sz w:val="24"/>
          <w:szCs w:val="28"/>
          <w:highlight w:val="none"/>
          <w:lang w:val="en-US" w:eastAsia="zh-CN"/>
        </w:rPr>
        <w:t>可能</w:t>
      </w:r>
      <w:r>
        <w:rPr>
          <w:rFonts w:hint="default" w:ascii="Times New Roman" w:hAnsi="Times New Roman" w:cs="Times New Roman"/>
          <w:color w:val="auto"/>
          <w:sz w:val="24"/>
          <w:szCs w:val="28"/>
          <w:highlight w:val="none"/>
        </w:rPr>
        <w:t>导致区域内的鸟类</w:t>
      </w:r>
      <w:r>
        <w:rPr>
          <w:rFonts w:hint="default" w:ascii="Times New Roman" w:hAnsi="Times New Roman" w:cs="Times New Roman"/>
          <w:color w:val="auto"/>
          <w:sz w:val="24"/>
          <w:szCs w:val="28"/>
          <w:highlight w:val="none"/>
          <w:lang w:eastAsia="zh-CN"/>
        </w:rPr>
        <w:t>、</w:t>
      </w:r>
      <w:r>
        <w:rPr>
          <w:rFonts w:hint="default" w:ascii="Times New Roman" w:hAnsi="Times New Roman" w:cs="Times New Roman"/>
          <w:color w:val="auto"/>
          <w:sz w:val="24"/>
          <w:szCs w:val="28"/>
          <w:highlight w:val="none"/>
          <w:lang w:val="en-US" w:eastAsia="zh-CN"/>
        </w:rPr>
        <w:t>哺乳类</w:t>
      </w:r>
      <w:r>
        <w:rPr>
          <w:rFonts w:hint="default" w:ascii="Times New Roman" w:hAnsi="Times New Roman" w:cs="Times New Roman"/>
          <w:color w:val="auto"/>
          <w:sz w:val="24"/>
          <w:szCs w:val="28"/>
          <w:highlight w:val="none"/>
        </w:rPr>
        <w:t>因警戒而远离了工程</w:t>
      </w:r>
      <w:r>
        <w:rPr>
          <w:rFonts w:hint="default" w:ascii="Times New Roman" w:hAnsi="Times New Roman" w:cs="Times New Roman"/>
          <w:color w:val="auto"/>
          <w:sz w:val="24"/>
          <w:szCs w:val="28"/>
          <w:highlight w:val="none"/>
          <w:lang w:val="en-US" w:eastAsia="zh-CN"/>
        </w:rPr>
        <w:t>占地</w:t>
      </w:r>
      <w:r>
        <w:rPr>
          <w:rFonts w:hint="default" w:ascii="Times New Roman" w:hAnsi="Times New Roman" w:cs="Times New Roman"/>
          <w:color w:val="auto"/>
          <w:sz w:val="24"/>
          <w:szCs w:val="28"/>
          <w:highlight w:val="none"/>
        </w:rPr>
        <w:t>区域，使区域内鸟类</w:t>
      </w:r>
      <w:r>
        <w:rPr>
          <w:rFonts w:hint="default" w:ascii="Times New Roman" w:hAnsi="Times New Roman" w:cs="Times New Roman"/>
          <w:color w:val="auto"/>
          <w:sz w:val="24"/>
          <w:szCs w:val="28"/>
          <w:highlight w:val="none"/>
          <w:lang w:val="en-US" w:eastAsia="zh-CN"/>
        </w:rPr>
        <w:t>和哺乳类群落结构有所改变</w:t>
      </w:r>
      <w:r>
        <w:rPr>
          <w:rFonts w:hint="default" w:ascii="Times New Roman" w:hAnsi="Times New Roman" w:cs="Times New Roman"/>
          <w:color w:val="auto"/>
          <w:sz w:val="24"/>
          <w:szCs w:val="28"/>
          <w:highlight w:val="none"/>
        </w:rPr>
        <w:t>。</w:t>
      </w:r>
      <w:r>
        <w:rPr>
          <w:rFonts w:hint="default" w:ascii="Times New Roman" w:hAnsi="Times New Roman" w:cs="Times New Roman"/>
          <w:color w:val="auto"/>
          <w:sz w:val="24"/>
          <w:szCs w:val="28"/>
          <w:highlight w:val="none"/>
          <w:lang w:val="en-US" w:eastAsia="zh-CN"/>
        </w:rPr>
        <w:t>项目实施区域为衡阳市市区，主要占用城市绿地、城镇</w:t>
      </w:r>
      <w:r>
        <w:rPr>
          <w:rFonts w:hint="eastAsia" w:cs="Times New Roman"/>
          <w:color w:val="auto"/>
          <w:sz w:val="24"/>
          <w:szCs w:val="28"/>
          <w:highlight w:val="none"/>
          <w:lang w:val="en-US" w:eastAsia="zh-CN"/>
        </w:rPr>
        <w:t>住宅用地</w:t>
      </w:r>
      <w:r>
        <w:rPr>
          <w:rFonts w:hint="default" w:ascii="Times New Roman" w:hAnsi="Times New Roman" w:cs="Times New Roman"/>
          <w:color w:val="auto"/>
          <w:sz w:val="24"/>
          <w:szCs w:val="28"/>
          <w:highlight w:val="none"/>
          <w:lang w:val="en-US" w:eastAsia="zh-CN"/>
        </w:rPr>
        <w:t>等，区内人为活动频繁，占地</w:t>
      </w:r>
      <w:r>
        <w:rPr>
          <w:rFonts w:hint="default" w:ascii="Times New Roman" w:hAnsi="Times New Roman" w:cs="Times New Roman"/>
          <w:color w:val="auto"/>
          <w:sz w:val="24"/>
          <w:szCs w:val="28"/>
          <w:highlight w:val="none"/>
        </w:rPr>
        <w:t>区域</w:t>
      </w:r>
      <w:r>
        <w:rPr>
          <w:rFonts w:hint="default" w:ascii="Times New Roman" w:hAnsi="Times New Roman" w:cs="Times New Roman"/>
          <w:color w:val="auto"/>
          <w:sz w:val="24"/>
          <w:szCs w:val="28"/>
          <w:highlight w:val="none"/>
          <w:lang w:val="en-US" w:eastAsia="zh-CN"/>
        </w:rPr>
        <w:t>活动的动物主要为伴人生活物种，对人的警戒距离短。运行期间游客增加对鸟类和哺乳类驱赶作用小，不会对评价区鸟类、哺乳类群落结构造成明显影响。</w:t>
      </w:r>
    </w:p>
    <w:p>
      <w:pPr>
        <w:spacing w:line="360" w:lineRule="auto"/>
        <w:ind w:firstLine="480" w:firstLineChars="200"/>
        <w:rPr>
          <w:rFonts w:hint="default" w:ascii="Times New Roman" w:hAnsi="Times New Roman" w:cs="Times New Roman"/>
          <w:b w:val="0"/>
          <w:bCs/>
          <w:color w:val="auto"/>
          <w:kern w:val="0"/>
          <w:sz w:val="24"/>
          <w:szCs w:val="24"/>
          <w:highlight w:val="none"/>
          <w:lang w:val="en-US" w:eastAsia="zh-CN"/>
        </w:rPr>
      </w:pPr>
      <w:r>
        <w:rPr>
          <w:rFonts w:hint="default" w:ascii="Times New Roman" w:hAnsi="Times New Roman" w:cs="Times New Roman"/>
          <w:b w:val="0"/>
          <w:bCs/>
          <w:color w:val="auto"/>
          <w:kern w:val="0"/>
          <w:sz w:val="24"/>
          <w:szCs w:val="24"/>
          <w:highlight w:val="none"/>
          <w:lang w:val="en-US" w:eastAsia="zh-CN"/>
        </w:rPr>
        <w:t>（2）夜间灯光的影响</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运行期间</w:t>
      </w:r>
      <w:r>
        <w:rPr>
          <w:rFonts w:hint="default" w:ascii="Times New Roman" w:hAnsi="Times New Roman" w:cs="Times New Roman"/>
          <w:b w:val="0"/>
          <w:bCs/>
          <w:color w:val="auto"/>
          <w:kern w:val="0"/>
          <w:sz w:val="24"/>
          <w:szCs w:val="24"/>
          <w:highlight w:val="none"/>
          <w:lang w:val="en-US" w:eastAsia="zh-CN"/>
        </w:rPr>
        <w:t>灯光秀工程、亮化工程的</w:t>
      </w:r>
      <w:r>
        <w:rPr>
          <w:rFonts w:hint="default" w:ascii="Times New Roman" w:hAnsi="Times New Roman" w:cs="Times New Roman"/>
          <w:color w:val="auto"/>
          <w:sz w:val="24"/>
          <w:szCs w:val="24"/>
          <w:highlight w:val="none"/>
        </w:rPr>
        <w:t>灯光会显得较为醒目。灯光对于陆生动物来说是人类活动的直接信号，会直接干扰它们的正常活动，将迫使它们避开线路灯光</w:t>
      </w:r>
      <w:r>
        <w:rPr>
          <w:rFonts w:hint="eastAsia" w:cs="Times New Roman"/>
          <w:color w:val="auto"/>
          <w:sz w:val="24"/>
          <w:szCs w:val="24"/>
          <w:highlight w:val="none"/>
          <w:lang w:eastAsia="zh-CN"/>
        </w:rPr>
        <w:t>影响</w:t>
      </w:r>
      <w:r>
        <w:rPr>
          <w:rFonts w:hint="default" w:ascii="Times New Roman" w:hAnsi="Times New Roman" w:cs="Times New Roman"/>
          <w:color w:val="auto"/>
          <w:sz w:val="24"/>
          <w:szCs w:val="24"/>
          <w:highlight w:val="none"/>
        </w:rPr>
        <w:t>。另外灯光对某些夜行性动物的生活节律有一定影响，如蝙蝠类等。鸟类通过阅读月亮和星星发出的光，以及地球发出的地磁信号来迁徙</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灯光改变了动物自然状况下的光照条件，增加了夜间接收光照的时间</w:t>
      </w:r>
      <w:r>
        <w:rPr>
          <w:rFonts w:hint="default" w:ascii="Times New Roman" w:hAnsi="Times New Roman" w:cs="Times New Roman"/>
          <w:color w:val="auto"/>
          <w:sz w:val="24"/>
          <w:szCs w:val="24"/>
          <w:highlight w:val="none"/>
          <w:lang w:val="en-US" w:eastAsia="zh-CN"/>
        </w:rPr>
        <w:t>和强度</w:t>
      </w:r>
      <w:r>
        <w:rPr>
          <w:rFonts w:hint="default" w:ascii="Times New Roman" w:hAnsi="Times New Roman" w:cs="Times New Roman"/>
          <w:color w:val="auto"/>
          <w:sz w:val="24"/>
          <w:szCs w:val="24"/>
          <w:highlight w:val="none"/>
        </w:rPr>
        <w:t>，可能干扰鸟类对正常光照和季节变化的正常判断（林姝，2013年）。</w:t>
      </w:r>
      <w:r>
        <w:rPr>
          <w:rFonts w:hint="default" w:ascii="Times New Roman" w:hAnsi="Times New Roman" w:cs="Times New Roman"/>
          <w:color w:val="auto"/>
          <w:sz w:val="24"/>
          <w:szCs w:val="24"/>
          <w:highlight w:val="none"/>
          <w:lang w:val="en-US" w:eastAsia="zh-CN"/>
        </w:rPr>
        <w:t>夜间</w:t>
      </w:r>
      <w:r>
        <w:rPr>
          <w:rFonts w:hint="default" w:ascii="Times New Roman" w:hAnsi="Times New Roman" w:cs="Times New Roman"/>
          <w:color w:val="auto"/>
          <w:sz w:val="24"/>
          <w:szCs w:val="24"/>
          <w:highlight w:val="none"/>
        </w:rPr>
        <w:t>灯光</w:t>
      </w:r>
      <w:r>
        <w:rPr>
          <w:rFonts w:hint="default" w:ascii="Times New Roman" w:hAnsi="Times New Roman" w:cs="Times New Roman"/>
          <w:color w:val="auto"/>
          <w:sz w:val="24"/>
          <w:szCs w:val="24"/>
          <w:highlight w:val="none"/>
          <w:lang w:val="en-US" w:eastAsia="zh-CN"/>
        </w:rPr>
        <w:t>还会</w:t>
      </w:r>
      <w:r>
        <w:rPr>
          <w:rFonts w:hint="default" w:ascii="Times New Roman" w:hAnsi="Times New Roman" w:cs="Times New Roman"/>
          <w:color w:val="auto"/>
          <w:sz w:val="24"/>
          <w:szCs w:val="24"/>
          <w:highlight w:val="none"/>
        </w:rPr>
        <w:t>吸引夜间迁徙的鸟类，使它们在照明充足的地方盘旋，这可能会耗尽候鸟的能量储备，使它们精疲力竭，也使鸟类在迁徙过程中迷失方向，增加了被捕食和致命碰撞的风险。从影响</w:t>
      </w:r>
      <w:r>
        <w:rPr>
          <w:rFonts w:hint="default" w:ascii="Times New Roman" w:hAnsi="Times New Roman" w:cs="Times New Roman"/>
          <w:color w:val="auto"/>
          <w:sz w:val="24"/>
          <w:szCs w:val="24"/>
          <w:highlight w:val="none"/>
          <w:lang w:val="en-US" w:eastAsia="zh-CN"/>
        </w:rPr>
        <w:t>区域</w:t>
      </w:r>
      <w:r>
        <w:rPr>
          <w:rFonts w:hint="default" w:ascii="Times New Roman" w:hAnsi="Times New Roman" w:cs="Times New Roman"/>
          <w:color w:val="auto"/>
          <w:sz w:val="24"/>
          <w:szCs w:val="24"/>
          <w:highlight w:val="none"/>
        </w:rPr>
        <w:t>上看，</w:t>
      </w:r>
      <w:r>
        <w:rPr>
          <w:rFonts w:hint="default" w:ascii="Times New Roman" w:hAnsi="Times New Roman" w:cs="Times New Roman"/>
          <w:color w:val="auto"/>
          <w:sz w:val="24"/>
          <w:szCs w:val="24"/>
          <w:highlight w:val="none"/>
          <w:lang w:val="en-US" w:eastAsia="zh-CN"/>
        </w:rPr>
        <w:t>区域为城镇，夜间灯光已存在多年，区域内的动物对夜间灯光已有一定的适应，夜间灯光的影响相对较弱。为了保护鸟类，可以限制夜间照明时间、使用环保照明设备等。</w:t>
      </w:r>
    </w:p>
    <w:p>
      <w:pPr>
        <w:spacing w:line="360" w:lineRule="auto"/>
        <w:ind w:firstLine="480" w:firstLineChars="200"/>
        <w:rPr>
          <w:rFonts w:hint="default" w:ascii="Times New Roman" w:hAnsi="Times New Roman" w:cs="Times New Roman"/>
          <w:b w:val="0"/>
          <w:bCs/>
          <w:color w:val="auto"/>
          <w:kern w:val="0"/>
          <w:sz w:val="24"/>
          <w:szCs w:val="24"/>
          <w:highlight w:val="none"/>
          <w:lang w:val="en-US" w:eastAsia="zh-CN"/>
        </w:rPr>
      </w:pPr>
      <w:r>
        <w:rPr>
          <w:rFonts w:hint="default" w:ascii="Times New Roman" w:hAnsi="Times New Roman" w:cs="Times New Roman"/>
          <w:b w:val="0"/>
          <w:bCs/>
          <w:color w:val="auto"/>
          <w:kern w:val="0"/>
          <w:sz w:val="24"/>
          <w:szCs w:val="24"/>
          <w:highlight w:val="none"/>
          <w:lang w:val="en-US" w:eastAsia="zh-CN"/>
        </w:rPr>
        <w:t>随着</w:t>
      </w:r>
      <w:r>
        <w:rPr>
          <w:rFonts w:hint="eastAsia" w:cs="Times New Roman"/>
          <w:b w:val="0"/>
          <w:bCs/>
          <w:color w:val="auto"/>
          <w:kern w:val="0"/>
          <w:sz w:val="24"/>
          <w:szCs w:val="24"/>
          <w:highlight w:val="none"/>
          <w:lang w:val="en-US" w:eastAsia="zh-CN"/>
        </w:rPr>
        <w:t>“</w:t>
      </w:r>
      <w:r>
        <w:rPr>
          <w:rFonts w:hint="default" w:ascii="Times New Roman" w:hAnsi="Times New Roman" w:cs="Times New Roman"/>
          <w:b w:val="0"/>
          <w:bCs/>
          <w:color w:val="auto"/>
          <w:kern w:val="0"/>
          <w:sz w:val="24"/>
          <w:szCs w:val="24"/>
          <w:highlight w:val="none"/>
          <w:lang w:val="en-US" w:eastAsia="zh-CN"/>
        </w:rPr>
        <w:t>美丽湘江</w:t>
      </w:r>
      <w:r>
        <w:rPr>
          <w:rFonts w:hint="eastAsia" w:cs="Times New Roman"/>
          <w:b w:val="0"/>
          <w:bCs/>
          <w:color w:val="auto"/>
          <w:kern w:val="0"/>
          <w:sz w:val="24"/>
          <w:szCs w:val="24"/>
          <w:highlight w:val="none"/>
          <w:lang w:val="en-US" w:eastAsia="zh-CN"/>
        </w:rPr>
        <w:t>”</w:t>
      </w:r>
      <w:r>
        <w:rPr>
          <w:rFonts w:hint="default" w:ascii="Times New Roman" w:hAnsi="Times New Roman" w:cs="Times New Roman"/>
          <w:b w:val="0"/>
          <w:bCs/>
          <w:color w:val="auto"/>
          <w:kern w:val="0"/>
          <w:sz w:val="24"/>
          <w:szCs w:val="24"/>
          <w:highlight w:val="none"/>
          <w:lang w:val="en-US" w:eastAsia="zh-CN"/>
        </w:rPr>
        <w:t>项目的实施，区域内景观逐渐改善，管理更加全面细致。区域原有城市生活垃圾、污水等污染源减少，在一定程度上对陆生脊椎动物丰富度和多样性上升有积极意义。</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5.3.3.2.3对重要野生动物的影响</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kern w:val="0"/>
          <w:sz w:val="24"/>
          <w:szCs w:val="24"/>
          <w:highlight w:val="none"/>
        </w:rPr>
        <w:t>评价区内有国家二级重点保护野生动物</w:t>
      </w:r>
      <w:r>
        <w:rPr>
          <w:rFonts w:hint="default" w:ascii="Times New Roman" w:hAnsi="Times New Roman" w:cs="Times New Roman"/>
          <w:color w:val="auto"/>
          <w:kern w:val="0"/>
          <w:sz w:val="24"/>
          <w:szCs w:val="24"/>
          <w:highlight w:val="none"/>
          <w:lang w:val="en-US" w:eastAsia="zh-CN"/>
        </w:rPr>
        <w:t>6</w:t>
      </w:r>
      <w:r>
        <w:rPr>
          <w:rFonts w:hint="default" w:ascii="Times New Roman" w:hAnsi="Times New Roman" w:cs="Times New Roman"/>
          <w:color w:val="auto"/>
          <w:kern w:val="0"/>
          <w:sz w:val="24"/>
          <w:szCs w:val="24"/>
          <w:highlight w:val="none"/>
        </w:rPr>
        <w:t>种；湖南省重点保护野生动物</w:t>
      </w:r>
      <w:r>
        <w:rPr>
          <w:rFonts w:hint="default" w:ascii="Times New Roman" w:hAnsi="Times New Roman" w:cs="Times New Roman"/>
          <w:color w:val="auto"/>
          <w:kern w:val="0"/>
          <w:sz w:val="24"/>
          <w:szCs w:val="24"/>
          <w:highlight w:val="none"/>
          <w:lang w:val="en-US" w:eastAsia="zh-CN"/>
        </w:rPr>
        <w:t>65</w:t>
      </w:r>
      <w:r>
        <w:rPr>
          <w:rFonts w:hint="default" w:ascii="Times New Roman" w:hAnsi="Times New Roman" w:cs="Times New Roman"/>
          <w:color w:val="auto"/>
          <w:kern w:val="0"/>
          <w:sz w:val="24"/>
          <w:szCs w:val="24"/>
          <w:highlight w:val="none"/>
        </w:rPr>
        <w:t>种；被《中国生物多样性红色名录》评级为濒危（EN）的</w:t>
      </w:r>
      <w:r>
        <w:rPr>
          <w:rFonts w:hint="default" w:ascii="Times New Roman" w:hAnsi="Times New Roman"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rPr>
        <w:t>种、易危（VU）的</w:t>
      </w:r>
      <w:r>
        <w:rPr>
          <w:rFonts w:hint="default" w:ascii="Times New Roman" w:hAnsi="Times New Roman" w:cs="Times New Roman"/>
          <w:color w:val="auto"/>
          <w:kern w:val="0"/>
          <w:sz w:val="24"/>
          <w:szCs w:val="24"/>
          <w:highlight w:val="none"/>
          <w:lang w:val="en-US" w:eastAsia="zh-CN"/>
        </w:rPr>
        <w:t>3</w:t>
      </w:r>
      <w:r>
        <w:rPr>
          <w:rFonts w:hint="default" w:ascii="Times New Roman" w:hAnsi="Times New Roman" w:cs="Times New Roman"/>
          <w:color w:val="auto"/>
          <w:kern w:val="0"/>
          <w:sz w:val="24"/>
          <w:szCs w:val="24"/>
          <w:highlight w:val="none"/>
        </w:rPr>
        <w:t>种；中国特有种</w:t>
      </w:r>
      <w:r>
        <w:rPr>
          <w:rFonts w:hint="default" w:ascii="Times New Roman" w:hAnsi="Times New Roman"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rPr>
        <w:t>种。项目对它们的影响如下所示。</w:t>
      </w:r>
      <w:r>
        <w:rPr>
          <w:rFonts w:hint="default" w:ascii="Times New Roman" w:hAnsi="Times New Roman" w:cs="Times New Roman"/>
          <w:bCs/>
          <w:color w:val="auto"/>
          <w:sz w:val="24"/>
          <w:highlight w:val="none"/>
        </w:rPr>
        <w:t>由于评价区内的大部分野生动物为湖南省级重点保护野生动物，项目对其影响</w:t>
      </w:r>
      <w:r>
        <w:rPr>
          <w:rFonts w:hint="eastAsia" w:cs="Times New Roman"/>
          <w:bCs/>
          <w:color w:val="auto"/>
          <w:sz w:val="24"/>
          <w:highlight w:val="none"/>
          <w:lang w:eastAsia="zh-CN"/>
        </w:rPr>
        <w:t>如</w:t>
      </w:r>
      <w:r>
        <w:rPr>
          <w:rFonts w:hint="default" w:ascii="Times New Roman" w:hAnsi="Times New Roman" w:cs="Times New Roman"/>
          <w:bCs/>
          <w:color w:val="auto"/>
          <w:sz w:val="24"/>
          <w:highlight w:val="none"/>
        </w:rPr>
        <w:t>施工期和运行期对陆生动物影响所示。</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（1）对国家重点保护动物的影响</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①对乌龟的影响</w:t>
      </w:r>
    </w:p>
    <w:p>
      <w:pPr>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rPr>
        <w:t>乌龟主要分布于评价区内的</w:t>
      </w:r>
      <w:r>
        <w:rPr>
          <w:rFonts w:hint="default" w:ascii="Times New Roman" w:hAnsi="Times New Roman" w:cs="Times New Roman"/>
          <w:bCs/>
          <w:color w:val="auto"/>
          <w:sz w:val="24"/>
          <w:highlight w:val="none"/>
          <w:lang w:val="en-US" w:eastAsia="zh-CN"/>
        </w:rPr>
        <w:t>湘江水域</w:t>
      </w:r>
      <w:r>
        <w:rPr>
          <w:rFonts w:hint="default" w:ascii="Times New Roman" w:hAnsi="Times New Roman" w:cs="Times New Roman"/>
          <w:bCs/>
          <w:color w:val="auto"/>
          <w:sz w:val="24"/>
          <w:highlight w:val="none"/>
        </w:rPr>
        <w:t>。项目对其的不利影响主要为</w:t>
      </w:r>
      <w:r>
        <w:rPr>
          <w:rFonts w:hint="default" w:ascii="Times New Roman" w:hAnsi="Times New Roman" w:cs="Times New Roman"/>
          <w:color w:val="auto"/>
          <w:sz w:val="24"/>
          <w:szCs w:val="24"/>
          <w:highlight w:val="none"/>
          <w:lang w:val="en-US" w:eastAsia="zh-CN"/>
        </w:rPr>
        <w:t>抛石护岸</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岸坡整治</w:t>
      </w:r>
      <w:r>
        <w:rPr>
          <w:rFonts w:hint="default" w:ascii="Times New Roman" w:hAnsi="Times New Roman" w:cs="Times New Roman"/>
          <w:bCs/>
          <w:color w:val="auto"/>
          <w:sz w:val="24"/>
          <w:highlight w:val="none"/>
          <w:lang w:val="en-US" w:eastAsia="zh-CN"/>
        </w:rPr>
        <w:t>等涉水和临水建筑</w:t>
      </w:r>
      <w:r>
        <w:rPr>
          <w:rFonts w:hint="default" w:ascii="Times New Roman" w:hAnsi="Times New Roman" w:cs="Times New Roman"/>
          <w:bCs/>
          <w:color w:val="auto"/>
          <w:sz w:val="24"/>
          <w:highlight w:val="none"/>
        </w:rPr>
        <w:t>施工活动对其生境的污染。施工过程产生的废水不经处理随意排放，施工材料溶于水体均会导致乌龟生境质量下降，迫使乌龟远离被污染区域。由于乌龟在水体中迁徙速度快，且施工期间会对施工材料、施工废水进行妥善管理，施工活动对水体污染的风险小</w:t>
      </w:r>
      <w:r>
        <w:rPr>
          <w:rFonts w:hint="default"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项目的实施对乌龟影响小。</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②</w:t>
      </w:r>
      <w:r>
        <w:rPr>
          <w:rFonts w:hint="default" w:ascii="Times New Roman" w:hAnsi="Times New Roman" w:cs="Times New Roman"/>
          <w:bCs/>
          <w:color w:val="auto"/>
          <w:sz w:val="24"/>
          <w:highlight w:val="none"/>
        </w:rPr>
        <w:t>对黑翅鸢、黑鸢的影响</w:t>
      </w:r>
    </w:p>
    <w:p>
      <w:pPr>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rPr>
        <w:t>黑翅鸢、黑鸢为猛禽，它们种群数量较少，出现频次低。项目建设对</w:t>
      </w:r>
      <w:r>
        <w:rPr>
          <w:rFonts w:hint="eastAsia" w:cs="Times New Roman"/>
          <w:bCs/>
          <w:color w:val="auto"/>
          <w:sz w:val="24"/>
          <w:highlight w:val="none"/>
          <w:lang w:eastAsia="zh-CN"/>
        </w:rPr>
        <w:t>其影响</w:t>
      </w:r>
      <w:r>
        <w:rPr>
          <w:rFonts w:hint="default" w:ascii="Times New Roman" w:hAnsi="Times New Roman" w:cs="Times New Roman"/>
          <w:bCs/>
          <w:color w:val="auto"/>
          <w:sz w:val="24"/>
          <w:highlight w:val="none"/>
        </w:rPr>
        <w:t>主要是施工期间噪声的驱赶，以及施工导致评价区内的两栖、爬行以及部分小型哺乳类的</w:t>
      </w:r>
      <w:r>
        <w:rPr>
          <w:rFonts w:hint="default" w:ascii="Times New Roman" w:hAnsi="Times New Roman" w:cs="Times New Roman"/>
          <w:bCs/>
          <w:color w:val="auto"/>
          <w:sz w:val="24"/>
          <w:highlight w:val="none"/>
          <w:lang w:val="en-US" w:eastAsia="zh-CN"/>
        </w:rPr>
        <w:t>移动</w:t>
      </w:r>
      <w:r>
        <w:rPr>
          <w:rFonts w:hint="default" w:ascii="Times New Roman" w:hAnsi="Times New Roman" w:cs="Times New Roman"/>
          <w:bCs/>
          <w:color w:val="auto"/>
          <w:sz w:val="24"/>
          <w:highlight w:val="none"/>
        </w:rPr>
        <w:t>而引起的食源减少对其觅食产生的不利影响。猛禽捕食范围大，飞行能力强，视觉敏锐、避险能力强，评价区内不是其唯一的捕食区域，</w:t>
      </w:r>
      <w:r>
        <w:rPr>
          <w:rFonts w:hint="default" w:ascii="Times New Roman" w:hAnsi="Times New Roman" w:cs="Times New Roman"/>
          <w:bCs/>
          <w:color w:val="auto"/>
          <w:sz w:val="24"/>
          <w:highlight w:val="none"/>
          <w:lang w:val="en-US" w:eastAsia="zh-CN"/>
        </w:rPr>
        <w:t>仅偶在评价区上空活动，或在农田区域捕食，工程施工不占用农田，且施工区域离农田较远，项目实施对它们影响小。</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③</w:t>
      </w:r>
      <w:r>
        <w:rPr>
          <w:rFonts w:hint="default" w:ascii="Times New Roman" w:hAnsi="Times New Roman" w:cs="Times New Roman"/>
          <w:bCs/>
          <w:color w:val="auto"/>
          <w:sz w:val="24"/>
          <w:highlight w:val="none"/>
        </w:rPr>
        <w:t>对画眉和红嘴相思鸟的影响</w:t>
      </w:r>
    </w:p>
    <w:p>
      <w:pPr>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cs="Times New Roman"/>
          <w:bCs/>
          <w:color w:val="auto"/>
          <w:sz w:val="24"/>
          <w:highlight w:val="none"/>
        </w:rPr>
        <w:t>画眉、红嘴相思鸟为小型鸣禽，主要在林缘、灌丛中活动。项目对画眉、红嘴相思鸟的影响主要施工噪声对其的惊扰。</w:t>
      </w:r>
      <w:r>
        <w:rPr>
          <w:rFonts w:hint="default" w:ascii="Times New Roman" w:hAnsi="Times New Roman" w:cs="Times New Roman"/>
          <w:bCs/>
          <w:color w:val="auto"/>
          <w:sz w:val="24"/>
          <w:highlight w:val="none"/>
          <w:lang w:val="en-US" w:eastAsia="zh-CN"/>
        </w:rPr>
        <w:t>项目不占用林地，直接影响区域为东洲岛及湘江东岸风光带区域，为城市区域，</w:t>
      </w:r>
      <w:r>
        <w:rPr>
          <w:rFonts w:hint="default" w:ascii="Times New Roman" w:hAnsi="Times New Roman" w:cs="Times New Roman"/>
          <w:bCs/>
          <w:color w:val="auto"/>
          <w:sz w:val="24"/>
          <w:highlight w:val="none"/>
        </w:rPr>
        <w:t>画眉、红嘴相思鸟</w:t>
      </w:r>
      <w:r>
        <w:rPr>
          <w:rFonts w:hint="default" w:ascii="Times New Roman" w:hAnsi="Times New Roman" w:cs="Times New Roman"/>
          <w:bCs/>
          <w:color w:val="auto"/>
          <w:sz w:val="24"/>
          <w:highlight w:val="none"/>
          <w:lang w:val="en-US" w:eastAsia="zh-CN"/>
        </w:rPr>
        <w:t>并不在施工直接区域活动。项目噪声主要来源于地基打桩噪声，强度低，对</w:t>
      </w:r>
      <w:r>
        <w:rPr>
          <w:rFonts w:hint="default" w:ascii="Times New Roman" w:hAnsi="Times New Roman" w:cs="Times New Roman"/>
          <w:bCs/>
          <w:color w:val="auto"/>
          <w:sz w:val="24"/>
          <w:highlight w:val="none"/>
        </w:rPr>
        <w:t>画眉和红嘴相思鸟</w:t>
      </w:r>
      <w:r>
        <w:rPr>
          <w:rFonts w:hint="default" w:ascii="Times New Roman" w:hAnsi="Times New Roman" w:cs="Times New Roman"/>
          <w:bCs/>
          <w:color w:val="auto"/>
          <w:sz w:val="24"/>
          <w:highlight w:val="none"/>
          <w:lang w:val="en-US" w:eastAsia="zh-CN"/>
        </w:rPr>
        <w:t>的影响小。</w:t>
      </w:r>
    </w:p>
    <w:p>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highlight w:val="none"/>
          <w:lang w:val="en-US" w:eastAsia="zh-CN"/>
        </w:rPr>
        <w:t>④</w:t>
      </w:r>
      <w:r>
        <w:rPr>
          <w:rFonts w:hint="default" w:ascii="Times New Roman" w:hAnsi="Times New Roman" w:cs="Times New Roman"/>
          <w:color w:val="auto"/>
          <w:sz w:val="24"/>
          <w:szCs w:val="24"/>
          <w:highlight w:val="none"/>
        </w:rPr>
        <w:t>对白胸翡翠的影响</w:t>
      </w:r>
    </w:p>
    <w:p>
      <w:pPr>
        <w:pStyle w:val="8"/>
        <w:spacing w:line="360" w:lineRule="auto"/>
        <w:ind w:firstLine="480"/>
        <w:rPr>
          <w:rFonts w:hint="default" w:ascii="Times New Roman" w:hAnsi="Times New Roman" w:eastAsia="宋体" w:cs="Times New Roman"/>
          <w:color w:val="auto"/>
          <w:szCs w:val="24"/>
          <w:highlight w:val="none"/>
          <w:lang w:val="en-US" w:eastAsia="zh-CN"/>
        </w:rPr>
      </w:pPr>
      <w:r>
        <w:rPr>
          <w:rFonts w:hint="default" w:ascii="Times New Roman" w:hAnsi="Times New Roman" w:cs="Times New Roman"/>
          <w:color w:val="auto"/>
          <w:sz w:val="24"/>
          <w:szCs w:val="24"/>
          <w:highlight w:val="none"/>
          <w:lang w:val="en-US" w:eastAsia="zh-CN"/>
        </w:rPr>
        <w:t>项目实施对</w:t>
      </w:r>
      <w:r>
        <w:rPr>
          <w:rFonts w:hint="default" w:ascii="Times New Roman" w:hAnsi="Times New Roman" w:cs="Times New Roman"/>
          <w:color w:val="auto"/>
          <w:sz w:val="24"/>
          <w:szCs w:val="24"/>
          <w:highlight w:val="none"/>
        </w:rPr>
        <w:t>白胸翡翠</w:t>
      </w:r>
      <w:r>
        <w:rPr>
          <w:rFonts w:hint="default" w:ascii="Times New Roman" w:hAnsi="Times New Roman" w:cs="Times New Roman"/>
          <w:color w:val="auto"/>
          <w:sz w:val="24"/>
          <w:szCs w:val="24"/>
          <w:highlight w:val="none"/>
          <w:lang w:val="en-US" w:eastAsia="zh-CN"/>
        </w:rPr>
        <w:t>的影响主要为施工噪声对其捕食、栖息的干扰。</w:t>
      </w:r>
      <w:r>
        <w:rPr>
          <w:rFonts w:hint="default" w:ascii="Times New Roman" w:hAnsi="Times New Roman" w:cs="Times New Roman"/>
          <w:color w:val="auto"/>
          <w:sz w:val="24"/>
          <w:szCs w:val="24"/>
          <w:highlight w:val="none"/>
        </w:rPr>
        <w:t>白胸翡翠</w:t>
      </w:r>
      <w:r>
        <w:rPr>
          <w:rFonts w:hint="default" w:ascii="Times New Roman" w:hAnsi="Times New Roman" w:cs="Times New Roman"/>
          <w:color w:val="auto"/>
          <w:sz w:val="24"/>
          <w:szCs w:val="24"/>
          <w:highlight w:val="none"/>
          <w:lang w:val="en-US" w:eastAsia="zh-CN"/>
        </w:rPr>
        <w:t>主要活动于湘江和坑塘周边林地、农田区域，不在项目直接影响区域活动。施工产生的噪音强度低，时间段，对</w:t>
      </w:r>
      <w:r>
        <w:rPr>
          <w:rFonts w:hint="default" w:ascii="Times New Roman" w:hAnsi="Times New Roman" w:cs="Times New Roman"/>
          <w:color w:val="auto"/>
          <w:sz w:val="24"/>
          <w:szCs w:val="24"/>
          <w:highlight w:val="none"/>
        </w:rPr>
        <w:t>白胸翡翠</w:t>
      </w:r>
      <w:r>
        <w:rPr>
          <w:rFonts w:hint="default" w:ascii="Times New Roman" w:hAnsi="Times New Roman" w:cs="Times New Roman"/>
          <w:color w:val="auto"/>
          <w:sz w:val="24"/>
          <w:szCs w:val="24"/>
          <w:highlight w:val="none"/>
          <w:lang w:val="en-US" w:eastAsia="zh-CN"/>
        </w:rPr>
        <w:t>影响小。</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（2）对濒危（EN）和易危（VU）物种的影响</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评价区内有濒危（EN）物种</w:t>
      </w:r>
      <w:r>
        <w:rPr>
          <w:rFonts w:hint="default" w:ascii="Times New Roman" w:hAnsi="Times New Roman" w:cs="Times New Roman"/>
          <w:bCs/>
          <w:color w:val="auto"/>
          <w:sz w:val="24"/>
          <w:highlight w:val="none"/>
          <w:lang w:val="en-US" w:eastAsia="zh-CN"/>
        </w:rPr>
        <w:t>2</w:t>
      </w:r>
      <w:r>
        <w:rPr>
          <w:rFonts w:hint="default" w:ascii="Times New Roman" w:hAnsi="Times New Roman" w:cs="Times New Roman"/>
          <w:bCs/>
          <w:color w:val="auto"/>
          <w:sz w:val="24"/>
          <w:highlight w:val="none"/>
        </w:rPr>
        <w:t>种，为乌龟</w:t>
      </w:r>
      <w:r>
        <w:rPr>
          <w:rFonts w:hint="default" w:ascii="Times New Roman" w:hAnsi="Times New Roman" w:cs="Times New Roman"/>
          <w:bCs/>
          <w:color w:val="auto"/>
          <w:sz w:val="24"/>
          <w:highlight w:val="none"/>
          <w:lang w:val="en-US" w:eastAsia="zh-CN"/>
        </w:rPr>
        <w:t>和</w:t>
      </w:r>
      <w:r>
        <w:rPr>
          <w:rFonts w:hint="default" w:ascii="Times New Roman" w:hAnsi="Times New Roman" w:cs="Times New Roman"/>
          <w:bCs/>
          <w:color w:val="auto"/>
          <w:sz w:val="24"/>
          <w:highlight w:val="none"/>
        </w:rPr>
        <w:t>中华鳖。其中乌龟为国家二级重点保护野生动物，项目实施对它的影响如上所述。中华鳖为水栖型爬行类，</w:t>
      </w:r>
      <w:r>
        <w:rPr>
          <w:rFonts w:hint="default" w:ascii="Times New Roman" w:hAnsi="Times New Roman" w:cs="Times New Roman"/>
          <w:bCs/>
          <w:color w:val="auto"/>
          <w:sz w:val="24"/>
          <w:highlight w:val="none"/>
          <w:lang w:val="en-US" w:eastAsia="zh-CN"/>
        </w:rPr>
        <w:t>与乌龟分布栖息生境基本一致，受影响因素一样，对</w:t>
      </w:r>
      <w:r>
        <w:rPr>
          <w:rFonts w:hint="default" w:ascii="Times New Roman" w:hAnsi="Times New Roman" w:cs="Times New Roman"/>
          <w:bCs/>
          <w:color w:val="auto"/>
          <w:sz w:val="24"/>
          <w:highlight w:val="none"/>
        </w:rPr>
        <w:t>其的不利影响主要为施工活动对其生境的污染。</w:t>
      </w:r>
      <w:r>
        <w:rPr>
          <w:rFonts w:hint="default" w:cs="Times New Roman"/>
          <w:bCs/>
          <w:color w:val="auto"/>
          <w:sz w:val="24"/>
          <w:highlight w:val="none"/>
          <w:lang w:val="en-US" w:eastAsia="zh-CN"/>
        </w:rPr>
        <w:t>项目涉水和临时建筑少，施工强度低，</w:t>
      </w:r>
      <w:r>
        <w:rPr>
          <w:rFonts w:hint="default" w:ascii="Times New Roman" w:hAnsi="Times New Roman" w:cs="Times New Roman"/>
          <w:bCs/>
          <w:color w:val="auto"/>
          <w:sz w:val="24"/>
          <w:highlight w:val="none"/>
        </w:rPr>
        <w:t>施工期间会对施工材料、施工废水进行妥善管理</w:t>
      </w:r>
      <w:r>
        <w:rPr>
          <w:rFonts w:hint="default"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项目实施对</w:t>
      </w:r>
      <w:r>
        <w:rPr>
          <w:rFonts w:hint="default" w:ascii="Times New Roman" w:hAnsi="Times New Roman" w:cs="Times New Roman"/>
          <w:bCs/>
          <w:color w:val="auto"/>
          <w:sz w:val="24"/>
          <w:highlight w:val="none"/>
        </w:rPr>
        <w:t>中华鳖影响有限。</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highlight w:val="none"/>
        </w:rPr>
        <w:t>评价区内有易危（VU）物种</w:t>
      </w:r>
      <w:r>
        <w:rPr>
          <w:rFonts w:hint="default" w:ascii="Times New Roman" w:hAnsi="Times New Roman" w:cs="Times New Roman"/>
          <w:bCs/>
          <w:color w:val="auto"/>
          <w:sz w:val="24"/>
          <w:highlight w:val="none"/>
          <w:lang w:val="en-US" w:eastAsia="zh-CN"/>
        </w:rPr>
        <w:t>3</w:t>
      </w:r>
      <w:r>
        <w:rPr>
          <w:rFonts w:hint="default" w:ascii="Times New Roman" w:hAnsi="Times New Roman" w:cs="Times New Roman"/>
          <w:bCs/>
          <w:color w:val="auto"/>
          <w:sz w:val="24"/>
          <w:highlight w:val="none"/>
        </w:rPr>
        <w:t>种，为乌梢蛇、尖吻蝮、黑眉锦蛇。它们</w:t>
      </w:r>
      <w:r>
        <w:rPr>
          <w:rFonts w:hint="eastAsia" w:cs="Times New Roman"/>
          <w:bCs/>
          <w:color w:val="auto"/>
          <w:sz w:val="24"/>
          <w:highlight w:val="none"/>
          <w:lang w:eastAsia="zh-CN"/>
        </w:rPr>
        <w:t>主要分布于</w:t>
      </w:r>
      <w:r>
        <w:rPr>
          <w:rFonts w:hint="default" w:ascii="Times New Roman" w:hAnsi="Times New Roman" w:cs="Times New Roman"/>
          <w:bCs/>
          <w:color w:val="auto"/>
          <w:sz w:val="24"/>
          <w:highlight w:val="none"/>
        </w:rPr>
        <w:t>评价区灌草丛、旱地</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村庄</w:t>
      </w:r>
      <w:r>
        <w:rPr>
          <w:rFonts w:hint="default" w:ascii="Times New Roman" w:hAnsi="Times New Roman" w:cs="Times New Roman"/>
          <w:bCs/>
          <w:color w:val="auto"/>
          <w:sz w:val="24"/>
          <w:highlight w:val="none"/>
        </w:rPr>
        <w:t>区域</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数量较少。</w:t>
      </w:r>
      <w:r>
        <w:rPr>
          <w:rFonts w:hint="default" w:ascii="Times New Roman" w:hAnsi="Times New Roman" w:cs="Times New Roman"/>
          <w:bCs/>
          <w:color w:val="auto"/>
          <w:sz w:val="24"/>
          <w:highlight w:val="none"/>
        </w:rPr>
        <w:t>根据工程布置和</w:t>
      </w:r>
      <w:r>
        <w:rPr>
          <w:rFonts w:hint="default" w:ascii="Times New Roman" w:hAnsi="Times New Roman" w:cs="Times New Roman"/>
          <w:color w:val="auto"/>
          <w:sz w:val="24"/>
          <w:szCs w:val="24"/>
          <w:highlight w:val="none"/>
        </w:rPr>
        <w:t>卫片解译，项目占地不会造成它们栖息生境损失，对它们影响有限。</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（3）对中国特有动物影响</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评价区内有中国特有种</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种，</w:t>
      </w:r>
      <w:r>
        <w:rPr>
          <w:rFonts w:hint="default" w:ascii="Times New Roman" w:hAnsi="Times New Roman" w:cs="Times New Roman"/>
          <w:color w:val="auto"/>
          <w:sz w:val="24"/>
          <w:szCs w:val="24"/>
          <w:highlight w:val="none"/>
          <w:lang w:val="en-US" w:eastAsia="zh-CN"/>
        </w:rPr>
        <w:t>为</w:t>
      </w:r>
      <w:r>
        <w:rPr>
          <w:rFonts w:hint="default" w:ascii="Times New Roman" w:hAnsi="Times New Roman" w:cs="Times New Roman"/>
          <w:color w:val="auto"/>
          <w:sz w:val="24"/>
          <w:szCs w:val="24"/>
          <w:highlight w:val="none"/>
        </w:rPr>
        <w:t>北草蜥</w:t>
      </w:r>
      <w:r>
        <w:rPr>
          <w:rFonts w:hint="default" w:ascii="Times New Roman" w:hAnsi="Times New Roman" w:cs="Times New Roman"/>
          <w:color w:val="auto"/>
          <w:sz w:val="24"/>
          <w:szCs w:val="24"/>
          <w:highlight w:val="none"/>
          <w:lang w:val="en-US" w:eastAsia="zh-CN"/>
        </w:rPr>
        <w:t>和黄腹山雀，</w:t>
      </w:r>
      <w:r>
        <w:rPr>
          <w:rFonts w:hint="default" w:ascii="Times New Roman" w:hAnsi="Times New Roman" w:cs="Times New Roman"/>
          <w:color w:val="auto"/>
          <w:sz w:val="24"/>
          <w:szCs w:val="24"/>
          <w:highlight w:val="none"/>
        </w:rPr>
        <w:t>北草蜥主要分布于评价灌丛</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旱地</w:t>
      </w:r>
      <w:r>
        <w:rPr>
          <w:rFonts w:hint="default" w:ascii="Times New Roman" w:hAnsi="Times New Roman" w:cs="Times New Roman"/>
          <w:color w:val="auto"/>
          <w:sz w:val="24"/>
          <w:szCs w:val="24"/>
          <w:highlight w:val="none"/>
        </w:rPr>
        <w:t>区域；黄腹山雀主要分布于评价区林地内</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项目实施</w:t>
      </w:r>
      <w:r>
        <w:rPr>
          <w:rFonts w:hint="default" w:ascii="Times New Roman" w:hAnsi="Times New Roman" w:cs="Times New Roman"/>
          <w:color w:val="auto"/>
          <w:sz w:val="24"/>
          <w:szCs w:val="24"/>
          <w:highlight w:val="none"/>
        </w:rPr>
        <w:t>占用</w:t>
      </w:r>
      <w:r>
        <w:rPr>
          <w:rFonts w:hint="default" w:ascii="Times New Roman" w:hAnsi="Times New Roman" w:cs="Times New Roman"/>
          <w:color w:val="auto"/>
          <w:sz w:val="24"/>
          <w:szCs w:val="24"/>
          <w:highlight w:val="none"/>
          <w:lang w:val="en-US" w:eastAsia="zh-CN"/>
        </w:rPr>
        <w:t>地类为</w:t>
      </w:r>
      <w:r>
        <w:rPr>
          <w:rFonts w:hint="default" w:ascii="Times New Roman" w:hAnsi="Times New Roman" w:cs="Times New Roman"/>
          <w:color w:val="auto"/>
          <w:kern w:val="0"/>
          <w:sz w:val="24"/>
          <w:szCs w:val="24"/>
          <w:highlight w:val="none"/>
          <w:vertAlign w:val="baseline"/>
          <w:lang w:val="en-US" w:eastAsia="zh-CN"/>
        </w:rPr>
        <w:t>其他草地</w:t>
      </w:r>
      <w:r>
        <w:rPr>
          <w:rFonts w:hint="default" w:cs="Times New Roman"/>
          <w:color w:val="auto"/>
          <w:kern w:val="0"/>
          <w:sz w:val="24"/>
          <w:szCs w:val="24"/>
          <w:highlight w:val="none"/>
          <w:vertAlign w:val="baseline"/>
          <w:lang w:val="en-US" w:eastAsia="zh-CN"/>
        </w:rPr>
        <w:t>、</w:t>
      </w:r>
      <w:r>
        <w:rPr>
          <w:rFonts w:hint="default" w:ascii="Times New Roman" w:hAnsi="Times New Roman" w:cs="Times New Roman"/>
          <w:color w:val="auto"/>
          <w:kern w:val="0"/>
          <w:sz w:val="24"/>
          <w:szCs w:val="24"/>
          <w:highlight w:val="none"/>
          <w:vertAlign w:val="baseline"/>
          <w:lang w:val="en-US" w:eastAsia="zh-CN"/>
        </w:rPr>
        <w:t>灌木林</w:t>
      </w:r>
      <w:r>
        <w:rPr>
          <w:rFonts w:hint="default" w:cs="Times New Roman"/>
          <w:color w:val="auto"/>
          <w:kern w:val="0"/>
          <w:sz w:val="24"/>
          <w:szCs w:val="24"/>
          <w:highlight w:val="none"/>
          <w:vertAlign w:val="baseline"/>
          <w:lang w:val="en-US" w:eastAsia="zh-CN"/>
        </w:rPr>
        <w:t>、</w:t>
      </w:r>
      <w:r>
        <w:rPr>
          <w:rFonts w:hint="default" w:ascii="Times New Roman" w:hAnsi="Times New Roman" w:cs="Times New Roman"/>
          <w:color w:val="auto"/>
          <w:kern w:val="0"/>
          <w:sz w:val="24"/>
          <w:szCs w:val="24"/>
          <w:highlight w:val="none"/>
          <w:vertAlign w:val="baseline"/>
          <w:lang w:val="en-US" w:eastAsia="zh-CN"/>
        </w:rPr>
        <w:t>商业服务业设施用地</w:t>
      </w:r>
      <w:r>
        <w:rPr>
          <w:rFonts w:hint="default" w:cs="Times New Roman"/>
          <w:color w:val="auto"/>
          <w:kern w:val="0"/>
          <w:sz w:val="24"/>
          <w:szCs w:val="24"/>
          <w:highlight w:val="none"/>
          <w:vertAlign w:val="baseline"/>
          <w:lang w:val="en-US" w:eastAsia="zh-CN"/>
        </w:rPr>
        <w:t>和</w:t>
      </w:r>
      <w:r>
        <w:rPr>
          <w:rFonts w:hint="default" w:ascii="Times New Roman" w:hAnsi="Times New Roman" w:cs="Times New Roman"/>
          <w:color w:val="auto"/>
          <w:kern w:val="0"/>
          <w:sz w:val="24"/>
          <w:szCs w:val="24"/>
          <w:highlight w:val="none"/>
          <w:vertAlign w:val="baseline"/>
          <w:lang w:val="en-US" w:eastAsia="zh-CN"/>
        </w:rPr>
        <w:t>城镇住宅用地</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北草蜥</w:t>
      </w:r>
      <w:r>
        <w:rPr>
          <w:rFonts w:hint="default" w:ascii="Times New Roman" w:hAnsi="Times New Roman" w:cs="Times New Roman"/>
          <w:color w:val="auto"/>
          <w:sz w:val="24"/>
          <w:szCs w:val="24"/>
          <w:highlight w:val="none"/>
          <w:lang w:val="en-US" w:eastAsia="zh-CN"/>
        </w:rPr>
        <w:t>和黄腹山雀分布于项目直接影响区外。黄腹山雀为留鸟，夜间灯光不会干扰其迁徙，</w:t>
      </w:r>
      <w:r>
        <w:rPr>
          <w:rFonts w:hint="default" w:ascii="Times New Roman" w:hAnsi="Times New Roman" w:cs="Times New Roman"/>
          <w:color w:val="auto"/>
          <w:sz w:val="24"/>
          <w:szCs w:val="24"/>
          <w:highlight w:val="none"/>
        </w:rPr>
        <w:t>北草蜥</w:t>
      </w:r>
      <w:r>
        <w:rPr>
          <w:rFonts w:hint="default" w:ascii="Times New Roman" w:hAnsi="Times New Roman" w:cs="Times New Roman"/>
          <w:color w:val="auto"/>
          <w:sz w:val="24"/>
          <w:szCs w:val="24"/>
          <w:highlight w:val="none"/>
          <w:lang w:val="en-US" w:eastAsia="zh-CN"/>
        </w:rPr>
        <w:t>对灯光不敏感。由上可知，项目实施</w:t>
      </w:r>
      <w:r>
        <w:rPr>
          <w:rFonts w:hint="default" w:ascii="Times New Roman" w:hAnsi="Times New Roman" w:cs="Times New Roman"/>
          <w:color w:val="auto"/>
          <w:sz w:val="24"/>
          <w:szCs w:val="24"/>
          <w:highlight w:val="none"/>
        </w:rPr>
        <w:t>对中国特有动物影响小。</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176" w:name="_Toc130573040"/>
      <w:bookmarkStart w:id="177" w:name="_Toc10381"/>
      <w:r>
        <w:rPr>
          <w:rFonts w:hint="default" w:cs="Times New Roman"/>
          <w:b/>
          <w:bCs/>
          <w:color w:val="auto"/>
          <w:kern w:val="0"/>
          <w:sz w:val="28"/>
          <w:szCs w:val="28"/>
          <w:highlight w:val="none"/>
          <w:lang w:val="en-US" w:eastAsia="zh-CN"/>
        </w:rPr>
        <w:t>5.3.4对水生生态的影响</w:t>
      </w:r>
      <w:bookmarkEnd w:id="176"/>
      <w:bookmarkEnd w:id="177"/>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78" w:name="_Toc116917304"/>
      <w:bookmarkStart w:id="179" w:name="_Toc10299"/>
      <w:bookmarkStart w:id="180" w:name="_Toc576"/>
      <w:bookmarkStart w:id="181" w:name="_Toc86063502"/>
      <w:r>
        <w:rPr>
          <w:rFonts w:hint="default" w:cs="Times New Roman"/>
          <w:b/>
          <w:bCs/>
          <w:color w:val="auto"/>
          <w:kern w:val="0"/>
          <w:sz w:val="28"/>
          <w:szCs w:val="28"/>
          <w:highlight w:val="none"/>
          <w:lang w:val="en-US" w:eastAsia="zh-CN"/>
        </w:rPr>
        <w:t>5.3.4.1对水生生境的影响</w:t>
      </w:r>
      <w:bookmarkEnd w:id="178"/>
      <w:bookmarkEnd w:id="179"/>
      <w:bookmarkEnd w:id="180"/>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本项目涉水施工较少</w:t>
      </w:r>
      <w:r>
        <w:rPr>
          <w:rFonts w:hint="default" w:cs="Times New Roman"/>
          <w:color w:val="auto"/>
          <w:sz w:val="24"/>
          <w:szCs w:val="24"/>
          <w:highlight w:val="none"/>
          <w:lang w:val="en-US" w:eastAsia="zh-CN"/>
        </w:rPr>
        <w:t>如</w:t>
      </w:r>
      <w:r>
        <w:rPr>
          <w:rFonts w:hint="default" w:ascii="Times New Roman" w:hAnsi="Times New Roman" w:cs="Times New Roman"/>
          <w:color w:val="auto"/>
          <w:sz w:val="24"/>
          <w:szCs w:val="24"/>
          <w:highlight w:val="none"/>
          <w:lang w:val="en-US" w:eastAsia="zh-CN"/>
        </w:rPr>
        <w:t>抛石护岸</w:t>
      </w:r>
      <w:r>
        <w:rPr>
          <w:rFonts w:hint="default"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岸坡整治</w:t>
      </w:r>
      <w:r>
        <w:rPr>
          <w:rFonts w:hint="default" w:cs="Times New Roman"/>
          <w:color w:val="auto"/>
          <w:sz w:val="24"/>
          <w:szCs w:val="24"/>
          <w:highlight w:val="none"/>
          <w:lang w:val="en-US" w:eastAsia="zh-CN"/>
        </w:rPr>
        <w:t>等</w:t>
      </w: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项目实施</w:t>
      </w:r>
      <w:r>
        <w:rPr>
          <w:rFonts w:hint="default" w:ascii="Times New Roman" w:hAnsi="Times New Roman" w:cs="Times New Roman"/>
          <w:color w:val="auto"/>
          <w:sz w:val="24"/>
          <w:szCs w:val="24"/>
          <w:highlight w:val="none"/>
        </w:rPr>
        <w:t>并未明显改变</w:t>
      </w:r>
      <w:r>
        <w:rPr>
          <w:rFonts w:hint="default" w:cs="Times New Roman"/>
          <w:color w:val="auto"/>
          <w:sz w:val="24"/>
          <w:szCs w:val="24"/>
          <w:highlight w:val="none"/>
          <w:lang w:val="en-US" w:eastAsia="zh-CN"/>
        </w:rPr>
        <w:t>湘江</w:t>
      </w:r>
      <w:r>
        <w:rPr>
          <w:rFonts w:hint="default" w:ascii="Times New Roman" w:hAnsi="Times New Roman" w:cs="Times New Roman"/>
          <w:color w:val="auto"/>
          <w:sz w:val="24"/>
          <w:szCs w:val="24"/>
          <w:highlight w:val="none"/>
        </w:rPr>
        <w:t>河流形态，仅在近岸有部分施工，范围较小</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抛石护岸3320</w:t>
      </w:r>
      <w:r>
        <w:rPr>
          <w:rFonts w:hint="default" w:ascii="Times New Roman" w:hAnsi="Times New Roman" w:cs="Times New Roman"/>
          <w:color w:val="auto"/>
          <w:sz w:val="24"/>
          <w:szCs w:val="24"/>
          <w:highlight w:val="none"/>
          <w:lang w:val="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岸坡整治650</w:t>
      </w:r>
      <w:r>
        <w:rPr>
          <w:rFonts w:hint="default" w:ascii="Times New Roman" w:hAnsi="Times New Roman" w:cs="Times New Roman"/>
          <w:color w:val="auto"/>
          <w:sz w:val="24"/>
          <w:szCs w:val="24"/>
          <w:highlight w:val="none"/>
          <w:lang w:val="zh-CN"/>
        </w:rPr>
        <w:t>m</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。因此，工程建设对周边水生生境影响有限。</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82" w:name="_Toc112624918"/>
      <w:bookmarkStart w:id="183" w:name="_Toc86832476"/>
      <w:bookmarkStart w:id="184" w:name="_Toc116917305"/>
      <w:bookmarkStart w:id="185" w:name="_Toc19092"/>
      <w:bookmarkStart w:id="186" w:name="_Toc112625437"/>
      <w:bookmarkStart w:id="187" w:name="_Toc114058466"/>
      <w:bookmarkStart w:id="188" w:name="_Toc25214"/>
      <w:r>
        <w:rPr>
          <w:rFonts w:hint="default" w:cs="Times New Roman"/>
          <w:b/>
          <w:bCs/>
          <w:color w:val="auto"/>
          <w:kern w:val="0"/>
          <w:sz w:val="28"/>
          <w:szCs w:val="28"/>
          <w:highlight w:val="none"/>
          <w:lang w:val="en-US" w:eastAsia="zh-CN"/>
        </w:rPr>
        <w:t>5.3.4.2对浮游生物的影响</w:t>
      </w:r>
      <w:bookmarkEnd w:id="182"/>
      <w:bookmarkEnd w:id="183"/>
      <w:bookmarkEnd w:id="184"/>
      <w:bookmarkEnd w:id="185"/>
      <w:bookmarkEnd w:id="186"/>
      <w:bookmarkEnd w:id="187"/>
      <w:bookmarkEnd w:id="188"/>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5.3.4.2.1施工期</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施工期影响主要表现在部分涉水工程施工（</w:t>
      </w:r>
      <w:r>
        <w:rPr>
          <w:rFonts w:hint="default" w:ascii="Times New Roman" w:hAnsi="Times New Roman" w:cs="Times New Roman"/>
          <w:color w:val="auto"/>
          <w:sz w:val="24"/>
          <w:szCs w:val="24"/>
          <w:highlight w:val="none"/>
          <w:lang w:val="en-US" w:eastAsia="zh-CN"/>
        </w:rPr>
        <w:t>抛石护岸</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sz w:val="24"/>
          <w:szCs w:val="24"/>
          <w:highlight w:val="none"/>
          <w:lang w:val="en-US" w:eastAsia="zh-CN"/>
        </w:rPr>
        <w:t>岸坡整治</w:t>
      </w:r>
      <w:r>
        <w:rPr>
          <w:rFonts w:hint="default" w:ascii="Times New Roman" w:hAnsi="Times New Roman" w:cs="Times New Roman"/>
          <w:color w:val="auto"/>
          <w:kern w:val="0"/>
          <w:sz w:val="24"/>
          <w:szCs w:val="24"/>
          <w:highlight w:val="none"/>
        </w:rPr>
        <w:t>等），会扰动水下底泥，导致局部水域内悬浮颗粒增加，造成水质的浑浊，水体透明度下降，对浮游植物的光合作用产生不利的影响，进而抑制浮游植物的细胞分裂和生长，降低浮游植物的生物量和初级生产力，水体溶解氧进一步降低。另外，施工过程中产生的扬尘（施工、基建材料的运输）进入水体，也会导致水体透明度下降。</w:t>
      </w:r>
    </w:p>
    <w:p>
      <w:pPr>
        <w:pStyle w:val="11"/>
        <w:spacing w:line="360" w:lineRule="auto"/>
        <w:ind w:firstLine="480"/>
        <w:jc w:val="left"/>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悬浮物含量增多同时对浮游动物尤其是滤食性的浮游动物带来不利影响，枝角类、桡足类等浮游动物存活和繁殖受到明显的抑制作用。过量悬浮物使其食物过滤系统和消化器官堵塞，大量的悬浮颗粒黏附在动物的体表，干扰其正常呼吸等生理功能，再加上悬浮物抑制浮游植物的生长导致初级饵料的减少不利于滤食性浮游动物的摄食。一般而言，悬浮物浓度增加在10mg/L以下时，水体中的浮游植物基本不会受到影响。当悬浮物的浓度增加量在10～50mg/L时，浮游植物将会受到轻微影响。当悬浮物浓度增加50mg/L以上时，浮游植物会受到较大影响，特别是中心区域，悬浮物含量极高，透光性极差，浮游植物基本上无法生存</w:t>
      </w:r>
    </w:p>
    <w:p>
      <w:pPr>
        <w:pStyle w:val="11"/>
        <w:spacing w:line="360" w:lineRule="auto"/>
        <w:ind w:firstLine="480"/>
        <w:jc w:val="left"/>
        <w:rPr>
          <w:rFonts w:hint="default" w:ascii="Times New Roman" w:hAnsi="Times New Roman" w:cs="Times New Roman"/>
          <w:color w:val="auto"/>
          <w:szCs w:val="24"/>
          <w:highlight w:val="none"/>
        </w:rPr>
      </w:pPr>
      <w:r>
        <w:rPr>
          <w:rFonts w:hint="default" w:cs="Times New Roman"/>
          <w:color w:val="auto"/>
          <w:kern w:val="0"/>
          <w:sz w:val="24"/>
          <w:szCs w:val="24"/>
          <w:highlight w:val="none"/>
          <w:lang w:val="en-US" w:eastAsia="zh-CN"/>
        </w:rPr>
        <w:t>项目区域湘江</w:t>
      </w:r>
      <w:r>
        <w:rPr>
          <w:rFonts w:hint="default" w:ascii="Times New Roman" w:hAnsi="Times New Roman" w:eastAsia="宋体" w:cs="Times New Roman"/>
          <w:color w:val="auto"/>
          <w:sz w:val="24"/>
          <w:szCs w:val="24"/>
          <w:u w:val="none"/>
          <w:lang w:val="en-US" w:eastAsia="zh-CN"/>
        </w:rPr>
        <w:t>常水位为50.49</w:t>
      </w:r>
      <w:r>
        <w:rPr>
          <w:rFonts w:hint="default" w:ascii="Times New Roman" w:hAnsi="Times New Roman"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50.52m，2年一遇水位为55.50m；本项目抛石护脚顶面标高50.5m、岸坡整治52～55.5m</w:t>
      </w:r>
      <w:r>
        <w:rPr>
          <w:rFonts w:hint="default" w:ascii="Times New Roman" w:hAnsi="Times New Roman" w:cs="Times New Roman"/>
          <w:color w:val="auto"/>
          <w:sz w:val="24"/>
          <w:szCs w:val="24"/>
          <w:u w:val="none"/>
          <w:lang w:val="en-US" w:eastAsia="zh-CN"/>
        </w:rPr>
        <w:t>，工程施工期间</w:t>
      </w:r>
      <w:r>
        <w:rPr>
          <w:rFonts w:hint="default" w:ascii="Times New Roman" w:hAnsi="Times New Roman" w:eastAsia="宋体" w:cs="Times New Roman"/>
          <w:color w:val="auto"/>
          <w:sz w:val="24"/>
          <w:szCs w:val="24"/>
          <w:u w:val="none"/>
          <w:lang w:val="en-US" w:eastAsia="zh-CN"/>
        </w:rPr>
        <w:t>岸坡整治</w:t>
      </w:r>
      <w:r>
        <w:rPr>
          <w:rFonts w:hint="default" w:ascii="Times New Roman" w:hAnsi="Times New Roman" w:cs="Times New Roman"/>
          <w:color w:val="auto"/>
          <w:sz w:val="24"/>
          <w:szCs w:val="24"/>
          <w:u w:val="none"/>
          <w:lang w:val="en-US" w:eastAsia="zh-CN"/>
        </w:rPr>
        <w:t>基本不涉水。抛石护岸对河床扰动的强度低，产生的悬浮物少，</w:t>
      </w:r>
      <w:r>
        <w:rPr>
          <w:rFonts w:hint="default" w:ascii="Times New Roman" w:hAnsi="Times New Roman" w:cs="Times New Roman"/>
          <w:color w:val="auto"/>
          <w:kern w:val="0"/>
          <w:sz w:val="24"/>
          <w:szCs w:val="24"/>
          <w:highlight w:val="none"/>
        </w:rPr>
        <w:t>且湘江水体净化能力加强，在采取一些列环保措施后，工程施工对浮游生物影响较小。</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5.3.4.2.2运行期</w:t>
      </w:r>
    </w:p>
    <w:p>
      <w:pPr>
        <w:spacing w:line="360" w:lineRule="auto"/>
        <w:ind w:firstLine="480"/>
        <w:rPr>
          <w:rFonts w:hint="default" w:ascii="Times New Roman" w:hAnsi="Times New Roman" w:cs="Times New Roman"/>
          <w:color w:val="auto"/>
          <w:sz w:val="24"/>
          <w:szCs w:val="24"/>
          <w:highlight w:val="none"/>
        </w:rPr>
      </w:pPr>
      <w:bookmarkStart w:id="189" w:name="_Toc86832477"/>
      <w:bookmarkStart w:id="190" w:name="_Toc112625438"/>
      <w:bookmarkStart w:id="191" w:name="_Toc112624919"/>
      <w:bookmarkStart w:id="192" w:name="_Toc114058467"/>
      <w:r>
        <w:rPr>
          <w:rFonts w:hint="default" w:ascii="Times New Roman" w:hAnsi="Times New Roman" w:cs="Times New Roman"/>
          <w:color w:val="auto"/>
          <w:kern w:val="0"/>
          <w:sz w:val="24"/>
          <w:szCs w:val="24"/>
          <w:highlight w:val="none"/>
        </w:rPr>
        <w:t>运营期影响主要表现在生活污水或初期雨水夹带的沙砾、灰尘等污染物质可能会</w:t>
      </w:r>
      <w:r>
        <w:rPr>
          <w:rFonts w:hint="eastAsia" w:cs="Times New Roman"/>
          <w:color w:val="auto"/>
          <w:kern w:val="0"/>
          <w:sz w:val="24"/>
          <w:szCs w:val="24"/>
          <w:highlight w:val="none"/>
          <w:lang w:eastAsia="zh-CN"/>
        </w:rPr>
        <w:t>进入</w:t>
      </w:r>
      <w:r>
        <w:rPr>
          <w:rFonts w:hint="default" w:ascii="Times New Roman" w:hAnsi="Times New Roman" w:cs="Times New Roman"/>
          <w:color w:val="auto"/>
          <w:kern w:val="0"/>
          <w:sz w:val="24"/>
          <w:szCs w:val="24"/>
          <w:highlight w:val="none"/>
        </w:rPr>
        <w:t>自然水体，导致水体透明度下降，进而对浮游生物产生影响。但在采取一定措施后（污水统一进入市政污水管网、固体废弃物定时收集等），运营期对浮游生物影响有限。</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93" w:name="_Toc4223"/>
      <w:bookmarkStart w:id="194" w:name="_Toc10944"/>
      <w:bookmarkStart w:id="195" w:name="_Toc116917306"/>
      <w:r>
        <w:rPr>
          <w:rFonts w:hint="default" w:cs="Times New Roman"/>
          <w:b/>
          <w:bCs/>
          <w:color w:val="auto"/>
          <w:kern w:val="0"/>
          <w:sz w:val="28"/>
          <w:szCs w:val="28"/>
          <w:highlight w:val="none"/>
          <w:lang w:val="en-US" w:eastAsia="zh-CN"/>
        </w:rPr>
        <w:t>5.3.4.3对底栖动物的影响</w:t>
      </w:r>
      <w:bookmarkEnd w:id="189"/>
      <w:bookmarkEnd w:id="190"/>
      <w:bookmarkEnd w:id="191"/>
      <w:bookmarkEnd w:id="192"/>
      <w:bookmarkEnd w:id="193"/>
      <w:bookmarkEnd w:id="194"/>
      <w:bookmarkEnd w:id="195"/>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5.3.4.3.1施工期</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本项目有部分涉水工程建设，会直接破坏底栖动物栖息空间。底栖动物迁移能力相对较弱，活动范围较固定，施工</w:t>
      </w:r>
      <w:r>
        <w:rPr>
          <w:rFonts w:hint="default" w:cs="Times New Roman"/>
          <w:color w:val="auto"/>
          <w:kern w:val="0"/>
          <w:sz w:val="24"/>
          <w:szCs w:val="24"/>
          <w:highlight w:val="none"/>
          <w:lang w:val="en-US" w:eastAsia="zh-CN"/>
        </w:rPr>
        <w:t>占用河床</w:t>
      </w:r>
      <w:r>
        <w:rPr>
          <w:rFonts w:hint="default" w:ascii="Times New Roman" w:hAnsi="Times New Roman" w:cs="Times New Roman"/>
          <w:color w:val="auto"/>
          <w:kern w:val="0"/>
          <w:sz w:val="24"/>
          <w:szCs w:val="24"/>
          <w:highlight w:val="none"/>
        </w:rPr>
        <w:t>将直接改变其栖息环境</w:t>
      </w:r>
      <w:r>
        <w:rPr>
          <w:rFonts w:hint="default"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施工所产生的悬浮物</w:t>
      </w:r>
      <w:r>
        <w:rPr>
          <w:rFonts w:hint="default" w:cs="Times New Roman"/>
          <w:color w:val="auto"/>
          <w:kern w:val="0"/>
          <w:sz w:val="24"/>
          <w:szCs w:val="24"/>
          <w:highlight w:val="none"/>
          <w:lang w:val="en-US" w:eastAsia="zh-CN"/>
        </w:rPr>
        <w:t>也</w:t>
      </w:r>
      <w:r>
        <w:rPr>
          <w:rFonts w:hint="default" w:ascii="Times New Roman" w:hAnsi="Times New Roman" w:cs="Times New Roman"/>
          <w:color w:val="auto"/>
          <w:kern w:val="0"/>
          <w:sz w:val="24"/>
          <w:szCs w:val="24"/>
          <w:highlight w:val="none"/>
        </w:rPr>
        <w:t>会影响到附近水域底栖动物的呼吸、摄食等生命活动。但由于施工作业带的范围较小，底栖动物种类多为广布种，</w:t>
      </w:r>
      <w:r>
        <w:rPr>
          <w:rFonts w:hint="default" w:cs="Times New Roman"/>
          <w:color w:val="auto"/>
          <w:kern w:val="0"/>
          <w:sz w:val="24"/>
          <w:szCs w:val="24"/>
          <w:highlight w:val="none"/>
          <w:lang w:val="en-US" w:eastAsia="zh-CN"/>
        </w:rPr>
        <w:t>工程施工不会导致评价水域底栖生物</w:t>
      </w:r>
      <w:r>
        <w:rPr>
          <w:rFonts w:hint="default" w:ascii="Times New Roman" w:hAnsi="Times New Roman" w:cs="Times New Roman"/>
          <w:color w:val="auto"/>
          <w:kern w:val="0"/>
          <w:sz w:val="24"/>
          <w:szCs w:val="24"/>
          <w:highlight w:val="none"/>
        </w:rPr>
        <w:t>种类和多样性明显减少</w:t>
      </w:r>
      <w:r>
        <w:rPr>
          <w:rFonts w:hint="default"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待工程施工结束后，其它河段底栖动物会对影响河段进行补充，底栖生物</w:t>
      </w:r>
      <w:r>
        <w:rPr>
          <w:rFonts w:hint="default" w:cs="Times New Roman"/>
          <w:color w:val="auto"/>
          <w:kern w:val="0"/>
          <w:sz w:val="24"/>
          <w:szCs w:val="24"/>
          <w:highlight w:val="none"/>
          <w:lang w:val="en-US" w:eastAsia="zh-CN"/>
        </w:rPr>
        <w:t>的生物量</w:t>
      </w:r>
      <w:r>
        <w:rPr>
          <w:rFonts w:hint="default" w:ascii="Times New Roman" w:hAnsi="Times New Roman" w:cs="Times New Roman"/>
          <w:color w:val="auto"/>
          <w:kern w:val="0"/>
          <w:sz w:val="24"/>
          <w:szCs w:val="24"/>
          <w:highlight w:val="none"/>
        </w:rPr>
        <w:t>可以恢复。</w:t>
      </w:r>
      <w:r>
        <w:rPr>
          <w:rFonts w:hint="default" w:cs="Times New Roman"/>
          <w:color w:val="auto"/>
          <w:kern w:val="0"/>
          <w:sz w:val="24"/>
          <w:szCs w:val="24"/>
          <w:highlight w:val="none"/>
          <w:lang w:val="en-US" w:eastAsia="zh-CN"/>
        </w:rPr>
        <w:t>项目实施</w:t>
      </w:r>
      <w:r>
        <w:rPr>
          <w:rFonts w:hint="default" w:ascii="Times New Roman" w:hAnsi="Times New Roman" w:cs="Times New Roman"/>
          <w:color w:val="auto"/>
          <w:kern w:val="0"/>
          <w:sz w:val="24"/>
          <w:szCs w:val="24"/>
          <w:highlight w:val="none"/>
        </w:rPr>
        <w:t>对底栖生物的影响相对有限。</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5.3.4.3.2运行期</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运行期，对底栖动物的影响主要为部分</w:t>
      </w:r>
      <w:r>
        <w:rPr>
          <w:rFonts w:hint="default" w:cs="Times New Roman"/>
          <w:color w:val="auto"/>
          <w:sz w:val="24"/>
          <w:szCs w:val="24"/>
          <w:highlight w:val="none"/>
          <w:lang w:val="en-US" w:eastAsia="zh-CN"/>
        </w:rPr>
        <w:t>护岸工程</w:t>
      </w:r>
      <w:r>
        <w:rPr>
          <w:rFonts w:hint="default" w:ascii="Times New Roman" w:hAnsi="Times New Roman" w:cs="Times New Roman"/>
          <w:color w:val="auto"/>
          <w:sz w:val="24"/>
          <w:szCs w:val="24"/>
          <w:highlight w:val="none"/>
          <w:lang w:val="en-US" w:eastAsia="zh-CN"/>
        </w:rPr>
        <w:t>永久</w:t>
      </w:r>
      <w:r>
        <w:rPr>
          <w:rFonts w:hint="default" w:ascii="Times New Roman" w:hAnsi="Times New Roman" w:cs="Times New Roman"/>
          <w:color w:val="auto"/>
          <w:sz w:val="24"/>
          <w:szCs w:val="24"/>
          <w:highlight w:val="none"/>
        </w:rPr>
        <w:t>占用了底栖动物的生存空间，对底栖动物分布造成了一定挤压。但由于涉水建筑占评价区水域面积</w:t>
      </w:r>
      <w:r>
        <w:rPr>
          <w:rFonts w:hint="default" w:cs="Times New Roman"/>
          <w:color w:val="auto"/>
          <w:sz w:val="24"/>
          <w:szCs w:val="24"/>
          <w:highlight w:val="none"/>
          <w:lang w:val="en-US" w:eastAsia="zh-CN"/>
        </w:rPr>
        <w:t>极小</w:t>
      </w:r>
      <w:r>
        <w:rPr>
          <w:rFonts w:hint="default" w:ascii="Times New Roman" w:hAnsi="Times New Roman" w:cs="Times New Roman"/>
          <w:color w:val="auto"/>
          <w:sz w:val="24"/>
          <w:szCs w:val="24"/>
          <w:highlight w:val="none"/>
        </w:rPr>
        <w:t>，</w:t>
      </w:r>
      <w:r>
        <w:rPr>
          <w:rFonts w:hint="default" w:cs="Times New Roman"/>
          <w:color w:val="auto"/>
          <w:sz w:val="24"/>
          <w:szCs w:val="24"/>
          <w:highlight w:val="none"/>
          <w:lang w:val="en-US" w:eastAsia="zh-CN"/>
        </w:rPr>
        <w:t xml:space="preserve"> 不会对评价区内生存空间造成明显压缩，</w:t>
      </w:r>
      <w:r>
        <w:rPr>
          <w:rFonts w:hint="default" w:ascii="Times New Roman" w:hAnsi="Times New Roman" w:cs="Times New Roman"/>
          <w:color w:val="auto"/>
          <w:sz w:val="24"/>
          <w:szCs w:val="24"/>
          <w:highlight w:val="none"/>
        </w:rPr>
        <w:t>对底栖动物影响有限。</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196" w:name="_Toc114058468"/>
      <w:bookmarkStart w:id="197" w:name="_Toc30587"/>
      <w:bookmarkStart w:id="198" w:name="_Toc112625439"/>
      <w:bookmarkStart w:id="199" w:name="_Toc116917307"/>
      <w:bookmarkStart w:id="200" w:name="_Toc86832478"/>
      <w:bookmarkStart w:id="201" w:name="_Toc112624920"/>
      <w:bookmarkStart w:id="202" w:name="_Toc17414"/>
      <w:r>
        <w:rPr>
          <w:rFonts w:hint="default" w:cs="Times New Roman"/>
          <w:b/>
          <w:bCs/>
          <w:color w:val="auto"/>
          <w:kern w:val="0"/>
          <w:sz w:val="28"/>
          <w:szCs w:val="28"/>
          <w:highlight w:val="none"/>
          <w:lang w:val="en-US" w:eastAsia="zh-CN"/>
        </w:rPr>
        <w:t>5.3.4.4对水生维管束植物的影响</w:t>
      </w:r>
      <w:bookmarkEnd w:id="196"/>
      <w:bookmarkEnd w:id="197"/>
      <w:bookmarkEnd w:id="198"/>
      <w:bookmarkEnd w:id="199"/>
      <w:bookmarkEnd w:id="200"/>
      <w:bookmarkEnd w:id="201"/>
      <w:bookmarkEnd w:id="202"/>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4"/>
          <w:highlight w:val="none"/>
        </w:rPr>
        <w:t>本项目有部分涉水工程，施工</w:t>
      </w:r>
      <w:r>
        <w:rPr>
          <w:rFonts w:hint="eastAsia" w:cs="Times New Roman"/>
          <w:bCs/>
          <w:color w:val="auto"/>
          <w:sz w:val="24"/>
          <w:szCs w:val="24"/>
          <w:highlight w:val="none"/>
          <w:lang w:eastAsia="zh-CN"/>
        </w:rPr>
        <w:t>将会对</w:t>
      </w:r>
      <w:r>
        <w:rPr>
          <w:rFonts w:hint="default" w:ascii="Times New Roman" w:hAnsi="Times New Roman" w:cs="Times New Roman"/>
          <w:bCs/>
          <w:color w:val="auto"/>
          <w:sz w:val="24"/>
          <w:szCs w:val="24"/>
          <w:highlight w:val="none"/>
        </w:rPr>
        <w:t>水生维管植物产生一定负面影响。但由于多为喜旱莲子草、凤眼莲</w:t>
      </w:r>
      <w:r>
        <w:rPr>
          <w:rFonts w:hint="default" w:cs="Times New Roman"/>
          <w:bCs/>
          <w:color w:val="auto"/>
          <w:sz w:val="24"/>
          <w:szCs w:val="24"/>
          <w:highlight w:val="none"/>
          <w:lang w:eastAsia="zh-CN"/>
        </w:rPr>
        <w:t>、</w:t>
      </w:r>
      <w:r>
        <w:rPr>
          <w:rFonts w:hint="default" w:cs="Times New Roman"/>
          <w:bCs/>
          <w:color w:val="auto"/>
          <w:sz w:val="24"/>
          <w:szCs w:val="24"/>
          <w:highlight w:val="none"/>
          <w:lang w:val="en-US" w:eastAsia="zh-CN"/>
        </w:rPr>
        <w:t>芦苇</w:t>
      </w:r>
      <w:r>
        <w:rPr>
          <w:rFonts w:hint="default" w:ascii="Times New Roman" w:hAnsi="Times New Roman" w:cs="Times New Roman"/>
          <w:bCs/>
          <w:color w:val="auto"/>
          <w:sz w:val="24"/>
          <w:szCs w:val="24"/>
          <w:highlight w:val="none"/>
        </w:rPr>
        <w:t>等常见水生植物，工程且占用评价区面积总体很小，施工对水生维管束植物影响有限</w:t>
      </w:r>
      <w:r>
        <w:rPr>
          <w:rFonts w:hint="default" w:ascii="Times New Roman" w:hAnsi="Times New Roman" w:cs="Times New Roman"/>
          <w:color w:val="auto"/>
          <w:sz w:val="24"/>
          <w:szCs w:val="24"/>
          <w:highlight w:val="none"/>
        </w:rPr>
        <w:t>。运行期，亲水栈道等建筑物投影会影响附近水域水生维管束植物光合作用，对水生维管束植物生长产生一定影响。但由于投影面积较小，工程运行期对水生维管束植物影响较小。</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203" w:name="_Toc112625440"/>
      <w:bookmarkStart w:id="204" w:name="_Toc23681"/>
      <w:bookmarkStart w:id="205" w:name="_Toc116917308"/>
      <w:bookmarkStart w:id="206" w:name="_Toc112624921"/>
      <w:bookmarkStart w:id="207" w:name="_Toc86832479"/>
      <w:bookmarkStart w:id="208" w:name="_Toc6147"/>
      <w:bookmarkStart w:id="209" w:name="_Toc114058469"/>
      <w:r>
        <w:rPr>
          <w:rFonts w:hint="default" w:cs="Times New Roman"/>
          <w:b/>
          <w:bCs/>
          <w:color w:val="auto"/>
          <w:kern w:val="0"/>
          <w:sz w:val="28"/>
          <w:szCs w:val="28"/>
          <w:highlight w:val="none"/>
          <w:lang w:val="en-US" w:eastAsia="zh-CN"/>
        </w:rPr>
        <w:t>5.3.4.5对鱼类的影响</w:t>
      </w:r>
      <w:bookmarkEnd w:id="203"/>
      <w:bookmarkEnd w:id="204"/>
      <w:bookmarkEnd w:id="205"/>
      <w:bookmarkEnd w:id="206"/>
      <w:bookmarkEnd w:id="207"/>
      <w:bookmarkEnd w:id="208"/>
      <w:bookmarkEnd w:id="209"/>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5.3.4.5.1施工期</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（1）对鱼类种群结构的影响</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本项目仅部分工程涉及水域</w:t>
      </w:r>
      <w:r>
        <w:rPr>
          <w:rFonts w:hint="default" w:cs="Times New Roman"/>
          <w:color w:val="auto"/>
          <w:kern w:val="0"/>
          <w:sz w:val="24"/>
          <w:szCs w:val="24"/>
          <w:highlight w:val="none"/>
          <w:lang w:eastAsia="zh-CN"/>
        </w:rPr>
        <w:t>，</w:t>
      </w:r>
      <w:r>
        <w:rPr>
          <w:rFonts w:hint="default" w:cs="Times New Roman"/>
          <w:color w:val="auto"/>
          <w:kern w:val="0"/>
          <w:sz w:val="24"/>
          <w:szCs w:val="24"/>
          <w:highlight w:val="none"/>
          <w:lang w:val="en-US" w:eastAsia="zh-CN"/>
        </w:rPr>
        <w:t>涉及水域面积小，施工占用河床和产生的悬浮物不会导致评价水域内饵料生物量发生明显改变。</w:t>
      </w:r>
      <w:r>
        <w:rPr>
          <w:color w:val="auto"/>
          <w:sz w:val="24"/>
        </w:rPr>
        <w:t>鱼类受</w:t>
      </w:r>
      <w:r>
        <w:rPr>
          <w:rFonts w:hint="default"/>
          <w:color w:val="auto"/>
          <w:sz w:val="24"/>
          <w:lang w:val="en-US" w:eastAsia="zh-CN"/>
        </w:rPr>
        <w:t>工程</w:t>
      </w:r>
      <w:r>
        <w:rPr>
          <w:color w:val="auto"/>
          <w:sz w:val="24"/>
        </w:rPr>
        <w:t>建设噪声的惊吓而游离至其他适宜生境处，工程的施工导致</w:t>
      </w:r>
      <w:r>
        <w:rPr>
          <w:rFonts w:hint="default"/>
          <w:color w:val="auto"/>
          <w:sz w:val="24"/>
          <w:lang w:val="en-US" w:eastAsia="zh-CN"/>
        </w:rPr>
        <w:t>护岸和岸坡整治区域</w:t>
      </w:r>
      <w:r>
        <w:rPr>
          <w:color w:val="auto"/>
          <w:sz w:val="24"/>
        </w:rPr>
        <w:t>附近鱼类的种群数量减少</w:t>
      </w:r>
      <w:r>
        <w:rPr>
          <w:rFonts w:hint="default" w:cs="Times New Roman"/>
          <w:color w:val="auto"/>
          <w:kern w:val="0"/>
          <w:sz w:val="24"/>
          <w:szCs w:val="24"/>
          <w:highlight w:val="none"/>
          <w:lang w:val="en-US" w:eastAsia="zh-CN"/>
        </w:rPr>
        <w:t>。因此工程施工期主要影响施工周边水体内的鱼类种群密度，不会对评价水域鱼类种群结构造成明显影响。</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（2）施工期对鱼类资源的影响</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1）悬浮物对鱼类的影响</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抛石护岸</w:t>
      </w:r>
      <w:r>
        <w:rPr>
          <w:rFonts w:hint="default" w:ascii="Times New Roman" w:hAnsi="Times New Roman" w:cs="Times New Roman"/>
          <w:color w:val="auto"/>
          <w:sz w:val="24"/>
          <w:szCs w:val="24"/>
          <w:highlight w:val="none"/>
        </w:rPr>
        <w:t>工程施工会扰动水体，短期内可能造成浮游生物、底栖动物等饵料生物量的减少，改变了原有鱼类的生存、生长和繁衍条件，鱼类将择水而栖迁到其它地方。此外，施工产生的悬浮泥沙还会对鱼卵、仔稚鱼和幼体会造成伤害，主要表现为影响胚胎发育、堵塞生物的腮部造成窒息死亡。通常认为，成年鱼类的活动能力较强，在悬浮泥沙浓度超过10mg/L的范围内成鱼可以回避，施工作业对</w:t>
      </w:r>
      <w:r>
        <w:rPr>
          <w:rFonts w:hint="eastAsia" w:cs="Times New Roman"/>
          <w:color w:val="auto"/>
          <w:sz w:val="24"/>
          <w:szCs w:val="24"/>
          <w:highlight w:val="none"/>
          <w:lang w:eastAsia="zh-CN"/>
        </w:rPr>
        <w:t>其影响</w:t>
      </w:r>
      <w:r>
        <w:rPr>
          <w:rFonts w:hint="default" w:ascii="Times New Roman" w:hAnsi="Times New Roman" w:cs="Times New Roman"/>
          <w:color w:val="auto"/>
          <w:sz w:val="24"/>
          <w:szCs w:val="24"/>
          <w:highlight w:val="none"/>
        </w:rPr>
        <w:t>更多表现为</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驱散效应</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。由于工程施工量小、周期短</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涉水施工区为开放型河流，自身净化能力较强，鱼类也会本能避开浑浊水域。因此，施工阶段主要影响是改变了鱼类的暂时空间分布。随着施工的结束，不利影响也即消失。因此，施工期悬浮物对鱼类影响较小。</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2）噪声对鱼类的影响</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施工期噪声源主要包括搅拌机、振捣、运输车辆等施工机械设备。这些机械运行时噪声较大，联合施工时叠加影响更突出，对鱼类栖息、觅食、繁殖等活动会产生一定不利影响。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本项目使用的汽车等运输工具产生的噪声源，属于流动噪声源，其声级范围为75dB～92dB（A）</w:t>
      </w:r>
      <w:r>
        <w:rPr>
          <w:rFonts w:hint="default" w:ascii="Times New Roman" w:hAnsi="Times New Roman" w:eastAsia="宋体" w:cs="Times New Roman"/>
          <w:color w:val="auto"/>
          <w:sz w:val="24"/>
          <w:szCs w:val="24"/>
          <w:highlight w:val="none"/>
          <w:u w:val="none"/>
        </w:rPr>
        <w:t>本工程施工均在白天进行，工程施工使用的机械设备在作业过程中，由于碰撞、摩擦及振动而产生噪声，其声级约在85dB～102dB（A）范围内，根据噪声的无指向性点声源的几何发散衰减的基本公式计算可知，距声源50m处，噪声即降到70dB（A）以下，施工场界的噪声可满足《建筑施工场界环境噪声排放标准》GB12523-2011昼间85dB的要求；距声源250m处，噪声即降到55dB（A）以下，基本满足GB3096-2008《城市区域环境噪声标准》1类标准昼间55dB（A）的要求。根据《钻井噪声与振动对鲤鱼生长的影响》（孙耀，海洋水产）研究结果表明：</w:t>
      </w:r>
      <w:r>
        <w:rPr>
          <w:rFonts w:hint="eastAsia"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噪声与振动对鲤生长有显著影响，其临界等效噪声级和振动级约为83.9dB</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A</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和89.7dB</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A</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影响域径约为9m；噪声持续时间、体重和群居行为等生态因素，能显著改变钻井噪声与振动对鲤生长的污染效应。本工程施工期最大噪声值为</w:t>
      </w:r>
      <w:r>
        <w:rPr>
          <w:rFonts w:hint="default" w:ascii="Times New Roman" w:hAnsi="Times New Roman" w:eastAsia="宋体" w:cs="Times New Roman"/>
          <w:color w:val="auto"/>
          <w:sz w:val="24"/>
          <w:szCs w:val="24"/>
          <w:highlight w:val="none"/>
          <w:u w:val="none"/>
          <w:lang w:eastAsia="zh-CN"/>
        </w:rPr>
        <w:t>1</w:t>
      </w:r>
      <w:r>
        <w:rPr>
          <w:rFonts w:hint="default" w:ascii="Times New Roman" w:hAnsi="Times New Roman" w:eastAsia="宋体" w:cs="Times New Roman"/>
          <w:color w:val="auto"/>
          <w:sz w:val="24"/>
          <w:szCs w:val="24"/>
          <w:highlight w:val="none"/>
          <w:u w:val="none"/>
          <w:lang w:val="en-US" w:eastAsia="zh-CN"/>
        </w:rPr>
        <w:t>02</w:t>
      </w:r>
      <w:r>
        <w:rPr>
          <w:rFonts w:hint="default" w:ascii="Times New Roman" w:hAnsi="Times New Roman" w:eastAsia="宋体" w:cs="Times New Roman"/>
          <w:color w:val="auto"/>
          <w:sz w:val="24"/>
          <w:szCs w:val="24"/>
          <w:highlight w:val="none"/>
          <w:u w:val="none"/>
        </w:rPr>
        <w:t>dB</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A</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，大于临界等效噪声级83.9dB</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A</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rPr>
        <w:t>若该类型噪声长期存在，将对鱼类生长造成显著影响。但</w:t>
      </w:r>
      <w:r>
        <w:rPr>
          <w:rFonts w:hint="default" w:ascii="Times New Roman" w:hAnsi="Times New Roman" w:eastAsia="宋体" w:cs="Times New Roman"/>
          <w:color w:val="auto"/>
          <w:sz w:val="24"/>
          <w:szCs w:val="24"/>
          <w:highlight w:val="none"/>
          <w:lang w:val="en-US" w:eastAsia="zh-CN"/>
        </w:rPr>
        <w:t>施工周期短</w:t>
      </w:r>
      <w:r>
        <w:rPr>
          <w:rFonts w:hint="default" w:ascii="Times New Roman" w:hAnsi="Times New Roman" w:eastAsia="宋体" w:cs="Times New Roman"/>
          <w:color w:val="auto"/>
          <w:sz w:val="24"/>
          <w:szCs w:val="24"/>
          <w:highlight w:val="none"/>
        </w:rPr>
        <w:t>，且施工区附近河段为开放水域，鱼类受到噪声刺激后，迅速游离施工区附近河段，工程施工期间产生的噪声对鱼类空间暂时的分布有一定影响，工程施工结束后即可恢复。</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3）其他施工活动及人类活动的影响</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施工期，工程施工人员如果在施工之余进行电鱼、炸鱼、毒鱼等违法活动</w:t>
      </w:r>
      <w:r>
        <w:rPr>
          <w:rFonts w:hint="default" w:cs="Times New Roman"/>
          <w:color w:val="auto"/>
          <w:sz w:val="24"/>
          <w:szCs w:val="24"/>
          <w:highlight w:val="none"/>
          <w:lang w:val="en-US" w:eastAsia="zh-CN"/>
        </w:rPr>
        <w:t>将会对评价水域</w:t>
      </w:r>
      <w:r>
        <w:rPr>
          <w:rFonts w:hint="eastAsia" w:cs="Times New Roman"/>
          <w:color w:val="auto"/>
          <w:sz w:val="24"/>
          <w:szCs w:val="24"/>
          <w:highlight w:val="none"/>
          <w:lang w:val="en-US" w:eastAsia="zh-CN"/>
        </w:rPr>
        <w:t>渔业</w:t>
      </w:r>
      <w:r>
        <w:rPr>
          <w:rFonts w:hint="default" w:cs="Times New Roman"/>
          <w:color w:val="auto"/>
          <w:sz w:val="24"/>
          <w:szCs w:val="24"/>
          <w:highlight w:val="none"/>
          <w:lang w:val="en-US" w:eastAsia="zh-CN"/>
        </w:rPr>
        <w:t>资源造成影响</w:t>
      </w:r>
      <w:r>
        <w:rPr>
          <w:rFonts w:hint="default" w:ascii="Times New Roman" w:hAnsi="Times New Roman" w:cs="Times New Roman"/>
          <w:color w:val="auto"/>
          <w:sz w:val="24"/>
          <w:szCs w:val="24"/>
          <w:highlight w:val="none"/>
        </w:rPr>
        <w:t>。因此必须加强管理，禁止在</w:t>
      </w:r>
      <w:r>
        <w:rPr>
          <w:rFonts w:hint="default" w:ascii="Times New Roman" w:hAnsi="Times New Roman" w:cs="Times New Roman"/>
          <w:color w:val="auto"/>
          <w:sz w:val="24"/>
          <w:szCs w:val="24"/>
          <w:highlight w:val="none"/>
          <w:lang w:val="en-US" w:eastAsia="zh-CN"/>
        </w:rPr>
        <w:t>评价水体</w:t>
      </w:r>
      <w:r>
        <w:rPr>
          <w:rFonts w:hint="default" w:ascii="Times New Roman" w:hAnsi="Times New Roman" w:cs="Times New Roman"/>
          <w:color w:val="auto"/>
          <w:sz w:val="24"/>
          <w:szCs w:val="24"/>
          <w:highlight w:val="none"/>
        </w:rPr>
        <w:t>内从事非法捕鱼行为。</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对鱼类重要生境的影响</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拟建工程区附近存在东洲、</w:t>
      </w:r>
      <w:r>
        <w:rPr>
          <w:rFonts w:hint="default" w:cs="Times New Roman"/>
          <w:color w:val="auto"/>
          <w:sz w:val="24"/>
          <w:szCs w:val="24"/>
          <w:highlight w:val="none"/>
          <w:lang w:val="en-US" w:eastAsia="zh-CN"/>
        </w:rPr>
        <w:t>白渔潭</w:t>
      </w:r>
      <w:r>
        <w:rPr>
          <w:rFonts w:hint="default" w:ascii="Times New Roman" w:hAnsi="Times New Roman" w:cs="Times New Roman"/>
          <w:color w:val="auto"/>
          <w:sz w:val="24"/>
          <w:szCs w:val="24"/>
          <w:highlight w:val="none"/>
        </w:rPr>
        <w:t>等产粘沉性卵鱼类产卵、索饵及越冬场，</w:t>
      </w:r>
      <w:r>
        <w:rPr>
          <w:rFonts w:hint="default" w:cs="Times New Roman"/>
          <w:color w:val="auto"/>
          <w:sz w:val="24"/>
          <w:szCs w:val="24"/>
          <w:highlight w:val="none"/>
          <w:lang w:val="en-US" w:eastAsia="zh-CN"/>
        </w:rPr>
        <w:t>位于东洲岛下游1km区域。</w:t>
      </w:r>
      <w:r>
        <w:rPr>
          <w:rFonts w:hint="default" w:ascii="Times New Roman" w:hAnsi="Times New Roman" w:cs="Times New Roman"/>
          <w:color w:val="auto"/>
          <w:sz w:val="24"/>
          <w:szCs w:val="24"/>
          <w:highlight w:val="none"/>
        </w:rPr>
        <w:t>工程涉水施工较少、工期较短，工程施工对其影响较小。</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5.3.4.5.2运行期</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运行期对鱼类的影响主要表现为</w:t>
      </w:r>
      <w:r>
        <w:rPr>
          <w:rFonts w:hint="default" w:cs="Times New Roman"/>
          <w:color w:val="auto"/>
          <w:sz w:val="24"/>
          <w:szCs w:val="24"/>
          <w:highlight w:val="none"/>
          <w:lang w:val="en-US" w:eastAsia="zh-CN"/>
        </w:rPr>
        <w:t>永久占地、</w:t>
      </w:r>
      <w:r>
        <w:rPr>
          <w:rFonts w:hint="default" w:ascii="Times New Roman" w:hAnsi="Times New Roman" w:cs="Times New Roman"/>
          <w:color w:val="auto"/>
          <w:sz w:val="24"/>
          <w:szCs w:val="24"/>
          <w:highlight w:val="none"/>
        </w:rPr>
        <w:t>噪声、</w:t>
      </w:r>
      <w:r>
        <w:rPr>
          <w:rFonts w:hint="default" w:ascii="Times New Roman" w:hAnsi="Times New Roman" w:cs="Times New Roman"/>
          <w:color w:val="auto"/>
          <w:sz w:val="24"/>
          <w:szCs w:val="24"/>
          <w:highlight w:val="none"/>
          <w:lang w:val="en-US" w:eastAsia="zh-CN"/>
        </w:rPr>
        <w:t>灯光、</w:t>
      </w:r>
      <w:r>
        <w:rPr>
          <w:rFonts w:hint="default" w:ascii="Times New Roman" w:hAnsi="Times New Roman" w:cs="Times New Roman"/>
          <w:color w:val="auto"/>
          <w:sz w:val="24"/>
          <w:szCs w:val="24"/>
          <w:highlight w:val="none"/>
        </w:rPr>
        <w:t>水污染。鱼类容易受到声音、异物等的惊吓。</w:t>
      </w:r>
    </w:p>
    <w:p>
      <w:pPr>
        <w:spacing w:line="360" w:lineRule="auto"/>
        <w:ind w:firstLine="480"/>
        <w:rPr>
          <w:rFonts w:hint="default" w:ascii="Times New Roman" w:hAnsi="Times New Roman" w:cs="Times New Roman"/>
          <w:color w:val="auto"/>
          <w:sz w:val="24"/>
          <w:szCs w:val="24"/>
          <w:highlight w:val="none"/>
          <w:lang w:val="en-US" w:eastAsia="zh-CN"/>
        </w:rPr>
      </w:pPr>
      <w:r>
        <w:rPr>
          <w:rFonts w:hint="default" w:cs="Times New Roman"/>
          <w:color w:val="auto"/>
          <w:kern w:val="0"/>
          <w:sz w:val="24"/>
          <w:szCs w:val="24"/>
          <w:highlight w:val="none"/>
          <w:lang w:val="en-US" w:eastAsia="zh-CN"/>
        </w:rPr>
        <w:t>护岸工程永久性占据河流，永久破坏建设位置的河床底质，还会引起局部水流发生流向、流速和流态的变化。工程位置局部水域生境变化，会引起鱼类饵料生物如浮游植物、浮游动物、底栖动物等的减少或者种类变化，对占地区域鱼类食源产生一定影响。湘江内建设的涉水工程占用水域面积小，不会明显改变评价水域饵料生物资料量。加上鱼类具有主动避害、逐渐适应生境的能力。因此永久占地对鱼类资源的影响小。</w:t>
      </w:r>
    </w:p>
    <w:p>
      <w:pPr>
        <w:spacing w:line="360" w:lineRule="auto"/>
        <w:ind w:firstLine="48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游客游览活动产生的</w:t>
      </w:r>
      <w:r>
        <w:rPr>
          <w:rFonts w:hint="default" w:ascii="Times New Roman" w:hAnsi="Times New Roman" w:cs="Times New Roman"/>
          <w:color w:val="auto"/>
          <w:sz w:val="24"/>
          <w:szCs w:val="24"/>
          <w:highlight w:val="none"/>
        </w:rPr>
        <w:t>噪声，</w:t>
      </w:r>
      <w:r>
        <w:rPr>
          <w:rFonts w:hint="default" w:cs="Times New Roman"/>
          <w:color w:val="auto"/>
          <w:sz w:val="24"/>
          <w:szCs w:val="24"/>
          <w:highlight w:val="none"/>
          <w:lang w:val="en-US" w:eastAsia="zh-CN"/>
        </w:rPr>
        <w:t>可能</w:t>
      </w:r>
      <w:r>
        <w:rPr>
          <w:rFonts w:hint="default" w:ascii="Times New Roman" w:hAnsi="Times New Roman" w:cs="Times New Roman"/>
          <w:color w:val="auto"/>
          <w:sz w:val="24"/>
          <w:szCs w:val="24"/>
          <w:highlight w:val="none"/>
        </w:rPr>
        <w:t>会引起鱼类的躁动，从而延误产卵的时间，甚至不能产卵。同样的影响也会造成鱼类交配成功率，使雌鱼腹中鱼卵因不能排出体外被再次吸收。</w:t>
      </w:r>
      <w:r>
        <w:rPr>
          <w:rFonts w:hint="default" w:cs="Times New Roman"/>
          <w:color w:val="auto"/>
          <w:sz w:val="24"/>
          <w:szCs w:val="24"/>
          <w:highlight w:val="none"/>
          <w:lang w:val="en-US" w:eastAsia="zh-CN"/>
        </w:rPr>
        <w:t>游客游览时候噪声强度不高，且传递至水体后噪声将进一步削减，人为活动产生的噪声对</w:t>
      </w:r>
      <w:r>
        <w:rPr>
          <w:rFonts w:hint="default" w:ascii="Times New Roman" w:hAnsi="Times New Roman" w:cs="Times New Roman"/>
          <w:color w:val="auto"/>
          <w:sz w:val="24"/>
          <w:szCs w:val="24"/>
          <w:highlight w:val="none"/>
          <w:lang w:val="en-US" w:eastAsia="zh-CN"/>
        </w:rPr>
        <w:t>评价水体</w:t>
      </w:r>
      <w:r>
        <w:rPr>
          <w:rFonts w:hint="default" w:ascii="Times New Roman" w:hAnsi="Times New Roman" w:cs="Times New Roman"/>
          <w:color w:val="auto"/>
          <w:sz w:val="24"/>
          <w:szCs w:val="24"/>
          <w:highlight w:val="none"/>
        </w:rPr>
        <w:t>鱼类资源影响有限。</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本项目存在大量亮化工程，包括</w:t>
      </w:r>
      <w:r>
        <w:rPr>
          <w:rFonts w:hint="default" w:ascii="Times New Roman" w:hAnsi="Times New Roman" w:cs="Times New Roman"/>
          <w:color w:val="auto"/>
          <w:sz w:val="24"/>
          <w:szCs w:val="24"/>
          <w:highlight w:val="none"/>
        </w:rPr>
        <w:t>风雨廊桥景观亮化工程</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东洲岛夜景亮化</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东洲岛—石鼓书院夜游灯光秀</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沿江堤岸灯光亮化工程及配套设施亮化工程</w:t>
      </w:r>
      <w:r>
        <w:rPr>
          <w:rFonts w:hint="default" w:ascii="Times New Roman" w:hAnsi="Times New Roman" w:cs="Times New Roman"/>
          <w:color w:val="auto"/>
          <w:sz w:val="24"/>
          <w:szCs w:val="24"/>
          <w:highlight w:val="none"/>
          <w:lang w:val="en-US" w:eastAsia="zh-CN"/>
        </w:rPr>
        <w:t>等，而灯光对鱼类具有集群和摄食（浮游生物有昼夜垂直异动的现象）的生物学信号意义，但随着鱼类逐步适应该环境。同时，鱼类聚集也会导致游客非法捕捞鱼类，因此，应加强管理和监督，才能减少对水生生物的影响。</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运行期间路面径流携带污染物进入</w:t>
      </w:r>
      <w:r>
        <w:rPr>
          <w:rFonts w:hint="default" w:ascii="Times New Roman" w:hAnsi="Times New Roman" w:cs="Times New Roman"/>
          <w:color w:val="auto"/>
          <w:sz w:val="24"/>
          <w:szCs w:val="24"/>
          <w:highlight w:val="none"/>
          <w:lang w:val="en-US" w:eastAsia="zh-CN"/>
        </w:rPr>
        <w:t>评价</w:t>
      </w:r>
      <w:r>
        <w:rPr>
          <w:rFonts w:hint="default" w:ascii="Times New Roman" w:hAnsi="Times New Roman" w:cs="Times New Roman"/>
          <w:color w:val="auto"/>
          <w:sz w:val="24"/>
          <w:szCs w:val="24"/>
          <w:highlight w:val="none"/>
        </w:rPr>
        <w:t>水体，雨水径流中污染成分复杂，主要包括汽车尾气及其烟尘污染物、车轮携带的泥沙等，会造成</w:t>
      </w:r>
      <w:r>
        <w:rPr>
          <w:rFonts w:hint="default" w:ascii="Times New Roman" w:hAnsi="Times New Roman" w:cs="Times New Roman"/>
          <w:color w:val="auto"/>
          <w:sz w:val="24"/>
          <w:szCs w:val="24"/>
          <w:highlight w:val="none"/>
          <w:lang w:val="en-US" w:eastAsia="zh-CN"/>
        </w:rPr>
        <w:t>评价水体</w:t>
      </w:r>
      <w:r>
        <w:rPr>
          <w:rFonts w:hint="default" w:ascii="Times New Roman" w:hAnsi="Times New Roman" w:cs="Times New Roman"/>
          <w:color w:val="auto"/>
          <w:sz w:val="24"/>
          <w:szCs w:val="24"/>
          <w:highlight w:val="none"/>
        </w:rPr>
        <w:t>水质恶化，从而影响鱼类的栖息生境。沿岸居民和行人随意丢弃生活垃圾，也会对</w:t>
      </w:r>
      <w:r>
        <w:rPr>
          <w:rFonts w:hint="default" w:cs="Times New Roman"/>
          <w:color w:val="auto"/>
          <w:sz w:val="24"/>
          <w:szCs w:val="24"/>
          <w:highlight w:val="none"/>
          <w:lang w:val="en-US" w:eastAsia="zh-CN"/>
        </w:rPr>
        <w:t>评价水体</w:t>
      </w:r>
      <w:r>
        <w:rPr>
          <w:rFonts w:hint="default" w:ascii="Times New Roman" w:hAnsi="Times New Roman" w:cs="Times New Roman"/>
          <w:color w:val="auto"/>
          <w:sz w:val="24"/>
          <w:szCs w:val="24"/>
          <w:highlight w:val="none"/>
        </w:rPr>
        <w:t>水质产生一定不利影响。但通过规范居民行为、加强道路交通及文旅设施管理后，对</w:t>
      </w:r>
      <w:r>
        <w:rPr>
          <w:rFonts w:hint="default" w:cs="Times New Roman"/>
          <w:color w:val="auto"/>
          <w:sz w:val="24"/>
          <w:szCs w:val="24"/>
          <w:highlight w:val="none"/>
          <w:lang w:val="en-US" w:eastAsia="zh-CN"/>
        </w:rPr>
        <w:t>评价区水体</w:t>
      </w:r>
      <w:r>
        <w:rPr>
          <w:rFonts w:hint="default" w:ascii="Times New Roman" w:hAnsi="Times New Roman" w:cs="Times New Roman"/>
          <w:color w:val="auto"/>
          <w:sz w:val="24"/>
          <w:szCs w:val="24"/>
          <w:highlight w:val="none"/>
        </w:rPr>
        <w:t>鱼类影响较小。</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bookmarkStart w:id="210" w:name="_Toc112624922"/>
      <w:bookmarkStart w:id="211" w:name="_Toc112625441"/>
      <w:bookmarkStart w:id="212" w:name="_Toc114058470"/>
      <w:bookmarkStart w:id="213" w:name="_Toc30428"/>
      <w:bookmarkStart w:id="214" w:name="_Toc30440"/>
      <w:bookmarkStart w:id="215" w:name="_Toc116917309"/>
      <w:r>
        <w:rPr>
          <w:rFonts w:hint="default" w:cs="Times New Roman"/>
          <w:b/>
          <w:bCs/>
          <w:color w:val="auto"/>
          <w:kern w:val="0"/>
          <w:sz w:val="28"/>
          <w:szCs w:val="28"/>
          <w:highlight w:val="none"/>
          <w:lang w:val="en-US" w:eastAsia="zh-CN"/>
        </w:rPr>
        <w:t>5.3.4.6对重要物种的影响</w:t>
      </w:r>
      <w:bookmarkEnd w:id="210"/>
      <w:bookmarkEnd w:id="211"/>
      <w:bookmarkEnd w:id="212"/>
      <w:bookmarkEnd w:id="213"/>
      <w:bookmarkEnd w:id="214"/>
      <w:bookmarkEnd w:id="215"/>
    </w:p>
    <w:p>
      <w:pPr>
        <w:overflowPunct w:val="0"/>
        <w:spacing w:line="360" w:lineRule="auto"/>
        <w:ind w:firstLine="48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结合历史资料，在评价区内没有发现国家重点保护水生野生动物，列入湖南省地方重点保护野生动植物名录的鱼类有6种，分别为衡阳薄鳅、鳤、瓣结鱼、犁头鳅、南方鳅鮀、宜昌鳅鮀。施工期间产生的机械噪声对上述保护鱼类具有驱离作用，</w:t>
      </w:r>
      <w:r>
        <w:rPr>
          <w:rFonts w:hint="default" w:cs="Times New Roman"/>
          <w:color w:val="auto"/>
          <w:sz w:val="24"/>
          <w:szCs w:val="24"/>
          <w:highlight w:val="none"/>
          <w:lang w:val="en-US" w:eastAsia="zh-CN"/>
        </w:rPr>
        <w:t>抛石护岸</w:t>
      </w:r>
      <w:r>
        <w:rPr>
          <w:rFonts w:hint="default" w:ascii="Times New Roman" w:hAnsi="Times New Roman" w:cs="Times New Roman"/>
          <w:color w:val="auto"/>
          <w:sz w:val="24"/>
          <w:szCs w:val="24"/>
          <w:highlight w:val="none"/>
        </w:rPr>
        <w:t>等施工活动，其可能导致其意外</w:t>
      </w:r>
      <w:r>
        <w:rPr>
          <w:rFonts w:hint="eastAsia" w:cs="Times New Roman"/>
          <w:color w:val="auto"/>
          <w:sz w:val="24"/>
          <w:szCs w:val="24"/>
          <w:highlight w:val="none"/>
          <w:lang w:eastAsia="zh-CN"/>
        </w:rPr>
        <w:t>伤害</w:t>
      </w:r>
      <w:r>
        <w:rPr>
          <w:rFonts w:hint="default" w:ascii="Times New Roman" w:hAnsi="Times New Roman" w:cs="Times New Roman"/>
          <w:color w:val="auto"/>
          <w:sz w:val="24"/>
          <w:szCs w:val="24"/>
          <w:highlight w:val="none"/>
        </w:rPr>
        <w:t>。但由于鱼类具有避害行为，且施工范围较小，只要保护措施得当，本工程不会对重要鱼类造成明显影响。</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综上所述，项目实施占用保护区水域面积小，区域人为活动频繁，项目实施对保护区的影响小。</w:t>
      </w:r>
    </w:p>
    <w:p>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Cs w:val="21"/>
          <w:highlight w:val="none"/>
        </w:rPr>
      </w:pPr>
      <w:bookmarkStart w:id="216" w:name="_Toc12881"/>
      <w:r>
        <w:rPr>
          <w:rFonts w:hint="default" w:cs="Times New Roman"/>
          <w:b/>
          <w:bCs/>
          <w:color w:val="auto"/>
          <w:szCs w:val="21"/>
          <w:highlight w:val="none"/>
          <w:lang w:val="en-US" w:eastAsia="zh-CN"/>
        </w:rPr>
        <w:t xml:space="preserve">表 5.3-7 </w:t>
      </w:r>
      <w:r>
        <w:rPr>
          <w:rFonts w:hint="default" w:ascii="Times New Roman" w:hAnsi="Times New Roman" w:eastAsia="宋体" w:cs="Times New Roman"/>
          <w:b/>
          <w:bCs/>
          <w:color w:val="auto"/>
          <w:szCs w:val="21"/>
          <w:highlight w:val="none"/>
        </w:rPr>
        <w:t>生态环境影响自查表</w:t>
      </w:r>
      <w:bookmarkEnd w:id="216"/>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1248"/>
        <w:gridCol w:w="63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10" w:type="dxa"/>
            <w:gridSpan w:val="2"/>
            <w:vAlign w:val="center"/>
          </w:tcPr>
          <w:p>
            <w:pPr>
              <w:adjustRightInd w:val="0"/>
              <w:snapToGrid w:val="0"/>
              <w:spacing w:line="300" w:lineRule="auto"/>
              <w:jc w:val="center"/>
              <w:textAlignment w:val="center"/>
              <w:rPr>
                <w:rFonts w:hint="default" w:ascii="Times New Roman" w:hAnsi="Times New Roman" w:cs="Times New Roman"/>
                <w:b/>
                <w:bCs/>
                <w:color w:val="auto"/>
                <w:szCs w:val="21"/>
                <w:highlight w:val="none"/>
                <w:lang w:val="zh-CN"/>
              </w:rPr>
            </w:pPr>
            <w:r>
              <w:rPr>
                <w:rFonts w:hint="default" w:ascii="Times New Roman" w:hAnsi="Times New Roman" w:cs="Times New Roman"/>
                <w:b/>
                <w:bCs/>
                <w:color w:val="auto"/>
                <w:kern w:val="0"/>
                <w:szCs w:val="21"/>
                <w:highlight w:val="none"/>
                <w:lang w:val="zh-CN"/>
              </w:rPr>
              <w:t>工作内容</w:t>
            </w:r>
          </w:p>
        </w:tc>
        <w:tc>
          <w:tcPr>
            <w:tcW w:w="6652" w:type="dxa"/>
            <w:vAlign w:val="center"/>
          </w:tcPr>
          <w:p>
            <w:pPr>
              <w:adjustRightInd w:val="0"/>
              <w:snapToGrid w:val="0"/>
              <w:spacing w:line="300" w:lineRule="auto"/>
              <w:jc w:val="center"/>
              <w:textAlignment w:val="center"/>
              <w:rPr>
                <w:rFonts w:hint="default" w:ascii="Times New Roman" w:hAnsi="Times New Roman" w:cs="Times New Roman"/>
                <w:b/>
                <w:bCs/>
                <w:color w:val="auto"/>
                <w:kern w:val="0"/>
                <w:szCs w:val="21"/>
                <w:highlight w:val="none"/>
                <w:lang w:val="zh-CN"/>
              </w:rPr>
            </w:pPr>
            <w:r>
              <w:rPr>
                <w:rFonts w:hint="default" w:ascii="Times New Roman" w:hAnsi="Times New Roman" w:cs="Times New Roman"/>
                <w:b/>
                <w:bCs/>
                <w:color w:val="auto"/>
                <w:kern w:val="0"/>
                <w:szCs w:val="21"/>
                <w:highlight w:val="none"/>
                <w:lang w:val="zh-CN"/>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restart"/>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生态影响识别</w:t>
            </w: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生态保护目标</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重要物种</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；国家公园□；自然保护区</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；自然公园□；世界自然遗产□；生态保护红线☑；重要生境□；其他具有重要生态功能、对保护生物多样性具有重要意义的区域☑；其他□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continue"/>
            <w:vAlign w:val="center"/>
          </w:tcPr>
          <w:p>
            <w:pPr>
              <w:spacing w:line="300" w:lineRule="auto"/>
              <w:jc w:val="center"/>
              <w:rPr>
                <w:rFonts w:hint="default" w:ascii="Times New Roman" w:hAnsi="Times New Roman" w:cs="Times New Roman"/>
                <w:color w:val="auto"/>
                <w:szCs w:val="21"/>
                <w:highlight w:val="none"/>
              </w:rPr>
            </w:pP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影响方式</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工程占用</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；施工活动干扰</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；改变环境条件</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continue"/>
            <w:vAlign w:val="center"/>
          </w:tcPr>
          <w:p>
            <w:pPr>
              <w:spacing w:line="300" w:lineRule="auto"/>
              <w:jc w:val="center"/>
              <w:rPr>
                <w:rFonts w:hint="default" w:ascii="Times New Roman" w:hAnsi="Times New Roman" w:cs="Times New Roman"/>
                <w:color w:val="auto"/>
                <w:szCs w:val="21"/>
                <w:highlight w:val="none"/>
              </w:rPr>
            </w:pP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评价因子</w:t>
            </w:r>
          </w:p>
        </w:tc>
        <w:tc>
          <w:tcPr>
            <w:tcW w:w="6652" w:type="dxa"/>
            <w:vAlign w:val="center"/>
          </w:tcPr>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物种</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（分布范围、种群数量、种群结构、行为等）</w:t>
            </w:r>
          </w:p>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生境</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 生境面积、质量、连通性等）</w:t>
            </w:r>
          </w:p>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生物群落</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（物种组成、群落结构等）</w:t>
            </w:r>
          </w:p>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生态系统</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（生态系统类型、面积、分布、功能等）</w:t>
            </w:r>
          </w:p>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生物多样性</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（物种丰富度、均匀度、优势度等）</w:t>
            </w:r>
          </w:p>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生态敏感区</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（自然保护区）</w:t>
            </w:r>
          </w:p>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自然景观□（景观多样性、完整性等）</w:t>
            </w:r>
          </w:p>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自然遗迹□（                     ）</w:t>
            </w:r>
          </w:p>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10" w:type="dxa"/>
            <w:gridSpan w:val="2"/>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评价等级</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一级</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（水生生态）     二级</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（陆生生态）   三级□    生态影响简单分析□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10" w:type="dxa"/>
            <w:gridSpan w:val="2"/>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评价范围</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陆域面积：（</w:t>
            </w:r>
            <w:r>
              <w:rPr>
                <w:rFonts w:hint="default" w:ascii="Times New Roman" w:hAnsi="Times New Roman" w:cs="Times New Roman"/>
                <w:color w:val="auto"/>
                <w:kern w:val="0"/>
                <w:szCs w:val="21"/>
                <w:highlight w:val="none"/>
                <w:lang w:val="en-US" w:eastAsia="zh-CN"/>
              </w:rPr>
              <w:t>421.21</w:t>
            </w:r>
            <w:r>
              <w:rPr>
                <w:rFonts w:hint="default" w:ascii="Times New Roman" w:hAnsi="Times New Roman" w:cs="Times New Roman"/>
                <w:color w:val="auto"/>
                <w:kern w:val="0"/>
                <w:szCs w:val="21"/>
                <w:highlight w:val="none"/>
                <w:lang w:val="zh-CN"/>
              </w:rPr>
              <w:t>）hm</w:t>
            </w:r>
            <w:r>
              <w:rPr>
                <w:rFonts w:hint="default" w:ascii="Times New Roman" w:hAnsi="Times New Roman" w:cs="Times New Roman"/>
                <w:color w:val="auto"/>
                <w:kern w:val="0"/>
                <w:szCs w:val="21"/>
                <w:highlight w:val="none"/>
                <w:vertAlign w:val="superscript"/>
                <w:lang w:val="zh-CN"/>
              </w:rPr>
              <w:t>2</w:t>
            </w:r>
            <w:r>
              <w:rPr>
                <w:rFonts w:hint="default" w:ascii="Times New Roman" w:hAnsi="Times New Roman" w:cs="Times New Roman"/>
                <w:color w:val="auto"/>
                <w:kern w:val="0"/>
                <w:szCs w:val="21"/>
                <w:highlight w:val="none"/>
                <w:lang w:val="zh-CN"/>
              </w:rPr>
              <w:t>；水域面积：（</w:t>
            </w:r>
            <w:r>
              <w:rPr>
                <w:rFonts w:hint="default" w:ascii="Times New Roman" w:hAnsi="Times New Roman" w:cs="Times New Roman"/>
                <w:color w:val="auto"/>
                <w:kern w:val="0"/>
                <w:szCs w:val="21"/>
                <w:highlight w:val="none"/>
                <w:lang w:val="en-US" w:eastAsia="zh-CN"/>
              </w:rPr>
              <w:t>350</w:t>
            </w:r>
            <w:r>
              <w:rPr>
                <w:rFonts w:hint="default" w:ascii="Times New Roman" w:hAnsi="Times New Roman" w:cs="Times New Roman"/>
                <w:color w:val="auto"/>
                <w:kern w:val="0"/>
                <w:szCs w:val="21"/>
                <w:highlight w:val="none"/>
                <w:lang w:val="zh-CN"/>
              </w:rPr>
              <w:t>）hm</w:t>
            </w:r>
            <w:r>
              <w:rPr>
                <w:rFonts w:hint="default" w:ascii="Times New Roman" w:hAnsi="Times New Roman" w:cs="Times New Roman"/>
                <w:color w:val="auto"/>
                <w:kern w:val="0"/>
                <w:szCs w:val="21"/>
                <w:highlight w:val="none"/>
                <w:vertAlign w:val="superscript"/>
                <w:lang w:val="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restart"/>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生态现状调查与评价</w:t>
            </w: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调查方法</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资料收集</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；遥感调查</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；调查样方</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、样线</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；调查点位</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、断面</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；专家和公众咨询法</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continue"/>
            <w:vAlign w:val="center"/>
          </w:tcPr>
          <w:p>
            <w:pPr>
              <w:spacing w:line="300" w:lineRule="auto"/>
              <w:jc w:val="center"/>
              <w:rPr>
                <w:rFonts w:hint="default" w:ascii="Times New Roman" w:hAnsi="Times New Roman" w:cs="Times New Roman"/>
                <w:color w:val="auto"/>
                <w:szCs w:val="21"/>
                <w:highlight w:val="none"/>
              </w:rPr>
            </w:pP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调查时间</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春季</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；夏季</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；秋季☑；冬季□</w:t>
            </w:r>
          </w:p>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丰水期</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；枯水期</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；平水期□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continue"/>
            <w:vAlign w:val="center"/>
          </w:tcPr>
          <w:p>
            <w:pPr>
              <w:spacing w:line="300" w:lineRule="auto"/>
              <w:jc w:val="center"/>
              <w:rPr>
                <w:rFonts w:hint="default" w:ascii="Times New Roman" w:hAnsi="Times New Roman" w:cs="Times New Roman"/>
                <w:color w:val="auto"/>
                <w:szCs w:val="21"/>
                <w:highlight w:val="none"/>
              </w:rPr>
            </w:pP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所在区域的生态问题</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水土流失</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；沙漠化□；石漠化□；盐渍化□；生物入侵□；污染危害</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continue"/>
            <w:vAlign w:val="center"/>
          </w:tcPr>
          <w:p>
            <w:pPr>
              <w:spacing w:line="300" w:lineRule="auto"/>
              <w:jc w:val="center"/>
              <w:rPr>
                <w:rFonts w:hint="default" w:ascii="Times New Roman" w:hAnsi="Times New Roman" w:cs="Times New Roman"/>
                <w:color w:val="auto"/>
                <w:szCs w:val="21"/>
                <w:highlight w:val="none"/>
              </w:rPr>
            </w:pP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评价内容</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植被/植物群落</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；土地利用</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；生态系统</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；生物多样性</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；重要物种</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；生态敏感区</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restart"/>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生态影响预测与评价</w:t>
            </w: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评价方法</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定性□；定性和定量</w:t>
            </w:r>
            <w:r>
              <w:rPr>
                <w:rFonts w:hint="default" w:ascii="Times New Roman" w:hAnsi="Times New Roman" w:eastAsia="MS Gothic" w:cs="Times New Roman"/>
                <w:color w:val="auto"/>
                <w:kern w:val="0"/>
                <w:szCs w:val="21"/>
                <w:highlight w:val="none"/>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continue"/>
            <w:vAlign w:val="center"/>
          </w:tcPr>
          <w:p>
            <w:pPr>
              <w:spacing w:line="300" w:lineRule="auto"/>
              <w:jc w:val="center"/>
              <w:rPr>
                <w:rFonts w:hint="default" w:ascii="Times New Roman" w:hAnsi="Times New Roman" w:cs="Times New Roman"/>
                <w:color w:val="auto"/>
                <w:szCs w:val="21"/>
                <w:highlight w:val="none"/>
              </w:rPr>
            </w:pP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评价内容</w:t>
            </w:r>
          </w:p>
        </w:tc>
        <w:tc>
          <w:tcPr>
            <w:tcW w:w="6652" w:type="dxa"/>
            <w:vAlign w:val="center"/>
          </w:tcPr>
          <w:p>
            <w:pPr>
              <w:widowControl/>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植被/植物群落</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；土地利用</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；生态系统</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；生物多样性</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；重要物种</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；生态敏感区□；生物入侵风险</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restart"/>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生态保护对策措施</w:t>
            </w: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对策措施</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避让</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；减缓</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；生态修复</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；生态补偿</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；科研□；其他□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continue"/>
            <w:vAlign w:val="center"/>
          </w:tcPr>
          <w:p>
            <w:pPr>
              <w:spacing w:line="300" w:lineRule="auto"/>
              <w:jc w:val="center"/>
              <w:rPr>
                <w:rFonts w:hint="default" w:ascii="Times New Roman" w:hAnsi="Times New Roman" w:cs="Times New Roman"/>
                <w:color w:val="auto"/>
                <w:szCs w:val="21"/>
                <w:highlight w:val="none"/>
              </w:rPr>
            </w:pP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生态监测计划</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全生命周期</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；长期跟踪☑；常规□；无□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Merge w:val="continue"/>
            <w:vAlign w:val="center"/>
          </w:tcPr>
          <w:p>
            <w:pPr>
              <w:spacing w:line="300" w:lineRule="auto"/>
              <w:jc w:val="center"/>
              <w:rPr>
                <w:rFonts w:hint="default" w:ascii="Times New Roman" w:hAnsi="Times New Roman" w:cs="Times New Roman"/>
                <w:color w:val="auto"/>
                <w:szCs w:val="21"/>
                <w:highlight w:val="none"/>
              </w:rPr>
            </w:pP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环境管理</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环境监理</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；环境影响后评价</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7"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评价结论</w:t>
            </w:r>
          </w:p>
        </w:tc>
        <w:tc>
          <w:tcPr>
            <w:tcW w:w="1313" w:type="dxa"/>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生态影响</w:t>
            </w:r>
          </w:p>
        </w:tc>
        <w:tc>
          <w:tcPr>
            <w:tcW w:w="6652" w:type="dxa"/>
            <w:vAlign w:val="center"/>
          </w:tcPr>
          <w:p>
            <w:pPr>
              <w:adjustRightInd w:val="0"/>
              <w:snapToGrid w:val="0"/>
              <w:spacing w:line="300" w:lineRule="auto"/>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可行</w:t>
            </w:r>
            <w:r>
              <w:rPr>
                <w:rFonts w:hint="default" w:ascii="Times New Roman" w:hAnsi="Times New Roman" w:eastAsia="MS Gothic"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；不可行□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62" w:type="dxa"/>
            <w:gridSpan w:val="3"/>
            <w:vAlign w:val="center"/>
          </w:tcPr>
          <w:p>
            <w:pPr>
              <w:adjustRightInd w:val="0"/>
              <w:snapToGrid w:val="0"/>
              <w:spacing w:line="300" w:lineRule="auto"/>
              <w:jc w:val="center"/>
              <w:textAlignment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 xml:space="preserve">注： </w:t>
            </w:r>
            <w:r>
              <w:rPr>
                <w:rFonts w:hint="eastAsia"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w:t>
            </w:r>
            <w:r>
              <w:rPr>
                <w:rFonts w:hint="eastAsia"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 xml:space="preserve"> 为勾选项 ，可√ ；</w:t>
            </w:r>
            <w:r>
              <w:rPr>
                <w:rFonts w:hint="eastAsia"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   ）</w:t>
            </w:r>
            <w:r>
              <w:rPr>
                <w:rFonts w:hint="eastAsia" w:cs="Times New Roman"/>
                <w:color w:val="auto"/>
                <w:kern w:val="0"/>
                <w:szCs w:val="21"/>
                <w:highlight w:val="none"/>
                <w:lang w:val="zh-CN"/>
              </w:rPr>
              <w:t>”</w:t>
            </w:r>
            <w:r>
              <w:rPr>
                <w:rFonts w:hint="default" w:ascii="Times New Roman" w:hAnsi="Times New Roman" w:cs="Times New Roman"/>
                <w:color w:val="auto"/>
                <w:kern w:val="0"/>
                <w:szCs w:val="21"/>
                <w:highlight w:val="none"/>
                <w:lang w:val="zh-CN"/>
              </w:rPr>
              <w:t xml:space="preserve"> 为内容填写项。</w:t>
            </w:r>
          </w:p>
        </w:tc>
      </w:tr>
      <w:bookmarkEnd w:id="181"/>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217" w:name="_Toc2651"/>
      <w:bookmarkStart w:id="218" w:name="_Toc130573044"/>
      <w:r>
        <w:rPr>
          <w:rFonts w:hint="default" w:cs="Times New Roman"/>
          <w:b/>
          <w:bCs/>
          <w:color w:val="auto"/>
          <w:kern w:val="0"/>
          <w:sz w:val="28"/>
          <w:szCs w:val="28"/>
          <w:highlight w:val="none"/>
          <w:lang w:val="en-US" w:eastAsia="zh-CN"/>
        </w:rPr>
        <w:t>5.3.5对</w:t>
      </w:r>
      <w:bookmarkEnd w:id="217"/>
      <w:bookmarkEnd w:id="218"/>
      <w:r>
        <w:rPr>
          <w:rFonts w:hint="default" w:cs="Times New Roman"/>
          <w:b/>
          <w:bCs/>
          <w:color w:val="auto"/>
          <w:kern w:val="0"/>
          <w:sz w:val="28"/>
          <w:szCs w:val="28"/>
          <w:highlight w:val="none"/>
          <w:lang w:val="en-US" w:eastAsia="zh-CN"/>
        </w:rPr>
        <w:t>湘江衡阳段四大家鱼国家级水产种质资源保护区的影响</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5.3.5.1涉水工程内容</w:t>
      </w:r>
    </w:p>
    <w:p>
      <w:pPr>
        <w:spacing w:line="360" w:lineRule="auto"/>
        <w:ind w:firstLine="480" w:firstLineChars="200"/>
        <w:rPr>
          <w:rFonts w:hint="default" w:eastAsia="宋体" w:cs="Times New Roman"/>
          <w:color w:val="auto"/>
          <w:sz w:val="24"/>
          <w:szCs w:val="24"/>
          <w:highlight w:val="none"/>
          <w:lang w:val="en-US" w:eastAsia="zh-CN"/>
        </w:rPr>
      </w:pPr>
      <w:r>
        <w:rPr>
          <w:rFonts w:hint="default" w:cs="Times New Roman"/>
          <w:color w:val="auto"/>
          <w:sz w:val="24"/>
          <w:szCs w:val="24"/>
          <w:highlight w:val="none"/>
          <w:lang w:val="en-US" w:eastAsia="zh-CN"/>
        </w:rPr>
        <w:t>根据工程布局，本项目涉及湘江衡阳段四大家鱼国家级水产种质资源保护区水域的工程为</w:t>
      </w:r>
      <w:r>
        <w:rPr>
          <w:rFonts w:hint="default" w:ascii="Times New Roman" w:hAnsi="Times New Roman" w:eastAsia="宋体" w:cs="Times New Roman"/>
          <w:color w:val="auto"/>
          <w:sz w:val="24"/>
          <w:szCs w:val="24"/>
          <w:highlight w:val="none"/>
          <w:lang w:val="en-US" w:eastAsia="zh-CN"/>
        </w:rPr>
        <w:t>抛石护岸</w:t>
      </w:r>
      <w:r>
        <w:rPr>
          <w:rFonts w:hint="default" w:cs="Times New Roman"/>
          <w:color w:val="auto"/>
          <w:sz w:val="24"/>
          <w:szCs w:val="24"/>
          <w:highlight w:val="none"/>
          <w:lang w:val="en-US" w:eastAsia="zh-CN"/>
        </w:rPr>
        <w:t>工程和岸线整治工程，其中</w:t>
      </w:r>
      <w:r>
        <w:rPr>
          <w:rFonts w:hint="default" w:ascii="Times New Roman" w:hAnsi="Times New Roman" w:eastAsia="宋体" w:cs="Times New Roman"/>
          <w:color w:val="auto"/>
          <w:sz w:val="24"/>
          <w:szCs w:val="24"/>
          <w:highlight w:val="none"/>
          <w:lang w:val="en-US" w:eastAsia="zh-CN"/>
        </w:rPr>
        <w:t>抛石护岸</w:t>
      </w:r>
      <w:r>
        <w:rPr>
          <w:rFonts w:hint="default" w:ascii="Times New Roman" w:hAnsi="Times New Roman" w:cs="Times New Roman"/>
          <w:color w:val="auto"/>
          <w:sz w:val="24"/>
          <w:szCs w:val="24"/>
          <w:highlight w:val="none"/>
          <w:lang w:val="en-US" w:eastAsia="zh-CN"/>
        </w:rPr>
        <w:t>3320</w:t>
      </w:r>
      <w:r>
        <w:rPr>
          <w:rFonts w:hint="default" w:ascii="Times New Roman" w:hAnsi="Times New Roman" w:cs="Times New Roman"/>
          <w:color w:val="auto"/>
          <w:sz w:val="24"/>
          <w:szCs w:val="24"/>
          <w:highlight w:val="none"/>
          <w:lang w:val="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岸坡整治650</w:t>
      </w:r>
      <w:r>
        <w:rPr>
          <w:rFonts w:hint="default" w:ascii="Times New Roman" w:hAnsi="Times New Roman" w:cs="Times New Roman"/>
          <w:color w:val="auto"/>
          <w:sz w:val="24"/>
          <w:szCs w:val="24"/>
          <w:highlight w:val="none"/>
          <w:lang w:val="zh-CN"/>
        </w:rPr>
        <w:t>m</w:t>
      </w:r>
      <w:r>
        <w:rPr>
          <w:rFonts w:hint="default" w:cs="Times New Roman"/>
          <w:color w:val="auto"/>
          <w:sz w:val="24"/>
          <w:szCs w:val="24"/>
          <w:highlight w:val="none"/>
          <w:lang w:val="zh-CN"/>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5.3.5.2污染影响分析</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本工程施工的影响主要表现在施工过程中的机械噪声、振动、施工废水、悬浮物扩散及生活污水等对鱼类及水生态的影响等。</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（1）污水</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①施工期污水</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污水污染源包括混凝土生产和养护废水、施工机械含油废水、施工产生的主要含悬浮物的废水和施工进驻人员生活污水等，这些废水主要含有的污染物有总氮、氨氮、总磷、COD及石油类等，若进入保护区水域将对保护区水环境、水生态产生一定影响，导致工程区域附近相应水质因子浓度升高。因此，</w:t>
      </w:r>
      <w:r>
        <w:rPr>
          <w:rFonts w:hint="default" w:cs="Times New Roman"/>
          <w:color w:val="auto"/>
          <w:kern w:val="2"/>
          <w:sz w:val="24"/>
          <w:szCs w:val="24"/>
          <w:highlight w:val="none"/>
          <w:lang w:val="en-US" w:eastAsia="zh-CN" w:bidi="ar-SA"/>
        </w:rPr>
        <w:t>应</w:t>
      </w:r>
      <w:r>
        <w:rPr>
          <w:rFonts w:hint="default" w:ascii="Times New Roman" w:hAnsi="Times New Roman" w:eastAsia="宋体" w:cs="Times New Roman"/>
          <w:color w:val="auto"/>
          <w:kern w:val="2"/>
          <w:sz w:val="24"/>
          <w:szCs w:val="24"/>
          <w:highlight w:val="none"/>
          <w:lang w:val="en-US" w:eastAsia="zh-CN" w:bidi="ar-SA"/>
        </w:rPr>
        <w:t>避免</w:t>
      </w:r>
      <w:r>
        <w:rPr>
          <w:rFonts w:hint="default" w:cs="Times New Roman"/>
          <w:color w:val="auto"/>
          <w:kern w:val="2"/>
          <w:sz w:val="24"/>
          <w:szCs w:val="24"/>
          <w:highlight w:val="none"/>
          <w:lang w:val="en-US" w:eastAsia="zh-CN" w:bidi="ar-SA"/>
        </w:rPr>
        <w:t>生产废水、</w:t>
      </w:r>
      <w:r>
        <w:rPr>
          <w:rFonts w:hint="default" w:ascii="Times New Roman" w:hAnsi="Times New Roman" w:eastAsia="宋体" w:cs="Times New Roman"/>
          <w:color w:val="auto"/>
          <w:kern w:val="2"/>
          <w:sz w:val="24"/>
          <w:szCs w:val="24"/>
          <w:highlight w:val="none"/>
          <w:lang w:val="en-US" w:eastAsia="zh-CN" w:bidi="ar-SA"/>
        </w:rPr>
        <w:t>生活污水外排进入保护区水域</w:t>
      </w:r>
      <w:r>
        <w:rPr>
          <w:rFonts w:hint="default" w:cs="Times New Roman"/>
          <w:color w:val="auto"/>
          <w:kern w:val="2"/>
          <w:sz w:val="24"/>
          <w:szCs w:val="24"/>
          <w:highlight w:val="none"/>
          <w:lang w:val="en-US" w:eastAsia="zh-CN" w:bidi="ar-SA"/>
        </w:rPr>
        <w:t>。抛石护岸</w:t>
      </w:r>
      <w:r>
        <w:rPr>
          <w:rFonts w:hint="default" w:ascii="Times New Roman" w:hAnsi="Times New Roman" w:eastAsia="宋体" w:cs="Times New Roman"/>
          <w:color w:val="auto"/>
          <w:kern w:val="2"/>
          <w:sz w:val="24"/>
          <w:szCs w:val="24"/>
          <w:highlight w:val="none"/>
          <w:lang w:val="en-US" w:eastAsia="zh-CN" w:bidi="ar-SA"/>
        </w:rPr>
        <w:t>需用到施工船舶，其机械泄油将产生一定的石油类污染，造成对保护区水质的影响，岸线溢油区对湿生水生植物、底栖动物将造成较大影响</w:t>
      </w:r>
      <w:r>
        <w:rPr>
          <w:rFonts w:hint="default"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为降低施工机械对保护区岸线、水质的影响，应使用合格的施工机械，严格按操作规程使用，且不得在保护区岸线维修施工机械。</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②</w:t>
      </w:r>
      <w:r>
        <w:rPr>
          <w:rFonts w:hint="default" w:cs="Times New Roman"/>
          <w:color w:val="auto"/>
          <w:kern w:val="2"/>
          <w:sz w:val="24"/>
          <w:szCs w:val="24"/>
          <w:highlight w:val="none"/>
          <w:lang w:val="en-US" w:eastAsia="zh-CN" w:bidi="ar-SA"/>
        </w:rPr>
        <w:t>运行期</w:t>
      </w:r>
      <w:r>
        <w:rPr>
          <w:rFonts w:hint="default" w:ascii="Times New Roman" w:hAnsi="Times New Roman" w:eastAsia="宋体" w:cs="Times New Roman"/>
          <w:color w:val="auto"/>
          <w:kern w:val="2"/>
          <w:sz w:val="24"/>
          <w:szCs w:val="24"/>
          <w:highlight w:val="none"/>
          <w:lang w:val="en-US" w:eastAsia="zh-CN" w:bidi="ar-SA"/>
        </w:rPr>
        <w:t>污水</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本项目完成后，</w:t>
      </w:r>
      <w:r>
        <w:rPr>
          <w:rFonts w:hint="default" w:cs="Times New Roman"/>
          <w:color w:val="auto"/>
          <w:kern w:val="2"/>
          <w:sz w:val="24"/>
          <w:szCs w:val="24"/>
          <w:highlight w:val="none"/>
          <w:lang w:val="en-US" w:eastAsia="zh-CN" w:bidi="ar-SA"/>
        </w:rPr>
        <w:t>运行期间没有明显的水污染源。运行初期</w:t>
      </w:r>
      <w:r>
        <w:rPr>
          <w:rFonts w:hint="default" w:ascii="Times New Roman" w:hAnsi="Times New Roman" w:cs="Times New Roman"/>
          <w:color w:val="auto"/>
          <w:kern w:val="0"/>
          <w:sz w:val="24"/>
          <w:szCs w:val="24"/>
          <w:highlight w:val="none"/>
        </w:rPr>
        <w:t>雨水夹带的沙砾、灰尘等污染物质可能会</w:t>
      </w:r>
      <w:r>
        <w:rPr>
          <w:rFonts w:hint="default" w:cs="Times New Roman"/>
          <w:color w:val="auto"/>
          <w:kern w:val="0"/>
          <w:sz w:val="24"/>
          <w:szCs w:val="24"/>
          <w:highlight w:val="none"/>
          <w:lang w:val="en-US" w:eastAsia="zh-CN"/>
        </w:rPr>
        <w:t>进入保护区</w:t>
      </w:r>
      <w:r>
        <w:rPr>
          <w:rFonts w:hint="default" w:ascii="Times New Roman" w:hAnsi="Times New Roman" w:cs="Times New Roman"/>
          <w:color w:val="auto"/>
          <w:kern w:val="0"/>
          <w:sz w:val="24"/>
          <w:szCs w:val="24"/>
          <w:highlight w:val="none"/>
        </w:rPr>
        <w:t>水体，导致水体透明度下降</w:t>
      </w:r>
      <w:r>
        <w:rPr>
          <w:rFonts w:hint="default" w:cs="Times New Roman"/>
          <w:color w:val="auto"/>
          <w:kern w:val="2"/>
          <w:sz w:val="24"/>
          <w:szCs w:val="24"/>
          <w:highlight w:val="none"/>
          <w:lang w:val="en-US" w:eastAsia="zh-CN" w:bidi="ar-SA"/>
        </w:rPr>
        <w:t>。运行期游客游览增加，游客随意丢弃垃圾进保护区水体后对保护区水质有一</w:t>
      </w:r>
      <w:r>
        <w:rPr>
          <w:rFonts w:hint="eastAsia" w:cs="Times New Roman"/>
          <w:color w:val="auto"/>
          <w:kern w:val="2"/>
          <w:sz w:val="24"/>
          <w:szCs w:val="24"/>
          <w:highlight w:val="none"/>
          <w:lang w:val="en-US" w:eastAsia="zh-CN" w:bidi="ar-SA"/>
        </w:rPr>
        <w:t>定</w:t>
      </w:r>
      <w:r>
        <w:rPr>
          <w:rFonts w:hint="default" w:cs="Times New Roman"/>
          <w:color w:val="auto"/>
          <w:kern w:val="2"/>
          <w:sz w:val="24"/>
          <w:szCs w:val="24"/>
          <w:highlight w:val="none"/>
          <w:lang w:val="en-US" w:eastAsia="zh-CN" w:bidi="ar-SA"/>
        </w:rPr>
        <w:t>影响。</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（2）噪声与振动</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①噪声与振动源强</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本工程施工机械</w:t>
      </w:r>
      <w:r>
        <w:rPr>
          <w:rFonts w:hint="default" w:cs="Times New Roman"/>
          <w:color w:val="auto"/>
          <w:kern w:val="2"/>
          <w:sz w:val="24"/>
          <w:szCs w:val="24"/>
          <w:highlight w:val="none"/>
          <w:lang w:val="en-US" w:eastAsia="zh-CN" w:bidi="ar-SA"/>
        </w:rPr>
        <w:t>主要是施工车辆、搅拌机、施工船舶等。</w:t>
      </w:r>
      <w:r>
        <w:rPr>
          <w:rFonts w:hint="default" w:ascii="Times New Roman" w:hAnsi="Times New Roman" w:eastAsia="宋体" w:cs="Times New Roman"/>
          <w:color w:val="auto"/>
          <w:kern w:val="2"/>
          <w:sz w:val="24"/>
          <w:szCs w:val="24"/>
          <w:highlight w:val="none"/>
          <w:lang w:val="en-US" w:eastAsia="zh-CN" w:bidi="ar-SA"/>
        </w:rPr>
        <w:t>抛石护脚时需用到施工船舶，其噪声和振动，将对鱼类洄游等产生一定的影响。工程主要噪声和振动源强见</w:t>
      </w:r>
      <w:r>
        <w:rPr>
          <w:rFonts w:hint="default" w:cs="Times New Roman"/>
          <w:color w:val="auto"/>
          <w:kern w:val="2"/>
          <w:sz w:val="24"/>
          <w:szCs w:val="24"/>
          <w:highlight w:val="none"/>
          <w:lang w:val="en-US" w:eastAsia="zh-CN" w:bidi="ar-SA"/>
        </w:rPr>
        <w:t>下</w:t>
      </w:r>
      <w:r>
        <w:rPr>
          <w:rFonts w:hint="default" w:ascii="Times New Roman" w:hAnsi="Times New Roman" w:eastAsia="宋体" w:cs="Times New Roman"/>
          <w:color w:val="auto"/>
          <w:kern w:val="2"/>
          <w:sz w:val="24"/>
          <w:szCs w:val="24"/>
          <w:highlight w:val="none"/>
          <w:lang w:val="en-US" w:eastAsia="zh-CN" w:bidi="ar-SA"/>
        </w:rPr>
        <w:t>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5.3-</w:t>
      </w:r>
      <w:r>
        <w:rPr>
          <w:rFonts w:hint="eastAsia" w:ascii="Times New Roman" w:hAnsi="Times New Roman" w:cs="Times New Roman"/>
          <w:b/>
          <w:color w:val="auto"/>
          <w:szCs w:val="24"/>
          <w:highlight w:val="none"/>
          <w:u w:val="none" w:color="auto"/>
          <w:lang w:val="en-US" w:eastAsia="zh-CN"/>
        </w:rPr>
        <w:t>8</w:t>
      </w:r>
      <w:r>
        <w:rPr>
          <w:rFonts w:hint="default"/>
          <w:b/>
          <w:color w:val="auto"/>
          <w:szCs w:val="24"/>
          <w:highlight w:val="none"/>
          <w:u w:val="none" w:color="auto"/>
          <w:lang w:val="en-US" w:eastAsia="zh-CN"/>
        </w:rPr>
        <w:t>主要噪声源及影响分析表</w:t>
      </w:r>
    </w:p>
    <w:tbl>
      <w:tblPr>
        <w:tblStyle w:val="23"/>
        <w:tblW w:w="499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7"/>
        <w:gridCol w:w="1427"/>
        <w:gridCol w:w="1500"/>
        <w:gridCol w:w="1180"/>
        <w:gridCol w:w="1408"/>
        <w:gridCol w:w="14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污染源种类</w:t>
            </w:r>
          </w:p>
        </w:tc>
        <w:tc>
          <w:tcPr>
            <w:tcW w:w="8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污染源分布位置</w:t>
            </w:r>
          </w:p>
        </w:tc>
        <w:tc>
          <w:tcPr>
            <w:tcW w:w="88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测量位置</w:t>
            </w:r>
          </w:p>
        </w:tc>
        <w:tc>
          <w:tcPr>
            <w:tcW w:w="6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运行工况</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平均A声级（dB）</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影响评价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施工机械与运输车辆</w:t>
            </w:r>
          </w:p>
        </w:tc>
        <w:tc>
          <w:tcPr>
            <w:tcW w:w="8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施工现场及其连通道路</w:t>
            </w:r>
          </w:p>
        </w:tc>
        <w:tc>
          <w:tcPr>
            <w:tcW w:w="88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距离声源10m</w:t>
            </w:r>
          </w:p>
        </w:tc>
        <w:tc>
          <w:tcPr>
            <w:tcW w:w="6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正常运行</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70~112dB</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u w:val="none"/>
                <w:lang w:val="en-US" w:eastAsia="zh-CN"/>
              </w:rPr>
              <w:t>岸线陆域施工，影响较小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val="en-US" w:eastAsia="zh-CN"/>
              </w:rPr>
              <w:t>反铲挖掘机</w:t>
            </w:r>
          </w:p>
        </w:tc>
        <w:tc>
          <w:tcPr>
            <w:tcW w:w="8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施工现场</w:t>
            </w:r>
          </w:p>
        </w:tc>
        <w:tc>
          <w:tcPr>
            <w:tcW w:w="88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距离声源10m</w:t>
            </w:r>
          </w:p>
        </w:tc>
        <w:tc>
          <w:tcPr>
            <w:tcW w:w="6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正常运行</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70~96dB</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u w:val="none"/>
                <w:lang w:val="en-US" w:eastAsia="zh-CN"/>
              </w:rPr>
              <w:t>岸线陆域施工，影响较小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sz w:val="21"/>
                <w:szCs w:val="21"/>
                <w:highlight w:val="none"/>
                <w:lang w:val="en-US" w:eastAsia="zh-CN"/>
              </w:rPr>
              <w:t>施工船舶</w:t>
            </w:r>
          </w:p>
        </w:tc>
        <w:tc>
          <w:tcPr>
            <w:tcW w:w="8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val="en-US" w:eastAsia="zh-CN"/>
              </w:rPr>
              <w:t>抛石区域</w:t>
            </w:r>
          </w:p>
        </w:tc>
        <w:tc>
          <w:tcPr>
            <w:tcW w:w="88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距离声源10m</w:t>
            </w:r>
          </w:p>
        </w:tc>
        <w:tc>
          <w:tcPr>
            <w:tcW w:w="6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正常运行</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70~96dB</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u w:val="none"/>
                <w:lang w:val="en-US" w:eastAsia="zh-CN"/>
              </w:rPr>
              <w:t>水域施工，有一定影响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吊装沉放</w:t>
            </w:r>
          </w:p>
        </w:tc>
        <w:tc>
          <w:tcPr>
            <w:tcW w:w="8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吊装沉放钢丝网石笼</w:t>
            </w:r>
          </w:p>
        </w:tc>
        <w:tc>
          <w:tcPr>
            <w:tcW w:w="88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距离声源10m</w:t>
            </w:r>
          </w:p>
        </w:tc>
        <w:tc>
          <w:tcPr>
            <w:tcW w:w="69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正常运行</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770~96dB</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水域施工，有一定影响</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5.3-</w:t>
      </w:r>
      <w:r>
        <w:rPr>
          <w:rFonts w:hint="eastAsia" w:ascii="Times New Roman" w:hAnsi="Times New Roman" w:cs="Times New Roman"/>
          <w:b/>
          <w:color w:val="auto"/>
          <w:szCs w:val="24"/>
          <w:highlight w:val="none"/>
          <w:u w:val="none" w:color="auto"/>
          <w:lang w:val="en-US" w:eastAsia="zh-CN"/>
        </w:rPr>
        <w:t>9</w:t>
      </w:r>
      <w:r>
        <w:rPr>
          <w:rFonts w:hint="default"/>
          <w:b/>
          <w:color w:val="auto"/>
          <w:szCs w:val="24"/>
          <w:highlight w:val="none"/>
          <w:u w:val="none" w:color="auto"/>
          <w:lang w:val="en-US" w:eastAsia="zh-CN"/>
        </w:rPr>
        <w:t>主要振动源及影响分析表</w:t>
      </w:r>
    </w:p>
    <w:tbl>
      <w:tblPr>
        <w:tblStyle w:val="23"/>
        <w:tblW w:w="499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39"/>
        <w:gridCol w:w="1445"/>
        <w:gridCol w:w="1518"/>
        <w:gridCol w:w="1163"/>
        <w:gridCol w:w="1408"/>
        <w:gridCol w:w="14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污染源种类</w:t>
            </w:r>
          </w:p>
        </w:tc>
        <w:tc>
          <w:tcPr>
            <w:tcW w:w="8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污染源分布位置</w:t>
            </w:r>
          </w:p>
        </w:tc>
        <w:tc>
          <w:tcPr>
            <w:tcW w:w="89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测量位置</w:t>
            </w:r>
          </w:p>
        </w:tc>
        <w:tc>
          <w:tcPr>
            <w:tcW w:w="6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运行工况</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最大Z振级（dB）</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影响评价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施工机械与运输车辆</w:t>
            </w:r>
          </w:p>
        </w:tc>
        <w:tc>
          <w:tcPr>
            <w:tcW w:w="8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施工现场及其连通道路</w:t>
            </w:r>
          </w:p>
        </w:tc>
        <w:tc>
          <w:tcPr>
            <w:tcW w:w="89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距离声源30m</w:t>
            </w:r>
          </w:p>
        </w:tc>
        <w:tc>
          <w:tcPr>
            <w:tcW w:w="6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正常运行</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78.5~80</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u w:val="none"/>
                <w:lang w:val="en-US" w:eastAsia="zh-CN"/>
              </w:rPr>
              <w:t>岸线陆域施工，影响较小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val="en-US" w:eastAsia="zh-CN"/>
              </w:rPr>
              <w:t>反铲挖掘机</w:t>
            </w:r>
          </w:p>
        </w:tc>
        <w:tc>
          <w:tcPr>
            <w:tcW w:w="8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施工现场</w:t>
            </w:r>
          </w:p>
        </w:tc>
        <w:tc>
          <w:tcPr>
            <w:tcW w:w="89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距离声源10m</w:t>
            </w:r>
          </w:p>
        </w:tc>
        <w:tc>
          <w:tcPr>
            <w:tcW w:w="6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正常运行</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55~70</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u w:val="none"/>
                <w:lang w:val="en-US" w:eastAsia="zh-CN"/>
              </w:rPr>
              <w:t>岸线陆域施工，影响较小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sz w:val="21"/>
                <w:szCs w:val="21"/>
                <w:highlight w:val="none"/>
                <w:lang w:val="en-US" w:eastAsia="zh-CN"/>
              </w:rPr>
              <w:t>施工船舶</w:t>
            </w:r>
          </w:p>
        </w:tc>
        <w:tc>
          <w:tcPr>
            <w:tcW w:w="8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val="en-US" w:eastAsia="zh-CN"/>
              </w:rPr>
              <w:t>抛石区域</w:t>
            </w:r>
          </w:p>
        </w:tc>
        <w:tc>
          <w:tcPr>
            <w:tcW w:w="89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距离声源10m</w:t>
            </w:r>
          </w:p>
        </w:tc>
        <w:tc>
          <w:tcPr>
            <w:tcW w:w="6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正常运行</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70~96</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u w:val="none"/>
                <w:lang w:val="en-US" w:eastAsia="zh-CN"/>
              </w:rPr>
              <w:t>水域施工，有一定影响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吊装沉放</w:t>
            </w:r>
          </w:p>
        </w:tc>
        <w:tc>
          <w:tcPr>
            <w:tcW w:w="8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吊装沉放钢丝网石笼</w:t>
            </w:r>
          </w:p>
        </w:tc>
        <w:tc>
          <w:tcPr>
            <w:tcW w:w="89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距离声源10m</w:t>
            </w:r>
          </w:p>
        </w:tc>
        <w:tc>
          <w:tcPr>
            <w:tcW w:w="6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正常运行</w:t>
            </w:r>
          </w:p>
        </w:tc>
        <w:tc>
          <w:tcPr>
            <w:tcW w:w="8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cs="Times New Roman"/>
                <w:color w:val="auto"/>
                <w:kern w:val="0"/>
                <w:sz w:val="21"/>
                <w:szCs w:val="21"/>
                <w:highlight w:val="none"/>
                <w:vertAlign w:val="baseline"/>
                <w:lang w:val="en-US" w:eastAsia="zh-CN" w:bidi="ar"/>
              </w:rPr>
              <w:t>770~96</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水域施工，有一定影响</w:t>
            </w:r>
          </w:p>
        </w:tc>
      </w:tr>
    </w:tbl>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②影响分析</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噪声</w:t>
      </w:r>
      <w:r>
        <w:rPr>
          <w:rFonts w:hint="default"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虽然鱼类的声感觉器官进化程度较低，只有内耳，研究证实鱼类具备声感觉能力，噪声不但会对鱼类造成暂时性阈移或永久性阈移，而且还会使鱼类的集群行为、逃避行为以及捕食行为发生变化，处于产卵繁殖期的亲鱼对噪声较为敏感。</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cs="Times New Roman"/>
          <w:color w:val="auto"/>
          <w:kern w:val="2"/>
          <w:sz w:val="24"/>
          <w:szCs w:val="24"/>
          <w:highlight w:val="none"/>
          <w:lang w:val="en-US" w:eastAsia="zh-CN" w:bidi="ar-SA"/>
        </w:rPr>
        <w:t>岸坡整治</w:t>
      </w:r>
      <w:r>
        <w:rPr>
          <w:rFonts w:hint="default" w:ascii="Times New Roman" w:hAnsi="Times New Roman" w:eastAsia="宋体" w:cs="Times New Roman"/>
          <w:color w:val="auto"/>
          <w:kern w:val="2"/>
          <w:sz w:val="24"/>
          <w:szCs w:val="24"/>
          <w:highlight w:val="none"/>
          <w:lang w:val="en-US" w:eastAsia="zh-CN" w:bidi="ar-SA"/>
        </w:rPr>
        <w:t>为</w:t>
      </w:r>
      <w:r>
        <w:rPr>
          <w:rFonts w:hint="default" w:cs="Times New Roman"/>
          <w:color w:val="auto"/>
          <w:kern w:val="2"/>
          <w:sz w:val="24"/>
          <w:szCs w:val="24"/>
          <w:highlight w:val="none"/>
          <w:lang w:val="en-US" w:eastAsia="zh-CN" w:bidi="ar-SA"/>
        </w:rPr>
        <w:t>保护区岸线</w:t>
      </w:r>
      <w:r>
        <w:rPr>
          <w:rFonts w:hint="default" w:ascii="Times New Roman" w:hAnsi="Times New Roman" w:eastAsia="宋体" w:cs="Times New Roman"/>
          <w:color w:val="auto"/>
          <w:kern w:val="2"/>
          <w:sz w:val="24"/>
          <w:szCs w:val="24"/>
          <w:highlight w:val="none"/>
          <w:lang w:val="en-US" w:eastAsia="zh-CN" w:bidi="ar-SA"/>
        </w:rPr>
        <w:t>施工，</w:t>
      </w:r>
      <w:r>
        <w:rPr>
          <w:rFonts w:hint="default" w:cs="Times New Roman"/>
          <w:color w:val="auto"/>
          <w:kern w:val="2"/>
          <w:sz w:val="24"/>
          <w:szCs w:val="24"/>
          <w:highlight w:val="none"/>
          <w:lang w:val="en-US" w:eastAsia="zh-CN" w:bidi="ar-SA"/>
        </w:rPr>
        <w:t>施工强度低，施工</w:t>
      </w:r>
      <w:r>
        <w:rPr>
          <w:rFonts w:hint="default" w:ascii="Times New Roman" w:hAnsi="Times New Roman" w:eastAsia="宋体" w:cs="Times New Roman"/>
          <w:color w:val="auto"/>
          <w:kern w:val="2"/>
          <w:sz w:val="24"/>
          <w:szCs w:val="24"/>
          <w:highlight w:val="none"/>
          <w:lang w:val="en-US" w:eastAsia="zh-CN" w:bidi="ar-SA"/>
        </w:rPr>
        <w:t>噪声源强衰减30~45m距离后均能</w:t>
      </w:r>
      <w:r>
        <w:rPr>
          <w:rFonts w:hint="eastAsia" w:cs="Times New Roman"/>
          <w:color w:val="auto"/>
          <w:kern w:val="2"/>
          <w:sz w:val="24"/>
          <w:szCs w:val="24"/>
          <w:highlight w:val="none"/>
          <w:lang w:val="en-US" w:eastAsia="zh-CN" w:bidi="ar-SA"/>
        </w:rPr>
        <w:t>达到</w:t>
      </w:r>
      <w:r>
        <w:rPr>
          <w:rFonts w:hint="default" w:ascii="Times New Roman" w:hAnsi="Times New Roman" w:eastAsia="宋体" w:cs="Times New Roman"/>
          <w:color w:val="auto"/>
          <w:kern w:val="2"/>
          <w:sz w:val="24"/>
          <w:szCs w:val="24"/>
          <w:highlight w:val="none"/>
          <w:lang w:val="en-US" w:eastAsia="zh-CN" w:bidi="ar-SA"/>
        </w:rPr>
        <w:t>《GB 3096-2008声环境质量标准》4b类标准，其施工将对工程附近30～45m范围内的鱼类活动造成一定影响。抛石</w:t>
      </w:r>
      <w:r>
        <w:rPr>
          <w:rFonts w:hint="default" w:cs="Times New Roman"/>
          <w:color w:val="auto"/>
          <w:kern w:val="2"/>
          <w:sz w:val="24"/>
          <w:szCs w:val="24"/>
          <w:highlight w:val="none"/>
          <w:lang w:val="en-US" w:eastAsia="zh-CN" w:bidi="ar-SA"/>
        </w:rPr>
        <w:t>护岸</w:t>
      </w:r>
      <w:r>
        <w:rPr>
          <w:rFonts w:hint="default" w:ascii="Times New Roman" w:hAnsi="Times New Roman" w:eastAsia="宋体" w:cs="Times New Roman"/>
          <w:color w:val="auto"/>
          <w:kern w:val="2"/>
          <w:sz w:val="24"/>
          <w:szCs w:val="24"/>
          <w:highlight w:val="none"/>
          <w:lang w:val="en-US" w:eastAsia="zh-CN" w:bidi="ar-SA"/>
        </w:rPr>
        <w:t>船舶将对30～45m范围内的鱼类有一定影响，鱼类将回避该区域。</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振动</w:t>
      </w:r>
      <w:r>
        <w:rPr>
          <w:rFonts w:hint="default"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主要为抛石护</w:t>
      </w:r>
      <w:r>
        <w:rPr>
          <w:rFonts w:hint="default" w:cs="Times New Roman"/>
          <w:color w:val="auto"/>
          <w:kern w:val="2"/>
          <w:sz w:val="24"/>
          <w:szCs w:val="24"/>
          <w:highlight w:val="none"/>
          <w:lang w:val="en-US" w:eastAsia="zh-CN" w:bidi="ar-SA"/>
        </w:rPr>
        <w:t>岸</w:t>
      </w:r>
      <w:r>
        <w:rPr>
          <w:rFonts w:hint="default" w:ascii="Times New Roman" w:hAnsi="Times New Roman" w:eastAsia="宋体" w:cs="Times New Roman"/>
          <w:color w:val="auto"/>
          <w:kern w:val="2"/>
          <w:sz w:val="24"/>
          <w:szCs w:val="24"/>
          <w:highlight w:val="none"/>
          <w:lang w:val="en-US" w:eastAsia="zh-CN" w:bidi="ar-SA"/>
        </w:rPr>
        <w:t>船舶等涉水施工机械产生振动、水体扰动的影响，其影响主要在施工机械使用水域，影响范围较小，主要影响是使鱼类回避施工区域，鱼类繁殖季节在产卵场附近抛石将对鱼类产卵繁殖产生一定影响。</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（3）悬浮物</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本工程施工悬浮物的来源主要为抛石时</w:t>
      </w:r>
      <w:r>
        <w:rPr>
          <w:rFonts w:hint="default" w:cs="Times New Roman"/>
          <w:color w:val="auto"/>
          <w:kern w:val="2"/>
          <w:sz w:val="24"/>
          <w:szCs w:val="24"/>
          <w:highlight w:val="none"/>
          <w:lang w:val="en-US" w:eastAsia="zh-CN" w:bidi="ar-SA"/>
        </w:rPr>
        <w:t>对河床的扰动和岸坡整治地表开挖水土流失</w:t>
      </w:r>
      <w:r>
        <w:rPr>
          <w:rFonts w:hint="default" w:ascii="Times New Roman" w:hAnsi="Times New Roman" w:eastAsia="宋体" w:cs="Times New Roman"/>
          <w:color w:val="auto"/>
          <w:kern w:val="2"/>
          <w:sz w:val="24"/>
          <w:szCs w:val="24"/>
          <w:highlight w:val="none"/>
          <w:lang w:val="en-US" w:eastAsia="zh-CN" w:bidi="ar-SA"/>
        </w:rPr>
        <w:t>产生的悬浮物，但悬浮物产生量较少。悬浮物横向对外扩散一般约20~30m，纵向上游扩散一般3~5m，下游扩散一般约200m以内，悬浮物扩散将影响水体透明度和初级生产力，并使鱼类产生回避，影响鱼类洄游。</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抛石施工将不可避免地对鱼类洄游产生一定影响，若抛石施工</w:t>
      </w:r>
      <w:r>
        <w:rPr>
          <w:rFonts w:hint="default" w:cs="Times New Roman"/>
          <w:color w:val="auto"/>
          <w:kern w:val="2"/>
          <w:sz w:val="24"/>
          <w:szCs w:val="24"/>
          <w:highlight w:val="none"/>
          <w:lang w:val="en-US" w:eastAsia="zh-CN" w:bidi="ar-SA"/>
        </w:rPr>
        <w:t>在</w:t>
      </w:r>
      <w:r>
        <w:rPr>
          <w:rFonts w:hint="default" w:ascii="Times New Roman" w:hAnsi="Times New Roman" w:eastAsia="宋体" w:cs="Times New Roman"/>
          <w:color w:val="auto"/>
          <w:kern w:val="2"/>
          <w:sz w:val="24"/>
          <w:szCs w:val="24"/>
          <w:highlight w:val="none"/>
          <w:lang w:val="en-US" w:eastAsia="zh-CN" w:bidi="ar-SA"/>
        </w:rPr>
        <w:t>3月下旬~6月为鱼类繁殖期（鲤鳃鱼繁殖期一般为3月中下旬~4月，其他粘性卵沉性卵鱼类繁殖</w:t>
      </w:r>
      <w:r>
        <w:rPr>
          <w:rFonts w:hint="eastAsia" w:cs="Times New Roman"/>
          <w:color w:val="auto"/>
          <w:kern w:val="2"/>
          <w:sz w:val="24"/>
          <w:szCs w:val="24"/>
          <w:highlight w:val="none"/>
          <w:lang w:val="en-US" w:eastAsia="zh-CN" w:bidi="ar-SA"/>
        </w:rPr>
        <w:t>期一</w:t>
      </w:r>
      <w:r>
        <w:rPr>
          <w:rFonts w:hint="default" w:ascii="Times New Roman" w:hAnsi="Times New Roman" w:eastAsia="宋体" w:cs="Times New Roman"/>
          <w:color w:val="auto"/>
          <w:kern w:val="2"/>
          <w:sz w:val="24"/>
          <w:szCs w:val="24"/>
          <w:highlight w:val="none"/>
          <w:lang w:val="en-US" w:eastAsia="zh-CN" w:bidi="ar-SA"/>
        </w:rPr>
        <w:t>般为4~5月，主要保护对象四大家鱼繁殖期一般5~6月</w:t>
      </w:r>
      <w:r>
        <w:rPr>
          <w:rFonts w:hint="default" w:cs="Times New Roman"/>
          <w:color w:val="auto"/>
          <w:kern w:val="2"/>
          <w:sz w:val="24"/>
          <w:szCs w:val="24"/>
          <w:highlight w:val="none"/>
          <w:lang w:val="en-US" w:eastAsia="zh-CN" w:bidi="ar-SA"/>
        </w:rPr>
        <w:t>）开展</w:t>
      </w:r>
      <w:r>
        <w:rPr>
          <w:rFonts w:hint="default" w:ascii="Times New Roman" w:hAnsi="Times New Roman" w:eastAsia="宋体" w:cs="Times New Roman"/>
          <w:color w:val="auto"/>
          <w:kern w:val="2"/>
          <w:sz w:val="24"/>
          <w:szCs w:val="24"/>
          <w:highlight w:val="none"/>
          <w:lang w:val="en-US" w:eastAsia="zh-CN" w:bidi="ar-SA"/>
        </w:rPr>
        <w:t>，该时期抛石施工将对鱼类繁殖产生一定影响。因此，抛石施工应避让保护区主要保护对象繁殖期5~6月。</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（4）固体废物</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该项目</w:t>
      </w:r>
      <w:r>
        <w:rPr>
          <w:rFonts w:hint="eastAsia" w:cs="Times New Roman"/>
          <w:color w:val="auto"/>
          <w:kern w:val="2"/>
          <w:sz w:val="24"/>
          <w:szCs w:val="24"/>
          <w:highlight w:val="none"/>
          <w:lang w:val="en-US" w:eastAsia="zh-CN" w:bidi="ar-SA"/>
        </w:rPr>
        <w:t>固体废物</w:t>
      </w:r>
      <w:r>
        <w:rPr>
          <w:rFonts w:hint="default" w:ascii="Times New Roman" w:hAnsi="Times New Roman" w:eastAsia="宋体" w:cs="Times New Roman"/>
          <w:color w:val="auto"/>
          <w:kern w:val="2"/>
          <w:sz w:val="24"/>
          <w:szCs w:val="24"/>
          <w:highlight w:val="none"/>
          <w:lang w:val="en-US" w:eastAsia="zh-CN" w:bidi="ar-SA"/>
        </w:rPr>
        <w:t>主要为施工人员</w:t>
      </w:r>
      <w:r>
        <w:rPr>
          <w:rFonts w:hint="default" w:cs="Times New Roman"/>
          <w:color w:val="auto"/>
          <w:kern w:val="2"/>
          <w:sz w:val="24"/>
          <w:szCs w:val="24"/>
          <w:highlight w:val="none"/>
          <w:lang w:val="en-US" w:eastAsia="zh-CN" w:bidi="ar-SA"/>
        </w:rPr>
        <w:t>及游览人员</w:t>
      </w:r>
      <w:r>
        <w:rPr>
          <w:rFonts w:hint="default" w:ascii="Times New Roman" w:hAnsi="Times New Roman" w:eastAsia="宋体" w:cs="Times New Roman"/>
          <w:color w:val="auto"/>
          <w:kern w:val="2"/>
          <w:sz w:val="24"/>
          <w:szCs w:val="24"/>
          <w:highlight w:val="none"/>
          <w:lang w:val="en-US" w:eastAsia="zh-CN" w:bidi="ar-SA"/>
        </w:rPr>
        <w:t>丢弃的包装箱、纸</w:t>
      </w:r>
      <w:r>
        <w:rPr>
          <w:rFonts w:hint="default" w:cs="Times New Roman"/>
          <w:color w:val="auto"/>
          <w:kern w:val="2"/>
          <w:sz w:val="24"/>
          <w:szCs w:val="24"/>
          <w:highlight w:val="none"/>
          <w:lang w:val="en-US" w:eastAsia="zh-CN" w:bidi="ar-SA"/>
        </w:rPr>
        <w:t>、食品包装</w:t>
      </w:r>
      <w:r>
        <w:rPr>
          <w:rFonts w:hint="default" w:ascii="Times New Roman" w:hAnsi="Times New Roman" w:eastAsia="宋体" w:cs="Times New Roman"/>
          <w:color w:val="auto"/>
          <w:kern w:val="2"/>
          <w:sz w:val="24"/>
          <w:szCs w:val="24"/>
          <w:highlight w:val="none"/>
          <w:lang w:val="en-US" w:eastAsia="zh-CN" w:bidi="ar-SA"/>
        </w:rPr>
        <w:t>等建筑</w:t>
      </w:r>
      <w:r>
        <w:rPr>
          <w:rFonts w:hint="default" w:cs="Times New Roman"/>
          <w:color w:val="auto"/>
          <w:kern w:val="2"/>
          <w:sz w:val="24"/>
          <w:szCs w:val="24"/>
          <w:highlight w:val="none"/>
          <w:lang w:val="en-US" w:eastAsia="zh-CN" w:bidi="ar-SA"/>
        </w:rPr>
        <w:t>和生活</w:t>
      </w:r>
      <w:r>
        <w:rPr>
          <w:rFonts w:hint="default" w:ascii="Times New Roman" w:hAnsi="Times New Roman" w:eastAsia="宋体" w:cs="Times New Roman"/>
          <w:color w:val="auto"/>
          <w:kern w:val="2"/>
          <w:sz w:val="24"/>
          <w:szCs w:val="24"/>
          <w:highlight w:val="none"/>
          <w:lang w:val="en-US" w:eastAsia="zh-CN" w:bidi="ar-SA"/>
        </w:rPr>
        <w:t>垃圾。固体废物主要为管理不到位所产生，其进入保护区岸线及水域将对保护区环境和水生态产生一定影响</w:t>
      </w:r>
      <w:r>
        <w:rPr>
          <w:rFonts w:hint="default" w:cs="Times New Roman"/>
          <w:color w:val="auto"/>
          <w:kern w:val="2"/>
          <w:sz w:val="24"/>
          <w:szCs w:val="24"/>
          <w:highlight w:val="none"/>
          <w:lang w:val="en-US" w:eastAsia="zh-CN" w:bidi="ar-SA"/>
        </w:rPr>
        <w:t>。施工期间业主单位</w:t>
      </w:r>
      <w:r>
        <w:rPr>
          <w:rFonts w:hint="default" w:ascii="Times New Roman" w:hAnsi="Times New Roman" w:eastAsia="宋体" w:cs="Times New Roman"/>
          <w:color w:val="auto"/>
          <w:kern w:val="2"/>
          <w:sz w:val="24"/>
          <w:szCs w:val="24"/>
          <w:highlight w:val="none"/>
          <w:lang w:val="en-US" w:eastAsia="zh-CN" w:bidi="ar-SA"/>
        </w:rPr>
        <w:t>应督促施工单位制定施工水生态保护管理制度，加强管理，减少固废产生，严禁乱丢垃圾。</w:t>
      </w:r>
      <w:r>
        <w:rPr>
          <w:rFonts w:hint="default" w:cs="Times New Roman"/>
          <w:color w:val="auto"/>
          <w:kern w:val="2"/>
          <w:sz w:val="24"/>
          <w:szCs w:val="24"/>
          <w:highlight w:val="none"/>
          <w:lang w:val="en-US" w:eastAsia="zh-CN" w:bidi="ar-SA"/>
        </w:rPr>
        <w:t>运行期间加强游客环保教育，禁止乱丢垃圾。</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（5）其它施工活动及人类活动的影响</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在工程施工期，施工人员集中在江岸，施工人员业余时间捕鱼将造成对鱼类等水生生物资源一定的影响。因此，必须加强管理，禁止施工人员进行任何渔业活动。</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5.3.5.3对保护区的影响分析</w:t>
      </w:r>
    </w:p>
    <w:p>
      <w:pPr>
        <w:spacing w:line="360" w:lineRule="auto"/>
        <w:ind w:firstLine="482" w:firstLineChars="200"/>
        <w:rPr>
          <w:rFonts w:hint="default" w:cs="Times New Roman"/>
          <w:b/>
          <w:bCs/>
          <w:color w:val="auto"/>
          <w:sz w:val="24"/>
          <w:szCs w:val="24"/>
          <w:highlight w:val="none"/>
          <w:lang w:val="en-US" w:eastAsia="zh-CN"/>
        </w:rPr>
      </w:pPr>
      <w:r>
        <w:rPr>
          <w:rFonts w:hint="default" w:cs="Times New Roman"/>
          <w:b/>
          <w:bCs/>
          <w:color w:val="auto"/>
          <w:sz w:val="24"/>
          <w:szCs w:val="24"/>
          <w:highlight w:val="none"/>
          <w:lang w:val="en-US" w:eastAsia="zh-CN"/>
        </w:rPr>
        <w:t>（1）对主要对象的影响</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湘江四大家鱼产卵场位于土谷塘航电枢纽上游的常宁市的松柏大渔湾江段</w:t>
      </w:r>
      <w:r>
        <w:rPr>
          <w:rFonts w:hint="eastAsia" w:cs="Times New Roman"/>
          <w:color w:val="auto"/>
          <w:sz w:val="24"/>
          <w:szCs w:val="24"/>
          <w:highlight w:val="none"/>
          <w:lang w:eastAsia="zh-CN"/>
        </w:rPr>
        <w:t>，以及</w:t>
      </w:r>
      <w:r>
        <w:rPr>
          <w:rFonts w:hint="default" w:ascii="Times New Roman" w:hAnsi="Times New Roman" w:cs="Times New Roman"/>
          <w:color w:val="auto"/>
          <w:sz w:val="24"/>
          <w:szCs w:val="24"/>
          <w:highlight w:val="none"/>
        </w:rPr>
        <w:t>衡南县的车江江段</w:t>
      </w:r>
      <w:r>
        <w:rPr>
          <w:rFonts w:hint="default"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湘江衡阳段四大家鱼国家级水产种质资源保护区主要保护对象为青鱼、草鱼、鲢、鳙、鳡、鳤、鯮，全部产漂流性卵。</w:t>
      </w:r>
      <w:r>
        <w:rPr>
          <w:rFonts w:hint="default" w:ascii="Times New Roman" w:hAnsi="Times New Roman" w:cs="Times New Roman"/>
          <w:color w:val="auto"/>
          <w:sz w:val="24"/>
          <w:szCs w:val="24"/>
          <w:highlight w:val="none"/>
        </w:rPr>
        <w:t>本工程位于</w:t>
      </w:r>
      <w:r>
        <w:rPr>
          <w:rFonts w:hint="default" w:cs="Times New Roman"/>
          <w:color w:val="auto"/>
          <w:sz w:val="24"/>
          <w:szCs w:val="24"/>
          <w:highlight w:val="none"/>
          <w:lang w:val="en-US" w:eastAsia="zh-CN"/>
        </w:rPr>
        <w:t>产</w:t>
      </w:r>
      <w:r>
        <w:rPr>
          <w:rFonts w:hint="default" w:ascii="Times New Roman" w:hAnsi="Times New Roman" w:eastAsia="宋体" w:cs="Times New Roman"/>
          <w:color w:val="auto"/>
          <w:kern w:val="2"/>
          <w:sz w:val="24"/>
          <w:szCs w:val="24"/>
          <w:highlight w:val="none"/>
          <w:lang w:val="en-US" w:eastAsia="zh-CN" w:bidi="ar-SA"/>
        </w:rPr>
        <w:t>漂流性卵</w:t>
      </w:r>
      <w:r>
        <w:rPr>
          <w:rFonts w:hint="default" w:cs="Times New Roman"/>
          <w:color w:val="auto"/>
          <w:sz w:val="24"/>
          <w:szCs w:val="24"/>
          <w:highlight w:val="none"/>
          <w:lang w:val="en-US" w:eastAsia="zh-CN"/>
        </w:rPr>
        <w:t>鱼类</w:t>
      </w:r>
      <w:r>
        <w:rPr>
          <w:rFonts w:hint="default" w:ascii="Times New Roman" w:hAnsi="Times New Roman" w:cs="Times New Roman"/>
          <w:color w:val="auto"/>
          <w:sz w:val="24"/>
          <w:szCs w:val="24"/>
          <w:highlight w:val="none"/>
        </w:rPr>
        <w:t>产卵场下游</w:t>
      </w:r>
      <w:r>
        <w:rPr>
          <w:rFonts w:hint="default" w:cs="Times New Roman"/>
          <w:color w:val="auto"/>
          <w:sz w:val="24"/>
          <w:szCs w:val="24"/>
          <w:highlight w:val="none"/>
          <w:lang w:val="en-US" w:eastAsia="zh-CN"/>
        </w:rPr>
        <w:t>18km</w:t>
      </w:r>
      <w:r>
        <w:rPr>
          <w:rFonts w:hint="default" w:ascii="Times New Roman" w:hAnsi="Times New Roman" w:cs="Times New Roman"/>
          <w:color w:val="auto"/>
          <w:sz w:val="24"/>
          <w:szCs w:val="24"/>
          <w:highlight w:val="none"/>
        </w:rPr>
        <w:t>，</w:t>
      </w:r>
      <w:r>
        <w:rPr>
          <w:rFonts w:hint="default" w:cs="Times New Roman"/>
          <w:color w:val="auto"/>
          <w:sz w:val="24"/>
          <w:szCs w:val="24"/>
          <w:highlight w:val="none"/>
          <w:lang w:val="en-US" w:eastAsia="zh-CN"/>
        </w:rPr>
        <w:t>项目实施</w:t>
      </w:r>
      <w:r>
        <w:rPr>
          <w:rFonts w:hint="default" w:ascii="Times New Roman" w:hAnsi="Times New Roman" w:cs="Times New Roman"/>
          <w:color w:val="auto"/>
          <w:sz w:val="24"/>
          <w:szCs w:val="24"/>
          <w:highlight w:val="none"/>
        </w:rPr>
        <w:t>不涉及</w:t>
      </w:r>
      <w:r>
        <w:rPr>
          <w:rFonts w:hint="default" w:cs="Times New Roman"/>
          <w:color w:val="auto"/>
          <w:sz w:val="24"/>
          <w:szCs w:val="24"/>
          <w:highlight w:val="none"/>
          <w:lang w:val="en-US" w:eastAsia="zh-CN"/>
        </w:rPr>
        <w:t>对产</w:t>
      </w:r>
      <w:r>
        <w:rPr>
          <w:rFonts w:hint="default" w:ascii="Times New Roman" w:hAnsi="Times New Roman" w:eastAsia="宋体" w:cs="Times New Roman"/>
          <w:color w:val="auto"/>
          <w:kern w:val="2"/>
          <w:sz w:val="24"/>
          <w:szCs w:val="24"/>
          <w:highlight w:val="none"/>
          <w:lang w:val="en-US" w:eastAsia="zh-CN" w:bidi="ar-SA"/>
        </w:rPr>
        <w:t>漂流性卵</w:t>
      </w:r>
      <w:r>
        <w:rPr>
          <w:rFonts w:hint="default" w:cs="Times New Roman"/>
          <w:color w:val="auto"/>
          <w:sz w:val="24"/>
          <w:szCs w:val="24"/>
          <w:highlight w:val="none"/>
          <w:lang w:val="en-US" w:eastAsia="zh-CN"/>
        </w:rPr>
        <w:t>鱼类</w:t>
      </w:r>
      <w:r>
        <w:rPr>
          <w:rFonts w:hint="default" w:ascii="Times New Roman" w:hAnsi="Times New Roman" w:cs="Times New Roman"/>
          <w:color w:val="auto"/>
          <w:sz w:val="24"/>
          <w:szCs w:val="24"/>
          <w:highlight w:val="none"/>
        </w:rPr>
        <w:t>产卵场的影响。</w:t>
      </w:r>
      <w:r>
        <w:rPr>
          <w:rFonts w:hint="default" w:cs="Times New Roman"/>
          <w:color w:val="auto"/>
          <w:sz w:val="24"/>
          <w:szCs w:val="24"/>
          <w:highlight w:val="none"/>
          <w:lang w:val="en-US" w:eastAsia="zh-CN"/>
        </w:rPr>
        <w:t>保护对象中</w:t>
      </w:r>
      <w:r>
        <w:rPr>
          <w:rFonts w:hint="default" w:ascii="Times New Roman" w:hAnsi="Times New Roman" w:eastAsia="宋体" w:cs="Times New Roman"/>
          <w:color w:val="auto"/>
          <w:kern w:val="2"/>
          <w:sz w:val="24"/>
          <w:szCs w:val="24"/>
          <w:highlight w:val="none"/>
          <w:lang w:val="en-US" w:eastAsia="zh-CN" w:bidi="ar-SA"/>
        </w:rPr>
        <w:t>草鱼为植食性鱼类，以维管植物为食；鲢、鳙滤食性鱼类为水生浮游动植物为主要食物；鳡、鯮、青鱼为肉食性鱼类，鳡、鯮以小型鱼类为食，鳤和青鱼以底栖动物、浮游动物为食。</w:t>
      </w:r>
      <w:r>
        <w:rPr>
          <w:rFonts w:hint="default" w:ascii="Times New Roman" w:hAnsi="Times New Roman" w:cs="Times New Roman"/>
          <w:color w:val="auto"/>
          <w:kern w:val="2"/>
          <w:sz w:val="24"/>
          <w:szCs w:val="24"/>
          <w:highlight w:val="none"/>
          <w:lang w:val="en-US" w:eastAsia="zh-CN" w:bidi="ar-SA"/>
        </w:rPr>
        <w:t>项目涉水施工过程中产生的</w:t>
      </w:r>
      <w:r>
        <w:rPr>
          <w:rFonts w:hint="default" w:cs="Times New Roman"/>
          <w:color w:val="auto"/>
          <w:kern w:val="2"/>
          <w:sz w:val="24"/>
          <w:szCs w:val="24"/>
          <w:highlight w:val="none"/>
          <w:lang w:val="en-US" w:eastAsia="zh-CN" w:bidi="ar-SA"/>
        </w:rPr>
        <w:t>悬浮物</w:t>
      </w:r>
      <w:r>
        <w:rPr>
          <w:rFonts w:hint="default" w:ascii="Times New Roman" w:hAnsi="Times New Roman" w:cs="Times New Roman"/>
          <w:color w:val="auto"/>
          <w:kern w:val="2"/>
          <w:sz w:val="24"/>
          <w:szCs w:val="24"/>
          <w:highlight w:val="none"/>
          <w:lang w:val="en-US" w:eastAsia="zh-CN" w:bidi="ar-SA"/>
        </w:rPr>
        <w:t>会对它们造成一定驱赶，使它们远离施工影响区；使施工影响区浮游动植物、底栖动物、小型鱼类减少，它们的食源减少。湘江水面宽阔，联通性强，替代生境多，受影响鱼类在水中活动能力强，能够容易找到替代生境。项目施工未改变河流形态，不会影响上述主要保护对象卵的孵化和洄游，项目涉水施工工程量小，施工完成后影响会随之消失。运行期灯光未直射水体，对鱼类吸引性不高，导致鱼类集群的效果差。综合来看，项目实施对</w:t>
      </w:r>
      <w:r>
        <w:rPr>
          <w:rFonts w:hint="default" w:ascii="Times New Roman" w:hAnsi="Times New Roman" w:eastAsia="宋体" w:cs="Times New Roman"/>
          <w:color w:val="auto"/>
          <w:kern w:val="2"/>
          <w:sz w:val="24"/>
          <w:szCs w:val="24"/>
          <w:highlight w:val="none"/>
          <w:lang w:val="en-US" w:eastAsia="zh-CN" w:bidi="ar-SA"/>
        </w:rPr>
        <w:t>青鱼、草鱼、鲢、鳙、鳡、鳤、鯮</w:t>
      </w:r>
      <w:r>
        <w:rPr>
          <w:rFonts w:hint="default" w:ascii="Times New Roman" w:hAnsi="Times New Roman" w:cs="Times New Roman"/>
          <w:color w:val="auto"/>
          <w:kern w:val="2"/>
          <w:sz w:val="24"/>
          <w:szCs w:val="24"/>
          <w:highlight w:val="none"/>
          <w:lang w:val="en-US" w:eastAsia="zh-CN" w:bidi="ar-SA"/>
        </w:rPr>
        <w:t>的影响小。</w:t>
      </w:r>
    </w:p>
    <w:p>
      <w:pPr>
        <w:pStyle w:val="8"/>
        <w:spacing w:line="360" w:lineRule="auto"/>
        <w:ind w:firstLine="480"/>
        <w:jc w:val="both"/>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w:t>
      </w:r>
      <w:r>
        <w:rPr>
          <w:rFonts w:hint="default"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）对保护区结构和功能的影响</w:t>
      </w:r>
    </w:p>
    <w:p>
      <w:pPr>
        <w:spacing w:line="360" w:lineRule="auto"/>
        <w:ind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工程施工期产生的产生废水、弃渣进入保护区，对鱼类产卵生境造成污染；施工噪声也造成产卵鱼类暂时回避施工区域。由于鱼类交配多在晚上，工程夜间不施工，且施工期也采取了水质保护和水保措施，</w:t>
      </w:r>
      <w:r>
        <w:rPr>
          <w:rFonts w:hint="default" w:ascii="Times New Roman" w:hAnsi="Times New Roman" w:cs="Times New Roman"/>
          <w:color w:val="auto"/>
          <w:sz w:val="24"/>
          <w:szCs w:val="24"/>
          <w:highlight w:val="none"/>
          <w:lang w:val="en-US" w:eastAsia="zh-CN"/>
        </w:rPr>
        <w:t>施工区域离鱼类三场较远，项目实施</w:t>
      </w:r>
      <w:r>
        <w:rPr>
          <w:rFonts w:hint="default" w:ascii="Times New Roman" w:hAnsi="Times New Roman" w:cs="Times New Roman"/>
          <w:color w:val="auto"/>
          <w:sz w:val="24"/>
          <w:szCs w:val="24"/>
          <w:highlight w:val="none"/>
        </w:rPr>
        <w:t>不会改变河流形态和保护区内鱼类重要生境</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因此本项目对保护区结构和功能</w:t>
      </w:r>
      <w:r>
        <w:rPr>
          <w:rFonts w:hint="default" w:ascii="Times New Roman" w:hAnsi="Times New Roman" w:cs="Times New Roman"/>
          <w:color w:val="auto"/>
          <w:sz w:val="24"/>
          <w:szCs w:val="24"/>
          <w:highlight w:val="none"/>
          <w:lang w:val="en-US" w:eastAsia="zh-CN"/>
        </w:rPr>
        <w:t>影响小</w:t>
      </w:r>
      <w:r>
        <w:rPr>
          <w:rFonts w:hint="default" w:ascii="Times New Roman" w:hAnsi="Times New Roman" w:cs="Times New Roman"/>
          <w:color w:val="auto"/>
          <w:sz w:val="24"/>
          <w:szCs w:val="24"/>
          <w:highlight w:val="none"/>
        </w:rPr>
        <w:t>。</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w:t>
      </w:r>
      <w:r>
        <w:rPr>
          <w:rFonts w:hint="default"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）对</w:t>
      </w:r>
      <w:r>
        <w:rPr>
          <w:rFonts w:hint="default" w:cs="Times New Roman"/>
          <w:b/>
          <w:bCs/>
          <w:color w:val="auto"/>
          <w:kern w:val="2"/>
          <w:sz w:val="24"/>
          <w:szCs w:val="24"/>
          <w:highlight w:val="none"/>
          <w:lang w:val="en-US" w:eastAsia="zh-CN" w:bidi="ar-SA"/>
        </w:rPr>
        <w:t>鱼类</w:t>
      </w:r>
      <w:r>
        <w:rPr>
          <w:rFonts w:hint="eastAsia" w:cs="Times New Roman"/>
          <w:b/>
          <w:bCs/>
          <w:color w:val="auto"/>
          <w:kern w:val="2"/>
          <w:sz w:val="24"/>
          <w:szCs w:val="24"/>
          <w:highlight w:val="none"/>
          <w:lang w:val="en-US" w:eastAsia="zh-CN" w:bidi="ar-SA"/>
        </w:rPr>
        <w:t>“</w:t>
      </w:r>
      <w:r>
        <w:rPr>
          <w:rFonts w:hint="default" w:cs="Times New Roman"/>
          <w:b/>
          <w:bCs/>
          <w:color w:val="auto"/>
          <w:kern w:val="2"/>
          <w:sz w:val="24"/>
          <w:szCs w:val="24"/>
          <w:highlight w:val="none"/>
          <w:lang w:val="en-US" w:eastAsia="zh-CN" w:bidi="ar-SA"/>
        </w:rPr>
        <w:t>三场</w:t>
      </w:r>
      <w:r>
        <w:rPr>
          <w:rFonts w:hint="eastAsia" w:cs="Times New Roman"/>
          <w:b/>
          <w:bCs/>
          <w:color w:val="auto"/>
          <w:kern w:val="2"/>
          <w:sz w:val="24"/>
          <w:szCs w:val="24"/>
          <w:highlight w:val="none"/>
          <w:lang w:val="en-US" w:eastAsia="zh-CN" w:bidi="ar-SA"/>
        </w:rPr>
        <w:t>”</w:t>
      </w:r>
      <w:r>
        <w:rPr>
          <w:rFonts w:hint="default" w:cs="Times New Roman"/>
          <w:b/>
          <w:bCs/>
          <w:color w:val="auto"/>
          <w:kern w:val="2"/>
          <w:sz w:val="24"/>
          <w:szCs w:val="24"/>
          <w:highlight w:val="none"/>
          <w:lang w:val="en-US" w:eastAsia="zh-CN" w:bidi="ar-SA"/>
        </w:rPr>
        <w:t>一通道的</w:t>
      </w:r>
      <w:r>
        <w:rPr>
          <w:rFonts w:hint="default" w:ascii="Times New Roman" w:hAnsi="Times New Roman" w:eastAsia="宋体" w:cs="Times New Roman"/>
          <w:b/>
          <w:bCs/>
          <w:color w:val="auto"/>
          <w:kern w:val="2"/>
          <w:sz w:val="24"/>
          <w:szCs w:val="24"/>
          <w:highlight w:val="none"/>
          <w:lang w:val="en-US" w:eastAsia="zh-CN" w:bidi="ar-SA"/>
        </w:rPr>
        <w:t>影响</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cs="Times New Roman"/>
          <w:color w:val="auto"/>
          <w:kern w:val="2"/>
          <w:sz w:val="24"/>
          <w:szCs w:val="24"/>
          <w:highlight w:val="none"/>
          <w:lang w:val="en-US" w:eastAsia="zh-CN" w:bidi="ar-SA"/>
        </w:rPr>
        <w:t>本项目建设不占用保护内鱼类</w:t>
      </w:r>
      <w:r>
        <w:rPr>
          <w:rFonts w:hint="eastAsia" w:cs="Times New Roman"/>
          <w:color w:val="auto"/>
          <w:kern w:val="2"/>
          <w:sz w:val="24"/>
          <w:szCs w:val="24"/>
          <w:highlight w:val="none"/>
          <w:lang w:val="en-US" w:eastAsia="zh-CN" w:bidi="ar-SA"/>
        </w:rPr>
        <w:t>“</w:t>
      </w:r>
      <w:r>
        <w:rPr>
          <w:rFonts w:hint="default" w:cs="Times New Roman"/>
          <w:color w:val="auto"/>
          <w:kern w:val="2"/>
          <w:sz w:val="24"/>
          <w:szCs w:val="24"/>
          <w:highlight w:val="none"/>
          <w:lang w:val="en-US" w:eastAsia="zh-CN" w:bidi="ar-SA"/>
        </w:rPr>
        <w:t>三场</w:t>
      </w:r>
      <w:r>
        <w:rPr>
          <w:rFonts w:hint="eastAsia" w:cs="Times New Roman"/>
          <w:color w:val="auto"/>
          <w:kern w:val="2"/>
          <w:sz w:val="24"/>
          <w:szCs w:val="24"/>
          <w:highlight w:val="none"/>
          <w:lang w:val="en-US" w:eastAsia="zh-CN" w:bidi="ar-SA"/>
        </w:rPr>
        <w:t>”</w:t>
      </w:r>
      <w:r>
        <w:rPr>
          <w:rFonts w:hint="default" w:cs="Times New Roman"/>
          <w:color w:val="auto"/>
          <w:kern w:val="2"/>
          <w:sz w:val="24"/>
          <w:szCs w:val="24"/>
          <w:highlight w:val="none"/>
          <w:lang w:val="en-US" w:eastAsia="zh-CN" w:bidi="ar-SA"/>
        </w:rPr>
        <w:t>，距离项目区较近</w:t>
      </w:r>
      <w:r>
        <w:rPr>
          <w:rFonts w:hint="default" w:ascii="Times New Roman" w:hAnsi="Times New Roman" w:eastAsia="宋体" w:cs="Times New Roman"/>
          <w:color w:val="auto"/>
          <w:sz w:val="24"/>
          <w:szCs w:val="24"/>
          <w:highlight w:val="none"/>
          <w:lang w:val="en-US" w:eastAsia="zh-CN"/>
        </w:rPr>
        <w:t>主要经济鱼类越冬场1处</w:t>
      </w:r>
      <w:r>
        <w:rPr>
          <w:rFonts w:hint="default" w:cs="Times New Roman"/>
          <w:color w:val="auto"/>
          <w:sz w:val="24"/>
          <w:szCs w:val="24"/>
          <w:highlight w:val="none"/>
          <w:lang w:val="en-US" w:eastAsia="zh-CN"/>
        </w:rPr>
        <w:t>，为白渔潭</w:t>
      </w:r>
      <w:r>
        <w:rPr>
          <w:rFonts w:hint="default" w:ascii="Times New Roman" w:hAnsi="Times New Roman" w:eastAsia="宋体" w:cs="Times New Roman"/>
          <w:color w:val="auto"/>
          <w:sz w:val="24"/>
          <w:szCs w:val="24"/>
          <w:highlight w:val="none"/>
          <w:lang w:val="en-US" w:eastAsia="zh-CN"/>
        </w:rPr>
        <w:t>；主要经济鱼类索饵场1处</w:t>
      </w:r>
      <w:r>
        <w:rPr>
          <w:rFonts w:hint="default"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粘性卵、浮性卵鱼类产卵场1处</w:t>
      </w:r>
      <w:r>
        <w:rPr>
          <w:rFonts w:hint="default" w:cs="Times New Roman"/>
          <w:color w:val="auto"/>
          <w:sz w:val="24"/>
          <w:szCs w:val="24"/>
          <w:highlight w:val="none"/>
          <w:lang w:val="en-US" w:eastAsia="zh-CN"/>
        </w:rPr>
        <w:t>，为东洲索饵场和产卵场，位于项目区下游1km左右，距离较远。悬浮物</w:t>
      </w:r>
      <w:r>
        <w:rPr>
          <w:rFonts w:hint="default" w:ascii="Times New Roman" w:hAnsi="Times New Roman" w:eastAsia="宋体" w:cs="Times New Roman"/>
          <w:color w:val="auto"/>
          <w:kern w:val="2"/>
          <w:sz w:val="24"/>
          <w:szCs w:val="24"/>
          <w:highlight w:val="none"/>
          <w:lang w:val="en-US" w:eastAsia="zh-CN" w:bidi="ar-SA"/>
        </w:rPr>
        <w:t>下游扩散一般约200m</w:t>
      </w:r>
      <w:r>
        <w:rPr>
          <w:rFonts w:hint="default" w:cs="Times New Roman"/>
          <w:color w:val="auto"/>
          <w:kern w:val="2"/>
          <w:sz w:val="24"/>
          <w:szCs w:val="24"/>
          <w:highlight w:val="none"/>
          <w:lang w:val="en-US" w:eastAsia="zh-CN" w:bidi="ar-SA"/>
        </w:rPr>
        <w:t>，因此涉水工程直接影响区</w:t>
      </w:r>
      <w:r>
        <w:rPr>
          <w:rFonts w:hint="default" w:ascii="Times New Roman" w:hAnsi="Times New Roman" w:eastAsia="宋体" w:cs="Times New Roman"/>
          <w:color w:val="auto"/>
          <w:kern w:val="2"/>
          <w:sz w:val="24"/>
          <w:szCs w:val="24"/>
          <w:highlight w:val="none"/>
          <w:lang w:val="en-US" w:eastAsia="zh-CN" w:bidi="ar-SA"/>
        </w:rPr>
        <w:t>未涉及保护区鱼类</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三场</w:t>
      </w:r>
      <w:r>
        <w:rPr>
          <w:rFonts w:hint="eastAsia" w:cs="Times New Roman"/>
          <w:color w:val="auto"/>
          <w:kern w:val="2"/>
          <w:sz w:val="24"/>
          <w:szCs w:val="24"/>
          <w:highlight w:val="none"/>
          <w:lang w:val="en-US" w:eastAsia="zh-CN" w:bidi="ar-SA"/>
        </w:rPr>
        <w:t>”</w:t>
      </w:r>
      <w:r>
        <w:rPr>
          <w:rFonts w:hint="default"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岸坡水生植物仍可供一些小型粘性卵鱼类产卵繁殖，其</w:t>
      </w:r>
      <w:r>
        <w:rPr>
          <w:rFonts w:hint="default" w:cs="Times New Roman"/>
          <w:color w:val="auto"/>
          <w:kern w:val="2"/>
          <w:sz w:val="24"/>
          <w:szCs w:val="24"/>
          <w:highlight w:val="none"/>
          <w:lang w:val="en-US" w:eastAsia="zh-CN" w:bidi="ar-SA"/>
        </w:rPr>
        <w:t>岸坡整治</w:t>
      </w:r>
      <w:r>
        <w:rPr>
          <w:rFonts w:hint="default" w:ascii="Times New Roman" w:hAnsi="Times New Roman" w:eastAsia="宋体" w:cs="Times New Roman"/>
          <w:color w:val="auto"/>
          <w:kern w:val="2"/>
          <w:sz w:val="24"/>
          <w:szCs w:val="24"/>
          <w:highlight w:val="none"/>
          <w:lang w:val="en-US" w:eastAsia="zh-CN" w:bidi="ar-SA"/>
        </w:rPr>
        <w:t>造成岸坡水生湿生植物损失，造成小型粘性卵鱼类产卵卵粘介质破坏，以及早期资源的一定损失。</w:t>
      </w:r>
      <w:r>
        <w:rPr>
          <w:rFonts w:hint="default" w:cs="Times New Roman"/>
          <w:color w:val="auto"/>
          <w:kern w:val="2"/>
          <w:sz w:val="24"/>
          <w:szCs w:val="24"/>
          <w:highlight w:val="none"/>
          <w:lang w:val="en-US" w:eastAsia="zh-CN" w:bidi="ar-SA"/>
        </w:rPr>
        <w:t>岸坡整治长650m，距离短，对保护内</w:t>
      </w:r>
      <w:r>
        <w:rPr>
          <w:rFonts w:hint="default" w:ascii="Times New Roman" w:hAnsi="Times New Roman" w:eastAsia="宋体" w:cs="Times New Roman"/>
          <w:color w:val="auto"/>
          <w:kern w:val="2"/>
          <w:sz w:val="24"/>
          <w:szCs w:val="24"/>
          <w:highlight w:val="none"/>
          <w:lang w:val="en-US" w:eastAsia="zh-CN" w:bidi="ar-SA"/>
        </w:rPr>
        <w:t>粘性卵鱼类产卵</w:t>
      </w:r>
      <w:r>
        <w:rPr>
          <w:rFonts w:hint="default" w:cs="Times New Roman"/>
          <w:color w:val="auto"/>
          <w:kern w:val="2"/>
          <w:sz w:val="24"/>
          <w:szCs w:val="24"/>
          <w:highlight w:val="none"/>
          <w:lang w:val="en-US" w:eastAsia="zh-CN" w:bidi="ar-SA"/>
        </w:rPr>
        <w:t>影响小。</w:t>
      </w:r>
      <w:r>
        <w:rPr>
          <w:rFonts w:hint="default" w:ascii="Times New Roman" w:hAnsi="Times New Roman" w:eastAsia="宋体" w:cs="Times New Roman"/>
          <w:color w:val="auto"/>
          <w:kern w:val="2"/>
          <w:sz w:val="24"/>
          <w:szCs w:val="24"/>
          <w:highlight w:val="none"/>
          <w:lang w:val="en-US" w:eastAsia="zh-CN" w:bidi="ar-SA"/>
        </w:rPr>
        <w:t>本项目</w:t>
      </w:r>
      <w:r>
        <w:rPr>
          <w:rFonts w:hint="default" w:cs="Times New Roman"/>
          <w:color w:val="auto"/>
          <w:kern w:val="2"/>
          <w:sz w:val="24"/>
          <w:szCs w:val="24"/>
          <w:highlight w:val="none"/>
          <w:lang w:val="en-US" w:eastAsia="zh-CN" w:bidi="ar-SA"/>
        </w:rPr>
        <w:t>涉水和临水</w:t>
      </w:r>
      <w:r>
        <w:rPr>
          <w:rFonts w:hint="default" w:ascii="Times New Roman" w:hAnsi="Times New Roman" w:eastAsia="宋体" w:cs="Times New Roman"/>
          <w:color w:val="auto"/>
          <w:kern w:val="2"/>
          <w:sz w:val="24"/>
          <w:szCs w:val="24"/>
          <w:highlight w:val="none"/>
          <w:lang w:val="en-US" w:eastAsia="zh-CN" w:bidi="ar-SA"/>
        </w:rPr>
        <w:t>施工区</w:t>
      </w:r>
      <w:r>
        <w:rPr>
          <w:rFonts w:hint="default" w:cs="Times New Roman"/>
          <w:color w:val="auto"/>
          <w:kern w:val="2"/>
          <w:sz w:val="24"/>
          <w:szCs w:val="24"/>
          <w:highlight w:val="none"/>
          <w:lang w:val="en-US" w:eastAsia="zh-CN" w:bidi="ar-SA"/>
        </w:rPr>
        <w:t>湘江岸边</w:t>
      </w:r>
      <w:r>
        <w:rPr>
          <w:rFonts w:hint="default" w:ascii="Times New Roman" w:hAnsi="Times New Roman" w:eastAsia="宋体" w:cs="Times New Roman"/>
          <w:color w:val="auto"/>
          <w:kern w:val="2"/>
          <w:sz w:val="24"/>
          <w:szCs w:val="24"/>
          <w:highlight w:val="none"/>
          <w:lang w:val="en-US" w:eastAsia="zh-CN" w:bidi="ar-SA"/>
        </w:rPr>
        <w:t>，远离河流深水区，对鱼类洄游通道影响较小</w:t>
      </w:r>
      <w:r>
        <w:rPr>
          <w:rFonts w:hint="default" w:ascii="Times New Roman" w:hAnsi="Times New Roman" w:cs="Times New Roman"/>
          <w:color w:val="auto"/>
          <w:kern w:val="2"/>
          <w:sz w:val="24"/>
          <w:szCs w:val="24"/>
          <w:highlight w:val="none"/>
          <w:lang w:val="en-US" w:eastAsia="zh-CN" w:bidi="ar-SA"/>
        </w:rPr>
        <w:t>。</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w:t>
      </w:r>
      <w:r>
        <w:rPr>
          <w:rFonts w:hint="default"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）对</w:t>
      </w:r>
      <w:r>
        <w:rPr>
          <w:rFonts w:hint="default" w:cs="Times New Roman"/>
          <w:b/>
          <w:bCs/>
          <w:color w:val="auto"/>
          <w:kern w:val="2"/>
          <w:sz w:val="24"/>
          <w:szCs w:val="24"/>
          <w:highlight w:val="none"/>
          <w:lang w:val="en-US" w:eastAsia="zh-CN" w:bidi="ar-SA"/>
        </w:rPr>
        <w:t>珍稀、濒危物种的</w:t>
      </w:r>
      <w:r>
        <w:rPr>
          <w:rFonts w:hint="default" w:ascii="Times New Roman" w:hAnsi="Times New Roman" w:eastAsia="宋体" w:cs="Times New Roman"/>
          <w:b/>
          <w:bCs/>
          <w:color w:val="auto"/>
          <w:kern w:val="2"/>
          <w:sz w:val="24"/>
          <w:szCs w:val="24"/>
          <w:highlight w:val="none"/>
          <w:lang w:val="en-US" w:eastAsia="zh-CN" w:bidi="ar-SA"/>
        </w:rPr>
        <w:t>影响</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保护区江段记载有水生野生保护动物种类较多。</w:t>
      </w:r>
      <w:r>
        <w:rPr>
          <w:rFonts w:hint="default" w:cs="Times New Roman"/>
          <w:color w:val="auto"/>
          <w:kern w:val="2"/>
          <w:sz w:val="24"/>
          <w:szCs w:val="24"/>
          <w:highlight w:val="none"/>
          <w:lang w:val="en-US" w:eastAsia="zh-CN" w:bidi="ar-SA"/>
        </w:rPr>
        <w:t>本项目的实施</w:t>
      </w:r>
      <w:r>
        <w:rPr>
          <w:rFonts w:hint="default" w:ascii="Times New Roman" w:hAnsi="Times New Roman" w:eastAsia="宋体" w:cs="Times New Roman"/>
          <w:color w:val="auto"/>
          <w:kern w:val="2"/>
          <w:sz w:val="24"/>
          <w:szCs w:val="24"/>
          <w:highlight w:val="none"/>
          <w:lang w:val="en-US" w:eastAsia="zh-CN" w:bidi="ar-SA"/>
        </w:rPr>
        <w:t>不改变整体水文情势，对保护区水生态系统整体影响较小，对保护区功能完整性影响较小。因此，工程</w:t>
      </w:r>
      <w:r>
        <w:rPr>
          <w:rFonts w:hint="default" w:cs="Times New Roman"/>
          <w:color w:val="auto"/>
          <w:kern w:val="2"/>
          <w:sz w:val="24"/>
          <w:szCs w:val="24"/>
          <w:highlight w:val="none"/>
          <w:lang w:val="en-US" w:eastAsia="zh-CN" w:bidi="ar-SA"/>
        </w:rPr>
        <w:t>实施</w:t>
      </w:r>
      <w:r>
        <w:rPr>
          <w:rFonts w:hint="default" w:ascii="Times New Roman" w:hAnsi="Times New Roman" w:eastAsia="宋体" w:cs="Times New Roman"/>
          <w:color w:val="auto"/>
          <w:kern w:val="2"/>
          <w:sz w:val="24"/>
          <w:szCs w:val="24"/>
          <w:highlight w:val="none"/>
          <w:lang w:val="en-US" w:eastAsia="zh-CN" w:bidi="ar-SA"/>
        </w:rPr>
        <w:t>对珍稀濒危物种的影响也较小。但不排除施工人员由于管理不到位捕捉受伤的水生野生动物，应制定施工期水生态保护管理措施，将珍稀、濒危物种的保护纳入其中，严格执行</w:t>
      </w:r>
      <w:r>
        <w:rPr>
          <w:rFonts w:hint="default" w:cs="Times New Roman"/>
          <w:color w:val="auto"/>
          <w:kern w:val="2"/>
          <w:sz w:val="24"/>
          <w:szCs w:val="24"/>
          <w:highlight w:val="none"/>
          <w:lang w:val="en-US" w:eastAsia="zh-CN" w:bidi="ar-SA"/>
        </w:rPr>
        <w:t>。</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对鱼类等水生生物区系组成的影响</w:t>
      </w:r>
    </w:p>
    <w:p>
      <w:pPr>
        <w:pStyle w:val="8"/>
        <w:keepNext w:val="0"/>
        <w:keepLines w:val="0"/>
        <w:widowControl/>
        <w:suppressLineNumbers w:val="0"/>
        <w:spacing w:line="360" w:lineRule="auto"/>
        <w:ind w:firstLine="480"/>
        <w:jc w:val="left"/>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保护区鱼类主要由中国平原区系复合体、南方平原区系复合体、北方平原区系类群、晚第三纪早期区系复合体</w:t>
      </w:r>
      <w:r>
        <w:rPr>
          <w:rFonts w:hint="default" w:ascii="Times New Roman" w:hAnsi="Times New Roman"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个区系复合体构成。其中以鲢、鳙为代表的中国平原区系复合体主要受水位变化等因素影响；南方平原区系、北方平原区系鱼类分布受水温影响；晚第三纪早期区系鱼类多视觉不发达，嗅觉发达，以底栖生物为食者较多，适应于浑浊水体。本</w:t>
      </w:r>
      <w:r>
        <w:rPr>
          <w:rFonts w:hint="default" w:ascii="Times New Roman" w:hAnsi="Times New Roman" w:cs="Times New Roman"/>
          <w:color w:val="auto"/>
          <w:kern w:val="2"/>
          <w:sz w:val="24"/>
          <w:szCs w:val="24"/>
          <w:highlight w:val="none"/>
          <w:lang w:val="en-US" w:eastAsia="zh-CN" w:bidi="ar-SA"/>
        </w:rPr>
        <w:t>项目实施</w:t>
      </w:r>
      <w:r>
        <w:rPr>
          <w:rFonts w:hint="default" w:ascii="Times New Roman" w:hAnsi="Times New Roman" w:eastAsia="宋体" w:cs="Times New Roman"/>
          <w:color w:val="auto"/>
          <w:kern w:val="2"/>
          <w:sz w:val="24"/>
          <w:szCs w:val="24"/>
          <w:highlight w:val="none"/>
          <w:lang w:val="en-US" w:eastAsia="zh-CN" w:bidi="ar-SA"/>
        </w:rPr>
        <w:t>不改变保护区水文情势，不造成保护区水温变异，不</w:t>
      </w:r>
      <w:r>
        <w:rPr>
          <w:rFonts w:hint="default" w:ascii="Times New Roman" w:hAnsi="Times New Roman" w:cs="Times New Roman"/>
          <w:color w:val="auto"/>
          <w:kern w:val="2"/>
          <w:sz w:val="24"/>
          <w:szCs w:val="24"/>
          <w:highlight w:val="none"/>
          <w:lang w:val="en-US" w:eastAsia="zh-CN" w:bidi="ar-SA"/>
        </w:rPr>
        <w:t>明显改变</w:t>
      </w:r>
      <w:r>
        <w:rPr>
          <w:rFonts w:hint="default" w:ascii="Times New Roman" w:hAnsi="Times New Roman" w:eastAsia="宋体" w:cs="Times New Roman"/>
          <w:color w:val="auto"/>
          <w:kern w:val="2"/>
          <w:sz w:val="24"/>
          <w:szCs w:val="24"/>
          <w:highlight w:val="none"/>
          <w:lang w:val="en-US" w:eastAsia="zh-CN" w:bidi="ar-SA"/>
        </w:rPr>
        <w:t>保护区底质状况，对保护区鱼类等水生生物区系组成影响</w:t>
      </w:r>
      <w:r>
        <w:rPr>
          <w:rFonts w:hint="default" w:ascii="Times New Roman" w:hAnsi="Times New Roman" w:cs="Times New Roman"/>
          <w:color w:val="auto"/>
          <w:kern w:val="2"/>
          <w:sz w:val="24"/>
          <w:szCs w:val="24"/>
          <w:highlight w:val="none"/>
          <w:lang w:val="en-US" w:eastAsia="zh-CN" w:bidi="ar-SA"/>
        </w:rPr>
        <w:t>甚微</w:t>
      </w:r>
      <w:r>
        <w:rPr>
          <w:rFonts w:hint="default" w:ascii="Times New Roman" w:hAnsi="Times New Roman" w:eastAsia="宋体" w:cs="Times New Roman"/>
          <w:color w:val="auto"/>
          <w:kern w:val="2"/>
          <w:sz w:val="24"/>
          <w:szCs w:val="24"/>
          <w:highlight w:val="none"/>
          <w:lang w:val="en-US" w:eastAsia="zh-CN" w:bidi="ar-SA"/>
        </w:rPr>
        <w:t>。</w:t>
      </w:r>
    </w:p>
    <w:p>
      <w:pPr>
        <w:pStyle w:val="8"/>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w:t>
      </w:r>
      <w:r>
        <w:rPr>
          <w:rFonts w:hint="default"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kern w:val="2"/>
          <w:sz w:val="24"/>
          <w:szCs w:val="24"/>
          <w:highlight w:val="none"/>
          <w:lang w:val="en-US" w:eastAsia="zh-CN" w:bidi="ar-SA"/>
        </w:rPr>
        <w:t>）对</w:t>
      </w:r>
      <w:r>
        <w:rPr>
          <w:rFonts w:hint="default" w:cs="Times New Roman"/>
          <w:b/>
          <w:bCs/>
          <w:color w:val="auto"/>
          <w:kern w:val="2"/>
          <w:sz w:val="24"/>
          <w:szCs w:val="24"/>
          <w:highlight w:val="none"/>
          <w:lang w:val="en-US" w:eastAsia="zh-CN" w:bidi="ar-SA"/>
        </w:rPr>
        <w:t>保护区</w:t>
      </w:r>
      <w:r>
        <w:rPr>
          <w:rFonts w:hint="default" w:ascii="Times New Roman" w:hAnsi="Times New Roman" w:eastAsia="宋体" w:cs="Times New Roman"/>
          <w:b/>
          <w:bCs/>
          <w:color w:val="auto"/>
          <w:kern w:val="2"/>
          <w:sz w:val="24"/>
          <w:szCs w:val="24"/>
          <w:highlight w:val="none"/>
          <w:lang w:val="en-US" w:eastAsia="zh-CN" w:bidi="ar-SA"/>
        </w:rPr>
        <w:t>水生生物多样性影响</w:t>
      </w:r>
    </w:p>
    <w:p>
      <w:pPr>
        <w:pStyle w:val="68"/>
        <w:keepNext w:val="0"/>
        <w:keepLines w:val="0"/>
        <w:pageBreakBefore w:val="0"/>
        <w:kinsoku/>
        <w:wordWrap/>
        <w:overflowPunct/>
        <w:topLinePunct w:val="0"/>
        <w:autoSpaceDE/>
        <w:autoSpaceDN/>
        <w:bidi w:val="0"/>
        <w:adjustRightInd/>
        <w:spacing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保护区鱼类资源整体上呈衰退状态，江海、江河洄游性鱼类资源较少，以定居性、短距离洄游性鱼类资源为主，其资源锐减的主要原因是水域水利工程的兴建、航道疏浚导致产卵场面积减少等。</w:t>
      </w:r>
    </w:p>
    <w:p>
      <w:pPr>
        <w:pStyle w:val="68"/>
        <w:keepNext w:val="0"/>
        <w:keepLines w:val="0"/>
        <w:pageBreakBefore w:val="0"/>
        <w:kinsoku/>
        <w:wordWrap/>
        <w:overflowPunct/>
        <w:topLinePunct w:val="0"/>
        <w:autoSpaceDE/>
        <w:autoSpaceDN/>
        <w:bidi w:val="0"/>
        <w:adjustRightInd/>
        <w:spacing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施工期间，抛石护岸、岸坡整治</w:t>
      </w:r>
      <w:r>
        <w:rPr>
          <w:rFonts w:hint="default" w:ascii="Times New Roman" w:hAnsi="Times New Roman" w:eastAsia="宋体" w:cs="Times New Roman"/>
          <w:color w:val="auto"/>
          <w:sz w:val="24"/>
          <w:szCs w:val="24"/>
          <w:highlight w:val="none"/>
          <w:lang w:val="en-US" w:eastAsia="zh-CN"/>
        </w:rPr>
        <w:t>等</w:t>
      </w:r>
      <w:r>
        <w:rPr>
          <w:rFonts w:hint="default" w:ascii="Times New Roman" w:hAnsi="Times New Roman" w:eastAsia="宋体" w:cs="Times New Roman"/>
          <w:color w:val="auto"/>
          <w:sz w:val="24"/>
          <w:szCs w:val="24"/>
          <w:highlight w:val="none"/>
        </w:rPr>
        <w:t>施工将占用保护区水域面积，导致河床地形和底质发生局部变化，部分河段的水文、水质状况、饵料基础也将发生不同程度的变化。因此工程建设对水生生物多样性的影响，尤其是小生境类型多样性的影响客观存在。施工区域附近的水生生物资源量会下降，</w:t>
      </w:r>
      <w:r>
        <w:rPr>
          <w:rFonts w:hint="default" w:ascii="Times New Roman" w:hAnsi="Times New Roman" w:cs="Times New Roman"/>
          <w:color w:val="auto"/>
          <w:sz w:val="24"/>
          <w:szCs w:val="24"/>
          <w:highlight w:val="none"/>
          <w:lang w:val="en-US" w:eastAsia="zh-CN"/>
        </w:rPr>
        <w:t>但工程并不会造成河流阻隔、不改变水文形势、不产生大量悬浮物，施工强度底，涉及保护区水域面积小，</w:t>
      </w:r>
      <w:r>
        <w:rPr>
          <w:rFonts w:hint="default" w:ascii="Times New Roman" w:hAnsi="Times New Roman" w:eastAsia="宋体" w:cs="Times New Roman"/>
          <w:color w:val="auto"/>
          <w:sz w:val="24"/>
          <w:szCs w:val="24"/>
          <w:highlight w:val="none"/>
        </w:rPr>
        <w:t>不会导致物种</w:t>
      </w:r>
      <w:r>
        <w:rPr>
          <w:rFonts w:hint="default" w:ascii="Times New Roman" w:hAnsi="Times New Roman" w:cs="Times New Roman"/>
          <w:color w:val="auto"/>
          <w:sz w:val="24"/>
          <w:szCs w:val="24"/>
          <w:highlight w:val="none"/>
          <w:lang w:val="en-US" w:eastAsia="zh-CN"/>
        </w:rPr>
        <w:t>大量减少或</w:t>
      </w:r>
      <w:r>
        <w:rPr>
          <w:rFonts w:hint="default" w:ascii="Times New Roman" w:hAnsi="Times New Roman" w:eastAsia="宋体" w:cs="Times New Roman"/>
          <w:color w:val="auto"/>
          <w:sz w:val="24"/>
          <w:szCs w:val="24"/>
          <w:highlight w:val="none"/>
        </w:rPr>
        <w:t>灭绝。鱼类等活动能力较强的水生生物具有主动规避行为，施工将导致施工区域水生生物多样性降低，但待施工结束后，该区域生物多样性将会很快恢复。因此，</w:t>
      </w:r>
      <w:r>
        <w:rPr>
          <w:rFonts w:hint="default" w:ascii="Times New Roman" w:hAnsi="Times New Roman" w:eastAsia="宋体" w:cs="Times New Roman"/>
          <w:color w:val="auto"/>
          <w:sz w:val="24"/>
          <w:szCs w:val="24"/>
          <w:highlight w:val="none"/>
          <w:lang w:val="en-US" w:eastAsia="zh-CN"/>
        </w:rPr>
        <w:t>项目实施</w:t>
      </w:r>
      <w:r>
        <w:rPr>
          <w:rFonts w:hint="default" w:ascii="Times New Roman" w:hAnsi="Times New Roman" w:eastAsia="宋体" w:cs="Times New Roman"/>
          <w:color w:val="auto"/>
          <w:sz w:val="24"/>
          <w:szCs w:val="24"/>
          <w:highlight w:val="none"/>
        </w:rPr>
        <w:t>对保护区水生生物多样性影响有限。</w:t>
      </w:r>
    </w:p>
    <w:p>
      <w:pPr>
        <w:pStyle w:val="8"/>
        <w:keepNext w:val="0"/>
        <w:keepLines w:val="0"/>
        <w:widowControl/>
        <w:suppressLineNumbers w:val="0"/>
        <w:spacing w:line="360" w:lineRule="auto"/>
        <w:ind w:firstLine="480"/>
        <w:jc w:val="left"/>
        <w:rPr>
          <w:rFonts w:ascii="Times New Roman" w:hAnsi="Times New Roman" w:cs="Times New Roman"/>
          <w:color w:val="auto"/>
        </w:rPr>
      </w:pPr>
      <w:r>
        <w:rPr>
          <w:rFonts w:hint="default" w:ascii="Times New Roman" w:hAnsi="Times New Roman" w:cs="Times New Roman"/>
          <w:color w:val="auto"/>
          <w:sz w:val="24"/>
          <w:szCs w:val="24"/>
          <w:highlight w:val="none"/>
        </w:rPr>
        <w:t>综上所述，</w:t>
      </w:r>
      <w:r>
        <w:rPr>
          <w:rFonts w:hint="default" w:ascii="Times New Roman" w:hAnsi="Times New Roman" w:cs="Times New Roman"/>
          <w:color w:val="auto"/>
          <w:sz w:val="24"/>
          <w:szCs w:val="24"/>
          <w:highlight w:val="none"/>
          <w:lang w:val="en-US" w:eastAsia="zh-CN"/>
        </w:rPr>
        <w:t>项目实施占用保护区水域面积小，施工强度低，直接影响区面积小，项目实施</w:t>
      </w:r>
      <w:r>
        <w:rPr>
          <w:rFonts w:hint="default" w:ascii="Times New Roman" w:hAnsi="Times New Roman" w:cs="Times New Roman"/>
          <w:color w:val="auto"/>
          <w:sz w:val="24"/>
          <w:szCs w:val="24"/>
          <w:highlight w:val="none"/>
        </w:rPr>
        <w:t>对保护区的影响</w:t>
      </w:r>
      <w:r>
        <w:rPr>
          <w:rFonts w:hint="default" w:ascii="Times New Roman" w:hAnsi="Times New Roman" w:cs="Times New Roman"/>
          <w:color w:val="auto"/>
          <w:sz w:val="24"/>
          <w:szCs w:val="24"/>
          <w:highlight w:val="none"/>
          <w:lang w:val="en-US" w:eastAsia="zh-CN"/>
        </w:rPr>
        <w:t>小</w:t>
      </w:r>
      <w:r>
        <w:rPr>
          <w:rFonts w:hint="default" w:ascii="Times New Roman" w:hAnsi="Times New Roman" w:cs="Times New Roman"/>
          <w:color w:val="auto"/>
          <w:sz w:val="24"/>
          <w:szCs w:val="24"/>
          <w:highlight w:val="none"/>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5.3.6对生态保护红线的影响</w:t>
      </w:r>
    </w:p>
    <w:p>
      <w:pPr>
        <w:spacing w:line="360" w:lineRule="auto"/>
        <w:ind w:firstLine="480" w:firstLineChars="200"/>
        <w:rPr>
          <w:rFonts w:hint="default" w:ascii="Times New Roman" w:hAnsi="Times New Roman" w:cs="Times New Roman"/>
          <w:i w:val="0"/>
          <w:iCs w:val="0"/>
          <w:caps w:val="0"/>
          <w:color w:val="auto"/>
          <w:spacing w:val="0"/>
          <w:sz w:val="24"/>
          <w:szCs w:val="24"/>
          <w:highlight w:val="none"/>
          <w:shd w:val="clear" w:fill="FFFFFF"/>
          <w:lang w:val="en-US" w:eastAsia="zh-CN"/>
        </w:rPr>
      </w:pPr>
      <w:r>
        <w:rPr>
          <w:rFonts w:hint="default" w:ascii="Times New Roman" w:hAnsi="Times New Roman" w:cs="Times New Roman"/>
          <w:color w:val="auto"/>
          <w:sz w:val="24"/>
          <w:szCs w:val="24"/>
          <w:highlight w:val="none"/>
        </w:rPr>
        <w:t>据已发布的</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三区三线</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成果，</w:t>
      </w:r>
      <w:r>
        <w:rPr>
          <w:rFonts w:hint="default"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rPr>
        <w:t>不涉及生态保护红线。</w:t>
      </w:r>
      <w:r>
        <w:rPr>
          <w:rFonts w:hint="default" w:ascii="Times New Roman" w:hAnsi="Times New Roman" w:cs="Times New Roman"/>
          <w:color w:val="auto"/>
          <w:kern w:val="0"/>
          <w:sz w:val="24"/>
          <w:szCs w:val="24"/>
          <w:highlight w:val="none"/>
        </w:rPr>
        <w:t>东洲岛工程</w:t>
      </w:r>
      <w:r>
        <w:rPr>
          <w:rFonts w:hint="default" w:ascii="Times New Roman" w:hAnsi="Times New Roman" w:cs="Times New Roman"/>
          <w:color w:val="auto"/>
          <w:kern w:val="0"/>
          <w:sz w:val="24"/>
          <w:szCs w:val="24"/>
          <w:highlight w:val="none"/>
          <w:lang w:val="en-US" w:eastAsia="zh-CN"/>
        </w:rPr>
        <w:t>征地范围与生态保护红线相邻，</w:t>
      </w:r>
      <w:r>
        <w:rPr>
          <w:rFonts w:hint="default" w:ascii="Times New Roman" w:hAnsi="Times New Roman" w:eastAsia="宋体" w:cs="Times New Roman"/>
          <w:i w:val="0"/>
          <w:iCs w:val="0"/>
          <w:caps w:val="0"/>
          <w:color w:val="auto"/>
          <w:spacing w:val="0"/>
          <w:sz w:val="24"/>
          <w:szCs w:val="24"/>
          <w:highlight w:val="none"/>
          <w:shd w:val="clear" w:fill="FFFFFF"/>
        </w:rPr>
        <w:t>主导生态功能为水源涵养。</w:t>
      </w:r>
      <w:r>
        <w:rPr>
          <w:rFonts w:hint="default" w:ascii="Times New Roman" w:hAnsi="Times New Roman" w:cs="Times New Roman"/>
          <w:i w:val="0"/>
          <w:iCs w:val="0"/>
          <w:caps w:val="0"/>
          <w:color w:val="auto"/>
          <w:spacing w:val="0"/>
          <w:sz w:val="24"/>
          <w:szCs w:val="24"/>
          <w:highlight w:val="none"/>
          <w:shd w:val="clear" w:fill="FFFFFF"/>
          <w:lang w:val="en-US" w:eastAsia="zh-CN"/>
        </w:rPr>
        <w:t>项目在东洲岛上的施工工程主要为船山书院旧址修缮、夫之楼文化建筑复原、</w:t>
      </w:r>
      <w:r>
        <w:rPr>
          <w:rFonts w:hint="eastAsia" w:ascii="Times New Roman" w:hAnsi="Times New Roman" w:cs="Times New Roman"/>
          <w:i w:val="0"/>
          <w:iCs w:val="0"/>
          <w:caps w:val="0"/>
          <w:color w:val="auto"/>
          <w:spacing w:val="0"/>
          <w:sz w:val="24"/>
          <w:szCs w:val="24"/>
          <w:highlight w:val="none"/>
          <w:shd w:val="clear" w:fill="FFFFFF"/>
          <w:lang w:val="en-US" w:eastAsia="zh-CN"/>
        </w:rPr>
        <w:t>修缮</w:t>
      </w:r>
      <w:r>
        <w:rPr>
          <w:rFonts w:hint="default" w:ascii="Times New Roman" w:hAnsi="Times New Roman" w:cs="Times New Roman"/>
          <w:i w:val="0"/>
          <w:iCs w:val="0"/>
          <w:caps w:val="0"/>
          <w:color w:val="auto"/>
          <w:spacing w:val="0"/>
          <w:sz w:val="24"/>
          <w:szCs w:val="24"/>
          <w:highlight w:val="none"/>
          <w:shd w:val="clear" w:fill="FFFFFF"/>
          <w:lang w:val="en-US" w:eastAsia="zh-CN"/>
        </w:rPr>
        <w:t>木栈道、木平台、汀步道、补种乔灌木绿化、灯光亮化</w:t>
      </w:r>
      <w:r>
        <w:rPr>
          <w:rFonts w:hint="eastAsia" w:ascii="Times New Roman" w:hAnsi="Times New Roman" w:cs="Times New Roman"/>
          <w:i w:val="0"/>
          <w:iCs w:val="0"/>
          <w:caps w:val="0"/>
          <w:color w:val="auto"/>
          <w:spacing w:val="0"/>
          <w:sz w:val="24"/>
          <w:szCs w:val="24"/>
          <w:highlight w:val="none"/>
          <w:shd w:val="clear" w:fill="FFFFFF"/>
          <w:lang w:val="en-US" w:eastAsia="zh-CN"/>
        </w:rPr>
        <w:t>以及新建东洲桃浪园网红打卡地、建筑裸眼主题楼体秀、草坪露营基地等休闲娱乐体验项目</w:t>
      </w:r>
      <w:r>
        <w:rPr>
          <w:rFonts w:hint="default" w:ascii="Times New Roman" w:hAnsi="Times New Roman" w:cs="Times New Roman"/>
          <w:i w:val="0"/>
          <w:iCs w:val="0"/>
          <w:caps w:val="0"/>
          <w:color w:val="auto"/>
          <w:spacing w:val="0"/>
          <w:sz w:val="24"/>
          <w:szCs w:val="24"/>
          <w:highlight w:val="none"/>
          <w:shd w:val="clear" w:fill="FFFFFF"/>
          <w:lang w:val="en-US" w:eastAsia="zh-CN"/>
        </w:rPr>
        <w:t>等。修缮、绿化、灯光工程不会造成水土流失；建设东洲桃浪园网红打卡地、建筑裸眼主题楼体秀、草坪露营基地等休闲娱乐体验项目等在东洲岛内，与生态保护红线相距较远</w:t>
      </w:r>
      <w:r>
        <w:rPr>
          <w:rFonts w:hint="default" w:cs="Times New Roman"/>
          <w:i w:val="0"/>
          <w:iCs w:val="0"/>
          <w:caps w:val="0"/>
          <w:color w:val="auto"/>
          <w:spacing w:val="0"/>
          <w:sz w:val="24"/>
          <w:szCs w:val="24"/>
          <w:highlight w:val="none"/>
          <w:shd w:val="clear" w:fill="FFFFFF"/>
          <w:lang w:val="en-US" w:eastAsia="zh-CN"/>
        </w:rPr>
        <w:t>。项目实施不</w:t>
      </w:r>
      <w:r>
        <w:rPr>
          <w:rFonts w:hint="default" w:ascii="Times New Roman" w:hAnsi="Times New Roman" w:cs="Times New Roman"/>
          <w:i w:val="0"/>
          <w:iCs w:val="0"/>
          <w:caps w:val="0"/>
          <w:color w:val="auto"/>
          <w:spacing w:val="0"/>
          <w:sz w:val="24"/>
          <w:szCs w:val="24"/>
          <w:highlight w:val="none"/>
          <w:shd w:val="clear" w:fill="FFFFFF"/>
          <w:lang w:val="en-US" w:eastAsia="zh-CN"/>
        </w:rPr>
        <w:t>对生态保护红线</w:t>
      </w:r>
      <w:r>
        <w:rPr>
          <w:rFonts w:hint="default" w:cs="Times New Roman"/>
          <w:i w:val="0"/>
          <w:iCs w:val="0"/>
          <w:caps w:val="0"/>
          <w:color w:val="auto"/>
          <w:spacing w:val="0"/>
          <w:sz w:val="24"/>
          <w:szCs w:val="24"/>
          <w:highlight w:val="none"/>
          <w:shd w:val="clear" w:fill="FFFFFF"/>
          <w:lang w:val="en-US" w:eastAsia="zh-CN"/>
        </w:rPr>
        <w:t>内的水资源造成影响，对</w:t>
      </w:r>
      <w:r>
        <w:rPr>
          <w:rFonts w:hint="default" w:ascii="Times New Roman" w:hAnsi="Times New Roman" w:eastAsia="宋体" w:cs="Times New Roman"/>
          <w:i w:val="0"/>
          <w:iCs w:val="0"/>
          <w:caps w:val="0"/>
          <w:color w:val="auto"/>
          <w:spacing w:val="0"/>
          <w:sz w:val="24"/>
          <w:szCs w:val="24"/>
          <w:highlight w:val="none"/>
          <w:shd w:val="clear" w:fill="FFFFFF"/>
        </w:rPr>
        <w:t>水源涵养</w:t>
      </w:r>
      <w:r>
        <w:rPr>
          <w:rFonts w:hint="default" w:cs="Times New Roman"/>
          <w:i w:val="0"/>
          <w:iCs w:val="0"/>
          <w:caps w:val="0"/>
          <w:color w:val="auto"/>
          <w:spacing w:val="0"/>
          <w:sz w:val="24"/>
          <w:szCs w:val="24"/>
          <w:highlight w:val="none"/>
          <w:shd w:val="clear" w:fill="FFFFFF"/>
          <w:lang w:val="en-US" w:eastAsia="zh-CN"/>
        </w:rPr>
        <w:t>的生态功能影响小</w:t>
      </w:r>
      <w:r>
        <w:rPr>
          <w:rFonts w:hint="default" w:ascii="Times New Roman" w:hAnsi="Times New Roman" w:cs="Times New Roman"/>
          <w:i w:val="0"/>
          <w:iCs w:val="0"/>
          <w:caps w:val="0"/>
          <w:color w:val="auto"/>
          <w:spacing w:val="0"/>
          <w:sz w:val="24"/>
          <w:szCs w:val="24"/>
          <w:highlight w:val="none"/>
          <w:shd w:val="clear" w:fill="FFFFFF"/>
          <w:lang w:val="en-US" w:eastAsia="zh-CN"/>
        </w:rPr>
        <w:t>。</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hint="default" w:ascii="Times New Roman" w:hAnsi="Times New Roman" w:eastAsia="宋体" w:cs="Times New Roman"/>
          <w:b/>
          <w:bCs/>
          <w:color w:val="auto"/>
          <w:kern w:val="0"/>
          <w:sz w:val="30"/>
          <w:szCs w:val="30"/>
          <w:highlight w:val="none"/>
          <w:lang w:val="en-US" w:eastAsia="zh-CN"/>
        </w:rPr>
      </w:pPr>
      <w:bookmarkStart w:id="219" w:name="_Toc4780"/>
      <w:r>
        <w:rPr>
          <w:rFonts w:hint="default" w:ascii="Times New Roman" w:hAnsi="Times New Roman" w:eastAsia="宋体" w:cs="Times New Roman"/>
          <w:b/>
          <w:bCs/>
          <w:color w:val="auto"/>
          <w:kern w:val="0"/>
          <w:sz w:val="30"/>
          <w:szCs w:val="30"/>
          <w:highlight w:val="none"/>
          <w:lang w:val="en-US" w:eastAsia="zh-CN"/>
        </w:rPr>
        <w:t>环境风险分析</w:t>
      </w:r>
      <w:bookmarkEnd w:id="219"/>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按照《建设项目环境风险评价技术导则》(HJ169-2018）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5.4.1风险调查</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5.4.1.1建设项目风险源调查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岸坡整治工程，项目本身不涉及有毒有害物质和易燃易爆危险物质生产、使用和储存，也不涉及管线输运，但项目抛石护脚过程中一旦出现施工船只搁浅等造成船只及船只燃油舱燃油泄漏或液挖掘机油箱破损泄漏，将对水环境造成污染。因此，风险类型主要为水环境风险事故。</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5.4.1.2环境敏感目标调查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本项目环境敏感目标见本报告2.7章节。</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5.4.2环境风险潜势初判</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outlineLvl w:val="9"/>
        <w:rPr>
          <w:rFonts w:hint="default" w:cs="Times New Roman"/>
          <w:b/>
          <w:bCs/>
          <w:color w:val="auto"/>
          <w:sz w:val="24"/>
          <w:szCs w:val="24"/>
          <w:highlight w:val="none"/>
          <w:lang w:val="en-US" w:eastAsia="zh-CN"/>
        </w:rPr>
      </w:pPr>
      <w:r>
        <w:rPr>
          <w:rFonts w:hint="default" w:cs="Times New Roman"/>
          <w:b/>
          <w:bCs/>
          <w:color w:val="auto"/>
          <w:sz w:val="24"/>
          <w:szCs w:val="24"/>
          <w:highlight w:val="none"/>
          <w:lang w:val="en-US" w:eastAsia="zh-CN"/>
        </w:rPr>
        <w:t>（1）危险物质数量与临界量比值（Q）</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根据《建设项目环境风险评价技术导则》（H/J169-2018）附录C，危险物质数量</w:t>
      </w:r>
      <w:r>
        <w:rPr>
          <w:rFonts w:hint="eastAsia" w:cs="Times New Roman"/>
          <w:color w:val="auto"/>
          <w:sz w:val="24"/>
          <w:szCs w:val="24"/>
          <w:highlight w:val="none"/>
          <w:lang w:val="en-US" w:eastAsia="zh-CN"/>
        </w:rPr>
        <w:t>与</w:t>
      </w:r>
      <w:r>
        <w:rPr>
          <w:rFonts w:hint="default" w:cs="Times New Roman"/>
          <w:color w:val="auto"/>
          <w:sz w:val="24"/>
          <w:szCs w:val="24"/>
          <w:highlight w:val="none"/>
          <w:lang w:val="en-US" w:eastAsia="zh-CN"/>
        </w:rPr>
        <w:t>临界量的比值（Q）按下式计算：</w:t>
      </w:r>
    </w:p>
    <w:p>
      <w:pPr>
        <w:pageBreakBefore w:val="0"/>
        <w:widowControl w:val="0"/>
        <w:numPr>
          <w:ilvl w:val="0"/>
          <w:numId w:val="0"/>
        </w:numPr>
        <w:tabs>
          <w:tab w:val="left" w:pos="720"/>
          <w:tab w:val="left" w:pos="1021"/>
        </w:tabs>
        <w:kinsoku/>
        <w:wordWrap/>
        <w:overflowPunct/>
        <w:topLinePunct w:val="0"/>
        <w:autoSpaceDE/>
        <w:autoSpaceDN/>
        <w:bidi w:val="0"/>
        <w:ind w:leftChars="0"/>
        <w:textAlignment w:val="auto"/>
        <w:outlineLvl w:val="9"/>
        <w:rPr>
          <w:rFonts w:hint="default"/>
          <w:color w:val="auto"/>
          <w:lang w:val="en-US" w:eastAsia="zh-CN"/>
        </w:rPr>
      </w:pPr>
      <w:r>
        <w:rPr>
          <w:color w:val="auto"/>
          <w:sz w:val="24"/>
        </w:rPr>
        <w:drawing>
          <wp:anchor distT="0" distB="0" distL="114300" distR="114300" simplePos="0" relativeHeight="251701248" behindDoc="0" locked="0" layoutInCell="1" allowOverlap="1">
            <wp:simplePos x="0" y="0"/>
            <wp:positionH relativeFrom="column">
              <wp:posOffset>1573530</wp:posOffset>
            </wp:positionH>
            <wp:positionV relativeFrom="paragraph">
              <wp:posOffset>36195</wp:posOffset>
            </wp:positionV>
            <wp:extent cx="2011045" cy="485775"/>
            <wp:effectExtent l="0" t="0" r="8255" b="9525"/>
            <wp:wrapNone/>
            <wp:docPr id="18" name="图片 899" descr="1551167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99" descr="1551167891(1)"/>
                    <pic:cNvPicPr>
                      <a:picLocks noChangeAspect="1"/>
                    </pic:cNvPicPr>
                  </pic:nvPicPr>
                  <pic:blipFill>
                    <a:blip r:embed="rId142"/>
                    <a:stretch>
                      <a:fillRect/>
                    </a:stretch>
                  </pic:blipFill>
                  <pic:spPr>
                    <a:xfrm>
                      <a:off x="0" y="0"/>
                      <a:ext cx="2011045" cy="4857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p>
    <w:p>
      <w:pPr>
        <w:snapToGrid w:val="0"/>
        <w:spacing w:line="360" w:lineRule="auto"/>
        <w:ind w:firstLine="480"/>
        <w:rPr>
          <w:color w:val="auto"/>
          <w:sz w:val="24"/>
        </w:rPr>
      </w:pPr>
      <w:r>
        <w:rPr>
          <w:color w:val="auto"/>
          <w:sz w:val="24"/>
        </w:rPr>
        <w:t>式中：q1，q2，...，qn—每种危险物质的最大存在总量，t；</w:t>
      </w:r>
    </w:p>
    <w:p>
      <w:pPr>
        <w:snapToGrid w:val="0"/>
        <w:spacing w:line="360" w:lineRule="auto"/>
        <w:ind w:firstLine="1200" w:firstLineChars="500"/>
        <w:rPr>
          <w:color w:val="auto"/>
          <w:sz w:val="24"/>
        </w:rPr>
      </w:pPr>
      <w:r>
        <w:rPr>
          <w:color w:val="auto"/>
          <w:sz w:val="24"/>
        </w:rPr>
        <w:t>Q1，Q2，...，Qn—每种危险物质的临界量，t。</w:t>
      </w:r>
    </w:p>
    <w:p>
      <w:pPr>
        <w:snapToGrid w:val="0"/>
        <w:spacing w:line="360" w:lineRule="auto"/>
        <w:ind w:firstLine="1262" w:firstLineChars="526"/>
        <w:rPr>
          <w:color w:val="auto"/>
          <w:sz w:val="24"/>
        </w:rPr>
      </w:pPr>
      <w:r>
        <w:rPr>
          <w:rFonts w:hint="default"/>
          <w:color w:val="auto"/>
          <w:sz w:val="24"/>
          <w:lang w:val="en-US" w:eastAsia="zh-CN"/>
        </w:rPr>
        <w:t>当</w:t>
      </w:r>
      <w:r>
        <w:rPr>
          <w:color w:val="auto"/>
          <w:sz w:val="24"/>
        </w:rPr>
        <w:t>Q＜1，该企业环境风险潜势为</w:t>
      </w:r>
      <w:r>
        <w:rPr>
          <w:rFonts w:hint="default" w:ascii="Times New Roman" w:hAnsi="Times New Roman" w:cs="Times New Roman"/>
          <w:color w:val="auto"/>
          <w:sz w:val="24"/>
        </w:rPr>
        <w:t>Ⅰ</w:t>
      </w:r>
      <w:r>
        <w:rPr>
          <w:color w:val="auto"/>
          <w:sz w:val="24"/>
        </w:rPr>
        <w:t>；</w:t>
      </w:r>
    </w:p>
    <w:p>
      <w:pPr>
        <w:snapToGrid w:val="0"/>
        <w:spacing w:line="360" w:lineRule="auto"/>
        <w:ind w:firstLine="1262" w:firstLineChars="526"/>
        <w:rPr>
          <w:color w:val="auto"/>
          <w:sz w:val="24"/>
        </w:rPr>
      </w:pPr>
      <w:r>
        <w:rPr>
          <w:color w:val="auto"/>
          <w:sz w:val="24"/>
        </w:rPr>
        <w:t>Q≥1时，将Q值划分为：（1）1≤Q＜10；（2）10≤Q＜100；（3）Q≥100。</w:t>
      </w:r>
    </w:p>
    <w:p>
      <w:pPr>
        <w:snapToGrid w:val="0"/>
        <w:spacing w:line="360" w:lineRule="auto"/>
        <w:ind w:firstLine="480" w:firstLineChars="200"/>
        <w:rPr>
          <w:rFonts w:hint="default" w:cs="Times New Roman"/>
          <w:color w:val="auto"/>
          <w:sz w:val="24"/>
          <w:szCs w:val="24"/>
          <w:highlight w:val="none"/>
          <w:lang w:val="en-US" w:eastAsia="zh-CN"/>
        </w:rPr>
      </w:pPr>
      <w:r>
        <w:rPr>
          <w:rFonts w:hint="default"/>
          <w:color w:val="auto"/>
          <w:sz w:val="24"/>
          <w:lang w:val="en-US" w:eastAsia="zh-CN"/>
        </w:rPr>
        <w:t>根据《建设项目环境风险评价技术导则》（HJ/T169-2018）附录 B，</w:t>
      </w:r>
      <w:r>
        <w:rPr>
          <w:rFonts w:hint="eastAsia"/>
          <w:color w:val="auto"/>
          <w:sz w:val="24"/>
          <w:lang w:val="en-US" w:eastAsia="zh-CN"/>
        </w:rPr>
        <w:t>“</w:t>
      </w:r>
      <w:r>
        <w:rPr>
          <w:rFonts w:hint="default"/>
          <w:color w:val="auto"/>
          <w:sz w:val="24"/>
          <w:lang w:val="en-US" w:eastAsia="zh-CN"/>
        </w:rPr>
        <w:t>381 油类物质（矿物油类，如石油、汽油、柴油等；生物柴油等）</w:t>
      </w:r>
      <w:r>
        <w:rPr>
          <w:rFonts w:hint="eastAsia"/>
          <w:color w:val="auto"/>
          <w:sz w:val="24"/>
          <w:lang w:val="en-US" w:eastAsia="zh-CN"/>
        </w:rPr>
        <w:t>”</w:t>
      </w:r>
      <w:r>
        <w:rPr>
          <w:rFonts w:hint="default"/>
          <w:color w:val="auto"/>
          <w:sz w:val="24"/>
          <w:lang w:val="en-US" w:eastAsia="zh-CN"/>
        </w:rPr>
        <w:t>对应的临界量为2500t。本项目最大风险源为抛石施工船及挖掘机燃油泄漏，一般为柴油，最大存在总量为2t，因此本项目环境风险物质最大存在总量与临界量比值为0.0008（</w:t>
      </w:r>
      <w:r>
        <w:rPr>
          <w:color w:val="auto"/>
          <w:sz w:val="24"/>
        </w:rPr>
        <w:t>Q＜1</w:t>
      </w:r>
      <w:r>
        <w:rPr>
          <w:rFonts w:hint="default"/>
          <w:color w:val="auto"/>
          <w:sz w:val="24"/>
          <w:lang w:val="en-US" w:eastAsia="zh-CN"/>
        </w:rPr>
        <w:t>），</w:t>
      </w:r>
      <w:r>
        <w:rPr>
          <w:rFonts w:hint="default" w:cs="Times New Roman"/>
          <w:color w:val="auto"/>
          <w:sz w:val="24"/>
          <w:szCs w:val="24"/>
          <w:highlight w:val="none"/>
          <w:lang w:val="en-US" w:eastAsia="zh-CN"/>
        </w:rPr>
        <w:t>本项目环境风险潜势为</w:t>
      </w:r>
      <w:r>
        <w:rPr>
          <w:rFonts w:hint="default" w:ascii="Times New Roman" w:hAnsi="Times New Roman" w:cs="Times New Roman"/>
          <w:color w:val="auto"/>
          <w:sz w:val="24"/>
          <w:szCs w:val="24"/>
          <w:highlight w:val="none"/>
          <w:lang w:val="en-US" w:eastAsia="zh-CN"/>
        </w:rPr>
        <w:t>Ⅰ</w:t>
      </w:r>
      <w:r>
        <w:rPr>
          <w:rFonts w:hint="default"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outlineLvl w:val="9"/>
        <w:rPr>
          <w:rFonts w:hint="default" w:cs="Times New Roman"/>
          <w:b/>
          <w:bCs/>
          <w:color w:val="auto"/>
          <w:sz w:val="24"/>
          <w:szCs w:val="24"/>
          <w:highlight w:val="none"/>
          <w:lang w:val="en-US" w:eastAsia="zh-CN"/>
        </w:rPr>
      </w:pPr>
      <w:r>
        <w:rPr>
          <w:rFonts w:hint="default" w:cs="Times New Roman"/>
          <w:b/>
          <w:bCs/>
          <w:color w:val="auto"/>
          <w:sz w:val="24"/>
          <w:szCs w:val="24"/>
          <w:highlight w:val="none"/>
          <w:lang w:val="en-US" w:eastAsia="zh-CN"/>
        </w:rPr>
        <w:t>（2）建设项目环境风险潜势判断</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本项目环境风险物质最大存在总量与临界量比值Q＜1，风险潜势为I，根据《建设项目环境风险评价技术导则》(HJ169-2018）评价工作等级划分要求，确定本项目环境风险评价等级为-简单分析。</w:t>
      </w:r>
    </w:p>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5.4</w:t>
      </w:r>
      <w:r>
        <w:rPr>
          <w:rFonts w:hint="default" w:ascii="Times New Roman" w:hAnsi="Times New Roman" w:eastAsia="宋体" w:cs="Times New Roman"/>
          <w:b/>
          <w:color w:val="auto"/>
          <w:kern w:val="2"/>
          <w:sz w:val="21"/>
          <w:szCs w:val="24"/>
          <w:highlight w:val="none"/>
          <w:u w:val="none" w:color="auto"/>
          <w:lang w:val="en-US" w:eastAsia="zh-CN" w:bidi="ar-SA"/>
        </w:rPr>
        <w:t>-1</w:t>
      </w:r>
      <w:r>
        <w:rPr>
          <w:rFonts w:hint="default" w:eastAsia="宋体" w:cs="Times New Roman"/>
          <w:b/>
          <w:color w:val="auto"/>
          <w:kern w:val="2"/>
          <w:sz w:val="21"/>
          <w:szCs w:val="24"/>
          <w:highlight w:val="none"/>
          <w:u w:val="none" w:color="auto"/>
          <w:lang w:val="en-US" w:eastAsia="zh-CN" w:bidi="ar-SA"/>
        </w:rPr>
        <w:t xml:space="preserve"> </w:t>
      </w:r>
      <w:r>
        <w:rPr>
          <w:rFonts w:hint="default" w:ascii="Times New Roman" w:hAnsi="Times New Roman" w:eastAsia="宋体" w:cs="Times New Roman"/>
          <w:b/>
          <w:color w:val="auto"/>
          <w:kern w:val="2"/>
          <w:sz w:val="21"/>
          <w:szCs w:val="24"/>
          <w:highlight w:val="none"/>
          <w:u w:val="none" w:color="auto"/>
          <w:lang w:val="en-US" w:eastAsia="zh-CN" w:bidi="ar-SA"/>
        </w:rPr>
        <w:tab/>
      </w:r>
      <w:r>
        <w:rPr>
          <w:rFonts w:hint="default" w:ascii="Times New Roman" w:hAnsi="Times New Roman" w:eastAsia="宋体" w:cs="Times New Roman"/>
          <w:b/>
          <w:color w:val="auto"/>
          <w:kern w:val="2"/>
          <w:sz w:val="21"/>
          <w:szCs w:val="24"/>
          <w:highlight w:val="none"/>
          <w:u w:val="none" w:color="auto"/>
          <w:lang w:val="en-US" w:eastAsia="zh-CN" w:bidi="ar-SA"/>
        </w:rPr>
        <w:t>风险评价等级划分表</w:t>
      </w:r>
    </w:p>
    <w:tbl>
      <w:tblPr>
        <w:tblStyle w:val="22"/>
        <w:tblW w:w="5018" w:type="pct"/>
        <w:tblInd w:w="-1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789"/>
        <w:gridCol w:w="1748"/>
        <w:gridCol w:w="804"/>
        <w:gridCol w:w="807"/>
        <w:gridCol w:w="22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2779" w:type="dxa"/>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环境风险潜势</w:t>
            </w:r>
          </w:p>
        </w:tc>
        <w:tc>
          <w:tcPr>
            <w:tcW w:w="1742" w:type="dxa"/>
            <w:noWrap w:val="0"/>
            <w:vAlign w:val="center"/>
          </w:tcPr>
          <w:p>
            <w:pPr>
              <w:pStyle w:val="45"/>
              <w:snapToGrid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Ⅳ、Ⅳ</w:t>
            </w:r>
            <w:r>
              <w:rPr>
                <w:rFonts w:hint="default" w:ascii="Times New Roman" w:hAnsi="Times New Roman" w:cs="Times New Roman"/>
                <w:color w:val="auto"/>
                <w:vertAlign w:val="superscript"/>
                <w:lang w:val="en-US" w:eastAsia="zh-CN"/>
              </w:rPr>
              <w:t>+</w:t>
            </w:r>
          </w:p>
        </w:tc>
        <w:tc>
          <w:tcPr>
            <w:tcW w:w="801" w:type="dxa"/>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Ⅲ</w:t>
            </w:r>
          </w:p>
        </w:tc>
        <w:tc>
          <w:tcPr>
            <w:tcW w:w="804" w:type="dxa"/>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Ⅱ</w:t>
            </w:r>
          </w:p>
        </w:tc>
        <w:tc>
          <w:tcPr>
            <w:tcW w:w="2204" w:type="dxa"/>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2779" w:type="dxa"/>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评价工作等级</w:t>
            </w:r>
          </w:p>
        </w:tc>
        <w:tc>
          <w:tcPr>
            <w:tcW w:w="1742" w:type="dxa"/>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一</w:t>
            </w:r>
          </w:p>
        </w:tc>
        <w:tc>
          <w:tcPr>
            <w:tcW w:w="801" w:type="dxa"/>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二</w:t>
            </w:r>
          </w:p>
        </w:tc>
        <w:tc>
          <w:tcPr>
            <w:tcW w:w="804" w:type="dxa"/>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三</w:t>
            </w:r>
          </w:p>
        </w:tc>
        <w:tc>
          <w:tcPr>
            <w:tcW w:w="2204" w:type="dxa"/>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简单分析a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8330" w:type="dxa"/>
            <w:gridSpan w:val="5"/>
            <w:noWrap w:val="0"/>
            <w:vAlign w:val="center"/>
          </w:tcPr>
          <w:p>
            <w:pPr>
              <w:pStyle w:val="45"/>
              <w:snapToGrid w:val="0"/>
              <w:jc w:val="center"/>
              <w:rPr>
                <w:rFonts w:hint="default" w:ascii="Times New Roman" w:hAnsi="Times New Roman" w:cs="Times New Roman"/>
                <w:color w:val="auto"/>
              </w:rPr>
            </w:pPr>
            <w:r>
              <w:rPr>
                <w:rFonts w:hint="default" w:ascii="Times New Roman" w:hAnsi="Times New Roman" w:cs="Times New Roman"/>
                <w:color w:val="auto"/>
              </w:rPr>
              <w:t>a是相对于详细评价工作内容而言，在描述危险物质、环境影响途径、环境危害后果、风险防范措施等方面给出定性的说明。见附录A。</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5.4.3环境风险识别</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本工程事故污染风险主要来源于抛石护岸施工船只碰撞、搁浅、侧倾等造成燃油舱燃油泄漏或液挖掘机油箱破损泄漏。施工期本项目涉及的水域中施工船1艘、挖掘机1辆，且施工期在枯水期，故在施工期项目涉及河道段事故风险的发生概率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根据上述风险类型分析，本项目风险物质主要为燃料油，以柴油为主。柴油的理化、燃烧爆炸危险性和毒理性质见下表。</w:t>
      </w:r>
    </w:p>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5.4-</w:t>
      </w:r>
      <w:r>
        <w:rPr>
          <w:rFonts w:hint="default" w:ascii="Times New Roman" w:hAnsi="Times New Roman" w:eastAsia="宋体" w:cs="Times New Roman"/>
          <w:b/>
          <w:color w:val="auto"/>
          <w:kern w:val="2"/>
          <w:sz w:val="21"/>
          <w:szCs w:val="24"/>
          <w:highlight w:val="none"/>
          <w:u w:val="none" w:color="auto"/>
          <w:lang w:val="en-US" w:eastAsia="zh-CN" w:bidi="ar-SA"/>
        </w:rPr>
        <w:t>-</w:t>
      </w:r>
      <w:r>
        <w:rPr>
          <w:rFonts w:hint="default" w:eastAsia="宋体" w:cs="Times New Roman"/>
          <w:b/>
          <w:color w:val="auto"/>
          <w:kern w:val="2"/>
          <w:sz w:val="21"/>
          <w:szCs w:val="24"/>
          <w:highlight w:val="none"/>
          <w:u w:val="none" w:color="auto"/>
          <w:lang w:val="en-US" w:eastAsia="zh-CN" w:bidi="ar-SA"/>
        </w:rPr>
        <w:t>2柴油主要理化性质</w:t>
      </w:r>
    </w:p>
    <w:tbl>
      <w:tblPr>
        <w:tblStyle w:val="22"/>
        <w:tblW w:w="503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373"/>
        <w:gridCol w:w="1753"/>
        <w:gridCol w:w="1313"/>
        <w:gridCol w:w="443"/>
        <w:gridCol w:w="1532"/>
        <w:gridCol w:w="221"/>
        <w:gridCol w:w="175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20" w:hRule="atLeast"/>
          <w:jc w:val="center"/>
        </w:trPr>
        <w:tc>
          <w:tcPr>
            <w:tcW w:w="1368" w:type="dxa"/>
            <w:noWrap w:val="0"/>
            <w:vAlign w:val="center"/>
          </w:tcPr>
          <w:p>
            <w:pPr>
              <w:pStyle w:val="45"/>
              <w:snapToGrid w:val="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标识</w:t>
            </w:r>
          </w:p>
        </w:tc>
        <w:tc>
          <w:tcPr>
            <w:tcW w:w="1747" w:type="dxa"/>
            <w:noWrap w:val="0"/>
            <w:vAlign w:val="center"/>
          </w:tcPr>
          <w:p>
            <w:pPr>
              <w:pStyle w:val="45"/>
              <w:snapToGrid w:val="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中文名</w:t>
            </w:r>
          </w:p>
        </w:tc>
        <w:tc>
          <w:tcPr>
            <w:tcW w:w="1308" w:type="dxa"/>
            <w:noWrap w:val="0"/>
            <w:vAlign w:val="center"/>
          </w:tcPr>
          <w:p>
            <w:pPr>
              <w:pStyle w:val="45"/>
              <w:snapToGrid w:val="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柴油</w:t>
            </w:r>
          </w:p>
        </w:tc>
        <w:tc>
          <w:tcPr>
            <w:tcW w:w="1968" w:type="dxa"/>
            <w:gridSpan w:val="2"/>
            <w:noWrap w:val="0"/>
            <w:vAlign w:val="center"/>
          </w:tcPr>
          <w:p>
            <w:pPr>
              <w:pStyle w:val="45"/>
              <w:snapToGrid w:val="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英文名</w:t>
            </w:r>
          </w:p>
        </w:tc>
        <w:tc>
          <w:tcPr>
            <w:tcW w:w="1969" w:type="dxa"/>
            <w:gridSpan w:val="2"/>
            <w:noWrap w:val="0"/>
            <w:vAlign w:val="center"/>
          </w:tcPr>
          <w:p>
            <w:pPr>
              <w:pStyle w:val="45"/>
              <w:snapToGrid w:val="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Dieseloil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368" w:type="dxa"/>
            <w:vMerge w:val="restart"/>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理化特性</w:t>
            </w:r>
          </w:p>
        </w:tc>
        <w:tc>
          <w:tcPr>
            <w:tcW w:w="1747" w:type="dxa"/>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凝固点</w:t>
            </w:r>
          </w:p>
        </w:tc>
        <w:tc>
          <w:tcPr>
            <w:tcW w:w="1308" w:type="dxa"/>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-35~10℃</w:t>
            </w:r>
          </w:p>
        </w:tc>
        <w:tc>
          <w:tcPr>
            <w:tcW w:w="1968" w:type="dxa"/>
            <w:gridSpan w:val="2"/>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相对密度（水=1）</w:t>
            </w:r>
          </w:p>
        </w:tc>
        <w:tc>
          <w:tcPr>
            <w:tcW w:w="1969" w:type="dxa"/>
            <w:gridSpan w:val="2"/>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0.81~0.85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eastAsia="宋体" w:cs="Times New Roman"/>
                <w:color w:val="auto"/>
                <w:lang w:val="en-US" w:eastAsia="zh-CN"/>
              </w:rPr>
            </w:pPr>
          </w:p>
        </w:tc>
        <w:tc>
          <w:tcPr>
            <w:tcW w:w="1747" w:type="dxa"/>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外观性状</w:t>
            </w:r>
          </w:p>
        </w:tc>
        <w:tc>
          <w:tcPr>
            <w:tcW w:w="5245" w:type="dxa"/>
            <w:gridSpan w:val="5"/>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稍有粘性的浅黄色至棕色液体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eastAsia="宋体" w:cs="Times New Roman"/>
                <w:color w:val="auto"/>
                <w:lang w:val="en-US" w:eastAsia="zh-CN"/>
              </w:rPr>
            </w:pPr>
          </w:p>
        </w:tc>
        <w:tc>
          <w:tcPr>
            <w:tcW w:w="1747" w:type="dxa"/>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稳定性</w:t>
            </w:r>
          </w:p>
        </w:tc>
        <w:tc>
          <w:tcPr>
            <w:tcW w:w="5245" w:type="dxa"/>
            <w:gridSpan w:val="5"/>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稳定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eastAsia="宋体"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主要用途</w:t>
            </w:r>
          </w:p>
        </w:tc>
        <w:tc>
          <w:tcPr>
            <w:tcW w:w="5245" w:type="dxa"/>
            <w:gridSpan w:val="5"/>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用作柴油机的燃料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restart"/>
            <w:noWrap w:val="0"/>
            <w:vAlign w:val="center"/>
          </w:tcPr>
          <w:p>
            <w:pPr>
              <w:pStyle w:val="45"/>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燃爆特性</w:t>
            </w: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闪点</w:t>
            </w:r>
          </w:p>
        </w:tc>
        <w:tc>
          <w:tcPr>
            <w:tcW w:w="1749" w:type="dxa"/>
            <w:gridSpan w:val="2"/>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40~55℃</w:t>
            </w:r>
          </w:p>
        </w:tc>
        <w:tc>
          <w:tcPr>
            <w:tcW w:w="1747" w:type="dxa"/>
            <w:gridSpan w:val="2"/>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爆炸极限</w:t>
            </w:r>
          </w:p>
        </w:tc>
        <w:tc>
          <w:tcPr>
            <w:tcW w:w="1749" w:type="dxa"/>
            <w:noWrap w:val="0"/>
            <w:vAlign w:val="center"/>
          </w:tcPr>
          <w:p>
            <w:pPr>
              <w:pStyle w:val="45"/>
              <w:snapToGrid w:val="0"/>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1.5%~4.5%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自燃点</w:t>
            </w:r>
          </w:p>
        </w:tc>
        <w:tc>
          <w:tcPr>
            <w:tcW w:w="1749" w:type="dxa"/>
            <w:gridSpan w:val="2"/>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255~390℃</w:t>
            </w:r>
          </w:p>
        </w:tc>
        <w:tc>
          <w:tcPr>
            <w:tcW w:w="1747" w:type="dxa"/>
            <w:gridSpan w:val="2"/>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最大爆炸压力</w:t>
            </w:r>
          </w:p>
        </w:tc>
        <w:tc>
          <w:tcPr>
            <w:tcW w:w="1749"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0.813MPa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火灾危险类别</w:t>
            </w:r>
          </w:p>
        </w:tc>
        <w:tc>
          <w:tcPr>
            <w:tcW w:w="1749" w:type="dxa"/>
            <w:gridSpan w:val="2"/>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乙B</w:t>
            </w:r>
          </w:p>
        </w:tc>
        <w:tc>
          <w:tcPr>
            <w:tcW w:w="1747" w:type="dxa"/>
            <w:gridSpan w:val="2"/>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爆炸危险组别类别</w:t>
            </w:r>
          </w:p>
        </w:tc>
        <w:tc>
          <w:tcPr>
            <w:tcW w:w="1749"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T3/</w:t>
            </w:r>
            <w:r>
              <w:rPr>
                <w:rFonts w:hint="default" w:ascii="Times New Roman" w:hAnsi="Times New Roman" w:eastAsia="宋体" w:cs="Times New Roman"/>
                <w:color w:val="auto"/>
                <w:lang w:val="en-US" w:eastAsia="zh-CN"/>
              </w:rPr>
              <w:t>Ⅱ</w:t>
            </w:r>
            <w:r>
              <w:rPr>
                <w:rFonts w:hint="default" w:ascii="Times New Roman" w:hAnsi="Times New Roman" w:cs="Times New Roman"/>
                <w:color w:val="auto"/>
                <w:lang w:val="en-US" w:eastAsia="zh-CN"/>
              </w:rPr>
              <w: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危险特性</w:t>
            </w:r>
          </w:p>
        </w:tc>
        <w:tc>
          <w:tcPr>
            <w:tcW w:w="5245" w:type="dxa"/>
            <w:gridSpan w:val="5"/>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遇明火、高热或与氧化剂接触能引起燃烧爆炸的危险。若遇高热，容器内压增大，有开裂和爆炸的危险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灭火剂种类</w:t>
            </w:r>
          </w:p>
        </w:tc>
        <w:tc>
          <w:tcPr>
            <w:tcW w:w="5245" w:type="dxa"/>
            <w:gridSpan w:val="5"/>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泡沫、干粉、沙土、CO</w:t>
            </w:r>
            <w:r>
              <w:rPr>
                <w:rFonts w:hint="default" w:ascii="Times New Roman" w:hAnsi="Times New Roman" w:cs="Times New Roman"/>
                <w:color w:val="auto"/>
                <w:vertAlign w:val="sub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restart"/>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毒性及健康危害</w:t>
            </w: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毒性</w:t>
            </w:r>
          </w:p>
        </w:tc>
        <w:tc>
          <w:tcPr>
            <w:tcW w:w="5245" w:type="dxa"/>
            <w:gridSpan w:val="5"/>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具有刺激作用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健康危害</w:t>
            </w:r>
          </w:p>
        </w:tc>
        <w:tc>
          <w:tcPr>
            <w:tcW w:w="5245" w:type="dxa"/>
            <w:gridSpan w:val="5"/>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对皮肤、眼、鼻有刺激作用。皮肤接触柴油会引起接触性皮炎、油性痤疮，吸入柴油蒸汽可引起吸入性肺炎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皮肤接触</w:t>
            </w:r>
          </w:p>
        </w:tc>
        <w:tc>
          <w:tcPr>
            <w:tcW w:w="5245" w:type="dxa"/>
            <w:gridSpan w:val="5"/>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脱去污染的衣物，用肥皂及清水彻底冲洗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眼睛接触</w:t>
            </w:r>
          </w:p>
        </w:tc>
        <w:tc>
          <w:tcPr>
            <w:tcW w:w="5245" w:type="dxa"/>
            <w:gridSpan w:val="5"/>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立即翻开上下眼睑，用流动清水冲洗15分钟、就医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吸入</w:t>
            </w:r>
          </w:p>
        </w:tc>
        <w:tc>
          <w:tcPr>
            <w:tcW w:w="5245" w:type="dxa"/>
            <w:gridSpan w:val="5"/>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迅速脱离现场至空气新鲜处，保持呼吸通畅，保暖并休息。呼吸困难时给予输氧，呼吸停止时，立即进行人工呼吸，就医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368" w:type="dxa"/>
            <w:vMerge w:val="continue"/>
            <w:noWrap w:val="0"/>
            <w:vAlign w:val="center"/>
          </w:tcPr>
          <w:p>
            <w:pPr>
              <w:pStyle w:val="45"/>
              <w:snapToGrid w:val="0"/>
              <w:jc w:val="center"/>
              <w:rPr>
                <w:rFonts w:hint="default" w:ascii="Times New Roman" w:hAnsi="Times New Roman" w:cs="Times New Roman"/>
                <w:color w:val="auto"/>
                <w:lang w:val="en-US" w:eastAsia="zh-CN"/>
              </w:rPr>
            </w:pPr>
          </w:p>
        </w:tc>
        <w:tc>
          <w:tcPr>
            <w:tcW w:w="1747" w:type="dxa"/>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食入</w:t>
            </w:r>
          </w:p>
        </w:tc>
        <w:tc>
          <w:tcPr>
            <w:tcW w:w="5245" w:type="dxa"/>
            <w:gridSpan w:val="5"/>
            <w:noWrap w:val="0"/>
            <w:vAlign w:val="center"/>
          </w:tcPr>
          <w:p>
            <w:pPr>
              <w:pStyle w:val="45"/>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误食者立即漱口，饮牛奶或植物油，洗胃并灌肠，就医</w:t>
            </w: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5.4.4环境风险事故源项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本次评价对于施工期船碰撞、搁浅、侧倾等造成燃油舱燃油泄漏作为最大可信事故。本项目使用船只载油量约为2t，以全部油量泄漏作为事故源强，即事故源强为2吨。</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5.4.5事故风险预测与评价</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船只燃料油柴油在河道中泄漏，造成溢油现象。溢油的物理与化学变化过程可分为①对流与扩散：溢油在水面上运动主要是通过对流与扩散进行的。对流主要受制于油膜上方的风与油膜下方的水流。扩散是重力、惯性力、摩擦力、粘性与表面张力之间的动力学平衡导致的现象。风对油膜的影响表现为风所产生的漂流。一般采用风漂流流速等于风速的3%。油膜的扩散(或扩宽)也是极为复杂的过程。对此Bonit (1992)与Fay (1969、 1971) 有详细的研究。但这些研究多局限于静止水面上的油膜|，自然江河由于岸反射和单向水流等因素的影响，因而要复杂得多。油膜的扩散分为三个阶段:惯性阶段、粘性阶段和表面张力阶段。②蒸发：1/2~2/3 的溢油在几小时与-天的时间内会蒸发掉。由于蒸发，油膜的物理与化学性质将产生重要的变化。由于蒸发依赖于多种因素。而且这些因素又在随时发生变化，要准确地计算蒸发率是困难的。③溶解：溶解于水的碳氢化合物对于水中生物系统存在着潜在毒性，但溢油的溶解不会达到百分之几的程度。④垂直扩散或垂直运输:油膜在水面中的停留时间通常受制于小的油质点向水体内的垂直运输或油在水中乳化。⑤乳化乳胶的形成:重质原油具有较高的粘性，一般形成较稳定的乳胶状油，而沥青烯与高分子量蜡的存在乳胶的形成密切相关。⑥沉积：各种形式的油都有可能被沉积物颗粒吸附沉于水底或粘结在岸边。在淤泥质沉积物中油的渗透是最小的，只有上层几厘米才会受到影响。由于本项目涉及的河道范围内有水产种质资源保护区等敏感目标，若船舶发生溢油泄漏，将污染保护目标水域水质，给河道沿线水质、生态环境带来重大危害。所以一旦发生船舶风险溢油事故，应及时启动应急预案，最大限度地控制油膜向下游的漂移，最大程度地减少溢油对可能受影响的水产种质资源保护区的污染影响。</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（1）急性中毒效应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旦发生溢油污染事故，将对一定范围内水域形成污染，对河道内的生物、鱼类影响较大。以石油污染为例，其危害是由石油的化学组成、特性及其在河道内的存在形式决定。在石油不同组分中，低沸点的芳香烃对一切生物均有毒性，而高沸点的芳香烃则是长效毒性，会对水生生物生命构成威胁和危害直至死亡。</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（2）对水生生态和渔业资源的影响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事故导致燃料油泄漏入水并扩散迁移后，直接危害鱼虾的早期发育，据黄海水产研究所对虾活体实验,油浓度低于3.2mg/L时，无节幼体变态率与人工育苗的变态率基本一致；但当油浓度大于10mg/L时，无节幼体因受到油污染影响变态率明显上升。对虾的蚤状幼体对石油毒性最为敏感，浓度低于0.lmg/L 时，蚤状幼体的成活率和变态率基本一致，即无明显影响:当浓度达到1.0mg/L时，蚤状幼体便不能成活:浓度大于3.2mg/L时，可导致幼体在48小时内死亡。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溢油对鱼类的影响是多方面的，首先石油会引起鱼类摄食方式、洄游路线、种群繁殖的改变或个体失衡。在鱼类的不同发育阶段其影响程度也不同，其中对早期发育阶段的鱼类危害最大。油污染对早期发育鱼类的毒性效应，主要表现在滞缓胚胎发育，影响孵化，降低生理功能，导致畸变死亡。以对鲱鱼的实验为例，当石油浓度为3mg/L时，其胚胎发育便受到影响，在3.1-11.9mg/L浓度时，孵出的大部分仔鱼多为畸形，并在一天内死亡。对真绸和牙鲜鱼也有类似结果:当水中油含量为3.2mg/L时，真绸胚胎畸变率较对照组高2.3倍；牙鲜孵化仔鱼死亡率达22.7%；当含油浓度增到18mg/L时，孵化仔鱼死亡率达84.4%，畸变率达96.6%。原油中可溶性</w:t>
      </w:r>
      <w:r>
        <w:rPr>
          <w:rFonts w:hint="eastAsia" w:cs="Times New Roman"/>
          <w:color w:val="auto"/>
          <w:sz w:val="24"/>
          <w:szCs w:val="24"/>
          <w:highlight w:val="none"/>
          <w:lang w:val="en-US" w:eastAsia="zh-CN"/>
        </w:rPr>
        <w:t>芳香烃</w:t>
      </w:r>
      <w:r>
        <w:rPr>
          <w:rFonts w:hint="default" w:cs="Times New Roman"/>
          <w:color w:val="auto"/>
          <w:sz w:val="24"/>
          <w:szCs w:val="24"/>
          <w:highlight w:val="none"/>
          <w:lang w:val="en-US" w:eastAsia="zh-CN"/>
        </w:rPr>
        <w:t>的麻醉作用导致鱼类胚胎活力减弱，代谢低下，当胚胎发育到破膜时，由于能量不足引起初孵仔鱼体型畸变。</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（3）对水生种质资源保护区的影响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在施工期发生溢油泄漏，石油类进入水体后，引起生物的富集作用，有害物质通过食物链的生物浓缩和放大，较高营养级水平的生物体内有害物质大量积累，导致水产品污染物超标。事故性溢油时，石油类物质的浓度可能在短时间内极高，可能造成生物死亡。</w:t>
      </w:r>
      <w:r>
        <w:rPr>
          <w:rFonts w:hint="default" w:cs="Times New Roman"/>
          <w:color w:val="auto"/>
          <w:sz w:val="24"/>
          <w:szCs w:val="24"/>
          <w:highlight w:val="none"/>
          <w:lang w:val="en-US" w:eastAsia="zh-CN"/>
        </w:rPr>
        <w:t>因此</w:t>
      </w:r>
      <w:r>
        <w:rPr>
          <w:rFonts w:hint="default" w:ascii="Times New Roman" w:hAnsi="Times New Roman" w:eastAsia="宋体" w:cs="Times New Roman"/>
          <w:color w:val="auto"/>
          <w:sz w:val="24"/>
          <w:szCs w:val="24"/>
          <w:highlight w:val="none"/>
          <w:lang w:val="en-US" w:eastAsia="zh-CN"/>
        </w:rPr>
        <w:t>应制定施工操作规程，按规范要求组织施工，防止泄油事故发生，并制定水上事故风险应急反应预案。一旦发生污染事故，立即启动应急反应预案，将污染影响控制在最小范围内。</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5.4.6环境风险防范措施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为减少项目</w:t>
      </w:r>
      <w:r>
        <w:rPr>
          <w:rFonts w:hint="eastAsia" w:cs="Times New Roman"/>
          <w:color w:val="auto"/>
          <w:sz w:val="24"/>
          <w:szCs w:val="24"/>
          <w:highlight w:val="none"/>
          <w:lang w:val="en-US" w:eastAsia="zh-CN"/>
        </w:rPr>
        <w:t>涉及</w:t>
      </w:r>
      <w:r>
        <w:rPr>
          <w:rFonts w:hint="default" w:ascii="Times New Roman" w:hAnsi="Times New Roman" w:eastAsia="宋体" w:cs="Times New Roman"/>
          <w:color w:val="auto"/>
          <w:sz w:val="24"/>
          <w:szCs w:val="24"/>
          <w:highlight w:val="none"/>
          <w:lang w:val="en-US" w:eastAsia="zh-CN"/>
        </w:rPr>
        <w:t>河道内施工船及设备等污染事故发生的概率，避免发生事故后对环境造成污染影响，在工程施工阶段应采取事故风险防范措施，在事故发生时将污染控制在最低程度施工期风险防范措施：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（1）施工单位在施工组织安排时应详细考虑施工过程对船舶可能造成的影响，制定周密的施工计划，尽量减少不利影响。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（2）施工前将施工水域及作业计划呈报湘江水域所属地方水运事务中心批</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准，会同相关单位商讨施工期间的通行处理措施。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（3）施工过程中，施工单位应加强内部管理，严格将施工船舶限制在划定</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的施工水域内，不得随意穿越河道。</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（4）各施工船舶应重视船机性能的检查，加强与过往船舶的联系，避免发</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生碰撞事故，同时加强施工期河道维护管理，合理划分施工水域和航行水域。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（5）加强对施工机械设备操作人员和车辆驾驶人员的技术培训，提高施工人员的安全意识和环境保护意识，严格操作规程，避免人为操作失当引起溢油事故发生。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（6）施工水域一旦发生险情及时通知环保部门。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（7）施工船舶上自行配备一定数量的应急物资，同时配备报警系统及必要的通信器材，以便及时与施工河段辖区内地方水运事务中心应急指挥中心建立联系，及时采取应急措施。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（9）制定施工期溢油事故应急预案，预案应包括应急事故机构、应急救援队伍、应急设施及</w:t>
      </w:r>
      <w:r>
        <w:rPr>
          <w:rFonts w:hint="eastAsia" w:cs="Times New Roman"/>
          <w:color w:val="auto"/>
          <w:sz w:val="24"/>
          <w:szCs w:val="24"/>
          <w:highlight w:val="none"/>
          <w:lang w:val="en-US" w:eastAsia="zh-CN"/>
        </w:rPr>
        <w:t>物资配备</w:t>
      </w:r>
      <w:r>
        <w:rPr>
          <w:rFonts w:hint="default" w:ascii="Times New Roman" w:hAnsi="Times New Roman" w:eastAsia="宋体" w:cs="Times New Roman"/>
          <w:color w:val="auto"/>
          <w:sz w:val="24"/>
          <w:szCs w:val="24"/>
          <w:highlight w:val="none"/>
          <w:lang w:val="en-US" w:eastAsia="zh-CN"/>
        </w:rPr>
        <w:t>、应急报警系统、应急处理措施、应急培训计划等内容；施工场所张贴应急报警电话。</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ascii="Times New Roman" w:hAnsi="Times New Roman" w:eastAsia="宋体" w:cs="Times New Roman"/>
          <w:b/>
          <w:bCs/>
          <w:color w:val="auto"/>
          <w:kern w:val="0"/>
          <w:sz w:val="28"/>
          <w:szCs w:val="28"/>
          <w:highlight w:val="none"/>
          <w:lang w:val="en-US" w:eastAsia="zh-CN"/>
        </w:rPr>
      </w:pPr>
      <w:r>
        <w:rPr>
          <w:rFonts w:hint="default" w:ascii="Times New Roman" w:hAnsi="Times New Roman" w:eastAsia="宋体" w:cs="Times New Roman"/>
          <w:b/>
          <w:bCs/>
          <w:color w:val="auto"/>
          <w:kern w:val="0"/>
          <w:sz w:val="28"/>
          <w:szCs w:val="28"/>
          <w:highlight w:val="none"/>
          <w:lang w:val="en-US" w:eastAsia="zh-CN"/>
        </w:rPr>
        <w:t>5.4.7环境风险分析结论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根据Q值分析，本项目Q值&lt;1，风险潜势为I，属于《建设项目环境风险评价技术导则》(HJ169-2018）中的简单分析项目。项目的环境风险主要为柴油泄露导致的水体污染风险，事故风险概率为小概率事件。根据风险预测，本项目的风险值属于可接受水平。通过落实环境风险影响章节提出的各项风险防范措施，并制定严格的管理规定和岗位责任制，进行职工培训，加强职工的安全生产教育，提高风险意识，可最大限度地减少可能发生的环境事故，本项目的事故风险属于可接受水平。</w:t>
      </w:r>
    </w:p>
    <w:p>
      <w:pPr>
        <w:spacing w:line="480" w:lineRule="exact"/>
        <w:jc w:val="center"/>
        <w:rPr>
          <w:b/>
          <w:color w:val="auto"/>
          <w:sz w:val="24"/>
          <w:szCs w:val="24"/>
          <w:lang w:val="zh-CN"/>
        </w:rPr>
      </w:pPr>
      <w:r>
        <w:rPr>
          <w:b/>
          <w:color w:val="auto"/>
          <w:sz w:val="24"/>
          <w:szCs w:val="24"/>
          <w:lang w:val="zh-CN"/>
        </w:rPr>
        <w:t>表</w:t>
      </w:r>
      <w:r>
        <w:rPr>
          <w:rFonts w:hint="default"/>
          <w:b/>
          <w:color w:val="auto"/>
          <w:sz w:val="24"/>
          <w:szCs w:val="24"/>
          <w:lang w:val="en-US" w:eastAsia="zh-CN"/>
        </w:rPr>
        <w:t>5.4</w:t>
      </w:r>
      <w:r>
        <w:rPr>
          <w:b/>
          <w:color w:val="auto"/>
          <w:sz w:val="24"/>
          <w:szCs w:val="24"/>
          <w:lang w:val="zh-CN"/>
        </w:rPr>
        <w:t>-</w:t>
      </w:r>
      <w:r>
        <w:rPr>
          <w:rFonts w:hint="default"/>
          <w:b/>
          <w:color w:val="auto"/>
          <w:sz w:val="24"/>
          <w:szCs w:val="24"/>
          <w:lang w:val="en-US" w:eastAsia="zh-CN"/>
        </w:rPr>
        <w:t>3</w:t>
      </w:r>
      <w:r>
        <w:rPr>
          <w:b/>
          <w:color w:val="auto"/>
          <w:sz w:val="24"/>
          <w:szCs w:val="24"/>
          <w:lang w:val="zh-CN"/>
        </w:rPr>
        <w:t xml:space="preserve"> 建设项目环境风险</w:t>
      </w:r>
      <w:r>
        <w:rPr>
          <w:rFonts w:hint="default"/>
          <w:b/>
          <w:color w:val="auto"/>
          <w:sz w:val="24"/>
          <w:szCs w:val="24"/>
          <w:lang w:val="en-US" w:eastAsia="zh-CN"/>
        </w:rPr>
        <w:t>评价简单分析内容</w:t>
      </w:r>
    </w:p>
    <w:tbl>
      <w:tblPr>
        <w:tblStyle w:val="22"/>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070"/>
        <w:gridCol w:w="1705"/>
        <w:gridCol w:w="427"/>
        <w:gridCol w:w="1062"/>
        <w:gridCol w:w="611"/>
        <w:gridCol w:w="654"/>
        <w:gridCol w:w="1482"/>
        <w:gridCol w:w="15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821" w:type="dxa"/>
            <w:gridSpan w:val="2"/>
            <w:noWrap w:val="0"/>
            <w:vAlign w:val="center"/>
          </w:tcPr>
          <w:p>
            <w:pPr>
              <w:adjustRightInd w:val="0"/>
              <w:snapToGrid w:val="0"/>
              <w:jc w:val="center"/>
              <w:rPr>
                <w:rFonts w:hint="default" w:eastAsia="宋体"/>
                <w:color w:val="auto"/>
                <w:szCs w:val="21"/>
                <w:lang w:val="en-US" w:eastAsia="zh-CN"/>
              </w:rPr>
            </w:pPr>
            <w:r>
              <w:rPr>
                <w:rFonts w:hint="default"/>
                <w:color w:val="auto"/>
                <w:szCs w:val="21"/>
                <w:lang w:val="en-US" w:eastAsia="zh-CN"/>
              </w:rPr>
              <w:t>建设项目名称</w:t>
            </w:r>
          </w:p>
        </w:tc>
        <w:tc>
          <w:tcPr>
            <w:tcW w:w="7466" w:type="dxa"/>
            <w:gridSpan w:val="7"/>
            <w:noWrap w:val="0"/>
            <w:vAlign w:val="center"/>
          </w:tcPr>
          <w:p>
            <w:pPr>
              <w:adjustRightInd w:val="0"/>
              <w:snapToGrid w:val="0"/>
              <w:jc w:val="center"/>
              <w:rPr>
                <w:rFonts w:hint="default" w:eastAsia="宋体"/>
                <w:color w:val="auto"/>
                <w:szCs w:val="21"/>
                <w:lang w:val="en-US" w:eastAsia="zh-CN"/>
              </w:rPr>
            </w:pPr>
            <w:r>
              <w:rPr>
                <w:rFonts w:hint="default"/>
                <w:color w:val="auto"/>
                <w:szCs w:val="21"/>
                <w:lang w:val="en-US" w:eastAsia="zh-CN"/>
              </w:rPr>
              <w:t>衡阳市</w:t>
            </w:r>
            <w:r>
              <w:rPr>
                <w:rFonts w:hint="eastAsia"/>
                <w:color w:val="auto"/>
                <w:szCs w:val="21"/>
                <w:lang w:val="en-US" w:eastAsia="zh-CN"/>
              </w:rPr>
              <w:t>“</w:t>
            </w:r>
            <w:r>
              <w:rPr>
                <w:rFonts w:hint="default"/>
                <w:color w:val="auto"/>
                <w:szCs w:val="21"/>
                <w:lang w:val="en-US" w:eastAsia="zh-CN"/>
              </w:rPr>
              <w:t>美丽湘江</w:t>
            </w:r>
            <w:r>
              <w:rPr>
                <w:rFonts w:hint="eastAsia"/>
                <w:color w:val="auto"/>
                <w:szCs w:val="21"/>
                <w:lang w:val="en-US" w:eastAsia="zh-CN"/>
              </w:rPr>
              <w:t>”</w:t>
            </w:r>
            <w:r>
              <w:rPr>
                <w:rFonts w:hint="default"/>
                <w:color w:val="auto"/>
                <w:szCs w:val="21"/>
                <w:lang w:val="en-US" w:eastAsia="zh-CN"/>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821" w:type="dxa"/>
            <w:gridSpan w:val="2"/>
            <w:noWrap w:val="0"/>
            <w:vAlign w:val="center"/>
          </w:tcPr>
          <w:p>
            <w:pPr>
              <w:adjustRightInd w:val="0"/>
              <w:snapToGrid w:val="0"/>
              <w:jc w:val="center"/>
              <w:rPr>
                <w:rFonts w:hint="default"/>
                <w:color w:val="auto"/>
                <w:szCs w:val="21"/>
                <w:lang w:val="en-US" w:eastAsia="zh-CN"/>
              </w:rPr>
            </w:pPr>
            <w:r>
              <w:rPr>
                <w:rFonts w:hint="default"/>
                <w:color w:val="auto"/>
                <w:szCs w:val="21"/>
                <w:lang w:val="en-US" w:eastAsia="zh-CN"/>
              </w:rPr>
              <w:t>建设地点</w:t>
            </w:r>
          </w:p>
        </w:tc>
        <w:tc>
          <w:tcPr>
            <w:tcW w:w="7466" w:type="dxa"/>
            <w:gridSpan w:val="7"/>
            <w:noWrap w:val="0"/>
            <w:vAlign w:val="center"/>
          </w:tcPr>
          <w:p>
            <w:pPr>
              <w:adjustRightInd w:val="0"/>
              <w:snapToGrid w:val="0"/>
              <w:jc w:val="center"/>
              <w:rPr>
                <w:rFonts w:hint="default"/>
                <w:color w:val="auto"/>
                <w:szCs w:val="21"/>
                <w:lang w:val="en-US" w:eastAsia="zh-CN"/>
              </w:rPr>
            </w:pPr>
            <w:r>
              <w:rPr>
                <w:rFonts w:hint="default"/>
                <w:color w:val="auto"/>
                <w:szCs w:val="21"/>
                <w:lang w:val="en-US" w:eastAsia="zh-CN"/>
              </w:rPr>
              <w:t>衡阳市湘江东岸（北段）风光带和东洲岛景区范围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821" w:type="dxa"/>
            <w:gridSpan w:val="2"/>
            <w:noWrap w:val="0"/>
            <w:vAlign w:val="center"/>
          </w:tcPr>
          <w:p>
            <w:pPr>
              <w:adjustRightInd w:val="0"/>
              <w:snapToGrid w:val="0"/>
              <w:jc w:val="center"/>
              <w:rPr>
                <w:rFonts w:hint="default"/>
                <w:color w:val="auto"/>
                <w:szCs w:val="21"/>
                <w:lang w:val="en-US" w:eastAsia="zh-CN"/>
              </w:rPr>
            </w:pPr>
            <w:r>
              <w:rPr>
                <w:rFonts w:hint="default"/>
                <w:color w:val="auto"/>
                <w:szCs w:val="21"/>
                <w:lang w:val="en-US" w:eastAsia="zh-CN"/>
              </w:rPr>
              <w:t>地理坐标</w:t>
            </w:r>
          </w:p>
        </w:tc>
        <w:tc>
          <w:tcPr>
            <w:tcW w:w="7466" w:type="dxa"/>
            <w:gridSpan w:val="7"/>
            <w:noWrap w:val="0"/>
            <w:vAlign w:val="center"/>
          </w:tcPr>
          <w:p>
            <w:pPr>
              <w:adjustRightInd w:val="0"/>
              <w:snapToGrid w:val="0"/>
              <w:jc w:val="center"/>
              <w:rPr>
                <w:rFonts w:hint="default"/>
                <w:color w:val="auto"/>
                <w:szCs w:val="21"/>
                <w:lang w:val="en-US" w:eastAsia="zh-CN"/>
              </w:rPr>
            </w:pPr>
            <w:r>
              <w:rPr>
                <w:rFonts w:hint="default"/>
                <w:color w:val="auto"/>
                <w:szCs w:val="21"/>
                <w:lang w:val="en-US" w:eastAsia="zh-CN"/>
              </w:rPr>
              <w:t xml:space="preserve">经度：112度37分25.060秒，纬度：26度52分38.024秒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821" w:type="dxa"/>
            <w:gridSpan w:val="2"/>
            <w:noWrap w:val="0"/>
            <w:vAlign w:val="center"/>
          </w:tcPr>
          <w:p>
            <w:pPr>
              <w:adjustRightInd w:val="0"/>
              <w:snapToGrid w:val="0"/>
              <w:jc w:val="center"/>
              <w:rPr>
                <w:color w:val="auto"/>
                <w:szCs w:val="21"/>
              </w:rPr>
            </w:pPr>
            <w:r>
              <w:rPr>
                <w:rFonts w:hint="default"/>
                <w:color w:val="auto"/>
                <w:szCs w:val="21"/>
              </w:rPr>
              <w:t>环境风险潜势</w:t>
            </w:r>
          </w:p>
        </w:tc>
        <w:tc>
          <w:tcPr>
            <w:tcW w:w="1705" w:type="dxa"/>
            <w:noWrap w:val="0"/>
            <w:vAlign w:val="center"/>
          </w:tcPr>
          <w:p>
            <w:pPr>
              <w:adjustRightInd w:val="0"/>
              <w:snapToGrid w:val="0"/>
              <w:jc w:val="center"/>
              <w:rPr>
                <w:color w:val="auto"/>
                <w:szCs w:val="21"/>
              </w:rPr>
            </w:pPr>
            <w:r>
              <w:rPr>
                <w:color w:val="auto"/>
                <w:szCs w:val="21"/>
              </w:rPr>
              <w:t>IV</w:t>
            </w:r>
            <w:r>
              <w:rPr>
                <w:color w:val="auto"/>
                <w:szCs w:val="21"/>
                <w:vertAlign w:val="superscript"/>
              </w:rPr>
              <w:t>+</w:t>
            </w:r>
            <w:r>
              <w:rPr>
                <w:color w:val="auto"/>
                <w:szCs w:val="21"/>
              </w:rPr>
              <w:t>□</w:t>
            </w:r>
          </w:p>
        </w:tc>
        <w:tc>
          <w:tcPr>
            <w:tcW w:w="1489" w:type="dxa"/>
            <w:gridSpan w:val="2"/>
            <w:noWrap w:val="0"/>
            <w:vAlign w:val="center"/>
          </w:tcPr>
          <w:p>
            <w:pPr>
              <w:adjustRightInd w:val="0"/>
              <w:snapToGrid w:val="0"/>
              <w:jc w:val="center"/>
              <w:rPr>
                <w:color w:val="auto"/>
                <w:szCs w:val="21"/>
              </w:rPr>
            </w:pPr>
            <w:r>
              <w:rPr>
                <w:color w:val="auto"/>
                <w:szCs w:val="21"/>
              </w:rPr>
              <w:t>IV□</w:t>
            </w:r>
          </w:p>
        </w:tc>
        <w:tc>
          <w:tcPr>
            <w:tcW w:w="1265" w:type="dxa"/>
            <w:gridSpan w:val="2"/>
            <w:noWrap w:val="0"/>
            <w:vAlign w:val="center"/>
          </w:tcPr>
          <w:p>
            <w:pPr>
              <w:adjustRightInd w:val="0"/>
              <w:snapToGrid w:val="0"/>
              <w:jc w:val="center"/>
              <w:rPr>
                <w:color w:val="auto"/>
                <w:szCs w:val="21"/>
              </w:rPr>
            </w:pPr>
            <w:r>
              <w:rPr>
                <w:color w:val="auto"/>
                <w:szCs w:val="21"/>
              </w:rPr>
              <w:t>III</w:t>
            </w:r>
            <w:r>
              <w:rPr>
                <w:color w:val="auto"/>
                <w:szCs w:val="21"/>
              </w:rPr>
              <w:sym w:font="Wingdings 2" w:char="00A3"/>
            </w:r>
          </w:p>
        </w:tc>
        <w:tc>
          <w:tcPr>
            <w:tcW w:w="1482" w:type="dxa"/>
            <w:noWrap w:val="0"/>
            <w:vAlign w:val="center"/>
          </w:tcPr>
          <w:p>
            <w:pPr>
              <w:adjustRightInd w:val="0"/>
              <w:snapToGrid w:val="0"/>
              <w:jc w:val="center"/>
              <w:rPr>
                <w:color w:val="auto"/>
                <w:szCs w:val="21"/>
              </w:rPr>
            </w:pPr>
            <w:r>
              <w:rPr>
                <w:color w:val="auto"/>
                <w:szCs w:val="21"/>
              </w:rPr>
              <w:t>II□</w:t>
            </w:r>
          </w:p>
        </w:tc>
        <w:tc>
          <w:tcPr>
            <w:tcW w:w="1525" w:type="dxa"/>
            <w:noWrap w:val="0"/>
            <w:vAlign w:val="center"/>
          </w:tcPr>
          <w:p>
            <w:pPr>
              <w:adjustRightInd w:val="0"/>
              <w:snapToGrid w:val="0"/>
              <w:jc w:val="center"/>
              <w:rPr>
                <w:rFonts w:hint="default" w:eastAsia="宋体"/>
                <w:color w:val="auto"/>
                <w:szCs w:val="21"/>
                <w:lang w:eastAsia="zh-CN"/>
              </w:rPr>
            </w:pPr>
            <w:r>
              <w:rPr>
                <w:color w:val="auto"/>
                <w:szCs w:val="21"/>
              </w:rPr>
              <w:t>I</w:t>
            </w:r>
            <w:r>
              <w:rPr>
                <w:rFonts w:hint="default"/>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821" w:type="dxa"/>
            <w:gridSpan w:val="2"/>
            <w:noWrap w:val="0"/>
            <w:vAlign w:val="center"/>
          </w:tcPr>
          <w:p>
            <w:pPr>
              <w:adjustRightInd w:val="0"/>
              <w:snapToGrid w:val="0"/>
              <w:jc w:val="center"/>
              <w:rPr>
                <w:color w:val="auto"/>
                <w:szCs w:val="21"/>
              </w:rPr>
            </w:pPr>
            <w:r>
              <w:rPr>
                <w:rFonts w:hint="default"/>
                <w:color w:val="auto"/>
                <w:szCs w:val="21"/>
              </w:rPr>
              <w:t>评价等级</w:t>
            </w:r>
          </w:p>
        </w:tc>
        <w:tc>
          <w:tcPr>
            <w:tcW w:w="2132" w:type="dxa"/>
            <w:gridSpan w:val="2"/>
            <w:noWrap w:val="0"/>
            <w:vAlign w:val="center"/>
          </w:tcPr>
          <w:p>
            <w:pPr>
              <w:adjustRightInd w:val="0"/>
              <w:snapToGrid w:val="0"/>
              <w:jc w:val="center"/>
              <w:rPr>
                <w:color w:val="auto"/>
                <w:szCs w:val="21"/>
              </w:rPr>
            </w:pPr>
            <w:r>
              <w:rPr>
                <w:color w:val="auto"/>
                <w:szCs w:val="21"/>
              </w:rPr>
              <w:t>一级□</w:t>
            </w:r>
          </w:p>
        </w:tc>
        <w:tc>
          <w:tcPr>
            <w:tcW w:w="1673" w:type="dxa"/>
            <w:gridSpan w:val="2"/>
            <w:noWrap w:val="0"/>
            <w:vAlign w:val="center"/>
          </w:tcPr>
          <w:p>
            <w:pPr>
              <w:adjustRightInd w:val="0"/>
              <w:snapToGrid w:val="0"/>
              <w:jc w:val="center"/>
              <w:rPr>
                <w:color w:val="auto"/>
                <w:szCs w:val="21"/>
              </w:rPr>
            </w:pPr>
            <w:r>
              <w:rPr>
                <w:color w:val="auto"/>
                <w:szCs w:val="21"/>
              </w:rPr>
              <w:t>二级</w:t>
            </w:r>
            <w:r>
              <w:rPr>
                <w:color w:val="auto"/>
                <w:szCs w:val="21"/>
              </w:rPr>
              <w:sym w:font="Wingdings 2" w:char="0052"/>
            </w:r>
          </w:p>
        </w:tc>
        <w:tc>
          <w:tcPr>
            <w:tcW w:w="2136" w:type="dxa"/>
            <w:gridSpan w:val="2"/>
            <w:noWrap w:val="0"/>
            <w:vAlign w:val="center"/>
          </w:tcPr>
          <w:p>
            <w:pPr>
              <w:adjustRightInd w:val="0"/>
              <w:snapToGrid w:val="0"/>
              <w:jc w:val="center"/>
              <w:rPr>
                <w:color w:val="auto"/>
                <w:szCs w:val="21"/>
              </w:rPr>
            </w:pPr>
            <w:r>
              <w:rPr>
                <w:color w:val="auto"/>
                <w:szCs w:val="21"/>
              </w:rPr>
              <w:t>三级□</w:t>
            </w:r>
          </w:p>
        </w:tc>
        <w:tc>
          <w:tcPr>
            <w:tcW w:w="1525" w:type="dxa"/>
            <w:noWrap w:val="0"/>
            <w:vAlign w:val="center"/>
          </w:tcPr>
          <w:p>
            <w:pPr>
              <w:adjustRightInd w:val="0"/>
              <w:snapToGrid w:val="0"/>
              <w:jc w:val="center"/>
              <w:rPr>
                <w:rFonts w:hint="default" w:eastAsia="宋体"/>
                <w:color w:val="auto"/>
                <w:szCs w:val="21"/>
                <w:lang w:eastAsia="zh-CN"/>
              </w:rPr>
            </w:pPr>
            <w:r>
              <w:rPr>
                <w:color w:val="auto"/>
                <w:szCs w:val="21"/>
              </w:rPr>
              <w:t>简单分析</w:t>
            </w:r>
            <w:r>
              <w:rPr>
                <w:rFonts w:hint="default"/>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821" w:type="dxa"/>
            <w:gridSpan w:val="2"/>
            <w:noWrap w:val="0"/>
            <w:vAlign w:val="center"/>
          </w:tcPr>
          <w:p>
            <w:pPr>
              <w:adjustRightInd w:val="0"/>
              <w:snapToGrid w:val="0"/>
              <w:jc w:val="center"/>
              <w:rPr>
                <w:rFonts w:hint="default" w:eastAsia="宋体"/>
                <w:color w:val="auto"/>
                <w:szCs w:val="21"/>
                <w:lang w:val="en-US" w:eastAsia="zh-CN"/>
              </w:rPr>
            </w:pPr>
            <w:r>
              <w:rPr>
                <w:rFonts w:hint="default"/>
                <w:color w:val="auto"/>
                <w:szCs w:val="21"/>
                <w:lang w:val="en-US" w:eastAsia="zh-CN"/>
              </w:rPr>
              <w:t>主要危险物质及分布</w:t>
            </w:r>
          </w:p>
        </w:tc>
        <w:tc>
          <w:tcPr>
            <w:tcW w:w="7466" w:type="dxa"/>
            <w:gridSpan w:val="7"/>
            <w:noWrap w:val="0"/>
            <w:vAlign w:val="center"/>
          </w:tcPr>
          <w:p>
            <w:pPr>
              <w:adjustRightInd w:val="0"/>
              <w:snapToGrid w:val="0"/>
              <w:jc w:val="center"/>
              <w:rPr>
                <w:rFonts w:hint="default" w:eastAsia="宋体"/>
                <w:color w:val="auto"/>
                <w:szCs w:val="21"/>
                <w:lang w:val="en-US" w:eastAsia="zh-CN"/>
              </w:rPr>
            </w:pPr>
            <w:r>
              <w:rPr>
                <w:rFonts w:hint="eastAsia" w:ascii="Times New Roman" w:hAnsi="Times New Roman" w:cs="Times New Roman"/>
                <w:color w:val="auto"/>
                <w:szCs w:val="21"/>
                <w:lang w:val="en-US" w:eastAsia="zh-CN"/>
              </w:rPr>
              <w:t>柴油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821" w:type="dxa"/>
            <w:gridSpan w:val="2"/>
            <w:noWrap w:val="0"/>
            <w:vAlign w:val="center"/>
          </w:tcPr>
          <w:p>
            <w:pPr>
              <w:adjustRightInd w:val="0"/>
              <w:snapToGrid w:val="0"/>
              <w:jc w:val="center"/>
              <w:rPr>
                <w:rFonts w:hint="default"/>
                <w:color w:val="auto"/>
                <w:szCs w:val="21"/>
                <w:lang w:val="en-US" w:eastAsia="zh-CN"/>
              </w:rPr>
            </w:pPr>
            <w:r>
              <w:rPr>
                <w:rFonts w:hint="default"/>
                <w:color w:val="auto"/>
                <w:szCs w:val="21"/>
                <w:lang w:val="en-US" w:eastAsia="zh-CN"/>
              </w:rPr>
              <w:t>环境影响途径及危害后果</w:t>
            </w:r>
          </w:p>
        </w:tc>
        <w:tc>
          <w:tcPr>
            <w:tcW w:w="7466" w:type="dxa"/>
            <w:gridSpan w:val="7"/>
            <w:noWrap w:val="0"/>
            <w:vAlign w:val="center"/>
          </w:tcPr>
          <w:p>
            <w:pPr>
              <w:adjustRightInd w:val="0"/>
              <w:snapToGrid w:val="0"/>
              <w:jc w:val="center"/>
              <w:rPr>
                <w:rFonts w:hint="default"/>
                <w:color w:val="auto"/>
                <w:szCs w:val="21"/>
                <w:lang w:val="en-US" w:eastAsia="zh-CN"/>
              </w:rPr>
            </w:pPr>
            <w:r>
              <w:rPr>
                <w:rFonts w:hint="default"/>
                <w:color w:val="auto"/>
                <w:szCs w:val="21"/>
                <w:lang w:val="en-US" w:eastAsia="zh-CN"/>
              </w:rPr>
              <w:t>由于船舶本身出现设施损废，或者发生船舶碰撞，有可能使油类溢出造成地表水等环境污染。船舶含油废水发生泄漏，可能造成地表水等环境污染。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jc w:val="center"/>
        </w:trPr>
        <w:tc>
          <w:tcPr>
            <w:tcW w:w="751" w:type="dxa"/>
            <w:noWrap w:val="0"/>
            <w:vAlign w:val="center"/>
          </w:tcPr>
          <w:p>
            <w:pPr>
              <w:adjustRightInd w:val="0"/>
              <w:snapToGrid w:val="0"/>
              <w:jc w:val="center"/>
              <w:rPr>
                <w:color w:val="auto"/>
                <w:szCs w:val="21"/>
              </w:rPr>
            </w:pPr>
            <w:r>
              <w:rPr>
                <w:rFonts w:hint="default"/>
                <w:color w:val="auto"/>
                <w:szCs w:val="21"/>
              </w:rPr>
              <w:t>风险</w:t>
            </w:r>
          </w:p>
          <w:p>
            <w:pPr>
              <w:adjustRightInd w:val="0"/>
              <w:snapToGrid w:val="0"/>
              <w:jc w:val="center"/>
              <w:rPr>
                <w:rFonts w:hint="default" w:eastAsia="宋体"/>
                <w:color w:val="auto"/>
                <w:szCs w:val="21"/>
                <w:lang w:val="en-US" w:eastAsia="zh-CN"/>
              </w:rPr>
            </w:pPr>
            <w:r>
              <w:rPr>
                <w:rFonts w:hint="default"/>
                <w:color w:val="auto"/>
                <w:szCs w:val="21"/>
              </w:rPr>
              <w:t>防范措施</w:t>
            </w:r>
            <w:r>
              <w:rPr>
                <w:rFonts w:hint="default"/>
                <w:color w:val="auto"/>
                <w:szCs w:val="21"/>
                <w:lang w:val="en-US" w:eastAsia="zh-CN"/>
              </w:rPr>
              <w:t>要求</w:t>
            </w:r>
          </w:p>
        </w:tc>
        <w:tc>
          <w:tcPr>
            <w:tcW w:w="8536" w:type="dxa"/>
            <w:gridSpan w:val="8"/>
            <w:noWrap w:val="0"/>
            <w:vAlign w:val="center"/>
          </w:tcPr>
          <w:p>
            <w:pPr>
              <w:adjustRightInd w:val="0"/>
              <w:snapToGrid w:val="0"/>
              <w:jc w:val="left"/>
              <w:rPr>
                <w:rFonts w:hint="default" w:ascii="Times New Roman" w:hAnsi="Times New Roman" w:eastAsia="宋体" w:cs="Times New Roman"/>
                <w:color w:val="auto"/>
                <w:szCs w:val="21"/>
              </w:rPr>
            </w:pPr>
            <w:r>
              <w:rPr>
                <w:rFonts w:hint="default"/>
                <w:color w:val="auto"/>
                <w:szCs w:val="21"/>
              </w:rPr>
              <w:t>为避免事故的发生或减少事故后的污染影响，建议建设单位制定事故防范措施，并配备相当</w:t>
            </w:r>
            <w:r>
              <w:rPr>
                <w:rFonts w:hint="default" w:ascii="Times New Roman" w:hAnsi="Times New Roman" w:eastAsia="宋体" w:cs="Times New Roman"/>
                <w:color w:val="auto"/>
                <w:szCs w:val="21"/>
              </w:rPr>
              <w:t>数量的应急设备和器材，可采取的防范措施如下：</w:t>
            </w:r>
          </w:p>
          <w:p>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（1）施工单位在施工组织安排时应详细考虑施工过程对船舶可能造成的影响，制定周密的施工计划，尽量减少不利影响。</w:t>
            </w:r>
          </w:p>
          <w:p>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（2）施工前将施工水域及作业计划呈报湘江水域所属地方水运事务中心批准，会同相关单位商讨施工期间的通行处理措施。</w:t>
            </w:r>
          </w:p>
          <w:p>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（3）施工过程中，施工单位应加强内部管理，严格将施工船舶限制在划定的施工水域内，不得随意穿越河道。</w:t>
            </w:r>
          </w:p>
          <w:p>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（4）各施工船舶应重视船机性能的检查，加强与过往船舶的联系，避免发生碰撞事故，同时加强施工期河道维护管理，合理划分施工水域和航行水域。</w:t>
            </w:r>
          </w:p>
          <w:p>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（5）加强对施工机械设备操作人员和车辆驾驶人员的技术培训，提高施工人员的安全意识和环境保护意识，严格操作规程，避免人为操作失当引起溢油事故发生。</w:t>
            </w:r>
          </w:p>
          <w:p>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（6）施工水域一旦发生险情及时通知环保部门。</w:t>
            </w:r>
          </w:p>
          <w:p>
            <w:pPr>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（7）施工船舶上自行配备一定数量的应急物资，同时配备报警系统及必要的通信器材，以便及时与施工河段辖区内地方水运事务中心应急指挥中心建立联系，及时采取应急措施。</w:t>
            </w:r>
          </w:p>
          <w:p>
            <w:pPr>
              <w:adjustRightInd w:val="0"/>
              <w:snapToGrid w:val="0"/>
              <w:jc w:val="left"/>
              <w:rPr>
                <w:color w:val="auto"/>
              </w:rPr>
            </w:pPr>
            <w:r>
              <w:rPr>
                <w:rFonts w:hint="default" w:ascii="Times New Roman" w:hAnsi="Times New Roman" w:eastAsia="宋体" w:cs="Times New Roman"/>
                <w:color w:val="auto"/>
                <w:szCs w:val="21"/>
              </w:rPr>
              <w:t>（9）制定施工期溢油事故应急预案，预案应包括应急事故机构、应急救援队伍、应急设施及物质配备、应急报警系统、应急处理措施、应急培训计划等内容；施工场所张贴应急报警电话。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8" w:hRule="atLeast"/>
          <w:jc w:val="center"/>
        </w:trPr>
        <w:tc>
          <w:tcPr>
            <w:tcW w:w="751" w:type="dxa"/>
            <w:noWrap w:val="0"/>
            <w:vAlign w:val="center"/>
          </w:tcPr>
          <w:p>
            <w:pPr>
              <w:adjustRightInd w:val="0"/>
              <w:snapToGrid w:val="0"/>
              <w:jc w:val="center"/>
              <w:rPr>
                <w:rFonts w:hint="default" w:eastAsia="宋体"/>
                <w:color w:val="auto"/>
                <w:szCs w:val="21"/>
                <w:lang w:val="en-US" w:eastAsia="zh-CN"/>
              </w:rPr>
            </w:pPr>
            <w:r>
              <w:rPr>
                <w:rFonts w:hint="default"/>
                <w:color w:val="auto"/>
                <w:szCs w:val="21"/>
                <w:lang w:val="en-US" w:eastAsia="zh-CN"/>
              </w:rPr>
              <w:t>分析结论</w:t>
            </w:r>
          </w:p>
        </w:tc>
        <w:tc>
          <w:tcPr>
            <w:tcW w:w="8536" w:type="dxa"/>
            <w:gridSpan w:val="8"/>
            <w:noWrap w:val="0"/>
            <w:vAlign w:val="center"/>
          </w:tcPr>
          <w:p>
            <w:pPr>
              <w:adjustRightInd w:val="0"/>
              <w:snapToGrid w:val="0"/>
              <w:jc w:val="left"/>
              <w:rPr>
                <w:color w:val="auto"/>
                <w:szCs w:val="21"/>
              </w:rPr>
            </w:pPr>
            <w:r>
              <w:rPr>
                <w:rFonts w:hint="default"/>
                <w:color w:val="auto"/>
                <w:szCs w:val="21"/>
              </w:rPr>
              <w:t>在各环境风险措施落实到位的情况下，将可大大降低建设项目的环境风险，最大程度减少对环境可能造成的危害。在企业落实本评价提出的各项风险防范措施后，项目对环境的风险影响可接受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7" w:type="dxa"/>
            <w:gridSpan w:val="9"/>
            <w:noWrap w:val="0"/>
            <w:vAlign w:val="center"/>
          </w:tcPr>
          <w:p>
            <w:pPr>
              <w:adjustRightInd w:val="0"/>
              <w:snapToGrid w:val="0"/>
              <w:jc w:val="left"/>
              <w:rPr>
                <w:color w:val="auto"/>
                <w:szCs w:val="21"/>
              </w:rPr>
            </w:pPr>
            <w:r>
              <w:rPr>
                <w:color w:val="auto"/>
                <w:szCs w:val="21"/>
              </w:rPr>
              <w:t>注：</w:t>
            </w:r>
            <w:r>
              <w:rPr>
                <w:rFonts w:hint="eastAsia"/>
                <w:color w:val="auto"/>
                <w:szCs w:val="21"/>
                <w:lang w:eastAsia="zh-CN"/>
              </w:rPr>
              <w:t>“</w:t>
            </w:r>
            <w:r>
              <w:rPr>
                <w:rFonts w:ascii="Times New Roman" w:hAnsi="Times New Roman"/>
                <w:color w:val="auto"/>
                <w:szCs w:val="21"/>
              </w:rPr>
              <w:t>□</w:t>
            </w:r>
            <w:r>
              <w:rPr>
                <w:rFonts w:hint="eastAsia"/>
                <w:color w:val="auto"/>
                <w:szCs w:val="21"/>
                <w:lang w:eastAsia="zh-CN"/>
              </w:rPr>
              <w:t>”</w:t>
            </w:r>
            <w:r>
              <w:rPr>
                <w:color w:val="auto"/>
                <w:szCs w:val="21"/>
              </w:rPr>
              <w:t>为勾选项；</w:t>
            </w:r>
            <w:r>
              <w:rPr>
                <w:rFonts w:hint="eastAsia"/>
                <w:color w:val="auto"/>
                <w:szCs w:val="21"/>
                <w:lang w:eastAsia="zh-CN"/>
              </w:rPr>
              <w:t>“</w:t>
            </w:r>
            <w:r>
              <w:rPr>
                <w:rFonts w:hint="default"/>
                <w:color w:val="auto"/>
                <w:szCs w:val="21"/>
              </w:rPr>
              <w:t>_____</w:t>
            </w:r>
            <w:r>
              <w:rPr>
                <w:rFonts w:hint="eastAsia"/>
                <w:color w:val="auto"/>
                <w:szCs w:val="21"/>
                <w:lang w:eastAsia="zh-CN"/>
              </w:rPr>
              <w:t>”</w:t>
            </w:r>
            <w:r>
              <w:rPr>
                <w:color w:val="auto"/>
                <w:szCs w:val="21"/>
              </w:rPr>
              <w:t>为填写项</w:t>
            </w:r>
          </w:p>
        </w:tc>
      </w:tr>
    </w:tbl>
    <w:p>
      <w:pPr>
        <w:pStyle w:val="28"/>
        <w:rPr>
          <w:rFonts w:hint="default" w:ascii="Times New Roman" w:cs="Times New Roman"/>
          <w:color w:val="auto"/>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p>
    <w:p>
      <w:pPr>
        <w:pStyle w:val="28"/>
        <w:rPr>
          <w:rFonts w:hint="default" w:ascii="Times New Roman" w:cs="Times New Roman"/>
          <w:color w:val="auto"/>
          <w:lang w:val="en-US" w:eastAsia="zh-CN"/>
        </w:rPr>
      </w:pPr>
    </w:p>
    <w:p>
      <w:pPr>
        <w:rPr>
          <w:rFonts w:cs="Times New Roman"/>
          <w:b/>
          <w:bCs/>
          <w:color w:val="auto"/>
          <w:kern w:val="44"/>
          <w:sz w:val="32"/>
          <w:szCs w:val="32"/>
          <w:highlight w:val="none"/>
        </w:rPr>
      </w:pPr>
      <w:r>
        <w:rPr>
          <w:rFonts w:hint="default" w:cs="Times New Roman"/>
          <w:b/>
          <w:bCs/>
          <w:color w:val="auto"/>
          <w:kern w:val="44"/>
          <w:sz w:val="32"/>
          <w:szCs w:val="32"/>
          <w:highlight w:val="none"/>
          <w:lang w:val="en-US" w:eastAsia="zh-CN"/>
        </w:rPr>
        <w:br w:type="page"/>
      </w:r>
    </w:p>
    <w:p>
      <w:pPr>
        <w:keepNext/>
        <w:keepLines w:val="0"/>
        <w:pageBreakBefore w:val="0"/>
        <w:widowControl w:val="0"/>
        <w:numPr>
          <w:ilvl w:val="0"/>
          <w:numId w:val="4"/>
        </w:numPr>
        <w:kinsoku/>
        <w:wordWrap/>
        <w:overflowPunct/>
        <w:topLinePunct w:val="0"/>
        <w:autoSpaceDE/>
        <w:autoSpaceDN/>
        <w:bidi w:val="0"/>
        <w:adjustRightInd/>
        <w:snapToGrid w:val="0"/>
        <w:spacing w:before="120" w:beforeLines="50" w:after="120" w:afterLines="50" w:line="360" w:lineRule="auto"/>
        <w:ind w:left="0"/>
        <w:jc w:val="center"/>
        <w:textAlignment w:val="auto"/>
        <w:outlineLvl w:val="0"/>
        <w:rPr>
          <w:rFonts w:cs="Times New Roman"/>
          <w:b/>
          <w:bCs/>
          <w:color w:val="auto"/>
          <w:kern w:val="44"/>
          <w:sz w:val="32"/>
          <w:szCs w:val="32"/>
          <w:highlight w:val="none"/>
        </w:rPr>
      </w:pPr>
      <w:bookmarkStart w:id="220" w:name="_Toc31574"/>
      <w:r>
        <w:rPr>
          <w:rFonts w:hint="default" w:cs="Times New Roman"/>
          <w:b/>
          <w:bCs/>
          <w:color w:val="auto"/>
          <w:kern w:val="44"/>
          <w:sz w:val="32"/>
          <w:szCs w:val="32"/>
          <w:highlight w:val="none"/>
          <w:lang w:val="en-US" w:eastAsia="zh-CN"/>
        </w:rPr>
        <w:t>环境保护措施及其可行性分析</w:t>
      </w:r>
      <w:bookmarkEnd w:id="141"/>
      <w:bookmarkEnd w:id="220"/>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21" w:name="_Toc32266"/>
      <w:bookmarkStart w:id="222" w:name="_Toc20653"/>
      <w:r>
        <w:rPr>
          <w:rFonts w:hint="default" w:cs="Times New Roman"/>
          <w:b/>
          <w:bCs/>
          <w:color w:val="auto"/>
          <w:kern w:val="0"/>
          <w:sz w:val="30"/>
          <w:szCs w:val="30"/>
          <w:highlight w:val="none"/>
          <w:lang w:val="en-US" w:eastAsia="zh-CN"/>
        </w:rPr>
        <w:t>施工期环境保护措施</w:t>
      </w:r>
      <w:bookmarkEnd w:id="221"/>
      <w:r>
        <w:rPr>
          <w:rFonts w:hint="default" w:cs="Times New Roman"/>
          <w:b/>
          <w:bCs/>
          <w:color w:val="auto"/>
          <w:kern w:val="0"/>
          <w:sz w:val="30"/>
          <w:szCs w:val="30"/>
          <w:highlight w:val="none"/>
          <w:lang w:val="en-US" w:eastAsia="zh-CN"/>
        </w:rPr>
        <w:t>及其可行性分析</w:t>
      </w:r>
      <w:bookmarkEnd w:id="222"/>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6.1.1地表水环境保护措施及其可行性分析</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6.1.1.1施工期生活污水处理</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本项目施工期施工营地依托风情古街现有房屋进行生活办公，生活污水产生量为12m</w:t>
      </w:r>
      <w:r>
        <w:rPr>
          <w:rFonts w:hint="default" w:cs="Times New Roman"/>
          <w:color w:val="auto"/>
          <w:kern w:val="0"/>
          <w:sz w:val="24"/>
          <w:szCs w:val="24"/>
          <w:highlight w:val="none"/>
          <w:vertAlign w:val="superscript"/>
          <w:lang w:val="en-US" w:eastAsia="zh-CN" w:bidi="ar"/>
        </w:rPr>
        <w:t>3</w:t>
      </w:r>
      <w:r>
        <w:rPr>
          <w:rFonts w:hint="default" w:cs="Times New Roman"/>
          <w:color w:val="auto"/>
          <w:kern w:val="0"/>
          <w:sz w:val="24"/>
          <w:szCs w:val="24"/>
          <w:highlight w:val="none"/>
          <w:lang w:val="en-US" w:eastAsia="zh-CN" w:bidi="ar"/>
        </w:rPr>
        <w:t>/d，</w:t>
      </w:r>
      <w:r>
        <w:rPr>
          <w:rFonts w:hint="default" w:cs="Times New Roman"/>
          <w:color w:val="auto"/>
          <w:sz w:val="24"/>
          <w:szCs w:val="24"/>
          <w:highlight w:val="none"/>
          <w:lang w:val="en-US" w:eastAsia="zh-CN"/>
        </w:rPr>
        <w:t>生活污水中主要含有COD、BOD</w:t>
      </w:r>
      <w:r>
        <w:rPr>
          <w:rFonts w:hint="default" w:cs="Times New Roman"/>
          <w:color w:val="auto"/>
          <w:sz w:val="24"/>
          <w:szCs w:val="24"/>
          <w:highlight w:val="none"/>
          <w:vertAlign w:val="subscript"/>
          <w:lang w:val="en-US" w:eastAsia="zh-CN"/>
        </w:rPr>
        <w:t>5</w:t>
      </w:r>
      <w:r>
        <w:rPr>
          <w:rFonts w:hint="default" w:cs="Times New Roman"/>
          <w:color w:val="auto"/>
          <w:sz w:val="24"/>
          <w:szCs w:val="24"/>
          <w:highlight w:val="none"/>
          <w:lang w:val="en-US" w:eastAsia="zh-CN"/>
        </w:rPr>
        <w:t>、SS、NH</w:t>
      </w:r>
      <w:r>
        <w:rPr>
          <w:rFonts w:hint="default" w:cs="Times New Roman"/>
          <w:color w:val="auto"/>
          <w:sz w:val="24"/>
          <w:szCs w:val="24"/>
          <w:highlight w:val="none"/>
          <w:vertAlign w:val="subscript"/>
          <w:lang w:val="en-US" w:eastAsia="zh-CN"/>
        </w:rPr>
        <w:t>3</w:t>
      </w:r>
      <w:r>
        <w:rPr>
          <w:rFonts w:hint="default" w:cs="Times New Roman"/>
          <w:color w:val="auto"/>
          <w:sz w:val="24"/>
          <w:szCs w:val="24"/>
          <w:highlight w:val="none"/>
          <w:lang w:val="en-US" w:eastAsia="zh-CN"/>
        </w:rPr>
        <w:t>-N、动植物油等污染物，生活污水依托风情古街现有化粪池对施工生活污水进行预处理，生活污水预处理后排入市政管网进入江东污水处理厂处理。</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6.1.1.2施工期生产废水处理</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施工废水在混凝土浇筑、施工设备的维修、冲洗、工程养护、运输车辆冲洗过程中产生，施工废水往往偏碱性，一般施工废水</w:t>
      </w:r>
      <w:r>
        <w:rPr>
          <w:rFonts w:hint="eastAsia" w:cs="Times New Roman"/>
          <w:color w:val="auto"/>
          <w:kern w:val="0"/>
          <w:sz w:val="24"/>
          <w:szCs w:val="24"/>
          <w:highlight w:val="none"/>
          <w:lang w:val="en-US" w:eastAsia="zh-CN" w:bidi="ar"/>
        </w:rPr>
        <w:t>pH值</w:t>
      </w:r>
      <w:r>
        <w:rPr>
          <w:rFonts w:hint="default" w:cs="Times New Roman"/>
          <w:color w:val="auto"/>
          <w:kern w:val="0"/>
          <w:sz w:val="24"/>
          <w:szCs w:val="24"/>
          <w:highlight w:val="none"/>
          <w:lang w:val="en-US" w:eastAsia="zh-CN" w:bidi="ar"/>
        </w:rPr>
        <w:t>约为10，含石油类污染物和大量悬浮物，施工过程中废水产生量约为5m</w:t>
      </w:r>
      <w:r>
        <w:rPr>
          <w:rFonts w:hint="default" w:cs="Times New Roman"/>
          <w:color w:val="auto"/>
          <w:kern w:val="0"/>
          <w:sz w:val="24"/>
          <w:szCs w:val="24"/>
          <w:highlight w:val="none"/>
          <w:vertAlign w:val="superscript"/>
          <w:lang w:val="en-US" w:eastAsia="zh-CN" w:bidi="ar"/>
        </w:rPr>
        <w:t>3</w:t>
      </w:r>
      <w:r>
        <w:rPr>
          <w:rFonts w:hint="default" w:cs="Times New Roman"/>
          <w:color w:val="auto"/>
          <w:kern w:val="0"/>
          <w:sz w:val="24"/>
          <w:szCs w:val="24"/>
          <w:highlight w:val="none"/>
          <w:lang w:val="en-US" w:eastAsia="zh-CN" w:bidi="ar"/>
        </w:rPr>
        <w:t>/d，经隔油池+沉淀池处理后循环使用混凝土养护或用于施工生产洒水抑尘。</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6.1.2地下水环境保护措施及其可行性分析</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本项目建设对地下水水质的不利影响主要为施工期生产废水、生活污水、固体废弃物等不当管理，因此，建议建设单位在项目施工过程中严格管理，责任到位，以防造成不良影响。</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（1）按照本环评提出的各项废污水处理措施，确保工程施工过程中各废污水的处理和回用，生活垃圾统一收集后定期清运至附近居民生活垃圾集中收集点。施工过程中产生的固体废弃物，尽可能</w:t>
      </w:r>
      <w:r>
        <w:rPr>
          <w:rFonts w:hint="eastAsia" w:cs="Times New Roman"/>
          <w:color w:val="auto"/>
          <w:kern w:val="0"/>
          <w:sz w:val="24"/>
          <w:szCs w:val="24"/>
          <w:highlight w:val="none"/>
          <w:lang w:val="en-US" w:eastAsia="zh-CN" w:bidi="ar"/>
        </w:rPr>
        <w:t>收集</w:t>
      </w:r>
      <w:r>
        <w:rPr>
          <w:rFonts w:hint="default" w:cs="Times New Roman"/>
          <w:color w:val="auto"/>
          <w:kern w:val="0"/>
          <w:sz w:val="24"/>
          <w:szCs w:val="24"/>
          <w:highlight w:val="none"/>
          <w:lang w:val="en-US" w:eastAsia="zh-CN" w:bidi="ar"/>
        </w:rPr>
        <w:t>。施工过程中产生的固体废弃物，尽可能收集堆置运走处理。此外，工程的各项废污水处理构筑物（如沉淀池、隔油池等）应做好防渗措施，防止污染物入渗影响地下水水质。</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（2）严禁雨季施工，严禁污废水乱排。根据降雨特征和工地实际情况，设置好排水设施，制定雨季具体排水方案，避免雨季排水不畅，防止污染道路、直排进入土壤等事故发生。</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（3）加强交通运输管理，减少交通事故等发生，避免油料泄漏污染。</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6.1.3施工期大气环境保护措施及其可行性分析</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6.1.3.1施工扬尘防治措施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施工扬尘来源于建筑场地的</w:t>
      </w:r>
      <w:r>
        <w:rPr>
          <w:rFonts w:hint="default" w:cs="Times New Roman"/>
          <w:color w:val="auto"/>
          <w:kern w:val="0"/>
          <w:sz w:val="24"/>
          <w:szCs w:val="24"/>
          <w:highlight w:val="none"/>
          <w:lang w:val="en-US" w:eastAsia="zh-CN" w:bidi="ar"/>
        </w:rPr>
        <w:t>建构筑物拆除、</w:t>
      </w:r>
      <w:r>
        <w:rPr>
          <w:rFonts w:hint="default" w:ascii="Times New Roman" w:hAnsi="Times New Roman" w:eastAsia="宋体" w:cs="Times New Roman"/>
          <w:color w:val="auto"/>
          <w:kern w:val="0"/>
          <w:sz w:val="24"/>
          <w:szCs w:val="24"/>
          <w:highlight w:val="none"/>
          <w:lang w:val="en-US" w:eastAsia="zh-CN" w:bidi="ar"/>
        </w:rPr>
        <w:t>平整清理，土方挖掘填埋，物料堆存，建筑材料的装卸、搬运、使用，以及运料车辆的出入等。施工扬尘的起尘量与许多因素有关，如地面的相对高度、风速、土壤的颗粒度、土壤含水量等因素有关。为了减少施工过程产生的扬尘对周围环境空气的影响程度，建议采取以下防护措施</w:t>
      </w:r>
      <w:r>
        <w:rPr>
          <w:rFonts w:hint="default"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在土方、石料等物料运输过程中，加强物料转运、使用的管理，合理装卸、规范操作。凡运送土石方等道路材料的运货车，都应用</w:t>
      </w:r>
      <w:r>
        <w:rPr>
          <w:rFonts w:hint="eastAsia" w:cs="Times New Roman"/>
          <w:color w:val="auto"/>
          <w:kern w:val="0"/>
          <w:sz w:val="24"/>
          <w:szCs w:val="24"/>
          <w:highlight w:val="none"/>
          <w:lang w:val="en-US" w:eastAsia="zh-CN" w:bidi="ar"/>
        </w:rPr>
        <w:t>篷布</w:t>
      </w:r>
      <w:r>
        <w:rPr>
          <w:rFonts w:hint="default" w:ascii="Times New Roman" w:hAnsi="Times New Roman" w:eastAsia="宋体" w:cs="Times New Roman"/>
          <w:color w:val="auto"/>
          <w:kern w:val="0"/>
          <w:sz w:val="24"/>
          <w:szCs w:val="24"/>
          <w:highlight w:val="none"/>
          <w:lang w:val="en-US" w:eastAsia="zh-CN" w:bidi="ar"/>
        </w:rPr>
        <w:t>或塑料布覆盖，或用编织袋分装堆码，避免一路扬尘</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运送散装水泥车辆的储罐应保持良好密封状态，运送袋装水泥必须覆盖封闭</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经常清洗运输车辆</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在施工现场行驶的车辆，应控制车速，尽量不超过30km/h</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干旱、多风季节及运输高峰期，应配备人员及设备进行定期洒水。</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临时堆场采用洒水、覆盖草袋等降尘措施，洒水次数及用水量根据天气情况和场地粉尘产生情况确定。</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料场细骨料堆场所等应设简易棚，骨料堆积的边坡角度应稳定，细骨料堆等应适当加湿，采用绿网覆盖，防止细骨料被风吹散。</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（4）</w:t>
      </w:r>
      <w:r>
        <w:rPr>
          <w:rFonts w:hint="default" w:ascii="Times New Roman" w:hAnsi="Times New Roman" w:eastAsia="宋体" w:cs="Times New Roman"/>
          <w:color w:val="auto"/>
          <w:kern w:val="0"/>
          <w:sz w:val="24"/>
          <w:szCs w:val="24"/>
          <w:highlight w:val="none"/>
          <w:lang w:val="en-US" w:eastAsia="zh-CN" w:bidi="ar"/>
        </w:rPr>
        <w:t>拆除建筑物、构筑物、土方开挖、土方回填等易产生粉尘的作业时，必须采用围挡隔离、喷淋、洒水、喷雾等降尘措施。遇有5级以上风力或空气质量严重污染等恶劣天气时，严禁土方开挖、土方回填，拆除等可能产生扬尘的作业。</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加强施工作业人员的劳动保护。对土方开挖除等产尘较大施工区应尽量采用湿法作业，并按照国家有关劳动保护的规定，对施工人员发放防尘用品。</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（6）</w:t>
      </w:r>
      <w:r>
        <w:rPr>
          <w:rFonts w:hint="default" w:ascii="Times New Roman" w:hAnsi="Times New Roman" w:eastAsia="宋体" w:cs="Times New Roman"/>
          <w:color w:val="auto"/>
          <w:kern w:val="0"/>
          <w:sz w:val="24"/>
          <w:szCs w:val="24"/>
          <w:highlight w:val="none"/>
          <w:lang w:val="en-US" w:eastAsia="zh-CN" w:bidi="ar"/>
        </w:rPr>
        <w:t>运输车辆经过噪声敏感点时应降低行驶速度，加强运输车辆清洗保洁、苫盖和路面洒水</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位于敏感点附近的施工机械作业，应加强作业面保湿，减少扬尘。施工便道一般每天洒水1~2次，正常条件下，洒水强度应满足《室外给水设计规范》的要求)，若遇到大风或干燥天气可适当增加洒水次数，施工场地洒水与否对扬尘的影响比较大，场地洒水后，扬尘量将降低28%~75%，大大减少了对环境的影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同时，本环评要求施工工地严格落实</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8个100%</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措施，即施工现场100%</w:t>
      </w:r>
      <w:r>
        <w:rPr>
          <w:rFonts w:hint="eastAsia" w:cs="Times New Roman"/>
          <w:color w:val="auto"/>
          <w:kern w:val="0"/>
          <w:sz w:val="24"/>
          <w:szCs w:val="24"/>
          <w:highlight w:val="none"/>
          <w:lang w:val="en-US" w:eastAsia="zh-CN" w:bidi="ar"/>
        </w:rPr>
        <w:t>围挡</w:t>
      </w:r>
      <w:r>
        <w:rPr>
          <w:rFonts w:hint="default" w:ascii="Times New Roman" w:hAnsi="Times New Roman" w:eastAsia="宋体" w:cs="Times New Roman"/>
          <w:color w:val="auto"/>
          <w:kern w:val="0"/>
          <w:sz w:val="24"/>
          <w:szCs w:val="24"/>
          <w:highlight w:val="none"/>
          <w:lang w:val="en-US" w:eastAsia="zh-CN" w:bidi="ar"/>
        </w:rPr>
        <w:t>、主要道路100%硬化、驶出车辆100%冲洗、运输车辆100%密闭、裸露物料100%覆盖、特殊作业及扬尘地板100%喷淋洒水、出入口路段100%冲洗、暂不开发土地100%绿化等。</w:t>
      </w:r>
    </w:p>
    <w:p>
      <w:pPr>
        <w:keepNext w:val="0"/>
        <w:keepLines w:val="0"/>
        <w:pageBreakBefore w:val="0"/>
        <w:widowControl w:val="0"/>
        <w:suppressLineNumbers w:val="0"/>
        <w:kinsoku/>
        <w:wordWrap/>
        <w:overflowPunct/>
        <w:topLinePunct w:val="0"/>
        <w:autoSpaceDE/>
        <w:autoSpaceDN/>
        <w:bidi w:val="0"/>
        <w:adjustRightInd/>
        <w:snapToGrid/>
        <w:spacing w:line="360" w:lineRule="auto"/>
        <w:ind w:firstLine="482" w:firstLineChars="200"/>
        <w:jc w:val="left"/>
        <w:textAlignment w:val="auto"/>
        <w:outlineLvl w:val="4"/>
        <w:rPr>
          <w:rFonts w:hint="default"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6.1.3.2施工机械、运输车辆燃油废气防治措施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本项目的燃烧废气主要来自施工中以燃油为动力的施工机械所排放的废气，运输车辆燃油产生的废气，主要污染物为SO</w:t>
      </w:r>
      <w:r>
        <w:rPr>
          <w:rFonts w:hint="default"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、NOx、</w:t>
      </w:r>
      <w:r>
        <w:rPr>
          <w:rFonts w:hint="eastAsia" w:cs="Times New Roman"/>
          <w:color w:val="auto"/>
          <w:kern w:val="0"/>
          <w:sz w:val="24"/>
          <w:szCs w:val="24"/>
          <w:highlight w:val="none"/>
          <w:lang w:val="en-US" w:eastAsia="zh-CN" w:bidi="ar"/>
        </w:rPr>
        <w:t>烃</w:t>
      </w:r>
      <w:r>
        <w:rPr>
          <w:rFonts w:hint="default" w:ascii="Times New Roman" w:hAnsi="Times New Roman" w:eastAsia="宋体" w:cs="Times New Roman"/>
          <w:color w:val="auto"/>
          <w:kern w:val="0"/>
          <w:sz w:val="24"/>
          <w:szCs w:val="24"/>
          <w:highlight w:val="none"/>
          <w:lang w:val="en-US" w:eastAsia="zh-CN" w:bidi="ar"/>
        </w:rPr>
        <w:t>类。为减少车辆及机械燃料废气对周围环境的影响，建设及施工单位应采取以下措施</w:t>
      </w:r>
      <w:r>
        <w:rPr>
          <w:rFonts w:hint="default"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(1）施工单位应尽量选用低能耗、低污染排放的施工机械和车辆，选用配装尾气净化装置的柴油发电机，并选用质量较好的燃油，减少燃油废气排放。</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加强对施工机械、运输车辆的维修保养，减少因机械和车辆状况不佳造成的空气污染。</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配合有关部门</w:t>
      </w:r>
      <w:r>
        <w:rPr>
          <w:rFonts w:hint="eastAsia" w:cs="Times New Roman"/>
          <w:color w:val="auto"/>
          <w:kern w:val="0"/>
          <w:sz w:val="24"/>
          <w:szCs w:val="24"/>
          <w:highlight w:val="none"/>
          <w:lang w:val="en-US" w:eastAsia="zh-CN" w:bidi="ar"/>
        </w:rPr>
        <w:t>做好</w:t>
      </w:r>
      <w:r>
        <w:rPr>
          <w:rFonts w:hint="default" w:ascii="Times New Roman" w:hAnsi="Times New Roman" w:eastAsia="宋体" w:cs="Times New Roman"/>
          <w:color w:val="auto"/>
          <w:kern w:val="0"/>
          <w:sz w:val="24"/>
          <w:szCs w:val="24"/>
          <w:highlight w:val="none"/>
          <w:lang w:val="en-US" w:eastAsia="zh-CN" w:bidi="ar"/>
        </w:rPr>
        <w:t>施工期间周边道路的交通组织，避免因施工而造成交通堵塞，减少因此而产生的废气排放。</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施工期施工作业扬尘、施工机械尾气等会对周围产生一定影响，但这种影响是暂时的，随着工程完工，影响将不存在。</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本项目施工期大气环境影响减缓措施效果显著，经济合理，减缓措施是可行的。</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6.1.</w:t>
      </w:r>
      <w:r>
        <w:rPr>
          <w:rFonts w:hint="eastAsia" w:ascii="Times New Roman" w:hAnsi="Times New Roman" w:cs="Times New Roman"/>
          <w:b/>
          <w:bCs/>
          <w:color w:val="auto"/>
          <w:kern w:val="0"/>
          <w:sz w:val="28"/>
          <w:szCs w:val="28"/>
          <w:highlight w:val="none"/>
          <w:lang w:val="en-US" w:eastAsia="zh-CN"/>
        </w:rPr>
        <w:t>4</w:t>
      </w:r>
      <w:r>
        <w:rPr>
          <w:rFonts w:hint="default" w:cs="Times New Roman"/>
          <w:b/>
          <w:bCs/>
          <w:color w:val="auto"/>
          <w:kern w:val="0"/>
          <w:sz w:val="28"/>
          <w:szCs w:val="28"/>
          <w:highlight w:val="none"/>
          <w:lang w:val="en-US" w:eastAsia="zh-CN"/>
        </w:rPr>
        <w:t>施工期声环境保护措施及其可行性分析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（1）对环境敏感点的防护措施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w:t>
      </w:r>
      <w:r>
        <w:rPr>
          <w:rFonts w:hint="default" w:cs="Times New Roman"/>
          <w:color w:val="auto"/>
          <w:kern w:val="0"/>
          <w:sz w:val="24"/>
          <w:szCs w:val="24"/>
          <w:highlight w:val="none"/>
          <w:lang w:val="en-US" w:eastAsia="zh-CN" w:bidi="ar"/>
        </w:rPr>
        <w:t>沿线有居民小区分布</w:t>
      </w:r>
      <w:r>
        <w:rPr>
          <w:rFonts w:hint="default" w:ascii="Times New Roman" w:hAnsi="Times New Roman" w:eastAsia="宋体"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应</w:t>
      </w:r>
      <w:r>
        <w:rPr>
          <w:rFonts w:hint="default" w:ascii="Times New Roman" w:hAnsi="Times New Roman" w:eastAsia="宋体" w:cs="Times New Roman"/>
          <w:color w:val="auto"/>
          <w:kern w:val="0"/>
          <w:sz w:val="24"/>
          <w:szCs w:val="24"/>
          <w:highlight w:val="none"/>
          <w:lang w:val="en-US" w:eastAsia="zh-CN" w:bidi="ar"/>
        </w:rPr>
        <w:t>采取</w:t>
      </w:r>
      <w:r>
        <w:rPr>
          <w:rFonts w:hint="default" w:cs="Times New Roman"/>
          <w:color w:val="auto"/>
          <w:kern w:val="0"/>
          <w:sz w:val="24"/>
          <w:szCs w:val="24"/>
          <w:highlight w:val="none"/>
          <w:lang w:val="en-US" w:eastAsia="zh-CN" w:bidi="ar"/>
        </w:rPr>
        <w:t>相应的减噪措施以减轻施工噪声对敏感点的影响。防护措施如下</w:t>
      </w:r>
      <w:r>
        <w:rPr>
          <w:rFonts w:hint="default" w:ascii="Times New Roman" w:hAnsi="Times New Roman" w:eastAsia="宋体"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bookmarkStart w:id="223" w:name="_Toc8314"/>
      <w:r>
        <w:rPr>
          <w:rFonts w:hint="default" w:ascii="Times New Roman" w:hAnsi="Times New Roman" w:eastAsia="宋体" w:cs="Times New Roman"/>
          <w:color w:val="auto"/>
          <w:kern w:val="0"/>
          <w:sz w:val="24"/>
          <w:szCs w:val="24"/>
          <w:highlight w:val="none"/>
          <w:lang w:val="en-US" w:eastAsia="zh-CN" w:bidi="ar"/>
        </w:rPr>
        <w:t>①合理安排施工计划，</w:t>
      </w:r>
      <w:r>
        <w:rPr>
          <w:rFonts w:hint="eastAsia" w:cs="Times New Roman"/>
          <w:color w:val="auto"/>
          <w:kern w:val="0"/>
          <w:sz w:val="24"/>
          <w:szCs w:val="24"/>
          <w:highlight w:val="none"/>
          <w:lang w:val="en-US" w:eastAsia="zh-CN" w:bidi="ar"/>
        </w:rPr>
        <w:t>严禁</w:t>
      </w:r>
      <w:r>
        <w:rPr>
          <w:rFonts w:hint="default" w:ascii="Times New Roman" w:hAnsi="Times New Roman" w:eastAsia="宋体" w:cs="Times New Roman"/>
          <w:color w:val="auto"/>
          <w:kern w:val="0"/>
          <w:sz w:val="24"/>
          <w:szCs w:val="24"/>
          <w:highlight w:val="none"/>
          <w:lang w:val="en-US" w:eastAsia="zh-CN" w:bidi="ar"/>
        </w:rPr>
        <w:t>晚上22:00~凌晨6:00以及中午12:00~14:</w:t>
      </w:r>
      <w:r>
        <w:rPr>
          <w:rFonts w:hint="default" w:cs="Times New Roman"/>
          <w:color w:val="auto"/>
          <w:kern w:val="0"/>
          <w:sz w:val="24"/>
          <w:szCs w:val="24"/>
          <w:highlight w:val="none"/>
          <w:lang w:val="en-US" w:eastAsia="zh-CN" w:bidi="ar"/>
        </w:rPr>
        <w:t>30</w:t>
      </w:r>
      <w:r>
        <w:rPr>
          <w:rFonts w:hint="default" w:ascii="Times New Roman" w:hAnsi="Times New Roman" w:eastAsia="宋体" w:cs="Times New Roman"/>
          <w:color w:val="auto"/>
          <w:kern w:val="0"/>
          <w:sz w:val="24"/>
          <w:szCs w:val="24"/>
          <w:highlight w:val="none"/>
          <w:lang w:val="en-US" w:eastAsia="zh-CN" w:bidi="ar"/>
        </w:rPr>
        <w:t>进行可能产生噪声扰民问题的施工活动</w:t>
      </w:r>
      <w:r>
        <w:rPr>
          <w:rFonts w:hint="default"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②车辆途经居民点时需减速，禁止使用高音喇叭等措施，施工公路应保持平坦顺畅，减少因</w:t>
      </w:r>
      <w:r>
        <w:rPr>
          <w:rFonts w:hint="eastAsia" w:cs="Times New Roman"/>
          <w:color w:val="auto"/>
          <w:kern w:val="0"/>
          <w:sz w:val="24"/>
          <w:szCs w:val="24"/>
          <w:highlight w:val="none"/>
          <w:lang w:val="en-US" w:eastAsia="zh-CN" w:bidi="ar"/>
        </w:rPr>
        <w:t>汽车振动</w:t>
      </w:r>
      <w:r>
        <w:rPr>
          <w:rFonts w:hint="default" w:ascii="Times New Roman" w:hAnsi="Times New Roman" w:eastAsia="宋体" w:cs="Times New Roman"/>
          <w:color w:val="auto"/>
          <w:kern w:val="0"/>
          <w:sz w:val="24"/>
          <w:szCs w:val="24"/>
          <w:highlight w:val="none"/>
          <w:lang w:val="en-US" w:eastAsia="zh-CN" w:bidi="ar"/>
        </w:rPr>
        <w:t>引起的噪声，严禁超速和超载</w:t>
      </w:r>
      <w:r>
        <w:rPr>
          <w:rFonts w:hint="default"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③施工时在施工区靠近居民点一侧设置彩钢夹芯板进行隔声，以降低施工噪声影响，在施工布置上采取远离居民点侧布设高噪音设备</w:t>
      </w:r>
      <w:r>
        <w:rPr>
          <w:rFonts w:hint="default"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噪声源的控制。采购符合环保要求施工机械</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施工单位必须选用符合国家有关环保标准的施工机械，如运输车辆噪声符合《汽车定置噪声限值》(GBl6170—1996）和《机动车辆允许噪声》(GB1495—79)，</w:t>
      </w:r>
      <w:r>
        <w:rPr>
          <w:rFonts w:hint="eastAsia" w:cs="Times New Roman"/>
          <w:color w:val="auto"/>
          <w:kern w:val="0"/>
          <w:sz w:val="24"/>
          <w:szCs w:val="24"/>
          <w:highlight w:val="none"/>
          <w:lang w:val="en-US" w:eastAsia="zh-CN" w:bidi="ar"/>
        </w:rPr>
        <w:t>其他施工</w:t>
      </w:r>
      <w:r>
        <w:rPr>
          <w:rFonts w:hint="default" w:ascii="Times New Roman" w:hAnsi="Times New Roman" w:eastAsia="宋体" w:cs="Times New Roman"/>
          <w:color w:val="auto"/>
          <w:kern w:val="0"/>
          <w:sz w:val="24"/>
          <w:szCs w:val="24"/>
          <w:highlight w:val="none"/>
          <w:lang w:val="en-US" w:eastAsia="zh-CN" w:bidi="ar"/>
        </w:rPr>
        <w:t>机械符合《建筑施工场界环境噪声排放标准》(GB12523-2011)。尽量缩短高噪音机械设备的使用时间，配备、使用减震坐垫和隔音装置，降低噪声源的声级强度，避免高噪音设备同时开启。</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（2）</w:t>
      </w:r>
      <w:r>
        <w:rPr>
          <w:rFonts w:hint="default" w:ascii="Times New Roman" w:hAnsi="Times New Roman" w:eastAsia="宋体" w:cs="Times New Roman"/>
          <w:b/>
          <w:bCs/>
          <w:color w:val="auto"/>
          <w:kern w:val="0"/>
          <w:sz w:val="24"/>
          <w:szCs w:val="24"/>
          <w:highlight w:val="none"/>
          <w:lang w:val="en-US" w:eastAsia="zh-CN" w:bidi="ar"/>
        </w:rPr>
        <w:t>施工设备噪声控制措施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选用低噪声的机械设备和工艺，尽量缩短高噪音机械设备的使用时间，配备、使用减震坐垫和隔音装置，降低噪声源的声级强度;施工中加强各种机械设备的维修和保养，做好机械设备使用前的检修，使设备性能处于良好状态，运行时可减少噪声</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在施工平面布置中应充分利用施工区的地形、地势等自然隔声屏障，对机械设备进行合理布置</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合理安排施工时间，禁止夜间施工，以减小对居民点的影响。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（3）</w:t>
      </w:r>
      <w:r>
        <w:rPr>
          <w:rFonts w:hint="default" w:ascii="Times New Roman" w:hAnsi="Times New Roman" w:eastAsia="宋体" w:cs="Times New Roman"/>
          <w:b/>
          <w:bCs/>
          <w:color w:val="auto"/>
          <w:kern w:val="0"/>
          <w:sz w:val="24"/>
          <w:szCs w:val="24"/>
          <w:highlight w:val="none"/>
          <w:lang w:val="en-US" w:eastAsia="zh-CN" w:bidi="ar"/>
        </w:rPr>
        <w:t>交通噪声控制措施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施工区交通噪声对环境影响较大的道路主要是在施工区域以及渣场的对外道路</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为了降低道路噪声对环境的影响,也为了保证施工中运输车辆的行驶安全，主要采取以下措施</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在利用现有道路运输施工物资时，应优化运输路线和运输时间，避免夜间运输</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在途经村庄时，应减速慢行</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加强道路交通管理，在危险路段、降噪路段设执勤人员</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车辆在本段应适当减速行驶，并禁鸣高音喇叭。加强道路养护和车辆的维修保养，降低机动车辆</w:t>
      </w:r>
      <w:r>
        <w:rPr>
          <w:rFonts w:hint="eastAsia" w:cs="Times New Roman"/>
          <w:color w:val="auto"/>
          <w:kern w:val="0"/>
          <w:sz w:val="24"/>
          <w:szCs w:val="24"/>
          <w:highlight w:val="none"/>
          <w:lang w:val="en-US" w:eastAsia="zh-CN" w:bidi="ar"/>
        </w:rPr>
        <w:t>行驶</w:t>
      </w:r>
      <w:r>
        <w:rPr>
          <w:rFonts w:hint="default" w:ascii="Times New Roman" w:hAnsi="Times New Roman" w:eastAsia="宋体" w:cs="Times New Roman"/>
          <w:color w:val="auto"/>
          <w:kern w:val="0"/>
          <w:sz w:val="24"/>
          <w:szCs w:val="24"/>
          <w:highlight w:val="none"/>
          <w:lang w:val="en-US" w:eastAsia="zh-CN" w:bidi="ar"/>
        </w:rPr>
        <w:t>速度。考虑到进场交通运输噪声对两边居民的影响，需采取减速以降低运输车辆产生的噪声、禁止夜间运输，等措施降低对周边居民声环境的影响。</w:t>
      </w:r>
    </w:p>
    <w:bookmarkEnd w:id="223"/>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default" w:cs="Times New Roman"/>
          <w:b/>
          <w:bCs/>
          <w:color w:val="auto"/>
          <w:kern w:val="0"/>
          <w:sz w:val="24"/>
          <w:szCs w:val="24"/>
          <w:highlight w:val="none"/>
          <w:lang w:val="en-US" w:eastAsia="zh-CN" w:bidi="ar"/>
        </w:rPr>
        <w:t>（4）</w:t>
      </w:r>
      <w:r>
        <w:rPr>
          <w:rFonts w:hint="default" w:ascii="Times New Roman" w:hAnsi="Times New Roman" w:eastAsia="宋体" w:cs="Times New Roman"/>
          <w:b/>
          <w:bCs/>
          <w:color w:val="auto"/>
          <w:kern w:val="0"/>
          <w:sz w:val="24"/>
          <w:szCs w:val="24"/>
          <w:highlight w:val="none"/>
          <w:lang w:val="en-US" w:eastAsia="zh-CN" w:bidi="ar"/>
        </w:rPr>
        <w:t>施工作业人员噪声防护</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要合理安排施工计划，噪声大、冲击性强并伴有强烈振动的活动安排在白天进行。</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影响较重的工种应定期轮换，缩短每个台班工作时间，增加台班，减少连续工作时间</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施工人员可戴耳塞等个人防噪声用具。</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期环境影响为短期影响，施工结束后即可消除。但考虑施工期对周围环境的影响，要求建设单位在建设过程中必须认真遵守各项管理制度，落实本报告提出的防治措施及建议，做到文明施工、严格管理、缩短工期，力争将项目建设过程中对周围环境产生的影响降到最低限度。</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224" w:name="_Toc22509"/>
      <w:r>
        <w:rPr>
          <w:rFonts w:hint="default" w:cs="Times New Roman"/>
          <w:b/>
          <w:bCs/>
          <w:color w:val="auto"/>
          <w:kern w:val="0"/>
          <w:sz w:val="28"/>
          <w:szCs w:val="28"/>
          <w:highlight w:val="none"/>
          <w:lang w:val="en-US" w:eastAsia="zh-CN"/>
        </w:rPr>
        <w:t>6.1.</w:t>
      </w:r>
      <w:r>
        <w:rPr>
          <w:rFonts w:hint="eastAsia" w:ascii="Times New Roman" w:hAnsi="Times New Roman" w:cs="Times New Roman"/>
          <w:b/>
          <w:bCs/>
          <w:color w:val="auto"/>
          <w:kern w:val="0"/>
          <w:sz w:val="28"/>
          <w:szCs w:val="28"/>
          <w:highlight w:val="none"/>
          <w:lang w:val="en-US" w:eastAsia="zh-CN"/>
        </w:rPr>
        <w:t>5</w:t>
      </w:r>
      <w:r>
        <w:rPr>
          <w:rFonts w:hint="default" w:cs="Times New Roman"/>
          <w:b/>
          <w:bCs/>
          <w:color w:val="auto"/>
          <w:kern w:val="0"/>
          <w:sz w:val="28"/>
          <w:szCs w:val="28"/>
          <w:highlight w:val="none"/>
          <w:lang w:val="en-US" w:eastAsia="zh-CN"/>
        </w:rPr>
        <w:t>施工期固体废物处理及其可行性分析</w:t>
      </w:r>
      <w:bookmarkEnd w:id="224"/>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本工程的固体废物主要是建筑垃圾、施工人员生活垃圾、隔油池含油渣。</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（1）生活垃圾</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在施工场地定点设置分类垃圾桶，安排专人负责施工人员生活垃圾的清扫与收集，</w:t>
      </w:r>
      <w:r>
        <w:rPr>
          <w:rFonts w:hint="default" w:ascii="Times New Roman" w:hAnsi="Times New Roman" w:eastAsia="宋体" w:cs="Times New Roman"/>
          <w:color w:val="auto"/>
          <w:kern w:val="0"/>
          <w:sz w:val="24"/>
          <w:szCs w:val="24"/>
          <w:highlight w:val="none"/>
          <w:lang w:val="en-US" w:eastAsia="zh-CN" w:bidi="ar"/>
        </w:rPr>
        <w:t>交给</w:t>
      </w:r>
      <w:r>
        <w:rPr>
          <w:rFonts w:hint="default" w:cs="Times New Roman"/>
          <w:color w:val="auto"/>
          <w:kern w:val="0"/>
          <w:sz w:val="24"/>
          <w:szCs w:val="24"/>
          <w:highlight w:val="none"/>
          <w:lang w:val="en-US" w:eastAsia="zh-CN" w:bidi="ar"/>
        </w:rPr>
        <w:t>当地</w:t>
      </w:r>
      <w:r>
        <w:rPr>
          <w:rFonts w:hint="default" w:ascii="Times New Roman" w:hAnsi="Times New Roman" w:eastAsia="宋体" w:cs="Times New Roman"/>
          <w:color w:val="auto"/>
          <w:kern w:val="0"/>
          <w:sz w:val="24"/>
          <w:szCs w:val="24"/>
          <w:highlight w:val="none"/>
          <w:lang w:val="en-US" w:eastAsia="zh-CN" w:bidi="ar"/>
        </w:rPr>
        <w:t>环卫部门处理</w:t>
      </w:r>
      <w:r>
        <w:rPr>
          <w:rFonts w:hint="default"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（2）建筑垃圾</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项目</w:t>
      </w:r>
      <w:r>
        <w:rPr>
          <w:rFonts w:hint="default" w:cs="Times New Roman"/>
          <w:color w:val="auto"/>
          <w:kern w:val="0"/>
          <w:sz w:val="24"/>
          <w:szCs w:val="24"/>
          <w:highlight w:val="none"/>
          <w:lang w:val="en-US" w:eastAsia="zh-CN" w:bidi="ar"/>
        </w:rPr>
        <w:t>拆除</w:t>
      </w:r>
      <w:r>
        <w:rPr>
          <w:rFonts w:hint="default" w:ascii="Times New Roman" w:hAnsi="Times New Roman" w:eastAsia="宋体" w:cs="Times New Roman"/>
          <w:color w:val="auto"/>
          <w:kern w:val="0"/>
          <w:sz w:val="24"/>
          <w:szCs w:val="24"/>
          <w:highlight w:val="none"/>
          <w:lang w:val="en-US" w:eastAsia="zh-CN" w:bidi="ar"/>
        </w:rPr>
        <w:t>及施工中废弃的砖头、废木模板、断残钢筋头、用过的包装纸可以回收利用的应尽可能回收利用，剩下建筑垃圾建议回用于本项目路基建设。</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施工过程中产生的废弃材料必须回收，遗弃的沙石、建材、钢材、包装材料等分类堆放，并及时清运，做到工完场清，尽量结合项目建设内部土石方平衡来消化建筑垃圾，严禁随意处置。</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（3）隔油池含油渣</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隔油池废油</w:t>
      </w:r>
      <w:r>
        <w:rPr>
          <w:rFonts w:hint="default" w:cs="Times New Roman"/>
          <w:color w:val="auto"/>
          <w:kern w:val="0"/>
          <w:sz w:val="24"/>
          <w:szCs w:val="24"/>
          <w:highlight w:val="none"/>
          <w:lang w:val="en-US" w:eastAsia="zh-CN" w:bidi="ar"/>
        </w:rPr>
        <w:t>定期清理，</w:t>
      </w:r>
      <w:r>
        <w:rPr>
          <w:rFonts w:hint="default" w:ascii="Times New Roman" w:hAnsi="Times New Roman" w:eastAsia="宋体" w:cs="Times New Roman"/>
          <w:color w:val="auto"/>
          <w:kern w:val="0"/>
          <w:sz w:val="24"/>
          <w:szCs w:val="24"/>
          <w:highlight w:val="none"/>
          <w:lang w:val="en-US" w:eastAsia="zh-CN" w:bidi="ar"/>
        </w:rPr>
        <w:t>经过收集后交给有资质的单位集中处理。</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225" w:name="_Toc11309"/>
      <w:bookmarkStart w:id="226" w:name="_Toc10836"/>
      <w:r>
        <w:rPr>
          <w:rFonts w:hint="default" w:cs="Times New Roman"/>
          <w:b/>
          <w:bCs/>
          <w:color w:val="auto"/>
          <w:kern w:val="0"/>
          <w:sz w:val="28"/>
          <w:szCs w:val="28"/>
          <w:highlight w:val="none"/>
          <w:lang w:val="en-US" w:eastAsia="zh-CN"/>
        </w:rPr>
        <w:t>6.1.6施工期水土保持措施</w:t>
      </w:r>
    </w:p>
    <w:p>
      <w:pPr>
        <w:keepNext w:val="0"/>
        <w:keepLines w:val="0"/>
        <w:pageBreakBefore w:val="0"/>
        <w:widowControl w:val="0"/>
        <w:numPr>
          <w:ilvl w:val="0"/>
          <w:numId w:val="0"/>
        </w:numPr>
        <w:tabs>
          <w:tab w:val="left" w:pos="4822"/>
        </w:tabs>
        <w:kinsoku/>
        <w:wordWrap/>
        <w:overflowPunct/>
        <w:topLinePunct w:val="0"/>
        <w:autoSpaceDE/>
        <w:autoSpaceDN/>
        <w:bidi w:val="0"/>
        <w:adjustRightInd w:val="0"/>
        <w:snapToGrid/>
        <w:spacing w:line="360" w:lineRule="auto"/>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美丽湘江项目湘江东岸沿江风光带（龙家坪路-冶金中路）整治工程水土保持方案报告表》，本项目按建设时序、造成水土流失特点及项目主体工程布局，将防治责任区划分为建筑物区、广场园路及配套设施区、绿化工程区、取土场区、弃土场区、临时堆土区。各区的防治措施布局如下表：</w:t>
      </w:r>
    </w:p>
    <w:p>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0"/>
        <w:jc w:val="center"/>
        <w:textAlignment w:val="center"/>
        <w:outlineLvl w:val="9"/>
        <w:rPr>
          <w:rFonts w:hint="default" w:ascii="Times New Roman" w:hAnsi="Times New Roman" w:eastAsia="宋体" w:cs="Times New Roman"/>
          <w:b/>
          <w:color w:val="auto"/>
          <w:szCs w:val="24"/>
          <w:highlight w:val="none"/>
        </w:rPr>
      </w:pPr>
      <w:r>
        <w:rPr>
          <w:rFonts w:hint="default" w:ascii="Times New Roman" w:hAnsi="Times New Roman" w:eastAsia="宋体" w:cs="Times New Roman"/>
          <w:b/>
          <w:color w:val="auto"/>
          <w:szCs w:val="24"/>
          <w:highlight w:val="none"/>
        </w:rPr>
        <w:t>表</w:t>
      </w:r>
      <w:r>
        <w:rPr>
          <w:rFonts w:hint="default" w:cs="Times New Roman"/>
          <w:b/>
          <w:color w:val="auto"/>
          <w:szCs w:val="24"/>
          <w:highlight w:val="none"/>
          <w:lang w:val="en-US" w:eastAsia="zh-CN"/>
        </w:rPr>
        <w:t>6.1</w:t>
      </w:r>
      <w:r>
        <w:rPr>
          <w:rFonts w:hint="default" w:ascii="Times New Roman" w:hAnsi="Times New Roman" w:eastAsia="宋体" w:cs="Times New Roman"/>
          <w:b/>
          <w:color w:val="auto"/>
          <w:szCs w:val="24"/>
          <w:highlight w:val="none"/>
        </w:rPr>
        <w:t>-</w:t>
      </w:r>
      <w:r>
        <w:rPr>
          <w:rFonts w:hint="eastAsia" w:ascii="Times New Roman" w:hAnsi="Times New Roman" w:cs="Times New Roman"/>
          <w:b/>
          <w:color w:val="auto"/>
          <w:szCs w:val="24"/>
          <w:highlight w:val="none"/>
          <w:lang w:val="en-US" w:eastAsia="zh-CN"/>
        </w:rPr>
        <w:t>1</w:t>
      </w:r>
      <w:r>
        <w:rPr>
          <w:rFonts w:hint="default" w:ascii="Times New Roman" w:hAnsi="Times New Roman" w:eastAsia="宋体" w:cs="Times New Roman"/>
          <w:b/>
          <w:color w:val="auto"/>
          <w:szCs w:val="24"/>
          <w:highlight w:val="none"/>
        </w:rPr>
        <w:t xml:space="preserve"> </w:t>
      </w:r>
      <w:r>
        <w:rPr>
          <w:rFonts w:hint="default" w:cs="Times New Roman"/>
          <w:b/>
          <w:color w:val="auto"/>
          <w:szCs w:val="24"/>
          <w:highlight w:val="none"/>
          <w:lang w:val="en-US" w:eastAsia="zh-CN"/>
        </w:rPr>
        <w:t>水土流失防治措施体系汇总表</w:t>
      </w:r>
    </w:p>
    <w:tbl>
      <w:tblPr>
        <w:tblStyle w:val="22"/>
        <w:tblW w:w="5000" w:type="pct"/>
        <w:tblInd w:w="9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942"/>
        <w:gridCol w:w="2437"/>
        <w:gridCol w:w="413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防治分区</w:t>
            </w:r>
          </w:p>
        </w:tc>
        <w:tc>
          <w:tcPr>
            <w:tcW w:w="24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措施分类</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水土保持措施或建议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建筑物区</w:t>
            </w: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工程措施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排水沟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截水沟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临时沉砂池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临时拦挡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临时苫盖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广场园路及配套设施区</w:t>
            </w: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工程措施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排水管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堤坝绿道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临时沉砂池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临时拦挡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临时苫盖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洗车槽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绿化工程区</w:t>
            </w:r>
          </w:p>
        </w:tc>
        <w:tc>
          <w:tcPr>
            <w:tcW w:w="24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工程措施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表土剥离、回填</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植物措施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乔木、灌木、草皮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临时沉砂池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临时拦挡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临时苫盖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取土场区</w:t>
            </w: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工程措施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土地整治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表土剥离、回填</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植物措施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播撒草籽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临时截排水沟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临时沉砂池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临时拦挡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临时苫盖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弃土场区</w:t>
            </w: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工程措施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土地整治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表土剥离、回填</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植物措施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播撒草籽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临时截排水沟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临时沉砂池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临时拦挡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临时苫盖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临时堆土区</w:t>
            </w:r>
          </w:p>
        </w:tc>
        <w:tc>
          <w:tcPr>
            <w:tcW w:w="24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工程措施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土地整治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临时措施</w:t>
            </w: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临时截排水沟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临时沉砂池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临时拦挡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exact"/>
        </w:trPr>
        <w:tc>
          <w:tcPr>
            <w:tcW w:w="1942"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1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临时苫盖</w:t>
            </w:r>
          </w:p>
        </w:tc>
      </w:tr>
      <w:bookmarkEnd w:id="225"/>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6.1.</w:t>
      </w:r>
      <w:r>
        <w:rPr>
          <w:rFonts w:hint="eastAsia" w:cs="Times New Roman"/>
          <w:b/>
          <w:bCs/>
          <w:color w:val="auto"/>
          <w:kern w:val="0"/>
          <w:sz w:val="28"/>
          <w:szCs w:val="28"/>
          <w:highlight w:val="none"/>
          <w:lang w:val="en-US" w:eastAsia="zh-CN"/>
        </w:rPr>
        <w:t>7</w:t>
      </w:r>
      <w:r>
        <w:rPr>
          <w:rFonts w:hint="default" w:cs="Times New Roman"/>
          <w:b/>
          <w:bCs/>
          <w:color w:val="auto"/>
          <w:kern w:val="0"/>
          <w:sz w:val="28"/>
          <w:szCs w:val="28"/>
          <w:highlight w:val="none"/>
          <w:lang w:val="en-US" w:eastAsia="zh-CN"/>
        </w:rPr>
        <w:t>施工期饮用水</w:t>
      </w:r>
      <w:r>
        <w:rPr>
          <w:rFonts w:hint="eastAsia" w:cs="Times New Roman"/>
          <w:b/>
          <w:bCs/>
          <w:color w:val="auto"/>
          <w:kern w:val="0"/>
          <w:sz w:val="28"/>
          <w:szCs w:val="28"/>
          <w:highlight w:val="none"/>
          <w:lang w:val="en-US" w:eastAsia="zh-CN"/>
        </w:rPr>
        <w:t>水</w:t>
      </w:r>
      <w:r>
        <w:rPr>
          <w:rFonts w:hint="default" w:cs="Times New Roman"/>
          <w:b/>
          <w:bCs/>
          <w:color w:val="auto"/>
          <w:kern w:val="0"/>
          <w:sz w:val="28"/>
          <w:szCs w:val="28"/>
          <w:highlight w:val="none"/>
          <w:lang w:val="en-US" w:eastAsia="zh-CN"/>
        </w:rPr>
        <w:t>源保护区</w:t>
      </w:r>
      <w:r>
        <w:rPr>
          <w:rFonts w:hint="eastAsia" w:cs="Times New Roman"/>
          <w:b/>
          <w:bCs/>
          <w:color w:val="auto"/>
          <w:kern w:val="0"/>
          <w:sz w:val="28"/>
          <w:szCs w:val="28"/>
          <w:highlight w:val="none"/>
          <w:lang w:val="en-US" w:eastAsia="zh-CN"/>
        </w:rPr>
        <w:t>减缓</w:t>
      </w:r>
      <w:r>
        <w:rPr>
          <w:rFonts w:hint="default" w:cs="Times New Roman"/>
          <w:b/>
          <w:bCs/>
          <w:color w:val="auto"/>
          <w:kern w:val="0"/>
          <w:sz w:val="28"/>
          <w:szCs w:val="28"/>
          <w:highlight w:val="none"/>
          <w:lang w:val="en-US" w:eastAsia="zh-CN"/>
        </w:rPr>
        <w:t>措施</w:t>
      </w:r>
      <w:bookmarkEnd w:id="226"/>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cs="Times New Roman"/>
          <w:color w:val="auto"/>
          <w:kern w:val="0"/>
          <w:sz w:val="24"/>
          <w:szCs w:val="24"/>
          <w:highlight w:val="none"/>
          <w:lang w:val="en-US" w:eastAsia="zh-CN" w:bidi="ar"/>
        </w:rPr>
        <w:t>本工程范围涉及1个饮用水水源保护区，为城南水厂饮用水水源保护区，工程范围上游、下游各分布有1处饮用水源保护区，分别为江东水厂饮用水水源保护区</w:t>
      </w:r>
      <w:r>
        <w:rPr>
          <w:rFonts w:hint="eastAsia" w:cs="Times New Roman"/>
          <w:color w:val="auto"/>
          <w:kern w:val="0"/>
          <w:sz w:val="24"/>
          <w:szCs w:val="24"/>
          <w:highlight w:val="none"/>
          <w:lang w:val="en-US" w:eastAsia="zh-CN" w:bidi="ar"/>
        </w:rPr>
        <w:t>、城北水厂</w:t>
      </w:r>
      <w:r>
        <w:rPr>
          <w:rFonts w:hint="eastAsia" w:ascii="Times New Roman" w:hAnsi="Times New Roman" w:cs="Times New Roman"/>
          <w:color w:val="auto"/>
          <w:kern w:val="0"/>
          <w:sz w:val="24"/>
          <w:szCs w:val="24"/>
          <w:highlight w:val="none"/>
          <w:lang w:val="en-US" w:eastAsia="zh-CN" w:bidi="ar"/>
        </w:rPr>
        <w:t>饮用水水源保护区。针对</w:t>
      </w:r>
      <w:r>
        <w:rPr>
          <w:rFonts w:hint="default" w:ascii="Times New Roman" w:hAnsi="Times New Roman" w:eastAsia="宋体" w:cs="Times New Roman"/>
          <w:color w:val="auto"/>
          <w:kern w:val="0"/>
          <w:sz w:val="24"/>
          <w:szCs w:val="24"/>
          <w:highlight w:val="none"/>
          <w:lang w:val="en-US" w:eastAsia="zh-CN" w:bidi="ar"/>
        </w:rPr>
        <w:t>饮用水</w:t>
      </w:r>
      <w:r>
        <w:rPr>
          <w:rFonts w:hint="eastAsia" w:ascii="Times New Roman" w:hAnsi="Times New Roman" w:cs="Times New Roman"/>
          <w:color w:val="auto"/>
          <w:kern w:val="0"/>
          <w:sz w:val="24"/>
          <w:szCs w:val="24"/>
          <w:highlight w:val="none"/>
          <w:lang w:val="en-US" w:eastAsia="zh-CN" w:bidi="ar"/>
        </w:rPr>
        <w:t>水</w:t>
      </w:r>
      <w:r>
        <w:rPr>
          <w:rFonts w:hint="default" w:ascii="Times New Roman" w:hAnsi="Times New Roman" w:eastAsia="宋体" w:cs="Times New Roman"/>
          <w:color w:val="auto"/>
          <w:kern w:val="0"/>
          <w:sz w:val="24"/>
          <w:szCs w:val="24"/>
          <w:highlight w:val="none"/>
          <w:lang w:val="en-US" w:eastAsia="zh-CN" w:bidi="ar"/>
        </w:rPr>
        <w:t>源保护区，在施工期</w:t>
      </w:r>
      <w:r>
        <w:rPr>
          <w:rFonts w:hint="eastAsia" w:ascii="Times New Roman" w:hAnsi="Times New Roman" w:cs="Times New Roman"/>
          <w:color w:val="auto"/>
          <w:kern w:val="0"/>
          <w:sz w:val="24"/>
          <w:szCs w:val="24"/>
          <w:highlight w:val="none"/>
          <w:lang w:val="en-US" w:eastAsia="zh-CN" w:bidi="ar"/>
        </w:rPr>
        <w:t>提出以下保护</w:t>
      </w:r>
      <w:r>
        <w:rPr>
          <w:rFonts w:hint="default" w:ascii="Times New Roman" w:hAnsi="Times New Roman" w:eastAsia="宋体" w:cs="Times New Roman"/>
          <w:color w:val="auto"/>
          <w:kern w:val="0"/>
          <w:sz w:val="24"/>
          <w:szCs w:val="24"/>
          <w:highlight w:val="none"/>
          <w:lang w:val="en-US" w:eastAsia="zh-CN" w:bidi="ar"/>
        </w:rPr>
        <w:t>措施。</w:t>
      </w:r>
      <w:bookmarkStart w:id="227" w:name="_Toc12820"/>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1、合理安排施工时间</w:t>
      </w:r>
      <w:bookmarkEnd w:id="227"/>
      <w:r>
        <w:rPr>
          <w:rFonts w:hint="eastAsia" w:ascii="Times New Roman" w:hAnsi="Times New Roman" w:cs="Times New Roman"/>
          <w:color w:val="auto"/>
          <w:kern w:val="0"/>
          <w:sz w:val="24"/>
          <w:szCs w:val="24"/>
          <w:highlight w:val="none"/>
          <w:lang w:val="en-US" w:eastAsia="zh-CN" w:bidi="ar"/>
        </w:rPr>
        <w:t>，选择在</w:t>
      </w:r>
      <w:r>
        <w:rPr>
          <w:rFonts w:hint="default" w:ascii="Times New Roman" w:hAnsi="Times New Roman" w:eastAsia="宋体" w:cs="Times New Roman"/>
          <w:color w:val="auto"/>
          <w:kern w:val="0"/>
          <w:sz w:val="24"/>
          <w:szCs w:val="24"/>
          <w:highlight w:val="none"/>
          <w:lang w:val="en-US" w:eastAsia="zh-CN" w:bidi="ar"/>
        </w:rPr>
        <w:t>枯水期进行</w:t>
      </w:r>
      <w:r>
        <w:rPr>
          <w:rFonts w:hint="eastAsia" w:ascii="Times New Roman" w:hAnsi="Times New Roman" w:cs="Times New Roman"/>
          <w:color w:val="auto"/>
          <w:kern w:val="0"/>
          <w:sz w:val="24"/>
          <w:szCs w:val="24"/>
          <w:highlight w:val="none"/>
          <w:lang w:val="en-US" w:eastAsia="zh-CN" w:bidi="ar"/>
        </w:rPr>
        <w:t>施工</w:t>
      </w:r>
      <w:r>
        <w:rPr>
          <w:rFonts w:hint="default" w:ascii="Times New Roman" w:hAnsi="Times New Roman" w:eastAsia="宋体" w:cs="Times New Roman"/>
          <w:color w:val="auto"/>
          <w:kern w:val="0"/>
          <w:sz w:val="24"/>
          <w:szCs w:val="24"/>
          <w:highlight w:val="none"/>
          <w:lang w:val="en-US" w:eastAsia="zh-CN" w:bidi="ar"/>
        </w:rPr>
        <w:t>，</w:t>
      </w:r>
      <w:r>
        <w:rPr>
          <w:rFonts w:hint="eastAsia" w:ascii="Times New Roman" w:hAnsi="Times New Roman" w:cs="Times New Roman"/>
          <w:color w:val="auto"/>
          <w:kern w:val="0"/>
          <w:sz w:val="24"/>
          <w:szCs w:val="24"/>
          <w:highlight w:val="none"/>
          <w:lang w:val="en-US" w:eastAsia="zh-CN" w:bidi="ar"/>
        </w:rPr>
        <w:t>尽可能减少抛石护岸、岸坡整治对水环境的影响，进一步降低对饮用水水源保护区的影响。</w:t>
      </w:r>
      <w:r>
        <w:rPr>
          <w:rFonts w:hint="default" w:ascii="Times New Roman" w:hAnsi="Times New Roman" w:eastAsia="宋体" w:cs="Times New Roman"/>
          <w:color w:val="auto"/>
          <w:kern w:val="0"/>
          <w:sz w:val="24"/>
          <w:szCs w:val="24"/>
          <w:highlight w:val="none"/>
          <w:lang w:val="en-US" w:eastAsia="zh-CN" w:bidi="ar"/>
        </w:rPr>
        <w:t>遇到大风、雨季应暂停施工，并对裸露地表和物料堆场做好防雨措施和排水措施，采取加盖防雨布，修建临时导流截水沟、沉砂池和排水沟。</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bookmarkStart w:id="228" w:name="_Toc10942"/>
      <w:r>
        <w:rPr>
          <w:rFonts w:hint="default" w:ascii="Times New Roman" w:hAnsi="Times New Roman" w:eastAsia="宋体" w:cs="Times New Roman"/>
          <w:color w:val="auto"/>
          <w:kern w:val="0"/>
          <w:sz w:val="24"/>
          <w:szCs w:val="24"/>
          <w:highlight w:val="none"/>
          <w:lang w:val="en-US" w:eastAsia="zh-CN" w:bidi="ar"/>
        </w:rPr>
        <w:t>2、</w:t>
      </w:r>
      <w:bookmarkEnd w:id="228"/>
      <w:r>
        <w:rPr>
          <w:rFonts w:hint="eastAsia" w:ascii="Times New Roman" w:hAnsi="Times New Roman" w:cs="Times New Roman"/>
          <w:color w:val="auto"/>
          <w:kern w:val="0"/>
          <w:sz w:val="24"/>
          <w:szCs w:val="24"/>
          <w:highlight w:val="none"/>
          <w:lang w:val="en-US" w:eastAsia="zh-CN" w:bidi="ar"/>
        </w:rPr>
        <w:t>进一步优化施工布置和方案，</w:t>
      </w:r>
      <w:r>
        <w:rPr>
          <w:rFonts w:hint="default" w:ascii="Times New Roman" w:hAnsi="Times New Roman" w:eastAsia="宋体" w:cs="Times New Roman"/>
          <w:color w:val="auto"/>
          <w:kern w:val="0"/>
          <w:sz w:val="24"/>
          <w:szCs w:val="24"/>
          <w:highlight w:val="none"/>
          <w:lang w:val="en-US" w:eastAsia="zh-CN" w:bidi="ar"/>
        </w:rPr>
        <w:t>合理布置施工场地</w:t>
      </w:r>
      <w:r>
        <w:rPr>
          <w:rFonts w:hint="eastAsia" w:ascii="Times New Roman" w:hAnsi="Times New Roman" w:cs="Times New Roman"/>
          <w:color w:val="auto"/>
          <w:kern w:val="0"/>
          <w:sz w:val="24"/>
          <w:szCs w:val="24"/>
          <w:highlight w:val="none"/>
          <w:lang w:val="en-US" w:eastAsia="zh-CN" w:bidi="ar"/>
        </w:rPr>
        <w:t>，尽量避免占用饮用水水源保护区，尽量减少在饮用水水源保护区内的作业时间。加强施工活动的管理，施工单位必须按照设计和施工规范涉水施工，严禁违规作业。优化施工工艺和施工时序安排，通过降低一次性施工强度，选择非取水时段或者用水低峰时段施工等，将涉水施工对水体的扰动降低到最低程度。</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bookmarkStart w:id="229" w:name="_Toc9906"/>
      <w:r>
        <w:rPr>
          <w:rFonts w:hint="default" w:ascii="Times New Roman" w:hAnsi="Times New Roman" w:eastAsia="宋体" w:cs="Times New Roman"/>
          <w:color w:val="auto"/>
          <w:kern w:val="0"/>
          <w:sz w:val="24"/>
          <w:szCs w:val="24"/>
          <w:highlight w:val="none"/>
          <w:lang w:val="en-US" w:eastAsia="zh-CN" w:bidi="ar"/>
        </w:rPr>
        <w:t>3、</w:t>
      </w:r>
      <w:bookmarkEnd w:id="229"/>
      <w:r>
        <w:rPr>
          <w:rFonts w:hint="eastAsia" w:ascii="Times New Roman" w:hAnsi="Times New Roman" w:cs="Times New Roman"/>
          <w:color w:val="auto"/>
          <w:kern w:val="0"/>
          <w:sz w:val="24"/>
          <w:szCs w:val="24"/>
          <w:highlight w:val="none"/>
          <w:lang w:val="en-US" w:eastAsia="zh-CN" w:bidi="ar"/>
        </w:rPr>
        <w:t>禁止在水源保护区内设置取土场、弃土场和施工营地等临时用地，禁止在水源保护区内设置污水处理设施，禁止在饮用水水源保护区内排放污水或倾倒生活垃圾。</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bookmarkStart w:id="230" w:name="_Toc32750"/>
      <w:r>
        <w:rPr>
          <w:rFonts w:hint="default" w:ascii="Times New Roman" w:hAnsi="Times New Roman" w:eastAsia="宋体" w:cs="Times New Roman"/>
          <w:color w:val="auto"/>
          <w:kern w:val="0"/>
          <w:sz w:val="24"/>
          <w:szCs w:val="24"/>
          <w:highlight w:val="none"/>
          <w:lang w:val="en-US" w:eastAsia="zh-CN" w:bidi="ar"/>
        </w:rPr>
        <w:t>4、</w:t>
      </w:r>
      <w:bookmarkEnd w:id="230"/>
      <w:r>
        <w:rPr>
          <w:rFonts w:hint="eastAsia" w:ascii="Times New Roman" w:hAnsi="Times New Roman" w:cs="Times New Roman"/>
          <w:color w:val="auto"/>
          <w:kern w:val="0"/>
          <w:sz w:val="24"/>
          <w:szCs w:val="24"/>
          <w:highlight w:val="none"/>
          <w:lang w:val="en-US" w:eastAsia="zh-CN" w:bidi="ar"/>
        </w:rPr>
        <w:t>加强取水口水质监测，做好与工程沿线水厂的沟通协调工作，提高水厂反应能力，确保饮用水安全。</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bookmarkStart w:id="231" w:name="_Toc20515"/>
      <w:r>
        <w:rPr>
          <w:rFonts w:hint="default" w:ascii="Times New Roman" w:hAnsi="Times New Roman" w:eastAsia="宋体" w:cs="Times New Roman"/>
          <w:color w:val="auto"/>
          <w:kern w:val="0"/>
          <w:sz w:val="24"/>
          <w:szCs w:val="24"/>
          <w:highlight w:val="none"/>
          <w:lang w:val="en-US" w:eastAsia="zh-CN" w:bidi="ar"/>
        </w:rPr>
        <w:t>5、重视施工培训</w:t>
      </w:r>
      <w:bookmarkEnd w:id="231"/>
      <w:r>
        <w:rPr>
          <w:rFonts w:hint="eastAsia"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对施工人员进行培训，保证施工人员按照正确操作进行，避免造成不良影响，严禁出现施工废水乱排，施工物料乱放的现象。</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在采取以上措施的情况下，本项目施工期对饮用水水水源的环境影响在可接受范</w:t>
      </w:r>
      <w:r>
        <w:rPr>
          <w:rFonts w:hint="eastAsia" w:ascii="Times New Roman" w:hAnsi="Times New Roman" w:cs="Times New Roman"/>
          <w:color w:val="auto"/>
          <w:kern w:val="0"/>
          <w:sz w:val="24"/>
          <w:szCs w:val="24"/>
          <w:highlight w:val="none"/>
          <w:lang w:val="en-US" w:eastAsia="zh-CN" w:bidi="ar"/>
        </w:rPr>
        <w:t>。</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32" w:name="_Toc4240"/>
      <w:bookmarkStart w:id="233" w:name="_Toc22037"/>
      <w:r>
        <w:rPr>
          <w:rFonts w:hint="default" w:cs="Times New Roman"/>
          <w:b/>
          <w:bCs/>
          <w:color w:val="auto"/>
          <w:kern w:val="0"/>
          <w:sz w:val="30"/>
          <w:szCs w:val="30"/>
          <w:highlight w:val="none"/>
          <w:lang w:val="en-US" w:eastAsia="zh-CN"/>
        </w:rPr>
        <w:t>运营期</w:t>
      </w:r>
      <w:bookmarkEnd w:id="232"/>
      <w:r>
        <w:rPr>
          <w:rFonts w:hint="default" w:cs="Times New Roman"/>
          <w:b/>
          <w:bCs/>
          <w:color w:val="auto"/>
          <w:kern w:val="0"/>
          <w:sz w:val="30"/>
          <w:szCs w:val="30"/>
          <w:highlight w:val="none"/>
          <w:lang w:val="en-US" w:eastAsia="zh-CN"/>
        </w:rPr>
        <w:t>环境保护措施及其可行性分析</w:t>
      </w:r>
      <w:bookmarkEnd w:id="233"/>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234" w:name="_Toc23823"/>
      <w:r>
        <w:rPr>
          <w:rFonts w:hint="default" w:cs="Times New Roman"/>
          <w:b/>
          <w:bCs/>
          <w:color w:val="auto"/>
          <w:kern w:val="0"/>
          <w:sz w:val="28"/>
          <w:szCs w:val="28"/>
          <w:highlight w:val="none"/>
          <w:lang w:val="en-US" w:eastAsia="zh-CN"/>
        </w:rPr>
        <w:t>6.2.1运营期地表水环境保护措施及其可行性分析</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本项目运营期废水主要为游客和管理人员生活污水，一部分</w:t>
      </w:r>
      <w:r>
        <w:rPr>
          <w:rFonts w:hint="eastAsia" w:cs="Times New Roman"/>
          <w:color w:val="auto"/>
          <w:kern w:val="0"/>
          <w:sz w:val="24"/>
          <w:szCs w:val="24"/>
          <w:highlight w:val="none"/>
          <w:lang w:val="en-US" w:eastAsia="zh-CN" w:bidi="ar"/>
        </w:rPr>
        <w:t>来自</w:t>
      </w:r>
      <w:r>
        <w:rPr>
          <w:rFonts w:hint="default" w:cs="Times New Roman"/>
          <w:color w:val="auto"/>
          <w:kern w:val="0"/>
          <w:sz w:val="24"/>
          <w:szCs w:val="24"/>
          <w:highlight w:val="none"/>
          <w:lang w:val="en-US" w:eastAsia="zh-CN" w:bidi="ar"/>
        </w:rPr>
        <w:t>湘江东岸游客服务中心及配套商业产生，一部分</w:t>
      </w:r>
      <w:r>
        <w:rPr>
          <w:rFonts w:hint="eastAsia" w:cs="Times New Roman"/>
          <w:color w:val="auto"/>
          <w:kern w:val="0"/>
          <w:sz w:val="24"/>
          <w:szCs w:val="24"/>
          <w:highlight w:val="none"/>
          <w:lang w:val="en-US" w:eastAsia="zh-CN" w:bidi="ar"/>
        </w:rPr>
        <w:t>来自</w:t>
      </w:r>
      <w:r>
        <w:rPr>
          <w:rFonts w:hint="default" w:cs="Times New Roman"/>
          <w:color w:val="auto"/>
          <w:kern w:val="0"/>
          <w:sz w:val="24"/>
          <w:szCs w:val="24"/>
          <w:highlight w:val="none"/>
          <w:lang w:val="en-US" w:eastAsia="zh-CN" w:bidi="ar"/>
        </w:rPr>
        <w:t>东洲岛景区游客产生，项目生活污水总产生量约为106.54t/d（38887.1t/a），污染物主要为</w:t>
      </w:r>
      <w:r>
        <w:rPr>
          <w:rFonts w:hint="default" w:ascii="Times New Roman" w:hAnsi="Times New Roman" w:cs="Times New Roman"/>
          <w:color w:val="auto"/>
          <w:sz w:val="24"/>
          <w:szCs w:val="24"/>
          <w:highlight w:val="none"/>
          <w:lang w:val="en-US" w:eastAsia="zh-CN"/>
        </w:rPr>
        <w:t>COD、BOD</w:t>
      </w:r>
      <w:r>
        <w:rPr>
          <w:rFonts w:hint="default" w:ascii="Times New Roman" w:hAnsi="Times New Roman" w:cs="Times New Roman"/>
          <w:color w:val="auto"/>
          <w:sz w:val="24"/>
          <w:szCs w:val="24"/>
          <w:highlight w:val="none"/>
          <w:vertAlign w:val="subscript"/>
          <w:lang w:val="en-US" w:eastAsia="zh-CN"/>
        </w:rPr>
        <w:t>5</w:t>
      </w:r>
      <w:r>
        <w:rPr>
          <w:rFonts w:hint="default" w:ascii="Times New Roman" w:hAnsi="Times New Roman" w:cs="Times New Roman"/>
          <w:color w:val="auto"/>
          <w:sz w:val="24"/>
          <w:szCs w:val="24"/>
          <w:highlight w:val="none"/>
          <w:lang w:val="en-US" w:eastAsia="zh-CN"/>
        </w:rPr>
        <w:t>、SS、NH</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lang w:val="en-US" w:eastAsia="zh-CN"/>
        </w:rPr>
        <w:t>-N、动植物油</w:t>
      </w:r>
      <w:r>
        <w:rPr>
          <w:rFonts w:hint="default" w:cs="Times New Roman"/>
          <w:color w:val="auto"/>
          <w:kern w:val="0"/>
          <w:sz w:val="24"/>
          <w:szCs w:val="24"/>
          <w:highlight w:val="none"/>
          <w:lang w:val="en-US" w:eastAsia="zh-CN" w:bidi="ar"/>
        </w:rPr>
        <w:t>。</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eastAsia="zh-CN"/>
        </w:rPr>
      </w:pPr>
      <w:r>
        <w:rPr>
          <w:rFonts w:hint="default" w:cs="Times New Roman"/>
          <w:color w:val="auto"/>
          <w:sz w:val="24"/>
          <w:szCs w:val="24"/>
          <w:highlight w:val="none"/>
          <w:lang w:val="en-US" w:eastAsia="zh-CN"/>
        </w:rPr>
        <w:t>项目湘江东岸区域</w:t>
      </w:r>
      <w:r>
        <w:rPr>
          <w:rFonts w:hint="default" w:ascii="Times New Roman" w:hAnsi="Times New Roman" w:cs="Times New Roman"/>
          <w:color w:val="auto"/>
          <w:sz w:val="24"/>
          <w:szCs w:val="24"/>
          <w:highlight w:val="none"/>
        </w:rPr>
        <w:t>生活污水经</w:t>
      </w:r>
      <w:r>
        <w:rPr>
          <w:rFonts w:hint="default" w:ascii="Times New Roman" w:hAnsi="Times New Roman" w:cs="Times New Roman"/>
          <w:color w:val="auto"/>
          <w:sz w:val="24"/>
          <w:szCs w:val="24"/>
          <w:highlight w:val="none"/>
          <w:lang w:val="en-US" w:eastAsia="zh-CN"/>
        </w:rPr>
        <w:t>隔油池+</w:t>
      </w:r>
      <w:r>
        <w:rPr>
          <w:rFonts w:hint="default" w:ascii="Times New Roman" w:hAnsi="Times New Roman" w:cs="Times New Roman"/>
          <w:color w:val="auto"/>
          <w:sz w:val="24"/>
          <w:szCs w:val="24"/>
          <w:highlight w:val="none"/>
        </w:rPr>
        <w:t>化粪池预处理后达到《污水综合排放标准》（GB8978-1996）表中三级标准后</w:t>
      </w:r>
      <w:r>
        <w:rPr>
          <w:rFonts w:hint="default" w:cs="Times New Roman"/>
          <w:color w:val="auto"/>
          <w:sz w:val="24"/>
          <w:szCs w:val="24"/>
          <w:highlight w:val="none"/>
          <w:lang w:val="en-US" w:eastAsia="zh-CN"/>
        </w:rPr>
        <w:t>排入市政管网</w:t>
      </w:r>
      <w:r>
        <w:rPr>
          <w:rFonts w:hint="default" w:ascii="Times New Roman" w:hAnsi="Times New Roman" w:cs="Times New Roman"/>
          <w:color w:val="auto"/>
          <w:sz w:val="24"/>
          <w:szCs w:val="24"/>
          <w:highlight w:val="none"/>
        </w:rPr>
        <w:t>进入</w:t>
      </w:r>
      <w:r>
        <w:rPr>
          <w:rFonts w:hint="default" w:ascii="Times New Roman" w:hAnsi="Times New Roman" w:cs="Times New Roman"/>
          <w:color w:val="auto"/>
          <w:sz w:val="24"/>
          <w:szCs w:val="24"/>
          <w:highlight w:val="none"/>
          <w:lang w:val="en-US" w:eastAsia="zh-CN"/>
        </w:rPr>
        <w:t>江东</w:t>
      </w:r>
      <w:r>
        <w:rPr>
          <w:rFonts w:hint="default" w:ascii="Times New Roman" w:hAnsi="Times New Roman" w:cs="Times New Roman"/>
          <w:color w:val="auto"/>
          <w:sz w:val="24"/>
          <w:szCs w:val="24"/>
          <w:highlight w:val="none"/>
        </w:rPr>
        <w:t>污水处理厂进行深度处理。目前，湘江东路已建路段已建成污水管网，通过与该管网对接，可以确保本项目污水</w:t>
      </w:r>
      <w:r>
        <w:rPr>
          <w:rFonts w:hint="eastAsia" w:cs="Times New Roman"/>
          <w:color w:val="auto"/>
          <w:sz w:val="24"/>
          <w:szCs w:val="24"/>
          <w:highlight w:val="none"/>
          <w:lang w:eastAsia="zh-CN"/>
        </w:rPr>
        <w:t>纳入</w:t>
      </w:r>
      <w:r>
        <w:rPr>
          <w:rFonts w:hint="default" w:ascii="Times New Roman" w:hAnsi="Times New Roman" w:cs="Times New Roman"/>
          <w:color w:val="auto"/>
          <w:sz w:val="24"/>
          <w:szCs w:val="24"/>
          <w:highlight w:val="none"/>
        </w:rPr>
        <w:t>市政污水管网</w:t>
      </w:r>
      <w:r>
        <w:rPr>
          <w:rFonts w:hint="default" w:cs="Times New Roman"/>
          <w:color w:val="auto"/>
          <w:sz w:val="24"/>
          <w:szCs w:val="24"/>
          <w:highlight w:val="none"/>
          <w:lang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东洲岛上生活污水依托东洲岛现有已建污水处理设施（地下式污水处理站+无动力地埋分散式厌氧净化处理系统）处理后达到《污水综合排放标准》（GB8978-1996）一级标准要求，回用于岛上绿化不外排。由于本项目对湘江东岸及东洲岛</w:t>
      </w:r>
      <w:r>
        <w:rPr>
          <w:rFonts w:hint="default" w:ascii="Times New Roman" w:hAnsi="Times New Roman" w:eastAsia="宋体" w:cs="Times New Roman"/>
          <w:color w:val="auto"/>
          <w:kern w:val="0"/>
          <w:sz w:val="24"/>
          <w:szCs w:val="24"/>
          <w:highlight w:val="none"/>
          <w:lang w:val="en-US" w:eastAsia="zh-CN" w:bidi="ar"/>
        </w:rPr>
        <w:t>景观的提质及配套设施的完善，东洲岛游客量将不断增加，本项目预测按东洲岛</w:t>
      </w:r>
      <w:r>
        <w:rPr>
          <w:rFonts w:hint="eastAsia" w:cs="Times New Roman"/>
          <w:color w:val="auto"/>
          <w:kern w:val="0"/>
          <w:sz w:val="24"/>
          <w:szCs w:val="24"/>
          <w:highlight w:val="none"/>
          <w:lang w:val="en-US" w:eastAsia="zh-CN" w:bidi="ar"/>
        </w:rPr>
        <w:t>日最大人</w:t>
      </w:r>
      <w:r>
        <w:rPr>
          <w:rFonts w:hint="default" w:ascii="Times New Roman" w:hAnsi="Times New Roman" w:eastAsia="宋体" w:cs="Times New Roman"/>
          <w:color w:val="auto"/>
          <w:kern w:val="0"/>
          <w:sz w:val="24"/>
          <w:szCs w:val="24"/>
          <w:highlight w:val="none"/>
          <w:lang w:val="en-US" w:eastAsia="zh-CN" w:bidi="ar"/>
        </w:rPr>
        <w:t>流量</w:t>
      </w:r>
      <w:r>
        <w:rPr>
          <w:rFonts w:hint="eastAsia" w:cs="Times New Roman"/>
          <w:color w:val="auto"/>
          <w:kern w:val="0"/>
          <w:sz w:val="24"/>
          <w:szCs w:val="24"/>
          <w:highlight w:val="none"/>
          <w:lang w:val="en-US" w:eastAsia="zh-CN" w:bidi="ar"/>
        </w:rPr>
        <w:t>为5万</w:t>
      </w:r>
      <w:r>
        <w:rPr>
          <w:rFonts w:hint="default" w:ascii="Times New Roman" w:hAnsi="Times New Roman" w:eastAsia="宋体" w:cs="Times New Roman"/>
          <w:color w:val="auto"/>
          <w:kern w:val="0"/>
          <w:sz w:val="24"/>
          <w:szCs w:val="24"/>
          <w:highlight w:val="none"/>
          <w:lang w:val="en-US" w:eastAsia="zh-CN" w:bidi="ar"/>
        </w:rPr>
        <w:t>人，</w:t>
      </w:r>
      <w:r>
        <w:rPr>
          <w:rFonts w:hint="eastAsia" w:cs="Times New Roman"/>
          <w:color w:val="auto"/>
          <w:kern w:val="0"/>
          <w:sz w:val="24"/>
          <w:szCs w:val="24"/>
          <w:highlight w:val="none"/>
          <w:lang w:val="en-US" w:eastAsia="zh-CN" w:bidi="ar"/>
        </w:rPr>
        <w:t>在岛上使用厕所的人数按1万</w:t>
      </w:r>
      <w:r>
        <w:rPr>
          <w:rFonts w:hint="default" w:ascii="Times New Roman" w:hAnsi="Times New Roman" w:eastAsia="宋体" w:cs="Times New Roman"/>
          <w:color w:val="auto"/>
          <w:kern w:val="0"/>
          <w:sz w:val="24"/>
          <w:szCs w:val="24"/>
          <w:highlight w:val="none"/>
          <w:lang w:val="en-US" w:eastAsia="zh-CN" w:bidi="ar"/>
        </w:rPr>
        <w:t>人</w:t>
      </w:r>
      <w:r>
        <w:rPr>
          <w:rFonts w:hint="eastAsia" w:cs="Times New Roman"/>
          <w:color w:val="auto"/>
          <w:kern w:val="0"/>
          <w:sz w:val="24"/>
          <w:szCs w:val="24"/>
          <w:highlight w:val="none"/>
          <w:lang w:val="en-US" w:eastAsia="zh-CN" w:bidi="ar"/>
        </w:rPr>
        <w:t>次计算，厕所排水</w:t>
      </w:r>
      <w:r>
        <w:rPr>
          <w:rFonts w:hint="default" w:ascii="Times New Roman" w:hAnsi="Times New Roman" w:eastAsia="宋体" w:cs="Times New Roman"/>
          <w:color w:val="auto"/>
          <w:kern w:val="0"/>
          <w:sz w:val="24"/>
          <w:szCs w:val="24"/>
          <w:highlight w:val="none"/>
          <w:lang w:val="en-US" w:eastAsia="zh-CN" w:bidi="ar"/>
        </w:rPr>
        <w:t>按</w:t>
      </w:r>
      <w:r>
        <w:rPr>
          <w:rFonts w:hint="eastAsia" w:cs="Times New Roman"/>
          <w:color w:val="auto"/>
          <w:kern w:val="0"/>
          <w:sz w:val="24"/>
          <w:szCs w:val="24"/>
          <w:highlight w:val="none"/>
          <w:lang w:val="en-US" w:eastAsia="zh-CN" w:bidi="ar"/>
        </w:rPr>
        <w:t>8</w:t>
      </w:r>
      <w:r>
        <w:rPr>
          <w:rFonts w:hint="default" w:ascii="Times New Roman" w:hAnsi="Times New Roman" w:eastAsia="宋体" w:cs="Times New Roman"/>
          <w:color w:val="auto"/>
          <w:kern w:val="0"/>
          <w:sz w:val="24"/>
          <w:szCs w:val="24"/>
          <w:highlight w:val="none"/>
          <w:lang w:val="en-US" w:eastAsia="zh-CN" w:bidi="ar"/>
        </w:rPr>
        <w:t>L/人</w:t>
      </w:r>
      <w:r>
        <w:rPr>
          <w:rFonts w:hint="eastAsia" w:cs="Times New Roman"/>
          <w:color w:val="auto"/>
          <w:kern w:val="0"/>
          <w:sz w:val="24"/>
          <w:szCs w:val="24"/>
          <w:highlight w:val="none"/>
          <w:lang w:val="en-US" w:eastAsia="zh-CN" w:bidi="ar"/>
        </w:rPr>
        <w:t>计算</w:t>
      </w:r>
      <w:r>
        <w:rPr>
          <w:rFonts w:hint="default" w:ascii="Times New Roman" w:hAnsi="Times New Roman" w:eastAsia="宋体" w:cs="Times New Roman"/>
          <w:color w:val="auto"/>
          <w:kern w:val="0"/>
          <w:sz w:val="24"/>
          <w:szCs w:val="24"/>
          <w:highlight w:val="none"/>
          <w:lang w:val="en-US" w:eastAsia="zh-CN" w:bidi="ar"/>
        </w:rPr>
        <w:t>，则</w:t>
      </w:r>
      <w:r>
        <w:rPr>
          <w:rFonts w:hint="eastAsia" w:cs="Times New Roman"/>
          <w:color w:val="auto"/>
          <w:kern w:val="0"/>
          <w:sz w:val="24"/>
          <w:szCs w:val="24"/>
          <w:highlight w:val="none"/>
          <w:lang w:val="en-US" w:eastAsia="zh-CN" w:bidi="ar"/>
        </w:rPr>
        <w:t>最大日</w:t>
      </w:r>
      <w:r>
        <w:rPr>
          <w:rFonts w:hint="default" w:ascii="Times New Roman" w:hAnsi="Times New Roman" w:eastAsia="宋体" w:cs="Times New Roman"/>
          <w:color w:val="auto"/>
          <w:kern w:val="0"/>
          <w:sz w:val="24"/>
          <w:szCs w:val="24"/>
          <w:highlight w:val="none"/>
          <w:lang w:val="en-US" w:eastAsia="zh-CN" w:bidi="ar"/>
        </w:rPr>
        <w:t>污水</w:t>
      </w:r>
      <w:r>
        <w:rPr>
          <w:rFonts w:hint="eastAsia" w:cs="Times New Roman"/>
          <w:color w:val="auto"/>
          <w:kern w:val="0"/>
          <w:sz w:val="24"/>
          <w:szCs w:val="24"/>
          <w:highlight w:val="none"/>
          <w:lang w:val="en-US" w:eastAsia="zh-CN" w:bidi="ar"/>
        </w:rPr>
        <w:t>排放</w:t>
      </w:r>
      <w:r>
        <w:rPr>
          <w:rFonts w:hint="default" w:ascii="Times New Roman" w:hAnsi="Times New Roman" w:eastAsia="宋体" w:cs="Times New Roman"/>
          <w:color w:val="auto"/>
          <w:kern w:val="0"/>
          <w:sz w:val="24"/>
          <w:szCs w:val="24"/>
          <w:highlight w:val="none"/>
          <w:lang w:val="en-US" w:eastAsia="zh-CN" w:bidi="ar"/>
        </w:rPr>
        <w:t>量为</w:t>
      </w:r>
      <w:r>
        <w:rPr>
          <w:rFonts w:hint="eastAsia" w:cs="Times New Roman"/>
          <w:color w:val="auto"/>
          <w:kern w:val="0"/>
          <w:sz w:val="24"/>
          <w:szCs w:val="24"/>
          <w:highlight w:val="none"/>
          <w:lang w:val="en-US" w:eastAsia="zh-CN" w:bidi="ar"/>
        </w:rPr>
        <w:t>80</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/d，东洲岛上现有已建污水处理设施为MBR一体化污水处理设备，处理规模为200m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/d，现有污水处理设施能够满足污水处理需求。</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东洲岛上生活污水零排放可行性分析：东洲岛</w:t>
      </w:r>
      <w:r>
        <w:rPr>
          <w:rFonts w:hint="eastAsia" w:cs="Times New Roman"/>
          <w:color w:val="auto"/>
          <w:kern w:val="0"/>
          <w:sz w:val="24"/>
          <w:szCs w:val="24"/>
          <w:highlight w:val="none"/>
          <w:lang w:val="en-US" w:eastAsia="zh-CN" w:bidi="ar"/>
        </w:rPr>
        <w:t>生活污水经处理后中水全部回用于岛上绿化，东洲岛</w:t>
      </w:r>
      <w:r>
        <w:rPr>
          <w:rFonts w:hint="default" w:cs="Times New Roman"/>
          <w:color w:val="auto"/>
          <w:kern w:val="0"/>
          <w:sz w:val="24"/>
          <w:szCs w:val="24"/>
          <w:highlight w:val="none"/>
          <w:lang w:val="en-US" w:eastAsia="zh-CN" w:bidi="ar"/>
        </w:rPr>
        <w:t>总面积约164.5公顷，其中绿地面积约为123.4公顷（合1234000</w:t>
      </w:r>
      <w:r>
        <w:rPr>
          <w:rFonts w:hint="default" w:ascii="Times New Roman" w:hAnsi="Times New Roman" w:cs="Times New Roman"/>
          <w:b w:val="0"/>
          <w:bCs w:val="0"/>
          <w:color w:val="auto"/>
          <w:szCs w:val="21"/>
          <w:highlight w:val="none"/>
          <w:u w:val="none"/>
        </w:rPr>
        <w:t>m</w:t>
      </w:r>
      <w:r>
        <w:rPr>
          <w:rFonts w:hint="default" w:ascii="Times New Roman" w:hAnsi="Times New Roman" w:cs="Times New Roman"/>
          <w:b w:val="0"/>
          <w:bCs w:val="0"/>
          <w:color w:val="auto"/>
          <w:szCs w:val="21"/>
          <w:highlight w:val="none"/>
          <w:u w:val="none"/>
          <w:vertAlign w:val="superscript"/>
        </w:rPr>
        <w:t>2</w:t>
      </w:r>
      <w:r>
        <w:rPr>
          <w:rFonts w:hint="default" w:cs="Times New Roman"/>
          <w:color w:val="auto"/>
          <w:kern w:val="0"/>
          <w:sz w:val="24"/>
          <w:szCs w:val="24"/>
          <w:highlight w:val="none"/>
          <w:lang w:val="en-US" w:eastAsia="zh-CN" w:bidi="ar"/>
        </w:rPr>
        <w:t>米），绿化用水按</w:t>
      </w:r>
      <w:r>
        <w:rPr>
          <w:rFonts w:hint="default" w:ascii="Times New Roman" w:hAnsi="Times New Roman" w:cs="Times New Roman"/>
          <w:b w:val="0"/>
          <w:bCs w:val="0"/>
          <w:color w:val="auto"/>
          <w:sz w:val="24"/>
          <w:szCs w:val="24"/>
          <w:highlight w:val="none"/>
          <w:u w:val="none"/>
        </w:rPr>
        <w:t>2L/m</w:t>
      </w:r>
      <w:r>
        <w:rPr>
          <w:rFonts w:hint="default" w:ascii="Times New Roman" w:hAnsi="Times New Roman" w:cs="Times New Roman"/>
          <w:b w:val="0"/>
          <w:bCs w:val="0"/>
          <w:color w:val="auto"/>
          <w:sz w:val="24"/>
          <w:szCs w:val="24"/>
          <w:highlight w:val="none"/>
          <w:u w:val="none"/>
          <w:vertAlign w:val="superscript"/>
        </w:rPr>
        <w:t>2</w:t>
      </w:r>
      <w:r>
        <w:rPr>
          <w:rFonts w:hint="default" w:ascii="Times New Roman" w:hAnsi="Times New Roman" w:cs="Times New Roman"/>
          <w:b w:val="0"/>
          <w:bCs w:val="0"/>
          <w:color w:val="auto"/>
          <w:sz w:val="24"/>
          <w:szCs w:val="24"/>
          <w:highlight w:val="none"/>
          <w:u w:val="none"/>
        </w:rPr>
        <w:t>·d</w:t>
      </w:r>
      <w:r>
        <w:rPr>
          <w:rFonts w:hint="default" w:cs="Times New Roman"/>
          <w:b w:val="0"/>
          <w:bCs w:val="0"/>
          <w:color w:val="auto"/>
          <w:sz w:val="24"/>
          <w:szCs w:val="24"/>
          <w:highlight w:val="none"/>
          <w:u w:val="none"/>
          <w:lang w:val="en-US" w:eastAsia="zh-CN"/>
        </w:rPr>
        <w:t>计算，则岛上绿化用水约为2468</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/d，完全可以消纳岛上产生的生活污水。雨季</w:t>
      </w:r>
      <w:r>
        <w:rPr>
          <w:rFonts w:hint="eastAsia" w:cs="Times New Roman"/>
          <w:color w:val="auto"/>
          <w:kern w:val="0"/>
          <w:sz w:val="24"/>
          <w:szCs w:val="24"/>
          <w:highlight w:val="none"/>
          <w:lang w:val="en-US" w:eastAsia="zh-CN" w:bidi="ar"/>
        </w:rPr>
        <w:t>上岛</w:t>
      </w:r>
      <w:r>
        <w:rPr>
          <w:rFonts w:hint="default" w:ascii="Times New Roman" w:hAnsi="Times New Roman" w:eastAsia="宋体" w:cs="Times New Roman"/>
          <w:color w:val="auto"/>
          <w:kern w:val="0"/>
          <w:sz w:val="24"/>
          <w:szCs w:val="24"/>
          <w:highlight w:val="none"/>
          <w:lang w:val="en-US" w:eastAsia="zh-CN" w:bidi="ar"/>
        </w:rPr>
        <w:t>游客量很少，生活污水</w:t>
      </w:r>
      <w:r>
        <w:rPr>
          <w:rFonts w:hint="eastAsia" w:cs="Times New Roman"/>
          <w:color w:val="auto"/>
          <w:kern w:val="0"/>
          <w:sz w:val="24"/>
          <w:szCs w:val="24"/>
          <w:highlight w:val="none"/>
          <w:lang w:val="en-US" w:eastAsia="zh-CN" w:bidi="ar"/>
        </w:rPr>
        <w:t>经处理后</w:t>
      </w:r>
      <w:r>
        <w:rPr>
          <w:rFonts w:hint="default" w:ascii="Times New Roman" w:hAnsi="Times New Roman" w:eastAsia="宋体" w:cs="Times New Roman"/>
          <w:color w:val="auto"/>
          <w:kern w:val="0"/>
          <w:sz w:val="24"/>
          <w:szCs w:val="24"/>
          <w:highlight w:val="none"/>
          <w:lang w:val="en-US" w:eastAsia="zh-CN" w:bidi="ar"/>
        </w:rPr>
        <w:t>可以</w:t>
      </w:r>
      <w:r>
        <w:rPr>
          <w:rFonts w:hint="eastAsia" w:cs="Times New Roman"/>
          <w:color w:val="auto"/>
          <w:kern w:val="0"/>
          <w:sz w:val="24"/>
          <w:szCs w:val="24"/>
          <w:highlight w:val="none"/>
          <w:lang w:val="en-US" w:eastAsia="zh-CN" w:bidi="ar"/>
        </w:rPr>
        <w:t>收集</w:t>
      </w:r>
      <w:r>
        <w:rPr>
          <w:rFonts w:hint="default" w:ascii="Times New Roman" w:hAnsi="Times New Roman" w:eastAsia="宋体" w:cs="Times New Roman"/>
          <w:color w:val="auto"/>
          <w:kern w:val="0"/>
          <w:sz w:val="24"/>
          <w:szCs w:val="24"/>
          <w:highlight w:val="none"/>
          <w:lang w:val="en-US" w:eastAsia="zh-CN" w:bidi="ar"/>
        </w:rPr>
        <w:t>待天晴的时候用于绿化浇灌。</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6.2.2运营期大气环境保护措施</w:t>
      </w:r>
      <w:bookmarkEnd w:id="234"/>
      <w:r>
        <w:rPr>
          <w:rFonts w:hint="default" w:cs="Times New Roman"/>
          <w:b/>
          <w:bCs/>
          <w:color w:val="auto"/>
          <w:kern w:val="0"/>
          <w:sz w:val="28"/>
          <w:szCs w:val="28"/>
          <w:highlight w:val="none"/>
          <w:lang w:val="en-US" w:eastAsia="zh-CN"/>
        </w:rPr>
        <w:t>及其可行性分析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（1）汽车尾气污染防治措施</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本项目设置有地下车库和地上停车场，运营期废气主要</w:t>
      </w:r>
      <w:r>
        <w:rPr>
          <w:rFonts w:hint="eastAsia" w:cs="Times New Roman"/>
          <w:color w:val="auto"/>
          <w:kern w:val="0"/>
          <w:sz w:val="24"/>
          <w:szCs w:val="24"/>
          <w:highlight w:val="none"/>
          <w:lang w:val="en-US" w:eastAsia="zh-CN" w:bidi="ar"/>
        </w:rPr>
        <w:t>来自</w:t>
      </w:r>
      <w:r>
        <w:rPr>
          <w:rFonts w:hint="default" w:ascii="Times New Roman" w:hAnsi="Times New Roman" w:eastAsia="宋体" w:cs="Times New Roman"/>
          <w:color w:val="auto"/>
          <w:kern w:val="0"/>
          <w:sz w:val="24"/>
          <w:szCs w:val="24"/>
          <w:highlight w:val="none"/>
          <w:lang w:val="en-US" w:eastAsia="zh-CN" w:bidi="ar"/>
        </w:rPr>
        <w:t xml:space="preserve">机动车尾气。国内外的经验表明，对机动车尾气污染物的控制应是一个城市或区域内的系统工程。因此本项目的建设单位及管理单位应在行动和意识上积极支持国家及当地各级部门对机动车尾气污染物排放控制制定的各项政策措施，并力所能及地采取一些相应措施对机动车尾气污染物的排放进行控制。本报告建议结合区域相关总体要求配合采取以下措施： </w:t>
      </w:r>
    </w:p>
    <w:p>
      <w:pPr>
        <w:keepNext w:val="0"/>
        <w:keepLines w:val="0"/>
        <w:pageBreakBefore w:val="0"/>
        <w:widowControl/>
        <w:numPr>
          <w:ilvl w:val="0"/>
          <w:numId w:val="18"/>
        </w:numPr>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加强地下车库的通风；</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（2）强化试行在用车的年检、路检和抽查制度，</w:t>
      </w:r>
      <w:r>
        <w:rPr>
          <w:rFonts w:hint="eastAsia" w:cs="Times New Roman"/>
          <w:color w:val="auto"/>
          <w:kern w:val="0"/>
          <w:sz w:val="24"/>
          <w:szCs w:val="24"/>
          <w:highlight w:val="none"/>
          <w:lang w:val="en-US" w:eastAsia="zh-CN" w:bidi="ar"/>
        </w:rPr>
        <w:t>加大</w:t>
      </w:r>
      <w:r>
        <w:rPr>
          <w:rFonts w:hint="default" w:ascii="Times New Roman" w:hAnsi="Times New Roman" w:eastAsia="宋体" w:cs="Times New Roman"/>
          <w:color w:val="auto"/>
          <w:kern w:val="0"/>
          <w:sz w:val="24"/>
          <w:szCs w:val="24"/>
          <w:highlight w:val="none"/>
          <w:lang w:val="en-US" w:eastAsia="zh-CN" w:bidi="ar"/>
        </w:rPr>
        <w:t xml:space="preserve">车管执法力度，控制机动车的废气排放量； </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（3）加强交通管理，保证汽车安全、文明行驶； </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（4）区域鼓励和支持生产、使用优质燃料油或者新能源汽车，采取措施减少燃料油中有害物质对环境空气的污染； </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（5）加强道路两侧绿化，栽种可吸收或吸附汽车尾气中污染物的乔木、灌木等树种及草坪，以控制废气向周围环境扩散，并做好绿化的维护工作； </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综上，随着我国执行机动车排放标准的不断提高，汽车尾气的排放量将会不断降低，同时经采取上述措施后，项目运营期汽车废气排放的污染物基本不会对沿线环境空气产生较明显的影响。 </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235" w:name="_Toc24689"/>
      <w:r>
        <w:rPr>
          <w:rFonts w:hint="default" w:cs="Times New Roman"/>
          <w:b/>
          <w:bCs/>
          <w:color w:val="auto"/>
          <w:kern w:val="0"/>
          <w:sz w:val="28"/>
          <w:szCs w:val="28"/>
          <w:highlight w:val="none"/>
          <w:lang w:val="en-US" w:eastAsia="zh-CN"/>
        </w:rPr>
        <w:t>6.2.3运营期</w:t>
      </w:r>
      <w:bookmarkEnd w:id="235"/>
      <w:r>
        <w:rPr>
          <w:rFonts w:hint="default" w:cs="Times New Roman"/>
          <w:b/>
          <w:bCs/>
          <w:color w:val="auto"/>
          <w:kern w:val="0"/>
          <w:sz w:val="28"/>
          <w:szCs w:val="28"/>
          <w:highlight w:val="none"/>
          <w:lang w:val="en-US" w:eastAsia="zh-CN"/>
        </w:rPr>
        <w:t>声环境保护措施及其可行性分析</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（1）游客娱乐噪声污染防治</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对于游客娱乐噪声，建设设计阶段搞好规划，严格功能分区，动静分开，加强绿化，其次加强管理，文明引导，确保游玩有序进行。</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（2）外部交通噪声控制措施</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为减轻游客增加导致交通噪声对区域噪声环境的影响，可以采取控制路段车行速度，通过设置交通指示牌减少汽车鸣笛等措施。</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综上所述，项目营运期通过采取以上防治措施后，声环境质量可以达到《声环境质量标准》（GB3096-2008）中的相应标准，项目营运期交通噪声不会对周边环境及道路两侧敏感点造成明显影响运营期交通噪声对周边敏感点的环境影响在可接受范围内。</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236" w:name="_Toc17774"/>
      <w:r>
        <w:rPr>
          <w:rFonts w:hint="default" w:cs="Times New Roman"/>
          <w:b/>
          <w:bCs/>
          <w:color w:val="auto"/>
          <w:kern w:val="0"/>
          <w:sz w:val="28"/>
          <w:szCs w:val="28"/>
          <w:highlight w:val="none"/>
          <w:lang w:val="en-US" w:eastAsia="zh-CN"/>
        </w:rPr>
        <w:t>6.2.4运营期</w:t>
      </w:r>
      <w:bookmarkEnd w:id="236"/>
      <w:r>
        <w:rPr>
          <w:rFonts w:hint="default" w:cs="Times New Roman"/>
          <w:b/>
          <w:bCs/>
          <w:color w:val="auto"/>
          <w:kern w:val="0"/>
          <w:sz w:val="28"/>
          <w:szCs w:val="28"/>
          <w:highlight w:val="none"/>
          <w:lang w:val="en-US" w:eastAsia="zh-CN"/>
        </w:rPr>
        <w:t>固体废物处理及其可行性分析</w:t>
      </w:r>
    </w:p>
    <w:p>
      <w:pPr>
        <w:snapToGrid w:val="0"/>
        <w:spacing w:line="360" w:lineRule="auto"/>
        <w:ind w:firstLine="480" w:firstLineChars="200"/>
        <w:rPr>
          <w:rFonts w:hint="default" w:cs="Times New Roman"/>
          <w:color w:val="auto"/>
          <w:sz w:val="24"/>
          <w:szCs w:val="24"/>
          <w:highlight w:val="none"/>
          <w:lang w:val="en-US" w:eastAsia="zh-CN"/>
        </w:rPr>
      </w:pPr>
      <w:bookmarkStart w:id="237" w:name="_Toc24668"/>
      <w:r>
        <w:rPr>
          <w:rFonts w:hint="default" w:cs="Times New Roman"/>
          <w:color w:val="auto"/>
          <w:sz w:val="24"/>
          <w:szCs w:val="24"/>
          <w:highlight w:val="none"/>
          <w:lang w:val="en-US" w:eastAsia="zh-CN"/>
        </w:rPr>
        <w:t>本项目产生的固体废弃物主要为游客及工作人员产生的生活垃圾，游客产生的生活垃圾分为可回收与不可回收垃圾，项目设置可分类的垃圾桶，做好垃圾分类管理，可回收利用的收集后交废旧物品回收站处理。不能回收利用</w:t>
      </w:r>
      <w:r>
        <w:rPr>
          <w:rFonts w:hint="eastAsia" w:cs="Times New Roman"/>
          <w:color w:val="auto"/>
          <w:sz w:val="24"/>
          <w:szCs w:val="24"/>
          <w:highlight w:val="none"/>
          <w:lang w:val="en-US" w:eastAsia="zh-CN"/>
        </w:rPr>
        <w:t>垃圾</w:t>
      </w:r>
      <w:r>
        <w:rPr>
          <w:rFonts w:hint="default" w:cs="Times New Roman"/>
          <w:color w:val="auto"/>
          <w:sz w:val="24"/>
          <w:szCs w:val="24"/>
          <w:highlight w:val="none"/>
          <w:lang w:val="en-US" w:eastAsia="zh-CN"/>
        </w:rPr>
        <w:t>由相关环卫部门定期清运。</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238" w:name="_Toc24658"/>
      <w:r>
        <w:rPr>
          <w:rFonts w:hint="default" w:cs="Times New Roman"/>
          <w:b/>
          <w:bCs/>
          <w:color w:val="auto"/>
          <w:kern w:val="0"/>
          <w:sz w:val="28"/>
          <w:szCs w:val="28"/>
          <w:highlight w:val="none"/>
          <w:lang w:val="en-US" w:eastAsia="zh-CN"/>
        </w:rPr>
        <w:t>6.2.5运营期饮用水源的保护措施</w:t>
      </w:r>
      <w:bookmarkEnd w:id="238"/>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针对本项目实际情况和饮用水环境保护要求（《湖南省主要地表水系水环境功能区划》(DB43/023-2005)、《集中式饮用水水源地规范化建设环境保护技术要求》(HJ773-2015） )，营运期应该严格执行以下规定：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①禁止向保护区倾倒垃圾、渣土</w:t>
      </w:r>
      <w:r>
        <w:rPr>
          <w:rFonts w:hint="eastAsia" w:cs="Times New Roman"/>
          <w:color w:val="auto"/>
          <w:sz w:val="24"/>
          <w:szCs w:val="24"/>
          <w:highlight w:val="none"/>
          <w:lang w:val="en-US" w:eastAsia="zh-CN"/>
        </w:rPr>
        <w:t>和其他</w:t>
      </w:r>
      <w:r>
        <w:rPr>
          <w:rFonts w:hint="default" w:cs="Times New Roman"/>
          <w:color w:val="auto"/>
          <w:sz w:val="24"/>
          <w:szCs w:val="24"/>
          <w:highlight w:val="none"/>
          <w:lang w:val="en-US" w:eastAsia="zh-CN"/>
        </w:rPr>
        <w:t>废弃物；禁止在滩地和岸坡堆放、存贮固体废弃物和其他污染物；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②严禁堆放、存贮、填埋、倾倒剧毒、高残留农药</w:t>
      </w:r>
      <w:r>
        <w:rPr>
          <w:rFonts w:hint="eastAsia" w:cs="Times New Roman"/>
          <w:color w:val="auto"/>
          <w:sz w:val="24"/>
          <w:szCs w:val="24"/>
          <w:highlight w:val="none"/>
          <w:lang w:val="en-US" w:eastAsia="zh-CN"/>
        </w:rPr>
        <w:t>和其他</w:t>
      </w:r>
      <w:r>
        <w:rPr>
          <w:rFonts w:hint="default" w:cs="Times New Roman"/>
          <w:color w:val="auto"/>
          <w:sz w:val="24"/>
          <w:szCs w:val="24"/>
          <w:highlight w:val="none"/>
          <w:lang w:val="en-US" w:eastAsia="zh-CN"/>
        </w:rPr>
        <w:t>剧毒物品等危险废弃物；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③禁止排放酸液、碱液、剧毒废液、可溶性剧毒废渣、含放射物质的废水、含病原体的污水；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④禁止清洗装贮过油类、有毒污染物的车辆或容器；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⑤保护区陆域必须常年保洁；</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⑥保护区水域的漂浮垃圾和</w:t>
      </w:r>
      <w:r>
        <w:rPr>
          <w:rFonts w:hint="eastAsia" w:cs="Times New Roman"/>
          <w:color w:val="auto"/>
          <w:sz w:val="24"/>
          <w:szCs w:val="24"/>
          <w:highlight w:val="none"/>
          <w:lang w:val="en-US" w:eastAsia="zh-CN"/>
        </w:rPr>
        <w:t>其他</w:t>
      </w:r>
      <w:r>
        <w:rPr>
          <w:rFonts w:hint="default" w:cs="Times New Roman"/>
          <w:color w:val="auto"/>
          <w:sz w:val="24"/>
          <w:szCs w:val="24"/>
          <w:highlight w:val="none"/>
          <w:lang w:val="en-US" w:eastAsia="zh-CN"/>
        </w:rPr>
        <w:t>漂浮物必须及时打捞。</w:t>
      </w:r>
    </w:p>
    <w:bookmarkEnd w:id="237"/>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hint="default" w:cs="Times New Roman"/>
          <w:b/>
          <w:bCs/>
          <w:color w:val="auto"/>
          <w:kern w:val="0"/>
          <w:sz w:val="30"/>
          <w:szCs w:val="30"/>
          <w:highlight w:val="none"/>
          <w:lang w:val="en-US" w:eastAsia="zh-CN"/>
        </w:rPr>
      </w:pPr>
      <w:bookmarkStart w:id="239" w:name="_Toc23364"/>
      <w:bookmarkStart w:id="240" w:name="_Toc14541"/>
      <w:r>
        <w:rPr>
          <w:rFonts w:hint="default" w:cs="Times New Roman"/>
          <w:b/>
          <w:bCs/>
          <w:color w:val="auto"/>
          <w:kern w:val="0"/>
          <w:sz w:val="30"/>
          <w:szCs w:val="30"/>
          <w:highlight w:val="none"/>
          <w:lang w:val="en-US" w:eastAsia="zh-CN"/>
        </w:rPr>
        <w:t>生态</w:t>
      </w:r>
      <w:r>
        <w:rPr>
          <w:rFonts w:hint="eastAsia" w:ascii="Times New Roman" w:hAnsi="Times New Roman" w:cs="Times New Roman"/>
          <w:b/>
          <w:bCs/>
          <w:color w:val="auto"/>
          <w:kern w:val="0"/>
          <w:sz w:val="30"/>
          <w:szCs w:val="30"/>
          <w:highlight w:val="none"/>
          <w:lang w:val="en-US" w:eastAsia="zh-CN"/>
        </w:rPr>
        <w:t>环境</w:t>
      </w:r>
      <w:r>
        <w:rPr>
          <w:rFonts w:hint="default" w:cs="Times New Roman"/>
          <w:b/>
          <w:bCs/>
          <w:color w:val="auto"/>
          <w:kern w:val="0"/>
          <w:sz w:val="30"/>
          <w:szCs w:val="30"/>
          <w:highlight w:val="none"/>
          <w:lang w:val="en-US" w:eastAsia="zh-CN"/>
        </w:rPr>
        <w:t>保护及补偿措施</w:t>
      </w:r>
      <w:bookmarkEnd w:id="239"/>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bookmarkStart w:id="241" w:name="_Toc130573051"/>
      <w:bookmarkStart w:id="242" w:name="_Toc6866"/>
      <w:bookmarkStart w:id="243" w:name="_Toc46151284"/>
      <w:bookmarkStart w:id="244" w:name="_Toc514506989"/>
      <w:bookmarkStart w:id="245" w:name="_Toc109901244"/>
      <w:bookmarkStart w:id="246" w:name="_Toc17205042"/>
      <w:bookmarkStart w:id="247" w:name="_Toc443212262"/>
      <w:bookmarkStart w:id="248" w:name="_Toc130573058"/>
      <w:bookmarkStart w:id="249" w:name="_Toc29940"/>
      <w:r>
        <w:rPr>
          <w:rFonts w:hint="default" w:ascii="Times New Roman" w:hAnsi="Times New Roman" w:eastAsia="宋体" w:cs="Times New Roman"/>
          <w:color w:val="auto"/>
          <w:kern w:val="0"/>
          <w:sz w:val="24"/>
          <w:szCs w:val="24"/>
          <w:highlight w:val="none"/>
          <w:lang w:val="en-US" w:eastAsia="zh-CN" w:bidi="ar"/>
        </w:rPr>
        <w:t>通过涉保护区工程点影响分析，</w:t>
      </w:r>
      <w:r>
        <w:rPr>
          <w:rFonts w:hint="default" w:cs="Times New Roman"/>
          <w:color w:val="auto"/>
          <w:kern w:val="0"/>
          <w:sz w:val="24"/>
          <w:szCs w:val="24"/>
          <w:highlight w:val="none"/>
          <w:lang w:val="en-US" w:eastAsia="zh-CN" w:bidi="ar"/>
        </w:rPr>
        <w:t>本</w:t>
      </w:r>
      <w:r>
        <w:rPr>
          <w:rFonts w:hint="default" w:ascii="Times New Roman" w:hAnsi="Times New Roman" w:eastAsia="宋体" w:cs="Times New Roman"/>
          <w:color w:val="auto"/>
          <w:kern w:val="0"/>
          <w:sz w:val="24"/>
          <w:szCs w:val="24"/>
          <w:highlight w:val="none"/>
          <w:lang w:val="en-US" w:eastAsia="zh-CN" w:bidi="ar"/>
        </w:rPr>
        <w:t>工程仅涉及临水坡护坡、护脚等，工程量较少，其建设施工对工程点附近水生态产生一定影响。为减缓项目建设对保护区产生的影响，工程在设计施工、运行阶段务必采取一定的环境及生态保护修复措施，增殖资源，保护水域生态环境。</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w:t>
      </w:r>
      <w:bookmarkEnd w:id="241"/>
      <w:bookmarkEnd w:id="242"/>
      <w:bookmarkEnd w:id="243"/>
      <w:bookmarkEnd w:id="244"/>
      <w:bookmarkEnd w:id="245"/>
      <w:bookmarkEnd w:id="246"/>
      <w:r>
        <w:rPr>
          <w:rFonts w:hint="default" w:cs="Times New Roman"/>
          <w:b/>
          <w:bCs/>
          <w:color w:val="auto"/>
          <w:kern w:val="0"/>
          <w:sz w:val="28"/>
          <w:szCs w:val="28"/>
          <w:highlight w:val="none"/>
          <w:lang w:val="en-US" w:eastAsia="zh-CN"/>
        </w:rPr>
        <w:t>3.1水生生态保护措施</w:t>
      </w:r>
    </w:p>
    <w:bookmarkEnd w:id="247"/>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（1）避让措施</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1）涉水工程施工尽量避开鱼类繁殖期</w:t>
      </w:r>
      <w:r>
        <w:rPr>
          <w:rFonts w:hint="default" w:cs="Times New Roman"/>
          <w:color w:val="auto"/>
          <w:kern w:val="0"/>
          <w:sz w:val="24"/>
          <w:szCs w:val="24"/>
          <w:highlight w:val="none"/>
          <w:lang w:val="en-US" w:eastAsia="zh-CN" w:bidi="ar"/>
        </w:rPr>
        <w:t>和丰水期</w:t>
      </w:r>
      <w:r>
        <w:rPr>
          <w:rFonts w:hint="default" w:ascii="Times New Roman" w:hAnsi="Times New Roman" w:eastAsia="宋体"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4</w:t>
      </w:r>
      <w:r>
        <w:rPr>
          <w:rFonts w:hint="default" w:ascii="Times New Roman" w:hAnsi="Times New Roman" w:eastAsia="宋体"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6</w:t>
      </w:r>
      <w:r>
        <w:rPr>
          <w:rFonts w:hint="default" w:ascii="Times New Roman" w:hAnsi="Times New Roman" w:eastAsia="宋体" w:cs="Times New Roman"/>
          <w:color w:val="auto"/>
          <w:kern w:val="0"/>
          <w:sz w:val="24"/>
          <w:szCs w:val="24"/>
          <w:highlight w:val="none"/>
          <w:lang w:val="en-US" w:eastAsia="zh-CN" w:bidi="ar"/>
        </w:rPr>
        <w:t>月为鱼类的主要繁殖季节，减少工程建设对鱼类生殖洄游及产卵繁殖的影响，</w:t>
      </w:r>
      <w:r>
        <w:rPr>
          <w:rFonts w:hint="default" w:cs="Times New Roman"/>
          <w:color w:val="auto"/>
          <w:kern w:val="0"/>
          <w:sz w:val="24"/>
          <w:szCs w:val="24"/>
          <w:highlight w:val="none"/>
          <w:lang w:val="en-US" w:eastAsia="zh-CN" w:bidi="ar"/>
        </w:rPr>
        <w:t>应</w:t>
      </w:r>
      <w:r>
        <w:rPr>
          <w:rFonts w:hint="default" w:ascii="Times New Roman" w:hAnsi="Times New Roman" w:eastAsia="宋体" w:cs="Times New Roman"/>
          <w:color w:val="auto"/>
          <w:kern w:val="0"/>
          <w:sz w:val="24"/>
          <w:szCs w:val="24"/>
          <w:highlight w:val="none"/>
          <w:lang w:val="en-US" w:eastAsia="zh-CN" w:bidi="ar"/>
        </w:rPr>
        <w:t>合理避让该季节。5月</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8月</w:t>
      </w:r>
      <w:r>
        <w:rPr>
          <w:rFonts w:hint="default" w:cs="Times New Roman"/>
          <w:color w:val="auto"/>
          <w:kern w:val="0"/>
          <w:sz w:val="24"/>
          <w:szCs w:val="24"/>
          <w:highlight w:val="none"/>
          <w:lang w:val="en-US" w:eastAsia="zh-CN" w:bidi="ar"/>
        </w:rPr>
        <w:t>为湘江丰水期，岸坡整治工程应避开丰水期，削减水流对整治岸线的冲刷，减少水体悬浮物的产生</w:t>
      </w:r>
      <w:r>
        <w:rPr>
          <w:rFonts w:hint="default" w:ascii="Times New Roman" w:hAnsi="Times New Roman" w:eastAsia="宋体"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2）运输或堆放建筑材料过程中应及时遮蔽，减少建筑扬尘。</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建筑垃圾应收集并固定地点集中暂存，尽量缩短暂存的时间，争取日产日清。同时做好建筑垃圾暂存点的防护工作，避免风吹、雨淋散失或流失。</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4</w:t>
      </w:r>
      <w:r>
        <w:rPr>
          <w:rFonts w:hint="default" w:ascii="Times New Roman" w:hAnsi="Times New Roman" w:eastAsia="宋体" w:cs="Times New Roman"/>
          <w:color w:val="auto"/>
          <w:kern w:val="0"/>
          <w:sz w:val="24"/>
          <w:szCs w:val="24"/>
          <w:highlight w:val="none"/>
          <w:lang w:val="en-US" w:eastAsia="zh-CN" w:bidi="ar"/>
        </w:rPr>
        <w:t>）加强对施工工艺的优化，避免工程产生的废渣或扬尘</w:t>
      </w:r>
      <w:r>
        <w:rPr>
          <w:rFonts w:hint="eastAsia" w:cs="Times New Roman"/>
          <w:color w:val="auto"/>
          <w:kern w:val="0"/>
          <w:sz w:val="24"/>
          <w:szCs w:val="24"/>
          <w:highlight w:val="none"/>
          <w:lang w:val="en-US" w:eastAsia="zh-CN" w:bidi="ar"/>
        </w:rPr>
        <w:t>漂落</w:t>
      </w:r>
      <w:r>
        <w:rPr>
          <w:rFonts w:hint="default" w:ascii="Times New Roman" w:hAnsi="Times New Roman" w:eastAsia="宋体" w:cs="Times New Roman"/>
          <w:color w:val="auto"/>
          <w:kern w:val="0"/>
          <w:sz w:val="24"/>
          <w:szCs w:val="24"/>
          <w:highlight w:val="none"/>
          <w:lang w:val="en-US" w:eastAsia="zh-CN" w:bidi="ar"/>
        </w:rPr>
        <w:t>散布至附近水域，对水环境和水生生物产生负面影响。</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）合理协调安排施工工序与工期，避免暴雨频发季节施工，及时根据天气预报调整施工工序，雨天禁止开挖施工；采取有效预防措施，将水土流失控制在最小程度，减轻对水源地的污染。</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（2）减缓措施</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）施工前，划定施工活动范围，同时在各主要施工区及保护区边界处设置生态保护警示牌，标明工程施工区范围及保护区范围，禁止倾倒污染物</w:t>
      </w:r>
      <w:r>
        <w:rPr>
          <w:rFonts w:hint="default" w:cs="Times New Roman"/>
          <w:color w:val="auto"/>
          <w:kern w:val="0"/>
          <w:sz w:val="24"/>
          <w:szCs w:val="24"/>
          <w:highlight w:val="none"/>
          <w:lang w:val="en-US" w:eastAsia="zh-CN" w:bidi="ar"/>
        </w:rPr>
        <w:t>、随意排放污废水</w:t>
      </w:r>
      <w:r>
        <w:rPr>
          <w:rFonts w:hint="default" w:ascii="Times New Roman" w:hAnsi="Times New Roman" w:eastAsia="宋体" w:cs="Times New Roman"/>
          <w:color w:val="auto"/>
          <w:kern w:val="0"/>
          <w:sz w:val="24"/>
          <w:szCs w:val="24"/>
          <w:highlight w:val="none"/>
          <w:lang w:val="en-US" w:eastAsia="zh-CN" w:bidi="ar"/>
        </w:rPr>
        <w:t>等行为，减轻人为干扰的影响。</w:t>
      </w:r>
    </w:p>
    <w:p>
      <w:pPr>
        <w:pStyle w:val="15"/>
        <w:adjustRightInd w:val="0"/>
        <w:snapToGrid w:val="0"/>
        <w:spacing w:after="0" w:line="360" w:lineRule="auto"/>
        <w:ind w:left="0" w:leftChars="0" w:firstLine="480" w:firstLineChars="200"/>
        <w:rPr>
          <w:color w:val="auto"/>
          <w:kern w:val="0"/>
          <w:sz w:val="24"/>
          <w:highlight w:val="none"/>
          <w:lang w:bidi="ar"/>
        </w:rPr>
      </w:pPr>
      <w:r>
        <w:rPr>
          <w:rFonts w:hint="default"/>
          <w:color w:val="auto"/>
          <w:kern w:val="0"/>
          <w:sz w:val="24"/>
          <w:highlight w:val="none"/>
          <w:lang w:val="en-US" w:eastAsia="zh-CN" w:bidi="ar"/>
        </w:rPr>
        <w:t>2</w:t>
      </w:r>
      <w:r>
        <w:rPr>
          <w:color w:val="auto"/>
          <w:kern w:val="0"/>
          <w:sz w:val="24"/>
          <w:highlight w:val="none"/>
          <w:lang w:bidi="ar"/>
        </w:rPr>
        <w:t>）采用低噪声机械，工程施工所用的施工机械设备应实现对其进行常规状态下的噪声测量，对超过国家标准的机械应禁止其入场施工。施工过程应经常对设备进行维护保养，避免由于设备性能</w:t>
      </w:r>
      <w:r>
        <w:rPr>
          <w:rFonts w:hint="eastAsia"/>
          <w:color w:val="auto"/>
          <w:kern w:val="0"/>
          <w:sz w:val="24"/>
          <w:highlight w:val="none"/>
          <w:lang w:eastAsia="zh-CN" w:bidi="ar"/>
        </w:rPr>
        <w:t>导致</w:t>
      </w:r>
      <w:r>
        <w:rPr>
          <w:color w:val="auto"/>
          <w:kern w:val="0"/>
          <w:sz w:val="24"/>
          <w:highlight w:val="none"/>
          <w:lang w:bidi="ar"/>
        </w:rPr>
        <w:t>噪声增加现象的发生。对于高噪声设备应设置临时隔声屏障，如在</w:t>
      </w:r>
      <w:r>
        <w:rPr>
          <w:rFonts w:hint="eastAsia"/>
          <w:color w:val="auto"/>
          <w:kern w:val="0"/>
          <w:sz w:val="24"/>
          <w:highlight w:val="none"/>
          <w:lang w:eastAsia="zh-CN" w:bidi="ar"/>
        </w:rPr>
        <w:t>临时工</w:t>
      </w:r>
      <w:r>
        <w:rPr>
          <w:color w:val="auto"/>
          <w:kern w:val="0"/>
          <w:sz w:val="24"/>
          <w:highlight w:val="none"/>
          <w:lang w:bidi="ar"/>
        </w:rPr>
        <w:t>棚内作业。</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（3）修复和补偿措施</w:t>
      </w:r>
    </w:p>
    <w:p>
      <w:pPr>
        <w:widowControl/>
        <w:numPr>
          <w:ilvl w:val="-1"/>
          <w:numId w:val="0"/>
        </w:numPr>
        <w:spacing w:line="360" w:lineRule="auto"/>
        <w:ind w:firstLine="480" w:firstLineChars="200"/>
        <w:jc w:val="left"/>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施工结束后，</w:t>
      </w:r>
      <w:r>
        <w:rPr>
          <w:rFonts w:hint="default" w:ascii="Times New Roman" w:hAnsi="Times New Roman" w:cs="Times New Roman"/>
          <w:color w:val="auto"/>
          <w:kern w:val="0"/>
          <w:sz w:val="24"/>
          <w:szCs w:val="24"/>
          <w:highlight w:val="none"/>
          <w:lang w:val="en-US" w:eastAsia="zh-CN"/>
        </w:rPr>
        <w:t>积极恢复开挖区生态环境</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避免水土流失，悬浮颗粒进入水体而导致透明度下降，影响水生生物的正常生理活动</w:t>
      </w:r>
      <w:r>
        <w:rPr>
          <w:rFonts w:hint="default" w:ascii="Times New Roman" w:hAnsi="Times New Roman" w:cs="Times New Roman"/>
          <w:color w:val="auto"/>
          <w:kern w:val="0"/>
          <w:sz w:val="24"/>
          <w:szCs w:val="24"/>
          <w:highlight w:val="none"/>
        </w:rPr>
        <w:t>；</w:t>
      </w:r>
    </w:p>
    <w:p>
      <w:pPr>
        <w:widowControl/>
        <w:numPr>
          <w:ilvl w:val="-1"/>
          <w:numId w:val="0"/>
        </w:numPr>
        <w:spacing w:line="360" w:lineRule="auto"/>
        <w:ind w:firstLine="480" w:firstLineChars="200"/>
        <w:jc w:val="left"/>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工程建设期及</w:t>
      </w:r>
      <w:r>
        <w:rPr>
          <w:rFonts w:hint="default" w:ascii="Times New Roman" w:hAnsi="Times New Roman" w:cs="Times New Roman"/>
          <w:color w:val="auto"/>
          <w:kern w:val="0"/>
          <w:sz w:val="24"/>
          <w:szCs w:val="24"/>
          <w:highlight w:val="none"/>
          <w:lang w:val="en-US" w:eastAsia="zh-CN"/>
        </w:rPr>
        <w:t>运营</w:t>
      </w:r>
      <w:r>
        <w:rPr>
          <w:rFonts w:hint="default" w:ascii="Times New Roman" w:hAnsi="Times New Roman" w:cs="Times New Roman"/>
          <w:color w:val="auto"/>
          <w:kern w:val="0"/>
          <w:sz w:val="24"/>
          <w:szCs w:val="24"/>
          <w:highlight w:val="none"/>
        </w:rPr>
        <w:t>后一段时期内开展一定范围内的水生生物资源和水环境监测，</w:t>
      </w:r>
      <w:r>
        <w:rPr>
          <w:rFonts w:hint="default" w:ascii="Times New Roman" w:hAnsi="Times New Roman" w:cs="Times New Roman"/>
          <w:color w:val="auto"/>
          <w:kern w:val="0"/>
          <w:sz w:val="24"/>
          <w:szCs w:val="24"/>
          <w:highlight w:val="none"/>
          <w:lang w:val="en-US" w:eastAsia="zh-CN"/>
        </w:rPr>
        <w:t>及时掌握生态环境变化趋势</w:t>
      </w:r>
      <w:r>
        <w:rPr>
          <w:rFonts w:hint="default" w:ascii="Times New Roman" w:hAnsi="Times New Roman" w:cs="Times New Roman"/>
          <w:color w:val="auto"/>
          <w:kern w:val="0"/>
          <w:sz w:val="24"/>
          <w:szCs w:val="24"/>
          <w:highlight w:val="none"/>
        </w:rPr>
        <w:t>并制定</w:t>
      </w:r>
      <w:r>
        <w:rPr>
          <w:rFonts w:hint="default" w:ascii="Times New Roman" w:hAnsi="Times New Roman" w:cs="Times New Roman"/>
          <w:color w:val="auto"/>
          <w:kern w:val="0"/>
          <w:sz w:val="24"/>
          <w:szCs w:val="24"/>
          <w:highlight w:val="none"/>
          <w:lang w:val="en-US" w:eastAsia="zh-CN"/>
        </w:rPr>
        <w:t>相应的</w:t>
      </w:r>
      <w:r>
        <w:rPr>
          <w:rFonts w:hint="default" w:ascii="Times New Roman" w:hAnsi="Times New Roman" w:cs="Times New Roman"/>
          <w:color w:val="auto"/>
          <w:kern w:val="0"/>
          <w:sz w:val="24"/>
          <w:szCs w:val="24"/>
          <w:highlight w:val="none"/>
        </w:rPr>
        <w:t>对策</w:t>
      </w:r>
      <w:r>
        <w:rPr>
          <w:rFonts w:hint="default" w:ascii="Times New Roman" w:hAnsi="Times New Roman" w:cs="Times New Roman"/>
          <w:color w:val="auto"/>
          <w:kern w:val="0"/>
          <w:sz w:val="24"/>
          <w:szCs w:val="24"/>
          <w:highlight w:val="none"/>
          <w:lang w:eastAsia="zh-CN"/>
        </w:rPr>
        <w:t>。</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（4）管理措施</w:t>
      </w:r>
    </w:p>
    <w:p>
      <w:pPr>
        <w:widowControl/>
        <w:numPr>
          <w:ilvl w:val="-1"/>
          <w:numId w:val="0"/>
        </w:numPr>
        <w:spacing w:line="360" w:lineRule="auto"/>
        <w:ind w:firstLine="480" w:firstLineChars="200"/>
        <w:jc w:val="left"/>
        <w:rPr>
          <w:rFonts w:hint="default" w:ascii="Times New Roman" w:hAnsi="Times New Roman" w:cs="Times New Roman"/>
          <w:color w:val="auto"/>
          <w:kern w:val="0"/>
          <w:sz w:val="24"/>
          <w:szCs w:val="24"/>
          <w:highlight w:val="none"/>
        </w:rPr>
      </w:pPr>
      <w:r>
        <w:rPr>
          <w:rFonts w:hint="default"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rPr>
        <w:t>加强施工监理和巡护工作。提高施工人员及</w:t>
      </w:r>
      <w:r>
        <w:rPr>
          <w:rFonts w:hint="default" w:ascii="Times New Roman" w:hAnsi="Times New Roman" w:cs="Times New Roman"/>
          <w:color w:val="auto"/>
          <w:kern w:val="0"/>
          <w:sz w:val="24"/>
          <w:szCs w:val="24"/>
          <w:highlight w:val="none"/>
          <w:lang w:val="en-US" w:eastAsia="zh-CN"/>
        </w:rPr>
        <w:t>沿岸</w:t>
      </w:r>
      <w:r>
        <w:rPr>
          <w:rFonts w:hint="default" w:ascii="Times New Roman" w:hAnsi="Times New Roman" w:cs="Times New Roman"/>
          <w:color w:val="auto"/>
          <w:kern w:val="0"/>
          <w:sz w:val="24"/>
          <w:szCs w:val="24"/>
          <w:highlight w:val="none"/>
        </w:rPr>
        <w:t>居民的环境保护意识，严禁施工人员进入</w:t>
      </w:r>
      <w:r>
        <w:rPr>
          <w:rFonts w:hint="default" w:cs="Times New Roman"/>
          <w:color w:val="auto"/>
          <w:kern w:val="0"/>
          <w:sz w:val="24"/>
          <w:szCs w:val="24"/>
          <w:highlight w:val="none"/>
          <w:lang w:val="en-US" w:eastAsia="zh-CN"/>
        </w:rPr>
        <w:t>湘江</w:t>
      </w:r>
      <w:r>
        <w:rPr>
          <w:rFonts w:hint="default" w:ascii="Times New Roman" w:hAnsi="Times New Roman" w:cs="Times New Roman"/>
          <w:color w:val="auto"/>
          <w:kern w:val="0"/>
          <w:sz w:val="24"/>
          <w:szCs w:val="24"/>
          <w:highlight w:val="none"/>
          <w:lang w:val="en-US" w:eastAsia="zh-CN"/>
        </w:rPr>
        <w:t>水域内捕捞鱼类</w:t>
      </w:r>
      <w:r>
        <w:rPr>
          <w:rFonts w:hint="default" w:ascii="Times New Roman" w:hAnsi="Times New Roman" w:cs="Times New Roman"/>
          <w:color w:val="auto"/>
          <w:kern w:val="0"/>
          <w:sz w:val="24"/>
          <w:szCs w:val="24"/>
          <w:highlight w:val="none"/>
        </w:rPr>
        <w:t>。</w:t>
      </w:r>
    </w:p>
    <w:p>
      <w:pPr>
        <w:widowControl/>
        <w:numPr>
          <w:ilvl w:val="-1"/>
          <w:numId w:val="0"/>
        </w:numPr>
        <w:spacing w:line="360" w:lineRule="auto"/>
        <w:ind w:firstLine="480" w:firstLineChars="200"/>
        <w:jc w:val="left"/>
        <w:rPr>
          <w:rFonts w:hint="default" w:ascii="Times New Roman" w:hAnsi="Times New Roman" w:cs="Times New Roman"/>
          <w:color w:val="auto"/>
          <w:kern w:val="0"/>
          <w:sz w:val="24"/>
          <w:szCs w:val="24"/>
          <w:highlight w:val="none"/>
          <w:lang w:val="en-US" w:eastAsia="zh-CN"/>
        </w:rPr>
      </w:pPr>
      <w:r>
        <w:rPr>
          <w:rFonts w:hint="default"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val="en-US" w:eastAsia="zh-CN"/>
        </w:rPr>
        <w:t>施工期间鱼类资源保护工作</w:t>
      </w:r>
      <w:r>
        <w:rPr>
          <w:rFonts w:hint="default" w:cs="Times New Roman"/>
          <w:color w:val="auto"/>
          <w:kern w:val="0"/>
          <w:sz w:val="24"/>
          <w:szCs w:val="24"/>
          <w:highlight w:val="none"/>
          <w:lang w:val="en-US" w:eastAsia="zh-CN"/>
        </w:rPr>
        <w:t>建设单位</w:t>
      </w:r>
      <w:r>
        <w:rPr>
          <w:rFonts w:hint="default" w:ascii="Times New Roman" w:hAnsi="Times New Roman" w:cs="Times New Roman"/>
          <w:color w:val="auto"/>
          <w:kern w:val="0"/>
          <w:sz w:val="24"/>
          <w:szCs w:val="24"/>
          <w:highlight w:val="none"/>
          <w:lang w:val="en-US" w:eastAsia="zh-CN"/>
        </w:rPr>
        <w:t>应在渔政管理机构的监督与指导下进行。包括施工时间监管，是否在枯水期施工</w:t>
      </w:r>
      <w:r>
        <w:rPr>
          <w:rFonts w:hint="default"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lang w:val="en-US" w:eastAsia="zh-CN"/>
        </w:rPr>
        <w:t>施工方式监管，是否落实水土保持措施等。</w:t>
      </w:r>
    </w:p>
    <w:p>
      <w:pPr>
        <w:widowControl/>
        <w:numPr>
          <w:ilvl w:val="-1"/>
          <w:numId w:val="0"/>
        </w:numPr>
        <w:spacing w:line="360" w:lineRule="auto"/>
        <w:ind w:firstLine="480" w:firstLineChars="200"/>
        <w:jc w:val="left"/>
        <w:rPr>
          <w:rFonts w:hint="default" w:ascii="Times New Roman" w:hAnsi="Times New Roman" w:cs="Times New Roman"/>
          <w:color w:val="auto"/>
          <w:kern w:val="0"/>
          <w:sz w:val="24"/>
          <w:szCs w:val="24"/>
          <w:highlight w:val="none"/>
          <w:lang w:val="en-US" w:eastAsia="zh-CN"/>
        </w:rPr>
      </w:pPr>
      <w:r>
        <w:rPr>
          <w:rFonts w:hint="default" w:cs="Times New Roman"/>
          <w:color w:val="auto"/>
          <w:kern w:val="0"/>
          <w:sz w:val="24"/>
          <w:szCs w:val="24"/>
          <w:highlight w:val="none"/>
          <w:lang w:val="en-US" w:eastAsia="zh-CN"/>
        </w:rPr>
        <w:t>3）</w:t>
      </w:r>
      <w:r>
        <w:rPr>
          <w:rFonts w:hint="default" w:ascii="Times New Roman" w:hAnsi="Times New Roman" w:cs="Times New Roman"/>
          <w:color w:val="auto"/>
          <w:kern w:val="0"/>
          <w:sz w:val="24"/>
          <w:szCs w:val="24"/>
          <w:highlight w:val="none"/>
          <w:lang w:val="en-US" w:eastAsia="zh-CN"/>
        </w:rPr>
        <w:t>施工期间，</w:t>
      </w:r>
      <w:r>
        <w:rPr>
          <w:rFonts w:hint="default" w:cs="Times New Roman"/>
          <w:color w:val="auto"/>
          <w:kern w:val="0"/>
          <w:sz w:val="24"/>
          <w:szCs w:val="24"/>
          <w:highlight w:val="none"/>
          <w:lang w:val="en-US" w:eastAsia="zh-CN"/>
        </w:rPr>
        <w:t>建设单位</w:t>
      </w:r>
      <w:r>
        <w:rPr>
          <w:rFonts w:hint="default" w:ascii="Times New Roman" w:hAnsi="Times New Roman" w:cs="Times New Roman"/>
          <w:color w:val="auto"/>
          <w:kern w:val="0"/>
          <w:sz w:val="24"/>
          <w:szCs w:val="24"/>
          <w:highlight w:val="none"/>
          <w:lang w:val="en-US" w:eastAsia="zh-CN"/>
        </w:rPr>
        <w:t>以公告、宣传单、板报和会议等形式，加强对施工人员的环境保护宣传教育和保护野生动物常识的宣传，提高施工人员的环境保护意识，使其在施工中能自觉保护生态环境及珍稀水生物种，并遵守相关的生态保护规定；严禁在施工河段进行捕鱼或</w:t>
      </w:r>
      <w:r>
        <w:rPr>
          <w:rFonts w:hint="eastAsia" w:cs="Times New Roman"/>
          <w:color w:val="auto"/>
          <w:kern w:val="0"/>
          <w:sz w:val="24"/>
          <w:szCs w:val="24"/>
          <w:highlight w:val="none"/>
          <w:lang w:val="en-US" w:eastAsia="zh-CN"/>
        </w:rPr>
        <w:t>从事其他</w:t>
      </w:r>
      <w:r>
        <w:rPr>
          <w:rFonts w:hint="default" w:ascii="Times New Roman" w:hAnsi="Times New Roman" w:cs="Times New Roman"/>
          <w:color w:val="auto"/>
          <w:kern w:val="0"/>
          <w:sz w:val="24"/>
          <w:szCs w:val="24"/>
          <w:highlight w:val="none"/>
          <w:lang w:val="en-US" w:eastAsia="zh-CN"/>
        </w:rPr>
        <w:t>有碍生态环境保护的活动，一旦发现水生生物种类，应及时进行保护。</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（5）对重要物种保护措施</w:t>
      </w:r>
    </w:p>
    <w:p>
      <w:pPr>
        <w:pStyle w:val="8"/>
        <w:spacing w:line="360" w:lineRule="auto"/>
        <w:ind w:firstLine="480"/>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建设</w:t>
      </w:r>
      <w:r>
        <w:rPr>
          <w:rFonts w:hint="default" w:ascii="Times New Roman" w:hAnsi="Times New Roman" w:cs="Times New Roman"/>
          <w:color w:val="auto"/>
          <w:sz w:val="24"/>
          <w:szCs w:val="24"/>
          <w:highlight w:val="none"/>
        </w:rPr>
        <w:t>单位应会同</w:t>
      </w:r>
      <w:r>
        <w:rPr>
          <w:rFonts w:hint="default" w:ascii="Times New Roman" w:hAnsi="Times New Roman" w:cs="Times New Roman"/>
          <w:color w:val="auto"/>
          <w:sz w:val="24"/>
          <w:szCs w:val="24"/>
          <w:highlight w:val="none"/>
          <w:lang w:val="en-US" w:eastAsia="zh-CN"/>
        </w:rPr>
        <w:t>渔政</w:t>
      </w:r>
      <w:r>
        <w:rPr>
          <w:rFonts w:hint="default" w:ascii="Times New Roman" w:hAnsi="Times New Roman" w:cs="Times New Roman"/>
          <w:color w:val="auto"/>
          <w:sz w:val="24"/>
          <w:szCs w:val="24"/>
          <w:highlight w:val="none"/>
        </w:rPr>
        <w:t>管理部门编制环境风险应急预案和</w:t>
      </w:r>
      <w:r>
        <w:rPr>
          <w:rFonts w:hint="default" w:cs="Times New Roman"/>
          <w:color w:val="auto"/>
          <w:sz w:val="24"/>
          <w:szCs w:val="24"/>
          <w:highlight w:val="none"/>
          <w:lang w:val="en-US" w:eastAsia="zh-CN"/>
        </w:rPr>
        <w:t>重点保护</w:t>
      </w:r>
      <w:r>
        <w:rPr>
          <w:rFonts w:hint="default" w:ascii="Times New Roman" w:hAnsi="Times New Roman" w:cs="Times New Roman"/>
          <w:color w:val="auto"/>
          <w:sz w:val="24"/>
          <w:szCs w:val="24"/>
          <w:highlight w:val="none"/>
        </w:rPr>
        <w:t>鱼类意外伤害紧急救护预案，建立由</w:t>
      </w:r>
      <w:r>
        <w:rPr>
          <w:rFonts w:hint="default" w:cs="Times New Roman"/>
          <w:color w:val="auto"/>
          <w:sz w:val="24"/>
          <w:szCs w:val="24"/>
          <w:highlight w:val="none"/>
          <w:lang w:val="en-US" w:eastAsia="zh-CN"/>
        </w:rPr>
        <w:t>建设</w:t>
      </w:r>
      <w:r>
        <w:rPr>
          <w:rFonts w:hint="default" w:ascii="Times New Roman" w:hAnsi="Times New Roman" w:cs="Times New Roman"/>
          <w:color w:val="auto"/>
          <w:sz w:val="24"/>
          <w:szCs w:val="24"/>
          <w:highlight w:val="none"/>
        </w:rPr>
        <w:t>单位、</w:t>
      </w:r>
      <w:r>
        <w:rPr>
          <w:rFonts w:hint="default" w:ascii="Times New Roman" w:hAnsi="Times New Roman" w:cs="Times New Roman"/>
          <w:color w:val="auto"/>
          <w:sz w:val="24"/>
          <w:szCs w:val="24"/>
          <w:highlight w:val="none"/>
          <w:lang w:val="en-US" w:eastAsia="zh-CN"/>
        </w:rPr>
        <w:t>渔政</w:t>
      </w:r>
      <w:r>
        <w:rPr>
          <w:rFonts w:hint="default" w:ascii="Times New Roman" w:hAnsi="Times New Roman" w:cs="Times New Roman"/>
          <w:color w:val="auto"/>
          <w:sz w:val="24"/>
          <w:szCs w:val="24"/>
          <w:highlight w:val="none"/>
        </w:rPr>
        <w:t>管理部门以及专家组共同参与的</w:t>
      </w:r>
      <w:r>
        <w:rPr>
          <w:rFonts w:hint="default" w:cs="Times New Roman"/>
          <w:color w:val="auto"/>
          <w:sz w:val="24"/>
          <w:szCs w:val="24"/>
          <w:highlight w:val="none"/>
          <w:lang w:val="en-US" w:eastAsia="zh-CN"/>
        </w:rPr>
        <w:t>重点保护</w:t>
      </w:r>
      <w:r>
        <w:rPr>
          <w:rFonts w:hint="default" w:ascii="Times New Roman" w:hAnsi="Times New Roman" w:cs="Times New Roman"/>
          <w:color w:val="auto"/>
          <w:sz w:val="24"/>
          <w:szCs w:val="24"/>
          <w:highlight w:val="none"/>
        </w:rPr>
        <w:t>意外伤害联合应急救护机制，并制定相应预案。一旦发生风险事故或</w:t>
      </w:r>
      <w:r>
        <w:rPr>
          <w:rFonts w:hint="default" w:cs="Times New Roman"/>
          <w:color w:val="auto"/>
          <w:sz w:val="24"/>
          <w:szCs w:val="24"/>
          <w:highlight w:val="none"/>
          <w:lang w:val="en-US" w:eastAsia="zh-CN"/>
        </w:rPr>
        <w:t>重点保护</w:t>
      </w:r>
      <w:r>
        <w:rPr>
          <w:rFonts w:hint="default" w:ascii="Times New Roman" w:hAnsi="Times New Roman" w:cs="Times New Roman"/>
          <w:color w:val="auto"/>
          <w:sz w:val="24"/>
          <w:szCs w:val="24"/>
          <w:highlight w:val="none"/>
        </w:rPr>
        <w:t>鱼类意外伤害事故，应立即报告</w:t>
      </w:r>
      <w:r>
        <w:rPr>
          <w:rFonts w:hint="default" w:ascii="Times New Roman" w:hAnsi="Times New Roman" w:cs="Times New Roman"/>
          <w:color w:val="auto"/>
          <w:sz w:val="24"/>
          <w:szCs w:val="24"/>
          <w:highlight w:val="none"/>
          <w:lang w:val="en-US" w:eastAsia="zh-CN"/>
        </w:rPr>
        <w:t>渔政</w:t>
      </w:r>
      <w:r>
        <w:rPr>
          <w:rFonts w:hint="default" w:ascii="Times New Roman" w:hAnsi="Times New Roman" w:cs="Times New Roman"/>
          <w:color w:val="auto"/>
          <w:sz w:val="24"/>
          <w:szCs w:val="24"/>
          <w:highlight w:val="none"/>
        </w:rPr>
        <w:t>管理部门，启动紧急救护机制，利用渔政船只</w:t>
      </w:r>
      <w:r>
        <w:rPr>
          <w:rFonts w:hint="default" w:cs="Times New Roman"/>
          <w:color w:val="auto"/>
          <w:sz w:val="24"/>
          <w:szCs w:val="24"/>
          <w:highlight w:val="none"/>
          <w:lang w:val="en-US" w:eastAsia="zh-CN"/>
        </w:rPr>
        <w:t>和</w:t>
      </w:r>
      <w:r>
        <w:rPr>
          <w:rFonts w:hint="default" w:ascii="Times New Roman" w:hAnsi="Times New Roman" w:cs="Times New Roman"/>
          <w:color w:val="auto"/>
          <w:sz w:val="24"/>
          <w:szCs w:val="24"/>
          <w:highlight w:val="none"/>
        </w:rPr>
        <w:t>已建成的水上紧急救护站进行救护，将环境风险降到最低。</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6.3.2陆生生态环境保护措施</w:t>
      </w:r>
      <w:bookmarkEnd w:id="248"/>
      <w:bookmarkEnd w:id="249"/>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1、对陆生植物的保护措施</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（1）避让措施</w:t>
      </w:r>
    </w:p>
    <w:p>
      <w:pPr>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在施工建设过程中，通过采取规定车辆行驶路线、施工器材集中堆放等措施，尽量减少施工占地。</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2、减缓措施</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1</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施工期选用先进的施工手段，按设计要求施工，减少开挖土石方量，减少建筑垃圾量的产生，及时清除多余的土方和石料，严禁就地倾倒覆压植被。</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2</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做好项目征地范围内水土流失防治措施，减少扰动区域，减少水土流失产生量。</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val="en-US" w:eastAsia="zh-CN"/>
        </w:rPr>
        <w:t>3</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施工单位采用印发</w:t>
      </w:r>
      <w:r>
        <w:rPr>
          <w:rFonts w:hint="default" w:ascii="Times New Roman" w:hAnsi="Times New Roman" w:eastAsia="宋体" w:cs="Times New Roman"/>
          <w:color w:val="auto"/>
          <w:kern w:val="0"/>
          <w:sz w:val="24"/>
          <w:szCs w:val="24"/>
          <w:highlight w:val="none"/>
          <w:lang w:val="en-US" w:eastAsia="zh-CN" w:bidi="ar"/>
        </w:rPr>
        <w:t>工程</w:t>
      </w:r>
      <w:r>
        <w:rPr>
          <w:rFonts w:hint="default" w:ascii="Times New Roman" w:hAnsi="Times New Roman" w:cs="Times New Roman"/>
          <w:color w:val="auto"/>
          <w:sz w:val="24"/>
          <w:szCs w:val="24"/>
          <w:highlight w:val="none"/>
        </w:rPr>
        <w:t>施工生态环境保护宣传册，或者采用自媒体、短视频等方法，对施工人员进行环境保护意识教育，宣传植物保护法规；对于外来入侵植物方面，可以加强施工管理和建议措施，严格物品出入管理，在物品运输前，进行彻底的检疫工作，特别是对植物、土壤等进行严格检查，防止外来物种进入施工区，同时采取一些物理隔离措施，比如设置防护带、搭建屏障等。</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3、恢复措施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为防止施工占地区表层土的损耗，应对占地区的表层土予以收集保存，工程施工前应将表层土与下层土分开，要求将施工开挖地表面30cm厚的表层土剥离，进行留存用于今后的回填，以恢复土壤理化性质。待施工结束后用于施工场地平整，进行绿化。应结合水土保持植物措施以及景观要求及生物多样性保护等原则，选择乔、灌、草进行各施工迹地植被修复。应在</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适地适树、适地适草</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的原则下，尽量以选用当地优良的乡土植物为主，适当引进新的优良树种、草种，以保证绿化栽植的成活率，提高植被恢复效率。</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运行期间，对占地区植被的进行后期维护，保证良好的生态环境，并与周围生态环境和景观相协调。</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4、重要野生植物保护措施</w:t>
      </w:r>
    </w:p>
    <w:p>
      <w:pPr>
        <w:suppressAutoHyphens/>
        <w:topLinePunct/>
        <w:adjustRightInd w:val="0"/>
        <w:snapToGrid w:val="0"/>
        <w:spacing w:line="360" w:lineRule="auto"/>
        <w:ind w:firstLine="480" w:firstLineChars="200"/>
        <w:textAlignment w:val="top"/>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根据现场调查结果，评价范围内无国家级重点保护野生植物和湖南省重点保护野生植物分布，无珍稀濒危物种、无极小种群物种，</w:t>
      </w:r>
      <w:r>
        <w:rPr>
          <w:rFonts w:hint="default" w:ascii="Times New Roman" w:hAnsi="Times New Roman" w:cs="Times New Roman"/>
          <w:color w:val="auto"/>
          <w:sz w:val="24"/>
          <w:szCs w:val="24"/>
          <w:highlight w:val="none"/>
        </w:rPr>
        <w:t>有中国特有种植物7种，其中</w:t>
      </w:r>
      <w:r>
        <w:rPr>
          <w:rFonts w:hint="default" w:ascii="Times New Roman" w:hAnsi="Times New Roman" w:cs="Times New Roman"/>
          <w:bCs/>
          <w:color w:val="auto"/>
          <w:sz w:val="24"/>
          <w:szCs w:val="24"/>
          <w:highlight w:val="none"/>
        </w:rPr>
        <w:t>中国特有种植物中仅有白花泡桐1种分布于施工区占地区</w:t>
      </w:r>
      <w:r>
        <w:rPr>
          <w:rFonts w:hint="default" w:ascii="Times New Roman" w:hAnsi="Times New Roman" w:cs="Times New Roman"/>
          <w:color w:val="auto"/>
          <w:kern w:val="0"/>
          <w:sz w:val="24"/>
          <w:szCs w:val="24"/>
          <w:highlight w:val="none"/>
        </w:rPr>
        <w:t>。对于以上中国特有种植物，</w:t>
      </w:r>
      <w:r>
        <w:rPr>
          <w:rFonts w:hint="default" w:ascii="Times New Roman" w:hAnsi="Times New Roman" w:cs="Times New Roman"/>
          <w:color w:val="auto"/>
          <w:sz w:val="24"/>
          <w:szCs w:val="24"/>
          <w:highlight w:val="none"/>
        </w:rPr>
        <w:t>工程占地布置时，首先应尽量避让以上相关特有种植物生境，如无法避让时，则应尽量缩小占</w:t>
      </w:r>
      <w:r>
        <w:rPr>
          <w:rFonts w:hint="eastAsia" w:cs="Times New Roman"/>
          <w:color w:val="auto"/>
          <w:sz w:val="24"/>
          <w:szCs w:val="24"/>
          <w:highlight w:val="none"/>
          <w:lang w:eastAsia="zh-CN"/>
        </w:rPr>
        <w:t>地</w:t>
      </w:r>
      <w:r>
        <w:rPr>
          <w:rFonts w:hint="default" w:ascii="Times New Roman" w:hAnsi="Times New Roman" w:cs="Times New Roman"/>
          <w:color w:val="auto"/>
          <w:sz w:val="24"/>
          <w:szCs w:val="24"/>
          <w:highlight w:val="none"/>
        </w:rPr>
        <w:t>面积，并严格在施工范围内动工，减少工程施工对以上植物造成的破坏。对于其他中国特有种植物，应在其周围设置围栏和宣传牌，工程施工期间注意避让保护。</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区域内还可能分布</w:t>
      </w:r>
      <w:r>
        <w:rPr>
          <w:rFonts w:hint="eastAsia" w:cs="Times New Roman"/>
          <w:color w:val="auto"/>
          <w:sz w:val="24"/>
          <w:szCs w:val="24"/>
          <w:highlight w:val="none"/>
          <w:lang w:eastAsia="zh-CN"/>
        </w:rPr>
        <w:t>有其他</w:t>
      </w:r>
      <w:r>
        <w:rPr>
          <w:rFonts w:hint="default" w:ascii="Times New Roman" w:hAnsi="Times New Roman" w:cs="Times New Roman"/>
          <w:color w:val="auto"/>
          <w:sz w:val="24"/>
          <w:szCs w:val="24"/>
          <w:highlight w:val="none"/>
        </w:rPr>
        <w:t>重点保护野生植物，工程施工时若发现</w:t>
      </w:r>
      <w:r>
        <w:rPr>
          <w:rFonts w:hint="eastAsia" w:cs="Times New Roman"/>
          <w:color w:val="auto"/>
          <w:sz w:val="24"/>
          <w:szCs w:val="24"/>
          <w:highlight w:val="none"/>
          <w:lang w:eastAsia="zh-CN"/>
        </w:rPr>
        <w:t>有其他</w:t>
      </w:r>
      <w:r>
        <w:rPr>
          <w:rFonts w:hint="default" w:ascii="Times New Roman" w:hAnsi="Times New Roman" w:cs="Times New Roman"/>
          <w:color w:val="auto"/>
          <w:sz w:val="24"/>
          <w:szCs w:val="24"/>
          <w:highlight w:val="none"/>
        </w:rPr>
        <w:t>重点保护野生植物，应立即上报相关部门，并采取就地或移栽等保护措施，避免本工程施工运行对区域内重点保护野生植物产生影响。</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5、对古树的保护措施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通过调查发现，评价区有</w:t>
      </w:r>
      <w:r>
        <w:rPr>
          <w:rFonts w:hint="default"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株古树位于工程占地区附近，这部分古树将受到本工程间接影响，可采取工程优化和就地保护避让措施进行保护：</w:t>
      </w:r>
    </w:p>
    <w:p>
      <w:pPr>
        <w:tabs>
          <w:tab w:val="left" w:pos="397"/>
        </w:tabs>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A</w:t>
      </w:r>
      <w:r>
        <w:rPr>
          <w:rFonts w:hint="default" w:ascii="Times New Roman" w:hAnsi="Times New Roman" w:cs="Times New Roman"/>
          <w:bCs/>
          <w:color w:val="auto"/>
          <w:sz w:val="24"/>
          <w:szCs w:val="24"/>
          <w:highlight w:val="none"/>
        </w:rPr>
        <w:t>．</w:t>
      </w:r>
      <w:r>
        <w:rPr>
          <w:rFonts w:hint="default" w:ascii="Times New Roman" w:hAnsi="Times New Roman" w:cs="Times New Roman"/>
          <w:color w:val="auto"/>
          <w:sz w:val="24"/>
          <w:szCs w:val="24"/>
          <w:highlight w:val="none"/>
        </w:rPr>
        <w:t>工程优化时，应尽量不在古树附近布设地基开挖等工程。</w:t>
      </w:r>
    </w:p>
    <w:p>
      <w:pPr>
        <w:tabs>
          <w:tab w:val="left" w:pos="397"/>
        </w:tabs>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B</w:t>
      </w:r>
      <w:r>
        <w:rPr>
          <w:rFonts w:hint="default" w:ascii="Times New Roman" w:hAnsi="Times New Roman" w:cs="Times New Roman"/>
          <w:bCs/>
          <w:color w:val="auto"/>
          <w:sz w:val="24"/>
          <w:szCs w:val="24"/>
          <w:highlight w:val="none"/>
        </w:rPr>
        <w:t>．</w:t>
      </w:r>
      <w:r>
        <w:rPr>
          <w:rFonts w:hint="default" w:ascii="Times New Roman" w:hAnsi="Times New Roman" w:cs="Times New Roman"/>
          <w:color w:val="auto"/>
          <w:sz w:val="24"/>
          <w:szCs w:val="24"/>
          <w:highlight w:val="none"/>
        </w:rPr>
        <w:t>在进行地表施工时，应采用对地表破坏小的施工工艺和方案，避免工程建设破坏附近古树根系；</w:t>
      </w:r>
    </w:p>
    <w:p>
      <w:pPr>
        <w:tabs>
          <w:tab w:val="left" w:pos="397"/>
        </w:tabs>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w:t>
      </w:r>
      <w:r>
        <w:rPr>
          <w:rFonts w:hint="default" w:ascii="Times New Roman" w:hAnsi="Times New Roman" w:cs="Times New Roman"/>
          <w:bCs/>
          <w:color w:val="auto"/>
          <w:sz w:val="24"/>
          <w:szCs w:val="24"/>
          <w:highlight w:val="none"/>
        </w:rPr>
        <w:t>．</w:t>
      </w:r>
      <w:r>
        <w:rPr>
          <w:rFonts w:hint="default" w:ascii="Times New Roman" w:hAnsi="Times New Roman" w:cs="Times New Roman"/>
          <w:color w:val="auto"/>
          <w:sz w:val="24"/>
          <w:szCs w:val="24"/>
          <w:highlight w:val="none"/>
        </w:rPr>
        <w:t>做到防尘、防火、集中收集废水及其他废弃物工作，避免火灾和环</w:t>
      </w:r>
      <w:r>
        <w:rPr>
          <w:rFonts w:hint="eastAsia" w:cs="Times New Roman"/>
          <w:color w:val="auto"/>
          <w:sz w:val="24"/>
          <w:szCs w:val="24"/>
          <w:highlight w:val="none"/>
          <w:lang w:eastAsia="zh-CN"/>
        </w:rPr>
        <w:t>境</w:t>
      </w:r>
      <w:r>
        <w:rPr>
          <w:rFonts w:hint="default" w:ascii="Times New Roman" w:hAnsi="Times New Roman" w:cs="Times New Roman"/>
          <w:color w:val="auto"/>
          <w:sz w:val="24"/>
          <w:szCs w:val="24"/>
          <w:highlight w:val="none"/>
        </w:rPr>
        <w:t>污染对古树造成的伤害；</w:t>
      </w:r>
    </w:p>
    <w:p>
      <w:pPr>
        <w:tabs>
          <w:tab w:val="left" w:pos="397"/>
        </w:tabs>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D.对以上古树设置围栏进行就地保护。</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古树保护责任单位对每棵古树进行档案登记，包括古树的名称、直径、树龄、特点、习性、保护注意事项等，负责浇灌、施肥、定期上药，并配备专用工具。</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场地平整前对古树进行圈禁，以古树为中心，设立半径2m的保护区，采用浆砌石加钢丝围栏进行圈禁，浆砌石墙顶宽0.6m，其上钢丝围栏设置高度1m，并挂宣传牌和警示标志，禁止在该区域进行场地平整、存料等施工活动。</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对于古树圈禁区外的场地平整和存料等施工活动，采取截排水措施，保障排水顺畅，保障古树及周边不出现渍水现象。</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d</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在涉及古树的施工合同中，明确施工单位对古树的保护责任及保护重要性；树周边场平期间，施工单位要定期</w:t>
      </w:r>
      <w:r>
        <w:rPr>
          <w:rFonts w:hint="eastAsia" w:cs="Times New Roman"/>
          <w:color w:val="auto"/>
          <w:sz w:val="24"/>
          <w:szCs w:val="24"/>
          <w:highlight w:val="none"/>
          <w:lang w:eastAsia="zh-CN"/>
        </w:rPr>
        <w:t>询问</w:t>
      </w:r>
      <w:r>
        <w:rPr>
          <w:rFonts w:hint="default" w:ascii="Times New Roman" w:hAnsi="Times New Roman" w:cs="Times New Roman"/>
          <w:color w:val="auto"/>
          <w:sz w:val="24"/>
          <w:szCs w:val="24"/>
          <w:highlight w:val="none"/>
        </w:rPr>
        <w:t>周边施工情况，一旦发现问题，及时进行处置。</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E.施工期应做好施工场地和运输车辆的防尘清洁工作，同时应定期冲刷运输公路，减少扬尘来源，并定期对施工场地进行洒水抑尘，减少扬尘扩散。当周边古树植物体上积有较多扬尘时，可用水清除，以减轻扬尘对其生长的影响。</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F.施工期划定施工范围，同时对施工人员进行宣传教育，加强对施工人员管理，避免人为破坏古树群系及其所在区域生境。</w:t>
      </w:r>
    </w:p>
    <w:p>
      <w:pPr>
        <w:pStyle w:val="5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left"/>
        <w:textAlignment w:val="auto"/>
        <w:outlineLvl w:val="9"/>
        <w:rPr>
          <w:rFonts w:hint="default" w:cs="Times New Roman"/>
          <w:b/>
          <w:bCs/>
          <w:color w:val="auto"/>
          <w:sz w:val="28"/>
          <w:szCs w:val="28"/>
          <w:highlight w:val="none"/>
          <w:lang w:val="en-US" w:eastAsia="zh-CN"/>
        </w:rPr>
      </w:pPr>
      <w:r>
        <w:rPr>
          <w:rFonts w:hint="default" w:cs="Times New Roman"/>
          <w:b/>
          <w:bCs/>
          <w:color w:val="auto"/>
          <w:sz w:val="28"/>
          <w:szCs w:val="28"/>
          <w:highlight w:val="none"/>
          <w:lang w:val="en-US" w:eastAsia="zh-CN"/>
        </w:rPr>
        <w:t>6、对外来入侵植物的防治措施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目前防止外来物种入侵的方法主要有植物检疫、人工方法防治、化学方法防治、生物防治等。结合工程特点，建议采取以下措施防止外来物种的入侵：</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（1）加大宣传力度，加强对外来入侵物种的识别能力，并对外来物种的危害以及传播途径向施工人员进行宣传。</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（2）施工期加强对施工材料的植物检疫工作；运营期严格对经过工程路段运输植物、木材等车辆进行植物检疫，避免带入新的外来入侵物种。</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（3）加快对工程区域内裸地的植被恢复进度，植被恢复时要以当地阔叶乔灌木种类为主，尽量密植或营造复层植物群落，迅速占领裸露空间，限制外来植物侵入。</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bookmarkStart w:id="250" w:name="_Toc130573060"/>
      <w:bookmarkStart w:id="251" w:name="_Toc24900"/>
      <w:r>
        <w:rPr>
          <w:rFonts w:hint="default" w:ascii="Times New Roman" w:hAnsi="Times New Roman" w:eastAsia="宋体" w:cs="Times New Roman"/>
          <w:b/>
          <w:bCs/>
          <w:color w:val="auto"/>
          <w:kern w:val="0"/>
          <w:sz w:val="24"/>
          <w:szCs w:val="24"/>
          <w:highlight w:val="none"/>
          <w:lang w:val="en-US" w:eastAsia="zh-CN" w:bidi="ar"/>
        </w:rPr>
        <w:t>2、对陆生动物的保护措施</w:t>
      </w:r>
      <w:bookmarkEnd w:id="250"/>
      <w:bookmarkEnd w:id="251"/>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（1）避让措施</w:t>
      </w:r>
    </w:p>
    <w:p>
      <w:pPr>
        <w:keepNext w:val="0"/>
        <w:keepLines w:val="0"/>
        <w:pageBreakBefore w:val="0"/>
        <w:widowControl w:val="0"/>
        <w:numPr>
          <w:ilvl w:val="0"/>
          <w:numId w:val="0"/>
        </w:numPr>
        <w:tabs>
          <w:tab w:val="left" w:pos="4822"/>
        </w:tabs>
        <w:kinsoku/>
        <w:wordWrap/>
        <w:overflowPunct/>
        <w:topLinePunct w:val="0"/>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olor w:val="auto"/>
          <w:sz w:val="24"/>
          <w:szCs w:val="24"/>
          <w:highlight w:val="none"/>
        </w:rPr>
      </w:pPr>
      <w:r>
        <w:rPr>
          <w:rFonts w:hint="default"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草地</w:t>
      </w:r>
      <w:r>
        <w:rPr>
          <w:rFonts w:hint="default" w:ascii="Times New Roman" w:hAnsi="Times New Roman" w:eastAsia="宋体" w:cs="Times New Roman"/>
          <w:color w:val="auto"/>
          <w:sz w:val="24"/>
          <w:szCs w:val="24"/>
          <w:highlight w:val="none"/>
        </w:rPr>
        <w:t>区域施工时，限制施工人员活动区域，尽量减少施工人员活动对区域内野生动物的惊扰。加强施工人员的各类卫生管理（如个人卫生、粪便和生活污水），避免生活污水的直接排放，减少水体污染，保护动物的生境免受污染。</w:t>
      </w:r>
    </w:p>
    <w:p>
      <w:pPr>
        <w:keepNext w:val="0"/>
        <w:keepLines w:val="0"/>
        <w:pageBreakBefore w:val="0"/>
        <w:widowControl w:val="0"/>
        <w:numPr>
          <w:ilvl w:val="0"/>
          <w:numId w:val="19"/>
        </w:numPr>
        <w:tabs>
          <w:tab w:val="left" w:pos="4822"/>
        </w:tabs>
        <w:kinsoku/>
        <w:wordWrap/>
        <w:overflowPunct/>
        <w:topLinePunct w:val="0"/>
        <w:autoSpaceDE/>
        <w:autoSpaceDN/>
        <w:bidi w:val="0"/>
        <w:adjustRightInd/>
        <w:snapToGrid/>
        <w:spacing w:line="360" w:lineRule="auto"/>
        <w:ind w:left="482" w:left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建设项目施工过程中对施工原材料堆放区域进行严格监管，防止其被雨</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水冲刷流入附近水域，破坏水环境。</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ind w:left="482" w:leftChars="0"/>
        <w:textAlignment w:val="auto"/>
        <w:rPr>
          <w:rFonts w:hint="default" w:ascii="Times New Roman" w:hAnsi="Times New Roman" w:eastAsia="宋体" w:cs="Times New Roman"/>
          <w:color w:val="auto"/>
          <w:sz w:val="24"/>
          <w:szCs w:val="24"/>
          <w:highlight w:val="none"/>
        </w:rPr>
      </w:pPr>
      <w:r>
        <w:rPr>
          <w:rFonts w:hint="default"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施工人员生活垃圾</w:t>
      </w:r>
      <w:r>
        <w:rPr>
          <w:rFonts w:hint="default" w:ascii="Times New Roman" w:hAnsi="Times New Roman" w:eastAsia="宋体" w:cs="Times New Roman"/>
          <w:color w:val="auto"/>
          <w:sz w:val="24"/>
          <w:szCs w:val="24"/>
          <w:highlight w:val="none"/>
        </w:rPr>
        <w:t>采用封闭式，防止鼠类、鸦科类动物聚集，改变区域</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内动物分布格局。此外对垃圾及时清理，并进行生态无害化处理，防止垃圾堆放对区域内生态环境的污染。</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（2）减缓措施</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按照《建筑施工场界环境噪声排放标准》（GB12523-2011）要求，严格</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控制施工噪声。</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ind w:left="482" w:leftChars="0"/>
        <w:textAlignment w:val="auto"/>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禁止使用超过国家标准的机械，机械施工时要采取加防震垫，隔音罩等</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措施。</w:t>
      </w:r>
    </w:p>
    <w:p>
      <w:pPr>
        <w:keepNext w:val="0"/>
        <w:keepLines w:val="0"/>
        <w:pageBreakBefore w:val="0"/>
        <w:widowControl w:val="0"/>
        <w:numPr>
          <w:ilvl w:val="-1"/>
          <w:numId w:val="0"/>
        </w:numPr>
        <w:tabs>
          <w:tab w:val="left" w:pos="4822"/>
        </w:tabs>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施工期间加强施工人员的各类卫生管理，避免生活污水的直接排放和生活垃圾的随意丢弃，减少水体污染，保护动物的生境。</w:t>
      </w:r>
    </w:p>
    <w:p>
      <w:pPr>
        <w:keepNext w:val="0"/>
        <w:keepLines w:val="0"/>
        <w:pageBreakBefore w:val="0"/>
        <w:widowControl w:val="0"/>
        <w:numPr>
          <w:ilvl w:val="0"/>
          <w:numId w:val="19"/>
        </w:numPr>
        <w:tabs>
          <w:tab w:val="left" w:pos="4822"/>
        </w:tabs>
        <w:kinsoku/>
        <w:wordWrap/>
        <w:overflowPunct/>
        <w:topLinePunct w:val="0"/>
        <w:autoSpaceDE/>
        <w:autoSpaceDN/>
        <w:bidi w:val="0"/>
        <w:adjustRightInd/>
        <w:snapToGrid/>
        <w:spacing w:line="360" w:lineRule="auto"/>
        <w:ind w:left="482" w:leftChars="0"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禁止夜间施工，选用先进的施工工艺和设备，减少灯光、施工噪音和振</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动的对区域内动物的影响。</w:t>
      </w:r>
    </w:p>
    <w:p>
      <w:pPr>
        <w:keepNext w:val="0"/>
        <w:keepLines w:val="0"/>
        <w:pageBreakBefore w:val="0"/>
        <w:widowControl w:val="0"/>
        <w:numPr>
          <w:ilvl w:val="0"/>
          <w:numId w:val="0"/>
        </w:numPr>
        <w:tabs>
          <w:tab w:val="left" w:pos="4822"/>
        </w:tabs>
        <w:kinsoku/>
        <w:wordWrap/>
        <w:overflowPunct/>
        <w:topLinePunct w:val="0"/>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施工期间，在施工作业区设置生态保护警示牌。警示牌上标明工程施工区范围，禁止越界施工占地或砍伐林木、禁止捕猎动物，尽量减少占地造成的植被损失和对动物的伤害。</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5</w:t>
      </w:r>
      <w:r>
        <w:rPr>
          <w:rFonts w:hint="default"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为了保护鸟类，</w:t>
      </w:r>
      <w:r>
        <w:rPr>
          <w:rFonts w:hint="default" w:ascii="Times New Roman" w:hAnsi="Times New Roman" w:eastAsia="宋体" w:cs="Times New Roman"/>
          <w:color w:val="auto"/>
          <w:sz w:val="24"/>
          <w:szCs w:val="24"/>
          <w:highlight w:val="none"/>
          <w:lang w:val="en-US" w:eastAsia="zh-CN"/>
        </w:rPr>
        <w:t>限制夜间灯光的使用时间或</w:t>
      </w:r>
      <w:r>
        <w:rPr>
          <w:rFonts w:hint="default" w:ascii="Times New Roman" w:hAnsi="Times New Roman" w:eastAsia="宋体" w:cs="Times New Roman"/>
          <w:color w:val="auto"/>
          <w:sz w:val="24"/>
          <w:szCs w:val="24"/>
          <w:highlight w:val="none"/>
        </w:rPr>
        <w:t>使用环保照明设备等。</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（3）修复和补偿措施</w:t>
      </w:r>
    </w:p>
    <w:p>
      <w:pPr>
        <w:adjustRightInd w:val="0"/>
        <w:snapToGrid w:val="0"/>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项目实施</w:t>
      </w:r>
      <w:r>
        <w:rPr>
          <w:rFonts w:hint="default" w:ascii="Times New Roman" w:hAnsi="Times New Roman" w:cs="Times New Roman"/>
          <w:color w:val="auto"/>
          <w:sz w:val="24"/>
          <w:szCs w:val="24"/>
          <w:highlight w:val="none"/>
        </w:rPr>
        <w:t>占用了动物</w:t>
      </w:r>
      <w:r>
        <w:rPr>
          <w:rFonts w:hint="default" w:ascii="Times New Roman" w:hAnsi="Times New Roman" w:cs="Times New Roman"/>
          <w:color w:val="auto"/>
          <w:sz w:val="24"/>
          <w:szCs w:val="24"/>
          <w:highlight w:val="none"/>
          <w:lang w:val="en-US" w:eastAsia="zh-CN"/>
        </w:rPr>
        <w:t>部分</w:t>
      </w:r>
      <w:r>
        <w:rPr>
          <w:rFonts w:hint="default" w:ascii="Times New Roman" w:hAnsi="Times New Roman" w:cs="Times New Roman"/>
          <w:color w:val="auto"/>
          <w:sz w:val="24"/>
          <w:szCs w:val="24"/>
          <w:highlight w:val="none"/>
        </w:rPr>
        <w:t>生境，</w:t>
      </w:r>
      <w:r>
        <w:rPr>
          <w:rFonts w:hint="eastAsia" w:cs="Times New Roman"/>
          <w:color w:val="auto"/>
          <w:sz w:val="24"/>
          <w:szCs w:val="24"/>
          <w:highlight w:val="none"/>
          <w:lang w:eastAsia="zh-CN"/>
        </w:rPr>
        <w:t>工程</w:t>
      </w:r>
      <w:r>
        <w:rPr>
          <w:rFonts w:hint="default" w:ascii="Times New Roman" w:hAnsi="Times New Roman" w:cs="Times New Roman"/>
          <w:color w:val="auto"/>
          <w:sz w:val="24"/>
          <w:szCs w:val="24"/>
          <w:highlight w:val="none"/>
        </w:rPr>
        <w:t>完工后对临时占地区如</w:t>
      </w:r>
      <w:r>
        <w:rPr>
          <w:rFonts w:hint="default" w:ascii="Times New Roman" w:hAnsi="Times New Roman" w:cs="Times New Roman"/>
          <w:color w:val="auto"/>
          <w:sz w:val="24"/>
          <w:szCs w:val="24"/>
          <w:highlight w:val="none"/>
          <w:lang w:val="en-US" w:eastAsia="zh-CN"/>
        </w:rPr>
        <w:t>临时堆料场</w:t>
      </w:r>
      <w:r>
        <w:rPr>
          <w:rFonts w:hint="default" w:ascii="Times New Roman" w:hAnsi="Times New Roman" w:cs="Times New Roman"/>
          <w:color w:val="auto"/>
          <w:sz w:val="24"/>
          <w:szCs w:val="24"/>
          <w:highlight w:val="none"/>
        </w:rPr>
        <w:t>、临时道路</w:t>
      </w:r>
      <w:r>
        <w:rPr>
          <w:rFonts w:hint="default" w:ascii="Times New Roman" w:hAnsi="Times New Roman" w:cs="Times New Roman"/>
          <w:color w:val="auto"/>
          <w:sz w:val="24"/>
          <w:szCs w:val="24"/>
          <w:highlight w:val="none"/>
          <w:lang w:val="en-US" w:eastAsia="zh-CN"/>
        </w:rPr>
        <w:t>等区域</w:t>
      </w:r>
      <w:r>
        <w:rPr>
          <w:rFonts w:hint="default" w:ascii="Times New Roman" w:hAnsi="Times New Roman" w:cs="Times New Roman"/>
          <w:color w:val="auto"/>
          <w:sz w:val="24"/>
          <w:szCs w:val="24"/>
          <w:highlight w:val="none"/>
        </w:rPr>
        <w:t>使用本土易于生长的本土植被进行复绿，尽量减少生境破坏对动物的不利影响。由于</w:t>
      </w:r>
      <w:r>
        <w:rPr>
          <w:rFonts w:hint="default" w:ascii="Times New Roman" w:hAnsi="Times New Roman"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rPr>
        <w:t>建设和运行期间会对</w:t>
      </w:r>
      <w:r>
        <w:rPr>
          <w:rFonts w:hint="default" w:ascii="Times New Roman" w:hAnsi="Times New Roman" w:cs="Times New Roman"/>
          <w:color w:val="auto"/>
          <w:sz w:val="24"/>
          <w:szCs w:val="24"/>
          <w:highlight w:val="none"/>
          <w:lang w:val="en-US" w:eastAsia="zh-CN"/>
        </w:rPr>
        <w:t>区域内的</w:t>
      </w:r>
      <w:r>
        <w:rPr>
          <w:rFonts w:hint="default" w:ascii="Times New Roman" w:hAnsi="Times New Roman" w:cs="Times New Roman"/>
          <w:color w:val="auto"/>
          <w:sz w:val="24"/>
          <w:szCs w:val="24"/>
          <w:highlight w:val="none"/>
        </w:rPr>
        <w:t>动物造成一定影响。为保障</w:t>
      </w:r>
      <w:r>
        <w:rPr>
          <w:rFonts w:hint="default" w:ascii="Times New Roman" w:hAnsi="Times New Roman" w:cs="Times New Roman"/>
          <w:color w:val="auto"/>
          <w:sz w:val="24"/>
          <w:szCs w:val="24"/>
          <w:highlight w:val="none"/>
          <w:lang w:val="en-US" w:eastAsia="zh-CN"/>
        </w:rPr>
        <w:t>区域</w:t>
      </w:r>
      <w:r>
        <w:rPr>
          <w:rFonts w:hint="default" w:ascii="Times New Roman" w:hAnsi="Times New Roman" w:cs="Times New Roman"/>
          <w:color w:val="auto"/>
          <w:sz w:val="24"/>
          <w:szCs w:val="24"/>
          <w:highlight w:val="none"/>
        </w:rPr>
        <w:t>动物多样性，</w:t>
      </w:r>
      <w:r>
        <w:rPr>
          <w:rFonts w:hint="default" w:ascii="Times New Roman" w:hAnsi="Times New Roman" w:cs="Times New Roman"/>
          <w:color w:val="auto"/>
          <w:sz w:val="24"/>
          <w:szCs w:val="24"/>
          <w:highlight w:val="none"/>
          <w:lang w:val="en-US" w:eastAsia="zh-CN"/>
        </w:rPr>
        <w:t>增加游客观赏体验，</w:t>
      </w:r>
      <w:r>
        <w:rPr>
          <w:rFonts w:hint="default" w:ascii="Times New Roman" w:hAnsi="Times New Roman" w:cs="Times New Roman"/>
          <w:color w:val="auto"/>
          <w:sz w:val="24"/>
          <w:szCs w:val="24"/>
          <w:highlight w:val="none"/>
        </w:rPr>
        <w:t>可增加动物多样化的栖息生境。如结合补种乔灌木绿化工程，在</w:t>
      </w:r>
      <w:r>
        <w:rPr>
          <w:rFonts w:hint="default" w:ascii="Times New Roman" w:hAnsi="Times New Roman" w:cs="Times New Roman"/>
          <w:color w:val="auto"/>
          <w:sz w:val="24"/>
          <w:szCs w:val="24"/>
          <w:highlight w:val="none"/>
          <w:lang w:val="en-US" w:eastAsia="zh-CN"/>
        </w:rPr>
        <w:t>湘江边</w:t>
      </w:r>
      <w:r>
        <w:rPr>
          <w:rFonts w:hint="default" w:ascii="Times New Roman" w:hAnsi="Times New Roman" w:cs="Times New Roman"/>
          <w:color w:val="auto"/>
          <w:sz w:val="24"/>
          <w:szCs w:val="24"/>
          <w:highlight w:val="none"/>
        </w:rPr>
        <w:t>植被退化的浅水区、滩地和荒地营造挺水植物、湿生植物和耐湿陆生植物带，增加动物的栖息生境。</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（4）管理措施</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color w:val="auto"/>
          <w:sz w:val="24"/>
          <w:szCs w:val="24"/>
          <w:highlight w:val="none"/>
        </w:rPr>
      </w:pPr>
      <w:r>
        <w:rPr>
          <w:rFonts w:hint="default"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加强对工程施工人员的生态教育和野生动物保护教育，加强宣传力度。</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采用在工程施工</w:t>
      </w:r>
      <w:r>
        <w:rPr>
          <w:rFonts w:hint="default" w:ascii="Times New Roman" w:hAnsi="Times New Roman" w:eastAsia="宋体" w:cs="Times New Roman"/>
          <w:color w:val="auto"/>
          <w:sz w:val="24"/>
          <w:szCs w:val="24"/>
          <w:highlight w:val="none"/>
          <w:lang w:val="en-US" w:eastAsia="zh-CN"/>
        </w:rPr>
        <w:t>区</w:t>
      </w:r>
      <w:r>
        <w:rPr>
          <w:rFonts w:hint="default" w:ascii="Times New Roman" w:hAnsi="Times New Roman" w:eastAsia="宋体" w:cs="Times New Roman"/>
          <w:color w:val="auto"/>
          <w:sz w:val="24"/>
          <w:szCs w:val="24"/>
          <w:highlight w:val="none"/>
        </w:rPr>
        <w:t>分发宣传资料和制作重点保护野生动物板报、日常工作会议中重点告示的方式宣传《中华人民共和国野生动物保护法》《森林和野生动物类型自然保护区管理办法》《中华人民共和国陆生野生动物保护实施条例》等相关法律法规及条例，提高施工和管理人员的保护意识，严禁捕猎野生动物的行为。</w:t>
      </w:r>
    </w:p>
    <w:p>
      <w:pPr>
        <w:keepNext w:val="0"/>
        <w:keepLines w:val="0"/>
        <w:pageBreakBefore w:val="0"/>
        <w:widowControl w:val="0"/>
        <w:numPr>
          <w:ilvl w:val="0"/>
          <w:numId w:val="20"/>
        </w:numPr>
        <w:tabs>
          <w:tab w:val="left" w:pos="4822"/>
        </w:tabs>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严格控制工程弃渣范围，虽然项目规划中作出弃渣范围的明确规定，但</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实际操作中往往可能因为实际弃渣范围内土质不符合路基建设工程要求需要进行变动而扩大弃渣范围，施工管理部门应严格监督实施工程弃渣规定，同时控制弃渣作业和运输车辆运行轨迹，避免扩大弃渣行为实际影响范围。</w:t>
      </w:r>
    </w:p>
    <w:p>
      <w:pPr>
        <w:keepNext w:val="0"/>
        <w:keepLines w:val="0"/>
        <w:pageBreakBefore w:val="0"/>
        <w:widowControl w:val="0"/>
        <w:numPr>
          <w:ilvl w:val="0"/>
          <w:numId w:val="20"/>
        </w:numPr>
        <w:tabs>
          <w:tab w:val="left" w:pos="4822"/>
        </w:tabs>
        <w:kinsoku/>
        <w:wordWrap/>
        <w:overflowPunct/>
        <w:topLinePunct w:val="0"/>
        <w:autoSpaceDE/>
        <w:autoSpaceDN/>
        <w:bidi w:val="0"/>
        <w:adjustRightInd/>
        <w:snapToGrid/>
        <w:spacing w:line="360" w:lineRule="auto"/>
        <w:ind w:left="420" w:leftChars="20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加强施工监控和管理。业主必须配备包括保护野生动物和生态环境在内</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的专职或兼职巡护人员，加强生态环境的监控和管理，防止人类开发活动加剧造成的诸如动植物资源的破坏、水环境污染和森林火灾等对当地生物多样性的破坏。</w:t>
      </w:r>
    </w:p>
    <w:p>
      <w:pPr>
        <w:keepNext w:val="0"/>
        <w:keepLines w:val="0"/>
        <w:pageBreakBefore w:val="0"/>
        <w:widowControl w:val="0"/>
        <w:numPr>
          <w:ilvl w:val="0"/>
          <w:numId w:val="20"/>
        </w:numPr>
        <w:tabs>
          <w:tab w:val="left" w:pos="4822"/>
        </w:tabs>
        <w:kinsoku/>
        <w:wordWrap/>
        <w:overflowPunct/>
        <w:topLinePunct w:val="0"/>
        <w:autoSpaceDE/>
        <w:autoSpaceDN/>
        <w:bidi w:val="0"/>
        <w:adjustRightInd/>
        <w:snapToGrid/>
        <w:spacing w:line="360" w:lineRule="auto"/>
        <w:ind w:left="420" w:leftChars="200"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运行期间，管理单位加强游览区域保洁工作，及时清理游客产生的垃圾</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对区域野生动物造成影响。</w:t>
      </w:r>
    </w:p>
    <w:p>
      <w:pPr>
        <w:keepNext w:val="0"/>
        <w:keepLines w:val="0"/>
        <w:pageBreakBefore w:val="0"/>
        <w:widowControl w:val="0"/>
        <w:numPr>
          <w:ilvl w:val="0"/>
          <w:numId w:val="20"/>
        </w:numPr>
        <w:tabs>
          <w:tab w:val="left" w:pos="4822"/>
        </w:tabs>
        <w:kinsoku/>
        <w:wordWrap/>
        <w:overflowPunct/>
        <w:topLinePunct w:val="0"/>
        <w:autoSpaceDE/>
        <w:autoSpaceDN/>
        <w:bidi w:val="0"/>
        <w:adjustRightInd/>
        <w:snapToGrid/>
        <w:spacing w:line="360" w:lineRule="auto"/>
        <w:ind w:left="420" w:leftChars="20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建立长期监测体系，进行持续动态监测研究。</w:t>
      </w:r>
      <w:r>
        <w:rPr>
          <w:rFonts w:hint="default" w:ascii="Times New Roman" w:hAnsi="Times New Roman" w:eastAsia="宋体" w:cs="Times New Roman"/>
          <w:color w:val="auto"/>
          <w:sz w:val="24"/>
          <w:szCs w:val="24"/>
          <w:highlight w:val="none"/>
          <w:lang w:val="en-US" w:eastAsia="zh-CN"/>
        </w:rPr>
        <w:t>城市公园对</w:t>
      </w:r>
      <w:r>
        <w:rPr>
          <w:rFonts w:hint="default" w:ascii="Times New Roman" w:hAnsi="Times New Roman" w:eastAsia="宋体" w:cs="Times New Roman"/>
          <w:color w:val="auto"/>
          <w:sz w:val="24"/>
          <w:szCs w:val="24"/>
          <w:highlight w:val="none"/>
        </w:rPr>
        <w:t>动物的影响研</w:t>
      </w:r>
    </w:p>
    <w:p>
      <w:pPr>
        <w:keepNext w:val="0"/>
        <w:keepLines w:val="0"/>
        <w:pageBreakBefore w:val="0"/>
        <w:widowControl w:val="0"/>
        <w:numPr>
          <w:ilvl w:val="0"/>
          <w:numId w:val="0"/>
        </w:numPr>
        <w:tabs>
          <w:tab w:val="left" w:pos="4822"/>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究需要进行长期的监测，在开展生态监测和研究是非常有必要的。</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（5）对重要动物的保护措施</w:t>
      </w:r>
    </w:p>
    <w:p>
      <w:pPr>
        <w:spacing w:line="360" w:lineRule="auto"/>
        <w:ind w:firstLine="480" w:firstLineChars="200"/>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rPr>
        <w:t>评价区内有国家二级重点保护动物</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种；湖南省级重点保护动物</w:t>
      </w:r>
      <w:r>
        <w:rPr>
          <w:rFonts w:hint="default" w:ascii="Times New Roman" w:hAnsi="Times New Roman" w:cs="Times New Roman"/>
          <w:color w:val="auto"/>
          <w:sz w:val="24"/>
          <w:szCs w:val="24"/>
          <w:highlight w:val="none"/>
          <w:lang w:val="en-US" w:eastAsia="zh-CN"/>
        </w:rPr>
        <w:t>65</w:t>
      </w:r>
      <w:r>
        <w:rPr>
          <w:rFonts w:hint="default" w:ascii="Times New Roman" w:hAnsi="Times New Roman" w:cs="Times New Roman"/>
          <w:color w:val="auto"/>
          <w:sz w:val="24"/>
          <w:szCs w:val="24"/>
          <w:highlight w:val="none"/>
        </w:rPr>
        <w:t>种；中国特有种</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种；被《中国生物多样性红色名录》评级为濒危（EN）的</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种、易危（VU）的</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种。</w:t>
      </w:r>
      <w:r>
        <w:rPr>
          <w:rFonts w:hint="default" w:ascii="Times New Roman" w:hAnsi="Times New Roman" w:cs="Times New Roman"/>
          <w:color w:val="auto"/>
          <w:sz w:val="24"/>
          <w:szCs w:val="24"/>
          <w:highlight w:val="none"/>
          <w:lang w:val="en-US" w:eastAsia="zh-CN"/>
        </w:rPr>
        <w:t>主要保护措施包括</w:t>
      </w:r>
      <w:r>
        <w:rPr>
          <w:rFonts w:hint="default" w:ascii="Times New Roman" w:hAnsi="Times New Roman" w:cs="Times New Roman"/>
          <w:color w:val="auto"/>
          <w:sz w:val="24"/>
          <w:szCs w:val="24"/>
          <w:highlight w:val="none"/>
        </w:rPr>
        <w:t>工程施工严格控制征地范围，</w:t>
      </w:r>
      <w:r>
        <w:rPr>
          <w:rFonts w:hint="default" w:ascii="Times New Roman" w:hAnsi="Times New Roman" w:cs="Times New Roman"/>
          <w:color w:val="auto"/>
          <w:sz w:val="24"/>
          <w:szCs w:val="24"/>
          <w:highlight w:val="none"/>
          <w:lang w:val="en-US" w:eastAsia="zh-CN"/>
        </w:rPr>
        <w:t>及时开展水土流失保持工作，</w:t>
      </w:r>
      <w:r>
        <w:rPr>
          <w:rFonts w:hint="default" w:ascii="Times New Roman" w:hAnsi="Times New Roman" w:cs="Times New Roman"/>
          <w:color w:val="auto"/>
          <w:sz w:val="24"/>
          <w:szCs w:val="24"/>
          <w:highlight w:val="none"/>
        </w:rPr>
        <w:t>及时对临时占地进行恢复，对永久占地周边进行绿化；选用低噪音设备，禁止正午和晨昏进行高噪声活动，做好施工</w:t>
      </w:r>
      <w:r>
        <w:rPr>
          <w:rFonts w:hint="default" w:ascii="Times New Roman" w:hAnsi="Times New Roman" w:cs="Times New Roman"/>
          <w:color w:val="auto"/>
          <w:sz w:val="24"/>
          <w:szCs w:val="24"/>
          <w:highlight w:val="none"/>
          <w:lang w:val="en-US" w:eastAsia="zh-CN"/>
        </w:rPr>
        <w:t>打桩</w:t>
      </w:r>
      <w:r>
        <w:rPr>
          <w:rFonts w:hint="default" w:ascii="Times New Roman" w:hAnsi="Times New Roman" w:cs="Times New Roman"/>
          <w:color w:val="auto"/>
          <w:sz w:val="24"/>
          <w:szCs w:val="24"/>
          <w:highlight w:val="none"/>
        </w:rPr>
        <w:t>方式、数量、时间的计划，减少</w:t>
      </w:r>
      <w:r>
        <w:rPr>
          <w:rFonts w:hint="default" w:ascii="Times New Roman" w:hAnsi="Times New Roman" w:cs="Times New Roman"/>
          <w:color w:val="auto"/>
          <w:sz w:val="24"/>
          <w:szCs w:val="24"/>
          <w:highlight w:val="none"/>
          <w:lang w:val="en-US" w:eastAsia="zh-CN"/>
        </w:rPr>
        <w:t>噪音</w:t>
      </w:r>
      <w:r>
        <w:rPr>
          <w:rFonts w:hint="default" w:ascii="Times New Roman" w:hAnsi="Times New Roman" w:cs="Times New Roman"/>
          <w:color w:val="auto"/>
          <w:sz w:val="24"/>
          <w:szCs w:val="24"/>
          <w:highlight w:val="none"/>
        </w:rPr>
        <w:t>对重点保护动物的影响。运行期加强动物的监测，及时掌握重点保护动物分布范围、数量、种类、栖息生境等</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对重要物种的保护措施如下表所示，由于湖南省级重点保护野生动物数量种类多，在区域常见，不一一列举。</w:t>
      </w:r>
    </w:p>
    <w:p>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0"/>
        <w:jc w:val="center"/>
        <w:textAlignment w:val="center"/>
        <w:outlineLvl w:val="9"/>
        <w:rPr>
          <w:rFonts w:hint="default" w:ascii="Times New Roman" w:hAnsi="Times New Roman" w:eastAsia="宋体" w:cs="Times New Roman"/>
          <w:b/>
          <w:color w:val="auto"/>
          <w:szCs w:val="24"/>
          <w:highlight w:val="none"/>
        </w:rPr>
      </w:pPr>
      <w:r>
        <w:rPr>
          <w:rFonts w:hint="default" w:ascii="Times New Roman" w:hAnsi="Times New Roman" w:eastAsia="宋体" w:cs="Times New Roman"/>
          <w:b/>
          <w:color w:val="auto"/>
          <w:szCs w:val="24"/>
          <w:highlight w:val="none"/>
        </w:rPr>
        <w:t>表</w:t>
      </w:r>
      <w:r>
        <w:rPr>
          <w:rFonts w:hint="default" w:cs="Times New Roman"/>
          <w:b/>
          <w:color w:val="auto"/>
          <w:szCs w:val="24"/>
          <w:highlight w:val="none"/>
          <w:lang w:val="en-US" w:eastAsia="zh-CN"/>
        </w:rPr>
        <w:t>6.</w:t>
      </w:r>
      <w:r>
        <w:rPr>
          <w:rFonts w:hint="eastAsia" w:ascii="Times New Roman" w:hAnsi="Times New Roman" w:cs="Times New Roman"/>
          <w:b/>
          <w:color w:val="auto"/>
          <w:szCs w:val="24"/>
          <w:highlight w:val="none"/>
          <w:lang w:val="en-US" w:eastAsia="zh-CN"/>
        </w:rPr>
        <w:t>3</w:t>
      </w:r>
      <w:r>
        <w:rPr>
          <w:rFonts w:hint="default" w:ascii="Times New Roman" w:hAnsi="Times New Roman" w:eastAsia="宋体" w:cs="Times New Roman"/>
          <w:b/>
          <w:color w:val="auto"/>
          <w:szCs w:val="24"/>
          <w:highlight w:val="none"/>
        </w:rPr>
        <w:t>-1 评价范围重要动物保护措施一览表</w:t>
      </w:r>
    </w:p>
    <w:tbl>
      <w:tblPr>
        <w:tblStyle w:val="22"/>
        <w:tblW w:w="861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669"/>
        <w:gridCol w:w="2687"/>
        <w:gridCol w:w="788"/>
        <w:gridCol w:w="706"/>
        <w:gridCol w:w="856"/>
        <w:gridCol w:w="291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tblHeader/>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编号</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种</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级别</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濒危</w:t>
            </w:r>
          </w:p>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等级</w:t>
            </w:r>
          </w:p>
        </w:tc>
        <w:tc>
          <w:tcPr>
            <w:tcW w:w="8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中国特有种</w:t>
            </w:r>
          </w:p>
        </w:tc>
        <w:tc>
          <w:tcPr>
            <w:tcW w:w="2911"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保护措施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中华鳖</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Pelodiscus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sinensis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color w:val="auto"/>
                <w:sz w:val="21"/>
                <w:szCs w:val="21"/>
                <w:highlight w:val="none"/>
                <w:lang w:val="en-US" w:eastAsia="zh-CN" w:bidi="ar"/>
              </w:rPr>
              <w:br w:type="textWrapping"/>
            </w:r>
            <w:r>
              <w:rPr>
                <w:rStyle w:val="64"/>
                <w:rFonts w:hint="default" w:ascii="Times New Roman" w:hAnsi="Times New Roman" w:eastAsia="宋体" w:cs="Times New Roman"/>
                <w:color w:val="auto"/>
                <w:sz w:val="21"/>
                <w:szCs w:val="21"/>
                <w:highlight w:val="none"/>
                <w:lang w:val="en-US" w:eastAsia="zh-CN" w:bidi="ar"/>
              </w:rPr>
              <w:t>省级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EN</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restart"/>
            <w:tcBorders>
              <w:tl2br w:val="nil"/>
              <w:tr2bl w:val="nil"/>
            </w:tcBorders>
            <w:shd w:val="clear" w:color="auto" w:fill="auto"/>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严格控制施工废水及生活污水的随意排放，加强水土保持工作和施工材料管理，降低工程对水环境的污染。</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乌龟</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Mauremys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reevesii</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EN</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continue"/>
            <w:tcBorders>
              <w:tl2br w:val="nil"/>
              <w:tr2bl w:val="nil"/>
            </w:tcBorders>
            <w:shd w:val="clear" w:color="auto" w:fill="auto"/>
            <w:vAlign w:val="center"/>
          </w:tcPr>
          <w:p>
            <w:pPr>
              <w:jc w:val="both"/>
              <w:rPr>
                <w:rFonts w:hint="default" w:ascii="Times New Roman" w:hAnsi="Times New Roman" w:eastAsia="宋体" w:cs="Times New Roman"/>
                <w:i w:val="0"/>
                <w:iCs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北草蜥</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Takydromus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septentrionalis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color w:val="auto"/>
                <w:sz w:val="21"/>
                <w:szCs w:val="21"/>
                <w:highlight w:val="none"/>
                <w:lang w:val="en-US" w:eastAsia="zh-CN" w:bidi="ar"/>
              </w:rPr>
              <w:br w:type="textWrapping"/>
            </w:r>
            <w:r>
              <w:rPr>
                <w:rStyle w:val="64"/>
                <w:rFonts w:hint="default" w:ascii="Times New Roman" w:hAnsi="Times New Roman" w:eastAsia="宋体" w:cs="Times New Roman"/>
                <w:color w:val="auto"/>
                <w:sz w:val="21"/>
                <w:szCs w:val="21"/>
                <w:highlight w:val="none"/>
                <w:lang w:val="en-US" w:eastAsia="zh-CN" w:bidi="ar"/>
              </w:rPr>
              <w:t>省级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8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11" w:type="dxa"/>
            <w:vMerge w:val="restart"/>
            <w:tcBorders>
              <w:tl2br w:val="nil"/>
              <w:tr2bl w:val="nil"/>
            </w:tcBorders>
            <w:shd w:val="clear" w:color="auto" w:fill="auto"/>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工程完工后对临时占地区使用本土植被进行复绿；限制施工活动范围，禁止越界施工。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尖吻蝮</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Deinagkistrodon</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acutus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color w:val="auto"/>
                <w:sz w:val="21"/>
                <w:szCs w:val="21"/>
                <w:highlight w:val="none"/>
                <w:lang w:val="en-US" w:eastAsia="zh-CN" w:bidi="ar"/>
              </w:rPr>
              <w:br w:type="textWrapping"/>
            </w:r>
            <w:r>
              <w:rPr>
                <w:rStyle w:val="64"/>
                <w:rFonts w:hint="default" w:ascii="Times New Roman" w:hAnsi="Times New Roman" w:eastAsia="宋体" w:cs="Times New Roman"/>
                <w:color w:val="auto"/>
                <w:sz w:val="21"/>
                <w:szCs w:val="21"/>
                <w:highlight w:val="none"/>
                <w:lang w:val="en-US" w:eastAsia="zh-CN" w:bidi="ar"/>
              </w:rPr>
              <w:t>省级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VU</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continue"/>
            <w:tcBorders>
              <w:tl2br w:val="nil"/>
              <w:tr2bl w:val="nil"/>
            </w:tcBorders>
            <w:shd w:val="clear" w:color="auto" w:fill="auto"/>
            <w:vAlign w:val="center"/>
          </w:tcPr>
          <w:p>
            <w:pPr>
              <w:jc w:val="both"/>
              <w:rPr>
                <w:rFonts w:hint="default" w:ascii="Times New Roman" w:hAnsi="Times New Roman" w:eastAsia="宋体" w:cs="Times New Roman"/>
                <w:i w:val="0"/>
                <w:iCs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乌梢蛇</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Ptyas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dhumnades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color w:val="auto"/>
                <w:sz w:val="21"/>
                <w:szCs w:val="21"/>
                <w:highlight w:val="none"/>
                <w:lang w:val="en-US" w:eastAsia="zh-CN" w:bidi="ar"/>
              </w:rPr>
              <w:br w:type="textWrapping"/>
            </w:r>
            <w:r>
              <w:rPr>
                <w:rStyle w:val="64"/>
                <w:rFonts w:hint="default" w:ascii="Times New Roman" w:hAnsi="Times New Roman" w:eastAsia="宋体" w:cs="Times New Roman"/>
                <w:color w:val="auto"/>
                <w:sz w:val="21"/>
                <w:szCs w:val="21"/>
                <w:highlight w:val="none"/>
                <w:lang w:val="en-US" w:eastAsia="zh-CN" w:bidi="ar"/>
              </w:rPr>
              <w:t>省级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VU</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continue"/>
            <w:tcBorders>
              <w:tl2br w:val="nil"/>
              <w:tr2bl w:val="nil"/>
            </w:tcBorders>
            <w:shd w:val="clear" w:color="auto" w:fill="auto"/>
            <w:vAlign w:val="center"/>
          </w:tcPr>
          <w:p>
            <w:pPr>
              <w:jc w:val="both"/>
              <w:rPr>
                <w:rFonts w:hint="default" w:ascii="Times New Roman" w:hAnsi="Times New Roman" w:eastAsia="宋体" w:cs="Times New Roman"/>
                <w:i w:val="0"/>
                <w:iCs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黑眉锦蛇</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Elaphe</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taeniurus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color w:val="auto"/>
                <w:sz w:val="21"/>
                <w:szCs w:val="21"/>
                <w:highlight w:val="none"/>
                <w:lang w:val="en-US" w:eastAsia="zh-CN" w:bidi="ar"/>
              </w:rPr>
              <w:br w:type="textWrapping"/>
            </w:r>
            <w:r>
              <w:rPr>
                <w:rStyle w:val="64"/>
                <w:rFonts w:hint="default" w:ascii="Times New Roman" w:hAnsi="Times New Roman" w:eastAsia="宋体" w:cs="Times New Roman"/>
                <w:color w:val="auto"/>
                <w:sz w:val="21"/>
                <w:szCs w:val="21"/>
                <w:highlight w:val="none"/>
                <w:lang w:val="en-US" w:eastAsia="zh-CN" w:bidi="ar"/>
              </w:rPr>
              <w:t>省级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VU</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continue"/>
            <w:tcBorders>
              <w:tl2br w:val="nil"/>
              <w:tr2bl w:val="nil"/>
            </w:tcBorders>
            <w:shd w:val="clear" w:color="auto" w:fill="auto"/>
            <w:vAlign w:val="center"/>
          </w:tcPr>
          <w:p>
            <w:pPr>
              <w:jc w:val="both"/>
              <w:rPr>
                <w:rFonts w:hint="default" w:ascii="Times New Roman" w:hAnsi="Times New Roman" w:eastAsia="宋体" w:cs="Times New Roman"/>
                <w:i w:val="0"/>
                <w:iCs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黑翅鸢</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Elanus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caeruleus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NT</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restart"/>
            <w:tcBorders>
              <w:tl2br w:val="nil"/>
              <w:tr2bl w:val="nil"/>
            </w:tcBorders>
            <w:shd w:val="clear" w:color="auto" w:fill="auto"/>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优化施工方案，尽量避免使用高噪声的设备施工；加强管理，严禁捕鸟、破坏鸟巢；限制夜间灯光使用时间。</w:t>
            </w:r>
          </w:p>
        </w:tc>
      </w:tr>
      <w:tr>
        <w:tblPrEx>
          <w:shd w:val="clear" w:color="auto" w:fill="auto"/>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黑鸢</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Milvus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migrans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continue"/>
            <w:tcBorders>
              <w:tl2br w:val="nil"/>
              <w:tr2bl w:val="nil"/>
            </w:tcBorders>
            <w:shd w:val="clear" w:color="auto" w:fill="auto"/>
            <w:vAlign w:val="center"/>
          </w:tcPr>
          <w:p>
            <w:pPr>
              <w:jc w:val="both"/>
              <w:rPr>
                <w:rFonts w:hint="default" w:ascii="Times New Roman" w:hAnsi="Times New Roman" w:eastAsia="宋体" w:cs="Times New Roman"/>
                <w:i w:val="0"/>
                <w:iCs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白胸翡翠</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Halcyon</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smyrnensis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continue"/>
            <w:tcBorders>
              <w:tl2br w:val="nil"/>
              <w:tr2bl w:val="nil"/>
            </w:tcBorders>
            <w:shd w:val="clear" w:color="auto" w:fill="auto"/>
            <w:vAlign w:val="center"/>
          </w:tcPr>
          <w:p>
            <w:pPr>
              <w:jc w:val="both"/>
              <w:rPr>
                <w:rFonts w:hint="default" w:ascii="Times New Roman" w:hAnsi="Times New Roman" w:eastAsia="宋体" w:cs="Times New Roman"/>
                <w:i w:val="0"/>
                <w:iCs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黄腹山雀</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Pardaliparus</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venustulus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湖南</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省级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85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11" w:type="dxa"/>
            <w:vMerge w:val="continue"/>
            <w:tcBorders>
              <w:tl2br w:val="nil"/>
              <w:tr2bl w:val="nil"/>
            </w:tcBorders>
            <w:shd w:val="clear" w:color="auto" w:fill="auto"/>
            <w:vAlign w:val="center"/>
          </w:tcPr>
          <w:p>
            <w:pPr>
              <w:jc w:val="both"/>
              <w:rPr>
                <w:rFonts w:hint="default" w:ascii="Times New Roman" w:hAnsi="Times New Roman" w:eastAsia="宋体" w:cs="Times New Roman"/>
                <w:i w:val="0"/>
                <w:iCs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画眉</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Garrulax</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canorus</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NT</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continue"/>
            <w:tcBorders>
              <w:tl2br w:val="nil"/>
              <w:tr2bl w:val="nil"/>
            </w:tcBorders>
            <w:shd w:val="clear" w:color="auto" w:fill="auto"/>
            <w:vAlign w:val="center"/>
          </w:tcPr>
          <w:p>
            <w:pPr>
              <w:jc w:val="both"/>
              <w:rPr>
                <w:rFonts w:hint="default" w:ascii="Times New Roman" w:hAnsi="Times New Roman" w:eastAsia="宋体" w:cs="Times New Roman"/>
                <w:i w:val="0"/>
                <w:iCs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3" w:hRule="atLeast"/>
          <w:jc w:val="center"/>
        </w:trPr>
        <w:tc>
          <w:tcPr>
            <w:tcW w:w="6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26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红嘴相思鸟</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iCs/>
                <w:color w:val="auto"/>
                <w:kern w:val="0"/>
                <w:sz w:val="21"/>
                <w:szCs w:val="21"/>
                <w:highlight w:val="none"/>
                <w:u w:val="none"/>
                <w:lang w:val="en-US" w:eastAsia="zh-CN" w:bidi="ar"/>
              </w:rPr>
              <w:t>Leiothrix</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iCs/>
                <w:color w:val="auto"/>
                <w:kern w:val="0"/>
                <w:sz w:val="21"/>
                <w:szCs w:val="21"/>
                <w:highlight w:val="none"/>
                <w:u w:val="none"/>
                <w:lang w:val="en-US" w:eastAsia="zh-CN" w:bidi="ar"/>
              </w:rPr>
              <w:t>lutea</w:t>
            </w:r>
          </w:p>
        </w:tc>
        <w:tc>
          <w:tcPr>
            <w:tcW w:w="78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国家</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二级</w:t>
            </w:r>
          </w:p>
        </w:tc>
        <w:tc>
          <w:tcPr>
            <w:tcW w:w="70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LC</w:t>
            </w:r>
          </w:p>
        </w:tc>
        <w:tc>
          <w:tcPr>
            <w:tcW w:w="856" w:type="dxa"/>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911" w:type="dxa"/>
            <w:vMerge w:val="continue"/>
            <w:tcBorders>
              <w:tl2br w:val="nil"/>
              <w:tr2bl w:val="nil"/>
            </w:tcBorders>
            <w:shd w:val="clear" w:color="auto" w:fill="auto"/>
            <w:vAlign w:val="center"/>
          </w:tcPr>
          <w:p>
            <w:pPr>
              <w:jc w:val="both"/>
              <w:rPr>
                <w:rFonts w:hint="default" w:ascii="Times New Roman" w:hAnsi="Times New Roman" w:eastAsia="宋体" w:cs="Times New Roman"/>
                <w:i w:val="0"/>
                <w:iCs w:val="0"/>
                <w:color w:val="auto"/>
                <w:sz w:val="21"/>
                <w:szCs w:val="21"/>
                <w:highlight w:val="none"/>
                <w:u w:val="none"/>
              </w:rPr>
            </w:pP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6.3.3生态恢复措施</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w:t>
      </w: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主体工程</w:t>
      </w:r>
    </w:p>
    <w:p>
      <w:pPr>
        <w:spacing w:line="360" w:lineRule="auto"/>
        <w:ind w:firstLine="480" w:firstLineChars="200"/>
        <w:rPr>
          <w:rFonts w:hint="default" w:cs="Times New Roman"/>
          <w:color w:val="auto"/>
          <w:sz w:val="24"/>
          <w:szCs w:val="24"/>
          <w:highlight w:val="none"/>
          <w:lang w:eastAsia="zh-CN"/>
        </w:rPr>
      </w:pPr>
      <w:r>
        <w:rPr>
          <w:rFonts w:hint="default" w:ascii="Times New Roman" w:hAnsi="Times New Roman" w:cs="Times New Roman"/>
          <w:color w:val="auto"/>
          <w:sz w:val="24"/>
          <w:szCs w:val="24"/>
          <w:highlight w:val="none"/>
        </w:rPr>
        <w:t>主体工程施工前对占地采取表土剥离措施，平均剥离厚度</w:t>
      </w:r>
      <w:r>
        <w:rPr>
          <w:rFonts w:hint="default" w:cs="Times New Roman"/>
          <w:color w:val="auto"/>
          <w:sz w:val="24"/>
          <w:szCs w:val="24"/>
          <w:highlight w:val="none"/>
          <w:lang w:val="en-US" w:eastAsia="zh-CN"/>
        </w:rPr>
        <w:t>0.5</w:t>
      </w:r>
      <w:r>
        <w:rPr>
          <w:rFonts w:hint="default" w:ascii="Times New Roman" w:hAnsi="Times New Roman" w:cs="Times New Roman"/>
          <w:color w:val="auto"/>
          <w:sz w:val="24"/>
          <w:szCs w:val="24"/>
          <w:highlight w:val="none"/>
        </w:rPr>
        <w:t>m，剥离的表土临时堆放在</w:t>
      </w:r>
      <w:r>
        <w:rPr>
          <w:rFonts w:hint="default" w:cs="Times New Roman"/>
          <w:color w:val="auto"/>
          <w:sz w:val="24"/>
          <w:szCs w:val="24"/>
          <w:highlight w:val="none"/>
          <w:lang w:val="en-US" w:eastAsia="zh-CN"/>
        </w:rPr>
        <w:t>绿化工程</w:t>
      </w:r>
      <w:r>
        <w:rPr>
          <w:rFonts w:hint="default" w:ascii="Times New Roman" w:hAnsi="Times New Roman" w:cs="Times New Roman"/>
          <w:color w:val="auto"/>
          <w:sz w:val="24"/>
          <w:szCs w:val="24"/>
          <w:highlight w:val="none"/>
        </w:rPr>
        <w:t>区</w:t>
      </w:r>
      <w:r>
        <w:rPr>
          <w:rFonts w:hint="default" w:cs="Times New Roman"/>
          <w:color w:val="auto"/>
          <w:sz w:val="24"/>
          <w:szCs w:val="24"/>
          <w:highlight w:val="none"/>
          <w:lang w:val="en-US" w:eastAsia="zh-CN"/>
        </w:rPr>
        <w:t>内</w:t>
      </w:r>
      <w:r>
        <w:rPr>
          <w:rFonts w:hint="default" w:ascii="Times New Roman" w:hAnsi="Times New Roman" w:cs="Times New Roman"/>
          <w:color w:val="auto"/>
          <w:sz w:val="24"/>
          <w:szCs w:val="24"/>
          <w:highlight w:val="none"/>
        </w:rPr>
        <w:t>，并采取临时防护措施避免水土流失，在工程施工结束后，将表土回覆用于植物绿化</w:t>
      </w:r>
      <w:r>
        <w:rPr>
          <w:rFonts w:hint="default" w:cs="Times New Roman"/>
          <w:color w:val="auto"/>
          <w:sz w:val="24"/>
          <w:szCs w:val="24"/>
          <w:highlight w:val="none"/>
          <w:lang w:eastAsia="zh-CN"/>
        </w:rPr>
        <w:t>。</w:t>
      </w:r>
    </w:p>
    <w:p>
      <w:pPr>
        <w:spacing w:line="360" w:lineRule="auto"/>
        <w:ind w:firstLine="480" w:firstLineChars="200"/>
        <w:rPr>
          <w:rFonts w:hint="default" w:cs="Times New Roman"/>
          <w:color w:val="auto"/>
          <w:sz w:val="24"/>
          <w:szCs w:val="24"/>
          <w:highlight w:val="none"/>
          <w:lang w:val="en-US" w:eastAsia="zh-CN"/>
        </w:rPr>
      </w:pPr>
      <w:r>
        <w:rPr>
          <w:rFonts w:hint="default" w:ascii="Times New Roman" w:hAnsi="Times New Roman" w:cs="Times New Roman"/>
          <w:color w:val="auto"/>
          <w:sz w:val="24"/>
          <w:szCs w:val="24"/>
          <w:highlight w:val="none"/>
        </w:rPr>
        <w:t>主体工程</w:t>
      </w:r>
      <w:r>
        <w:rPr>
          <w:rFonts w:hint="default" w:cs="Times New Roman"/>
          <w:color w:val="auto"/>
          <w:sz w:val="24"/>
          <w:szCs w:val="24"/>
          <w:highlight w:val="none"/>
          <w:lang w:val="en-US" w:eastAsia="zh-CN"/>
        </w:rPr>
        <w:t>已考虑对施工范围进行整治后</w:t>
      </w:r>
      <w:r>
        <w:rPr>
          <w:rFonts w:hint="eastAsia" w:cs="Times New Roman"/>
          <w:color w:val="auto"/>
          <w:sz w:val="24"/>
          <w:szCs w:val="24"/>
          <w:highlight w:val="none"/>
          <w:lang w:val="en-US" w:eastAsia="zh-CN"/>
        </w:rPr>
        <w:t>采取相应</w:t>
      </w:r>
      <w:r>
        <w:rPr>
          <w:rFonts w:hint="default" w:cs="Times New Roman"/>
          <w:color w:val="auto"/>
          <w:sz w:val="24"/>
          <w:szCs w:val="24"/>
          <w:highlight w:val="none"/>
          <w:lang w:val="en-US" w:eastAsia="zh-CN"/>
        </w:rPr>
        <w:t>的景观绿化工程</w:t>
      </w:r>
      <w:r>
        <w:rPr>
          <w:rFonts w:hint="default" w:cs="Times New Roman"/>
          <w:color w:val="auto"/>
          <w:sz w:val="24"/>
          <w:szCs w:val="24"/>
          <w:highlight w:val="none"/>
          <w:lang w:eastAsia="zh-CN"/>
        </w:rPr>
        <w:t>。绿化采用组团式植物造景，乔、灌、草组合，形成多层次、多形态、多季相复层绿化景观带。</w:t>
      </w:r>
      <w:r>
        <w:rPr>
          <w:rFonts w:hint="default" w:cs="Times New Roman"/>
          <w:color w:val="auto"/>
          <w:sz w:val="24"/>
          <w:szCs w:val="24"/>
          <w:highlight w:val="none"/>
          <w:lang w:val="en-US" w:eastAsia="zh-CN"/>
        </w:rPr>
        <w:t>防洪堤迎水侧护坡绿化，采用生态护坡、草皮护坡两种形式。</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w:t>
      </w: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临时工程区</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临时</w:t>
      </w:r>
      <w:r>
        <w:rPr>
          <w:rFonts w:hint="eastAsia" w:ascii="Times New Roman" w:hAnsi="Times New Roman" w:cs="Times New Roman"/>
          <w:color w:val="auto"/>
          <w:sz w:val="24"/>
          <w:szCs w:val="24"/>
          <w:highlight w:val="none"/>
          <w:lang w:val="en-US" w:eastAsia="zh-CN"/>
        </w:rPr>
        <w:t>工程区主要</w:t>
      </w:r>
      <w:r>
        <w:rPr>
          <w:rFonts w:hint="default" w:ascii="Times New Roman" w:hAnsi="Times New Roman" w:cs="Times New Roman"/>
          <w:color w:val="auto"/>
          <w:sz w:val="24"/>
          <w:szCs w:val="24"/>
          <w:highlight w:val="none"/>
        </w:rPr>
        <w:t>包括</w:t>
      </w:r>
      <w:r>
        <w:rPr>
          <w:rFonts w:hint="eastAsia" w:ascii="Times New Roman" w:hAnsi="Times New Roman" w:cs="Times New Roman"/>
          <w:color w:val="auto"/>
          <w:sz w:val="24"/>
          <w:szCs w:val="24"/>
          <w:highlight w:val="none"/>
          <w:lang w:val="en-US" w:eastAsia="zh-CN"/>
        </w:rPr>
        <w:t>取土场、弃土场及临时堆厂</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临时堆场</w:t>
      </w:r>
      <w:r>
        <w:rPr>
          <w:rFonts w:hint="default" w:cs="Times New Roman"/>
          <w:color w:val="auto"/>
          <w:sz w:val="24"/>
          <w:szCs w:val="24"/>
          <w:highlight w:val="none"/>
          <w:lang w:val="en-US" w:eastAsia="zh-CN"/>
        </w:rPr>
        <w:t>位于项目</w:t>
      </w:r>
      <w:r>
        <w:rPr>
          <w:rFonts w:hint="default" w:ascii="Times New Roman" w:hAnsi="Times New Roman" w:cs="Times New Roman"/>
          <w:color w:val="auto"/>
          <w:sz w:val="24"/>
          <w:szCs w:val="24"/>
          <w:highlight w:val="none"/>
        </w:rPr>
        <w:t>占地红线</w:t>
      </w:r>
      <w:r>
        <w:rPr>
          <w:rFonts w:hint="default" w:cs="Times New Roman"/>
          <w:color w:val="auto"/>
          <w:sz w:val="24"/>
          <w:szCs w:val="24"/>
          <w:highlight w:val="none"/>
          <w:lang w:val="en-US" w:eastAsia="zh-CN"/>
        </w:rPr>
        <w:t>范围</w:t>
      </w:r>
      <w:r>
        <w:rPr>
          <w:rFonts w:hint="default" w:ascii="Times New Roman" w:hAnsi="Times New Roman" w:cs="Times New Roman"/>
          <w:color w:val="auto"/>
          <w:sz w:val="24"/>
          <w:szCs w:val="24"/>
          <w:highlight w:val="none"/>
        </w:rPr>
        <w:t>内</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属于项目绿化工程区</w:t>
      </w:r>
      <w:r>
        <w:rPr>
          <w:rFonts w:hint="default"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取土场、弃土场</w:t>
      </w:r>
      <w:r>
        <w:rPr>
          <w:rFonts w:hint="eastAsia" w:cs="Times New Roman"/>
          <w:color w:val="auto"/>
          <w:sz w:val="24"/>
          <w:szCs w:val="24"/>
          <w:highlight w:val="none"/>
          <w:lang w:val="en-US" w:eastAsia="zh-CN"/>
        </w:rPr>
        <w:t>位于项目占地红线范围外，</w:t>
      </w:r>
      <w:r>
        <w:rPr>
          <w:rFonts w:hint="default" w:ascii="Times New Roman" w:hAnsi="Times New Roman" w:cs="Times New Roman"/>
          <w:color w:val="auto"/>
          <w:sz w:val="24"/>
          <w:szCs w:val="24"/>
          <w:highlight w:val="none"/>
        </w:rPr>
        <w:t>施工前对临时工程占用区域进行表土剥离，剥离厚度为50cm，表土剥离量约</w:t>
      </w:r>
      <w:r>
        <w:rPr>
          <w:rFonts w:hint="default" w:cs="Times New Roman"/>
          <w:color w:val="auto"/>
          <w:sz w:val="24"/>
          <w:szCs w:val="24"/>
          <w:highlight w:val="none"/>
          <w:lang w:val="en-US" w:eastAsia="zh-CN"/>
        </w:rPr>
        <w:t>4280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。剥离的表土</w:t>
      </w:r>
      <w:r>
        <w:rPr>
          <w:rFonts w:hint="eastAsia" w:ascii="Times New Roman" w:hAnsi="Times New Roman" w:cs="Times New Roman"/>
          <w:color w:val="auto"/>
          <w:sz w:val="24"/>
          <w:szCs w:val="24"/>
          <w:highlight w:val="none"/>
          <w:lang w:val="en-US" w:eastAsia="zh-CN"/>
        </w:rPr>
        <w:t>用于回填</w:t>
      </w:r>
      <w:r>
        <w:rPr>
          <w:rFonts w:hint="default" w:ascii="Times New Roman" w:hAnsi="Times New Roman" w:cs="Times New Roman"/>
          <w:color w:val="auto"/>
          <w:sz w:val="24"/>
          <w:szCs w:val="24"/>
          <w:highlight w:val="none"/>
        </w:rPr>
        <w:t>，并采取防护措施减小水土流失发生。施工结束后，进行土地整治和复耕，方案遵循</w:t>
      </w:r>
      <w:r>
        <w:rPr>
          <w:rFonts w:hint="eastAsia" w:ascii="Times New Roman" w:hAnsi="Times New Roman" w:cs="Times New Roman"/>
          <w:color w:val="auto"/>
          <w:sz w:val="24"/>
          <w:szCs w:val="24"/>
          <w:highlight w:val="none"/>
          <w:lang w:val="en-US" w:eastAsia="zh-CN"/>
        </w:rPr>
        <w:t>本项目水土保持方案</w:t>
      </w:r>
      <w:r>
        <w:rPr>
          <w:rFonts w:hint="default" w:ascii="Times New Roman" w:hAnsi="Times New Roman" w:cs="Times New Roman"/>
          <w:color w:val="auto"/>
          <w:sz w:val="24"/>
          <w:szCs w:val="24"/>
          <w:highlight w:val="none"/>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6.3.4湘江衡阳段四大家鱼国家级水产种质资源保护区保护措施</w:t>
      </w:r>
    </w:p>
    <w:p>
      <w:pPr>
        <w:keepNext w:val="0"/>
        <w:keepLines w:val="0"/>
        <w:pageBreakBefore w:val="0"/>
        <w:widowControl w:val="0"/>
        <w:numPr>
          <w:ilvl w:val="0"/>
          <w:numId w:val="21"/>
        </w:numPr>
        <w:tabs>
          <w:tab w:val="left" w:pos="4822"/>
          <w:tab w:val="clear" w:pos="0"/>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施工前严格按照施工布置设定的范围施工，控制施工活动范围，避免在湘江两岸堆放施工材料。</w:t>
      </w:r>
    </w:p>
    <w:p>
      <w:pPr>
        <w:keepNext w:val="0"/>
        <w:keepLines w:val="0"/>
        <w:pageBreakBefore w:val="0"/>
        <w:widowControl w:val="0"/>
        <w:numPr>
          <w:ilvl w:val="0"/>
          <w:numId w:val="21"/>
        </w:numPr>
        <w:tabs>
          <w:tab w:val="left" w:pos="4822"/>
          <w:tab w:val="clear" w:pos="0"/>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抛石护</w:t>
      </w:r>
      <w:r>
        <w:rPr>
          <w:rFonts w:hint="default" w:cs="Times New Roman"/>
          <w:color w:val="auto"/>
          <w:sz w:val="24"/>
          <w:szCs w:val="24"/>
          <w:highlight w:val="none"/>
          <w:lang w:val="en-US" w:eastAsia="zh-CN"/>
        </w:rPr>
        <w:t>岸</w:t>
      </w:r>
      <w:r>
        <w:rPr>
          <w:rFonts w:hint="default" w:ascii="Times New Roman" w:hAnsi="Times New Roman" w:eastAsia="宋体" w:cs="Times New Roman"/>
          <w:color w:val="auto"/>
          <w:sz w:val="24"/>
          <w:szCs w:val="24"/>
          <w:highlight w:val="none"/>
          <w:lang w:val="en-US" w:eastAsia="zh-CN"/>
        </w:rPr>
        <w:t>施工应避开主要保护对象四大家鱼繁殖期5~6月。</w:t>
      </w:r>
    </w:p>
    <w:p>
      <w:pPr>
        <w:keepNext w:val="0"/>
        <w:keepLines w:val="0"/>
        <w:pageBreakBefore w:val="0"/>
        <w:widowControl w:val="0"/>
        <w:numPr>
          <w:ilvl w:val="0"/>
          <w:numId w:val="21"/>
        </w:numPr>
        <w:tabs>
          <w:tab w:val="left" w:pos="4822"/>
          <w:tab w:val="clear" w:pos="0"/>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控制水下噪声。用低噪声机械，降低噪声和振动对保护区的影响，建议将噪声限定指标控制在《声环境质量标准》（GB 3096-2008）4b类标准内。</w:t>
      </w:r>
    </w:p>
    <w:p>
      <w:pPr>
        <w:keepNext w:val="0"/>
        <w:keepLines w:val="0"/>
        <w:pageBreakBefore w:val="0"/>
        <w:widowControl w:val="0"/>
        <w:numPr>
          <w:ilvl w:val="0"/>
          <w:numId w:val="21"/>
        </w:numPr>
        <w:tabs>
          <w:tab w:val="left" w:pos="4822"/>
          <w:tab w:val="clear" w:pos="0"/>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加强施工管理，减少施工期间渔业损失。加强施工管理，防止施工人员下水捕鱼，减缓工程施工带来的渔业损失。施工期如发现重点保护水生生物接近施工区域，应停止施工，立即报告相关部门加强对其监控和保护。</w:t>
      </w:r>
    </w:p>
    <w:p>
      <w:pPr>
        <w:keepNext w:val="0"/>
        <w:keepLines w:val="0"/>
        <w:pageBreakBefore w:val="0"/>
        <w:widowControl w:val="0"/>
        <w:numPr>
          <w:ilvl w:val="0"/>
          <w:numId w:val="21"/>
        </w:numPr>
        <w:tabs>
          <w:tab w:val="left" w:pos="4822"/>
          <w:tab w:val="clear" w:pos="0"/>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施工船舶装备油水分离器，并将油污水、压舱水收集进行集中处理。船员和施工人员的生活垃圾全部进行回收，定时送到岸上的垃圾收集站</w:t>
      </w:r>
      <w:r>
        <w:rPr>
          <w:rFonts w:hint="default" w:cs="Times New Roman"/>
          <w:color w:val="auto"/>
          <w:sz w:val="24"/>
          <w:szCs w:val="24"/>
          <w:highlight w:val="none"/>
          <w:lang w:val="en-US" w:eastAsia="zh-CN"/>
        </w:rPr>
        <w:t>。</w:t>
      </w:r>
    </w:p>
    <w:p>
      <w:pPr>
        <w:keepNext w:val="0"/>
        <w:keepLines w:val="0"/>
        <w:pageBreakBefore w:val="0"/>
        <w:widowControl w:val="0"/>
        <w:numPr>
          <w:ilvl w:val="0"/>
          <w:numId w:val="21"/>
        </w:numPr>
        <w:tabs>
          <w:tab w:val="left" w:pos="4822"/>
          <w:tab w:val="clear" w:pos="0"/>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做好水土保持工作，尽量减少工程建设对河岸植被的破坏，并做好河岸生态恢复工作</w:t>
      </w:r>
      <w:r>
        <w:rPr>
          <w:rFonts w:hint="default" w:cs="Times New Roman"/>
          <w:color w:val="auto"/>
          <w:sz w:val="24"/>
          <w:szCs w:val="24"/>
          <w:highlight w:val="none"/>
          <w:lang w:val="en-US" w:eastAsia="zh-CN"/>
        </w:rPr>
        <w:t>。</w:t>
      </w:r>
    </w:p>
    <w:p>
      <w:pPr>
        <w:keepNext w:val="0"/>
        <w:keepLines w:val="0"/>
        <w:pageBreakBefore w:val="0"/>
        <w:widowControl w:val="0"/>
        <w:numPr>
          <w:ilvl w:val="0"/>
          <w:numId w:val="21"/>
        </w:numPr>
        <w:tabs>
          <w:tab w:val="left" w:pos="4822"/>
          <w:tab w:val="clear" w:pos="0"/>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以公告、宣传单、板报和会议等形式，加强对施工人员和游客的环境保护宣传教育，提高居民的环境保护意识，使其在施工和游览中能自觉保护生态环境及珍稀水生物种，并遵守相关的生态保护规定；严禁在保护区河段进行捕鱼或从事其它有碍生态环境保护的活动。一旦发现重要水生生物，应及时进行保护。</w:t>
      </w:r>
    </w:p>
    <w:p>
      <w:pPr>
        <w:keepNext w:val="0"/>
        <w:keepLines w:val="0"/>
        <w:pageBreakBefore w:val="0"/>
        <w:widowControl w:val="0"/>
        <w:numPr>
          <w:ilvl w:val="0"/>
          <w:numId w:val="21"/>
        </w:numPr>
        <w:tabs>
          <w:tab w:val="left" w:pos="4822"/>
          <w:tab w:val="clear" w:pos="0"/>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加强对种质资源保护区水生生物及生态环境的监测，包括鱼类资源监测、产卵场、越冬场、索饵场监测及水环境监测。根据监测情况及时采取有效补救措施，降低工程建设对水生生物的影响。</w:t>
      </w:r>
    </w:p>
    <w:p>
      <w:pPr>
        <w:keepNext w:val="0"/>
        <w:keepLines w:val="0"/>
        <w:pageBreakBefore w:val="0"/>
        <w:widowControl w:val="0"/>
        <w:numPr>
          <w:ilvl w:val="0"/>
          <w:numId w:val="21"/>
        </w:numPr>
        <w:tabs>
          <w:tab w:val="left" w:pos="4822"/>
          <w:tab w:val="clear" w:pos="0"/>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制定水生态保护应急预案，将偶发性事件导致的生态损失降至最低</w:t>
      </w:r>
      <w:r>
        <w:rPr>
          <w:rFonts w:hint="default" w:cs="Times New Roman"/>
          <w:color w:val="auto"/>
          <w:sz w:val="24"/>
          <w:szCs w:val="24"/>
          <w:highlight w:val="none"/>
          <w:lang w:val="en-US"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6.3.5生态红线保护措施</w:t>
      </w:r>
    </w:p>
    <w:p>
      <w:pPr>
        <w:pStyle w:val="28"/>
        <w:numPr>
          <w:ilvl w:val="0"/>
          <w:numId w:val="22"/>
        </w:numPr>
        <w:spacing w:line="360" w:lineRule="auto"/>
        <w:ind w:firstLine="480" w:firstLineChars="200"/>
        <w:rPr>
          <w:rFonts w:hint="default" w:ascii="Times New Roman" w:hAnsi="Times New Roman" w:cs="Times New Roman" w:eastAsiaTheme="majorEastAsia"/>
          <w:b w:val="0"/>
          <w:bCs w:val="0"/>
          <w:color w:val="auto"/>
          <w:kern w:val="44"/>
          <w:sz w:val="24"/>
          <w:szCs w:val="24"/>
          <w:highlight w:val="none"/>
          <w:lang w:eastAsia="zh-CN"/>
        </w:rPr>
      </w:pPr>
      <w:r>
        <w:rPr>
          <w:rFonts w:hint="default" w:ascii="Times New Roman" w:hAnsi="Times New Roman" w:eastAsia="宋体" w:cs="Times New Roman"/>
          <w:color w:val="auto"/>
          <w:sz w:val="24"/>
          <w:szCs w:val="24"/>
          <w:lang w:val="en-US" w:eastAsia="zh-CN"/>
        </w:rPr>
        <w:t>做好工程征地范围内水土流失防治措施，减少扰动区域，减少水土流失产生量。</w:t>
      </w:r>
    </w:p>
    <w:p>
      <w:pPr>
        <w:pStyle w:val="28"/>
        <w:numPr>
          <w:ilvl w:val="0"/>
          <w:numId w:val="22"/>
        </w:numPr>
        <w:spacing w:line="360" w:lineRule="auto"/>
        <w:ind w:firstLine="480" w:firstLineChars="200"/>
        <w:rPr>
          <w:rFonts w:hint="default" w:ascii="Times New Roman" w:hAnsi="Times New Roman" w:cs="Times New Roman" w:eastAsiaTheme="majorEastAsia"/>
          <w:b w:val="0"/>
          <w:bCs w:val="0"/>
          <w:color w:val="auto"/>
          <w:kern w:val="44"/>
          <w:sz w:val="24"/>
          <w:szCs w:val="24"/>
          <w:highlight w:val="none"/>
          <w:lang w:eastAsia="zh-CN"/>
        </w:rPr>
      </w:pPr>
      <w:r>
        <w:rPr>
          <w:rFonts w:hint="default" w:ascii="Times New Roman" w:cs="Times New Roman" w:eastAsiaTheme="majorEastAsia"/>
          <w:b w:val="0"/>
          <w:bCs w:val="0"/>
          <w:color w:val="auto"/>
          <w:kern w:val="44"/>
          <w:sz w:val="24"/>
          <w:szCs w:val="24"/>
          <w:highlight w:val="none"/>
        </w:rPr>
        <w:t>严禁在</w:t>
      </w:r>
      <w:r>
        <w:rPr>
          <w:rFonts w:hint="default" w:ascii="Times New Roman" w:cs="Times New Roman" w:eastAsiaTheme="majorEastAsia"/>
          <w:b w:val="0"/>
          <w:bCs w:val="0"/>
          <w:color w:val="auto"/>
          <w:kern w:val="44"/>
          <w:sz w:val="24"/>
          <w:szCs w:val="24"/>
          <w:highlight w:val="none"/>
          <w:lang w:val="en-US" w:eastAsia="zh-CN"/>
        </w:rPr>
        <w:t>生态红线</w:t>
      </w:r>
      <w:r>
        <w:rPr>
          <w:rFonts w:hint="default" w:ascii="Times New Roman" w:cs="Times New Roman" w:eastAsiaTheme="majorEastAsia"/>
          <w:b w:val="0"/>
          <w:bCs w:val="0"/>
          <w:color w:val="auto"/>
          <w:kern w:val="44"/>
          <w:sz w:val="24"/>
          <w:szCs w:val="24"/>
          <w:highlight w:val="none"/>
        </w:rPr>
        <w:t>河道边临时堆放弃土、弃渣和建筑垃圾</w:t>
      </w:r>
      <w:r>
        <w:rPr>
          <w:rFonts w:hint="default" w:ascii="Times New Roman" w:cs="Times New Roman" w:eastAsiaTheme="majorEastAsia"/>
          <w:b w:val="0"/>
          <w:bCs w:val="0"/>
          <w:color w:val="auto"/>
          <w:kern w:val="44"/>
          <w:sz w:val="24"/>
          <w:szCs w:val="24"/>
          <w:highlight w:val="none"/>
          <w:lang w:eastAsia="zh-CN"/>
        </w:rPr>
        <w:t>。</w:t>
      </w:r>
    </w:p>
    <w:p>
      <w:pPr>
        <w:pStyle w:val="28"/>
        <w:numPr>
          <w:ilvl w:val="0"/>
          <w:numId w:val="22"/>
        </w:numPr>
        <w:spacing w:line="360" w:lineRule="auto"/>
        <w:ind w:firstLine="480" w:firstLineChars="200"/>
        <w:rPr>
          <w:rFonts w:hint="default" w:ascii="Times New Roman" w:hAnsi="Times New Roman" w:cs="Times New Roman" w:eastAsiaTheme="majorEastAsia"/>
          <w:b w:val="0"/>
          <w:bCs w:val="0"/>
          <w:color w:val="auto"/>
          <w:kern w:val="44"/>
          <w:sz w:val="24"/>
          <w:szCs w:val="24"/>
          <w:highlight w:val="none"/>
        </w:rPr>
      </w:pPr>
      <w:r>
        <w:rPr>
          <w:rFonts w:hint="default" w:ascii="Times New Roman" w:cs="Times New Roman" w:eastAsiaTheme="majorEastAsia"/>
          <w:b w:val="0"/>
          <w:bCs w:val="0"/>
          <w:color w:val="auto"/>
          <w:kern w:val="44"/>
          <w:sz w:val="24"/>
          <w:szCs w:val="24"/>
          <w:highlight w:val="none"/>
          <w:lang w:val="en-US" w:eastAsia="zh-CN"/>
        </w:rPr>
        <w:t>东洲岛施工</w:t>
      </w:r>
      <w:r>
        <w:rPr>
          <w:rFonts w:hint="eastAsia" w:ascii="Times New Roman" w:hAnsi="Times New Roman" w:cs="Times New Roman" w:eastAsiaTheme="majorEastAsia"/>
          <w:b w:val="0"/>
          <w:bCs w:val="0"/>
          <w:color w:val="auto"/>
          <w:kern w:val="44"/>
          <w:sz w:val="24"/>
          <w:szCs w:val="24"/>
          <w:highlight w:val="none"/>
          <w:lang w:val="en-US" w:eastAsia="zh-CN"/>
        </w:rPr>
        <w:t>做好</w:t>
      </w:r>
      <w:r>
        <w:rPr>
          <w:rFonts w:hint="eastAsia" w:ascii="Times New Roman" w:cs="Times New Roman" w:eastAsiaTheme="majorEastAsia"/>
          <w:b w:val="0"/>
          <w:bCs w:val="0"/>
          <w:color w:val="auto"/>
          <w:kern w:val="44"/>
          <w:sz w:val="24"/>
          <w:szCs w:val="24"/>
          <w:highlight w:val="none"/>
          <w:lang w:val="en-US" w:eastAsia="zh-CN"/>
        </w:rPr>
        <w:t>围挡</w:t>
      </w:r>
      <w:r>
        <w:rPr>
          <w:rFonts w:hint="eastAsia" w:ascii="Times New Roman" w:hAnsi="Times New Roman" w:cs="Times New Roman" w:eastAsiaTheme="majorEastAsia"/>
          <w:b w:val="0"/>
          <w:bCs w:val="0"/>
          <w:color w:val="auto"/>
          <w:kern w:val="44"/>
          <w:sz w:val="24"/>
          <w:szCs w:val="24"/>
          <w:highlight w:val="none"/>
          <w:lang w:val="en-US" w:eastAsia="zh-CN"/>
        </w:rPr>
        <w:t>防护，</w:t>
      </w:r>
      <w:r>
        <w:rPr>
          <w:rFonts w:hint="default" w:ascii="Times New Roman" w:cs="Times New Roman" w:eastAsiaTheme="majorEastAsia"/>
          <w:b w:val="0"/>
          <w:bCs w:val="0"/>
          <w:color w:val="auto"/>
          <w:kern w:val="44"/>
          <w:sz w:val="24"/>
          <w:szCs w:val="24"/>
          <w:highlight w:val="none"/>
        </w:rPr>
        <w:t>避免零碎土石、泥沙等进入河道。开挖场地采取围堰措施，防止泥水流失和漫延。</w:t>
      </w:r>
    </w:p>
    <w:p>
      <w:pPr>
        <w:pStyle w:val="28"/>
        <w:numPr>
          <w:ilvl w:val="0"/>
          <w:numId w:val="22"/>
        </w:numPr>
        <w:spacing w:line="360" w:lineRule="auto"/>
        <w:ind w:firstLine="480" w:firstLineChars="200"/>
        <w:rPr>
          <w:rFonts w:hint="default" w:ascii="Times New Roman" w:cs="Times New Roman"/>
          <w:b/>
          <w:bCs/>
          <w:color w:val="auto"/>
          <w:kern w:val="44"/>
          <w:sz w:val="24"/>
          <w:szCs w:val="24"/>
          <w:highlight w:val="none"/>
        </w:rPr>
      </w:pPr>
      <w:r>
        <w:rPr>
          <w:rFonts w:hint="default" w:ascii="Times New Roman" w:cs="Times New Roman" w:eastAsiaTheme="majorEastAsia"/>
          <w:b w:val="0"/>
          <w:bCs w:val="0"/>
          <w:color w:val="auto"/>
          <w:kern w:val="44"/>
          <w:sz w:val="24"/>
          <w:szCs w:val="24"/>
          <w:highlight w:val="none"/>
        </w:rPr>
        <w:t>加强施工人员教育，增强保护</w:t>
      </w:r>
      <w:r>
        <w:rPr>
          <w:rFonts w:hint="default" w:ascii="Times New Roman" w:cs="Times New Roman" w:eastAsiaTheme="majorEastAsia"/>
          <w:b w:val="0"/>
          <w:bCs w:val="0"/>
          <w:color w:val="auto"/>
          <w:kern w:val="44"/>
          <w:sz w:val="24"/>
          <w:szCs w:val="24"/>
          <w:highlight w:val="none"/>
          <w:lang w:val="en-US" w:eastAsia="zh-CN"/>
        </w:rPr>
        <w:t>生态环境的</w:t>
      </w:r>
      <w:r>
        <w:rPr>
          <w:rFonts w:hint="default" w:ascii="Times New Roman" w:cs="Times New Roman" w:eastAsiaTheme="majorEastAsia"/>
          <w:b w:val="0"/>
          <w:bCs w:val="0"/>
          <w:color w:val="auto"/>
          <w:kern w:val="44"/>
          <w:sz w:val="24"/>
          <w:szCs w:val="24"/>
          <w:highlight w:val="none"/>
        </w:rPr>
        <w:t>意识和自觉性，在工程施工区设置警示牌</w:t>
      </w:r>
      <w:r>
        <w:rPr>
          <w:rFonts w:hint="default" w:ascii="Times New Roman" w:cs="Times New Roman" w:eastAsiaTheme="majorEastAsia"/>
          <w:b w:val="0"/>
          <w:bCs w:val="0"/>
          <w:color w:val="auto"/>
          <w:kern w:val="44"/>
          <w:sz w:val="24"/>
          <w:szCs w:val="24"/>
          <w:highlight w:val="none"/>
          <w:lang w:eastAsia="zh-CN"/>
        </w:rPr>
        <w:t>，</w:t>
      </w:r>
      <w:r>
        <w:rPr>
          <w:rFonts w:hint="default" w:ascii="Times New Roman" w:cs="Times New Roman" w:eastAsiaTheme="majorEastAsia"/>
          <w:b w:val="0"/>
          <w:bCs w:val="0"/>
          <w:color w:val="auto"/>
          <w:kern w:val="44"/>
          <w:sz w:val="24"/>
          <w:szCs w:val="24"/>
          <w:highlight w:val="none"/>
          <w:lang w:val="en-US" w:eastAsia="zh-CN"/>
        </w:rPr>
        <w:t>禁止在湘江河道内丢弃废弃物</w:t>
      </w:r>
      <w:r>
        <w:rPr>
          <w:rFonts w:hint="default" w:ascii="Times New Roman" w:cs="Times New Roman" w:eastAsiaTheme="majorEastAsia"/>
          <w:b w:val="0"/>
          <w:bCs w:val="0"/>
          <w:color w:val="auto"/>
          <w:kern w:val="44"/>
          <w:sz w:val="24"/>
          <w:szCs w:val="24"/>
          <w:highlight w:val="none"/>
        </w:rPr>
        <w:t>。</w:t>
      </w:r>
    </w:p>
    <w:p>
      <w:pPr>
        <w:pStyle w:val="28"/>
        <w:numPr>
          <w:ilvl w:val="0"/>
          <w:numId w:val="22"/>
        </w:numPr>
        <w:spacing w:line="360" w:lineRule="auto"/>
        <w:ind w:firstLine="480" w:firstLineChars="200"/>
        <w:rPr>
          <w:rFonts w:hint="default" w:ascii="Times New Roman" w:cs="Times New Roman"/>
          <w:b/>
          <w:bCs/>
          <w:color w:val="auto"/>
          <w:kern w:val="44"/>
          <w:sz w:val="24"/>
          <w:szCs w:val="24"/>
          <w:highlight w:val="none"/>
        </w:rPr>
      </w:pPr>
      <w:r>
        <w:rPr>
          <w:rFonts w:hint="default" w:ascii="Times New Roman" w:cs="Times New Roman" w:eastAsiaTheme="majorEastAsia"/>
          <w:b w:val="0"/>
          <w:bCs w:val="0"/>
          <w:color w:val="auto"/>
          <w:kern w:val="44"/>
          <w:sz w:val="24"/>
          <w:szCs w:val="24"/>
          <w:highlight w:val="none"/>
        </w:rPr>
        <w:t>施工废污水处理达标后回用，禁止排入</w:t>
      </w:r>
      <w:r>
        <w:rPr>
          <w:rFonts w:hint="default" w:ascii="Times New Roman" w:cs="Times New Roman" w:eastAsiaTheme="majorEastAsia"/>
          <w:b w:val="0"/>
          <w:bCs w:val="0"/>
          <w:color w:val="auto"/>
          <w:kern w:val="44"/>
          <w:sz w:val="24"/>
          <w:szCs w:val="24"/>
          <w:highlight w:val="none"/>
          <w:lang w:val="en-US" w:eastAsia="zh-CN"/>
        </w:rPr>
        <w:t>湘江</w:t>
      </w:r>
      <w:r>
        <w:rPr>
          <w:rFonts w:hint="default" w:ascii="Times New Roman" w:cs="Times New Roman" w:eastAsiaTheme="majorEastAsia"/>
          <w:b w:val="0"/>
          <w:bCs w:val="0"/>
          <w:color w:val="auto"/>
          <w:kern w:val="44"/>
          <w:sz w:val="24"/>
          <w:szCs w:val="24"/>
          <w:highlight w:val="none"/>
        </w:rPr>
        <w:t>，并进行施工期水质监测。</w:t>
      </w:r>
    </w:p>
    <w:p>
      <w:pPr>
        <w:pStyle w:val="28"/>
        <w:rPr>
          <w:rFonts w:ascii="Times New Roman" w:hAnsi="Times New Roman" w:cs="Times New Roman"/>
          <w:b/>
          <w:bCs/>
          <w:color w:val="auto"/>
          <w:kern w:val="44"/>
          <w:sz w:val="32"/>
          <w:szCs w:val="32"/>
          <w:highlight w:val="none"/>
        </w:rPr>
        <w:sectPr>
          <w:footerReference r:id="rId17"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val="0"/>
        <w:pageBreakBefore w:val="0"/>
        <w:widowControl w:val="0"/>
        <w:numPr>
          <w:ilvl w:val="0"/>
          <w:numId w:val="4"/>
        </w:numPr>
        <w:kinsoku/>
        <w:wordWrap/>
        <w:overflowPunct/>
        <w:topLinePunct w:val="0"/>
        <w:autoSpaceDE/>
        <w:autoSpaceDN/>
        <w:bidi w:val="0"/>
        <w:adjustRightInd/>
        <w:snapToGrid w:val="0"/>
        <w:spacing w:before="120" w:beforeLines="50" w:after="120" w:afterLines="50" w:line="360" w:lineRule="auto"/>
        <w:ind w:left="0"/>
        <w:jc w:val="center"/>
        <w:textAlignment w:val="auto"/>
        <w:outlineLvl w:val="0"/>
        <w:rPr>
          <w:rFonts w:cs="Times New Roman"/>
          <w:b/>
          <w:bCs/>
          <w:color w:val="auto"/>
          <w:kern w:val="44"/>
          <w:sz w:val="32"/>
          <w:szCs w:val="32"/>
          <w:highlight w:val="none"/>
        </w:rPr>
      </w:pPr>
      <w:bookmarkStart w:id="252" w:name="_Toc23153"/>
      <w:r>
        <w:rPr>
          <w:rFonts w:hint="default" w:cs="Times New Roman"/>
          <w:b/>
          <w:bCs/>
          <w:color w:val="auto"/>
          <w:kern w:val="44"/>
          <w:sz w:val="32"/>
          <w:szCs w:val="32"/>
          <w:highlight w:val="none"/>
          <w:lang w:val="en-US" w:eastAsia="zh-CN"/>
        </w:rPr>
        <w:t>环境影响经济损益分析</w:t>
      </w:r>
      <w:bookmarkEnd w:id="240"/>
      <w:bookmarkEnd w:id="252"/>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bookmarkStart w:id="253" w:name="_Toc32301"/>
      <w:r>
        <w:rPr>
          <w:rFonts w:hint="default" w:cs="Times New Roman"/>
          <w:color w:val="auto"/>
          <w:sz w:val="24"/>
          <w:szCs w:val="24"/>
          <w:highlight w:val="none"/>
          <w:lang w:val="en-US" w:eastAsia="zh-CN"/>
        </w:rPr>
        <w:t>环境经济损益分析是要对项目的社会效益、经济效益和环境效益进行分析，揭示三效益的依存关系，分析该建设项目是否既可发展经济又能实现环境保护的双重目的，使三效益协调统一，走可持续发展道路，即在发展经济的同时保护好环境，从而促进社会的稳定。</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54" w:name="_Toc1002"/>
      <w:r>
        <w:rPr>
          <w:rFonts w:hint="default" w:cs="Times New Roman"/>
          <w:b/>
          <w:bCs/>
          <w:color w:val="auto"/>
          <w:kern w:val="0"/>
          <w:sz w:val="30"/>
          <w:szCs w:val="30"/>
          <w:highlight w:val="none"/>
          <w:lang w:val="en-US" w:eastAsia="zh-CN"/>
        </w:rPr>
        <w:t>环境影响损益分析</w:t>
      </w:r>
      <w:bookmarkEnd w:id="253"/>
      <w:bookmarkEnd w:id="254"/>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highlight w:val="none"/>
          <w:u w:val="none"/>
          <w:lang w:val="en-US" w:eastAsia="zh-CN"/>
        </w:rPr>
      </w:pPr>
      <w:r>
        <w:rPr>
          <w:rFonts w:hint="default" w:cs="Times New Roman"/>
          <w:color w:val="auto"/>
          <w:sz w:val="24"/>
          <w:szCs w:val="24"/>
          <w:highlight w:val="none"/>
          <w:lang w:val="en-US" w:eastAsia="zh-CN"/>
        </w:rPr>
        <w:t>本项目总投资</w:t>
      </w:r>
      <w:r>
        <w:rPr>
          <w:rFonts w:hint="default" w:cs="Times New Roman"/>
          <w:color w:val="auto"/>
          <w:sz w:val="24"/>
          <w:highlight w:val="none"/>
          <w:u w:val="none"/>
          <w:lang w:val="en-US" w:eastAsia="zh-CN"/>
        </w:rPr>
        <w:t>48942万元，总计环保投资1877.63万元，约占总投资3.8%。</w:t>
      </w:r>
    </w:p>
    <w:p>
      <w:pPr>
        <w:pStyle w:val="47"/>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outlineLvl w:val="9"/>
        <w:rPr>
          <w:rFonts w:hint="default" w:ascii="Times New Roman" w:hAnsi="Times New Roman" w:eastAsia="宋体" w:cs="Times New Roman"/>
          <w:b/>
          <w:color w:val="auto"/>
          <w:kern w:val="2"/>
          <w:sz w:val="21"/>
          <w:szCs w:val="24"/>
          <w:highlight w:val="none"/>
          <w:u w:val="none" w:color="auto"/>
          <w:lang w:val="en-US" w:eastAsia="zh-CN" w:bidi="ar-SA"/>
        </w:rPr>
      </w:pPr>
      <w:r>
        <w:rPr>
          <w:rFonts w:hint="default" w:ascii="Times New Roman" w:hAnsi="Times New Roman" w:eastAsia="宋体" w:cs="Times New Roman"/>
          <w:b/>
          <w:color w:val="auto"/>
          <w:kern w:val="2"/>
          <w:sz w:val="21"/>
          <w:szCs w:val="24"/>
          <w:highlight w:val="none"/>
          <w:u w:val="none" w:color="auto"/>
          <w:lang w:val="en-US" w:eastAsia="zh-CN" w:bidi="ar-SA"/>
        </w:rPr>
        <w:t>表</w:t>
      </w:r>
      <w:r>
        <w:rPr>
          <w:rFonts w:hint="default" w:eastAsia="宋体" w:cs="Times New Roman"/>
          <w:b/>
          <w:color w:val="auto"/>
          <w:kern w:val="2"/>
          <w:sz w:val="21"/>
          <w:szCs w:val="24"/>
          <w:highlight w:val="none"/>
          <w:u w:val="none" w:color="auto"/>
          <w:lang w:val="en-US" w:eastAsia="zh-CN" w:bidi="ar-SA"/>
        </w:rPr>
        <w:t>7.1-1 环境保护投资一览表</w:t>
      </w:r>
    </w:p>
    <w:tbl>
      <w:tblPr>
        <w:tblStyle w:val="42"/>
        <w:tblW w:w="507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77"/>
        <w:gridCol w:w="1677"/>
        <w:gridCol w:w="4992"/>
        <w:gridCol w:w="128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278" w:type="pct"/>
            <w:gridSpan w:val="2"/>
            <w:tcBorders>
              <w:left w:val="single" w:color="000000" w:sz="6"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环保项目</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环保防治措施</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投资概算/（万元）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restart"/>
            <w:tcBorders>
              <w:left w:val="single" w:color="000000" w:sz="6" w:space="0"/>
              <w:right w:val="single" w:color="000000" w:sz="8" w:space="0"/>
            </w:tcBorders>
            <w:noWrap w:val="0"/>
            <w:textDirection w:val="tbRlV"/>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水污染治理</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车辆冲洗废水隔油池、沉淀池、临时堆场收集池、沉淀池</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ascii="Times New Roman" w:hAnsi="Times New Roman" w:cs="Times New Roman"/>
                <w:color w:val="auto"/>
                <w:highlight w:val="none"/>
                <w:lang w:val="en-US"/>
              </w:rPr>
            </w:pPr>
            <w:r>
              <w:rPr>
                <w:rFonts w:hint="default" w:cs="Times New Roman"/>
                <w:color w:val="auto"/>
                <w:highlight w:val="none"/>
                <w:lang w:val="en-US" w:eastAsia="zh-CN"/>
              </w:rPr>
              <w:t>15.0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continue"/>
            <w:tcBorders>
              <w:left w:val="single" w:color="000000" w:sz="6" w:space="0"/>
              <w:right w:val="single" w:color="000000" w:sz="8" w:space="0"/>
            </w:tcBorders>
            <w:noWrap w:val="0"/>
            <w:textDirection w:val="tbRlV"/>
            <w:vAlign w:val="center"/>
          </w:tcPr>
          <w:p>
            <w:pPr>
              <w:jc w:val="center"/>
              <w:rPr>
                <w:rFonts w:hint="default" w:ascii="Times New Roman" w:hAnsi="Times New Roman" w:cs="Times New Roman"/>
                <w:color w:val="auto"/>
                <w:highlight w:val="none"/>
              </w:rPr>
            </w:pP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大气污染治理</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洒水车降尘、施工围挡、防尘网等，</w:t>
            </w:r>
            <w:r>
              <w:rPr>
                <w:rFonts w:hint="default" w:ascii="Times New Roman" w:hAnsi="Times New Roman" w:cs="Times New Roman"/>
                <w:color w:val="auto"/>
                <w:highlight w:val="none"/>
              </w:rPr>
              <w:t>施工过程落实</w:t>
            </w:r>
            <w:r>
              <w:rPr>
                <w:rFonts w:hint="eastAsia" w:cs="Times New Roman"/>
                <w:color w:val="auto"/>
                <w:highlight w:val="none"/>
                <w:lang w:eastAsia="zh-CN"/>
              </w:rPr>
              <w:t>“</w:t>
            </w:r>
            <w:r>
              <w:rPr>
                <w:rFonts w:hint="default" w:ascii="Times New Roman" w:hAnsi="Times New Roman" w:cs="Times New Roman"/>
                <w:color w:val="auto"/>
                <w:highlight w:val="none"/>
              </w:rPr>
              <w:t>八个百分百</w:t>
            </w:r>
            <w:r>
              <w:rPr>
                <w:rFonts w:hint="eastAsia" w:cs="Times New Roman"/>
                <w:color w:val="auto"/>
                <w:highlight w:val="none"/>
                <w:lang w:eastAsia="zh-CN"/>
              </w:rPr>
              <w:t>”</w:t>
            </w:r>
            <w:r>
              <w:rPr>
                <w:rFonts w:hint="default" w:ascii="Times New Roman" w:hAnsi="Times New Roman" w:cs="Times New Roman"/>
                <w:color w:val="auto"/>
                <w:highlight w:val="none"/>
              </w:rPr>
              <w:t>和</w:t>
            </w:r>
            <w:r>
              <w:rPr>
                <w:rFonts w:hint="eastAsia" w:cs="Times New Roman"/>
                <w:color w:val="auto"/>
                <w:highlight w:val="none"/>
                <w:lang w:eastAsia="zh-CN"/>
              </w:rPr>
              <w:t>“</w:t>
            </w:r>
            <w:r>
              <w:rPr>
                <w:rFonts w:hint="default" w:ascii="Times New Roman" w:hAnsi="Times New Roman" w:cs="Times New Roman"/>
                <w:color w:val="auto"/>
                <w:highlight w:val="none"/>
              </w:rPr>
              <w:t>三个全覆 盖</w:t>
            </w:r>
            <w:r>
              <w:rPr>
                <w:rFonts w:hint="eastAsia" w:cs="Times New Roman"/>
                <w:color w:val="auto"/>
                <w:highlight w:val="none"/>
                <w:lang w:eastAsia="zh-CN"/>
              </w:rPr>
              <w:t>”</w:t>
            </w:r>
            <w:r>
              <w:rPr>
                <w:rFonts w:hint="default" w:ascii="Times New Roman" w:hAnsi="Times New Roman" w:cs="Times New Roman"/>
                <w:color w:val="auto"/>
                <w:highlight w:val="none"/>
              </w:rPr>
              <w:t>措施。</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continue"/>
            <w:tcBorders>
              <w:left w:val="single" w:color="000000" w:sz="6" w:space="0"/>
              <w:right w:val="single" w:color="000000" w:sz="8" w:space="0"/>
            </w:tcBorders>
            <w:noWrap w:val="0"/>
            <w:textDirection w:val="tbRlV"/>
            <w:vAlign w:val="center"/>
          </w:tcPr>
          <w:p>
            <w:pPr>
              <w:jc w:val="center"/>
              <w:rPr>
                <w:rFonts w:hint="default" w:ascii="Times New Roman" w:hAnsi="Times New Roman" w:cs="Times New Roman"/>
                <w:color w:val="auto"/>
                <w:highlight w:val="none"/>
              </w:rPr>
            </w:pP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噪声治理</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临时隔声围挡、低噪声设备及定期对施工机 械进行维护保养等；加强现场施工管理</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ascii="Times New Roman" w:hAnsi="Times New Roman" w:cs="Times New Roman"/>
                <w:color w:val="auto"/>
                <w:highlight w:val="none"/>
                <w:lang w:val="en-US"/>
              </w:rPr>
            </w:pPr>
            <w:r>
              <w:rPr>
                <w:rFonts w:hint="default" w:cs="Times New Roman"/>
                <w:color w:val="auto"/>
                <w:highlight w:val="none"/>
                <w:lang w:val="en-US" w:eastAsia="zh-CN"/>
              </w:rPr>
              <w:t>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continue"/>
            <w:tcBorders>
              <w:left w:val="single" w:color="000000" w:sz="6" w:space="0"/>
              <w:right w:val="single" w:color="000000" w:sz="8" w:space="0"/>
            </w:tcBorders>
            <w:noWrap w:val="0"/>
            <w:textDirection w:val="tbRlV"/>
            <w:vAlign w:val="center"/>
          </w:tcPr>
          <w:p>
            <w:pPr>
              <w:jc w:val="center"/>
              <w:rPr>
                <w:rFonts w:hint="default" w:ascii="Times New Roman" w:hAnsi="Times New Roman" w:cs="Times New Roman"/>
                <w:color w:val="auto"/>
                <w:highlight w:val="none"/>
              </w:rPr>
            </w:pP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固废治理</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临时垃圾箱、弃方及建筑垃圾</w:t>
            </w:r>
            <w:r>
              <w:rPr>
                <w:rFonts w:hint="default" w:cs="Times New Roman"/>
                <w:color w:val="auto"/>
                <w:highlight w:val="none"/>
                <w:lang w:val="en-US" w:eastAsia="zh-CN"/>
              </w:rPr>
              <w:t>清运</w:t>
            </w:r>
            <w:r>
              <w:rPr>
                <w:rFonts w:hint="default" w:ascii="Times New Roman" w:hAnsi="Times New Roman" w:cs="Times New Roman"/>
                <w:color w:val="auto"/>
                <w:highlight w:val="none"/>
              </w:rPr>
              <w:t>置</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ascii="Times New Roman" w:hAnsi="Times New Roman" w:cs="Times New Roman"/>
                <w:color w:val="auto"/>
                <w:highlight w:val="none"/>
                <w:lang w:val="en-US"/>
              </w:rPr>
            </w:pPr>
            <w:r>
              <w:rPr>
                <w:rFonts w:hint="default" w:cs="Times New Roman"/>
                <w:color w:val="auto"/>
                <w:highlight w:val="none"/>
                <w:lang w:val="en-US" w:eastAsia="zh-CN"/>
              </w:rPr>
              <w:t>12.0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continue"/>
            <w:tcBorders>
              <w:left w:val="single" w:color="000000" w:sz="6" w:space="0"/>
              <w:right w:val="single" w:color="000000" w:sz="8" w:space="0"/>
            </w:tcBorders>
            <w:noWrap w:val="0"/>
            <w:textDirection w:val="tbRlV"/>
            <w:vAlign w:val="center"/>
          </w:tcPr>
          <w:p>
            <w:pPr>
              <w:jc w:val="center"/>
              <w:rPr>
                <w:rFonts w:hint="default" w:ascii="Times New Roman" w:hAnsi="Times New Roman" w:cs="Times New Roman"/>
                <w:color w:val="auto"/>
                <w:highlight w:val="none"/>
              </w:rPr>
            </w:pP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生态保护</w:t>
            </w:r>
            <w:r>
              <w:rPr>
                <w:rFonts w:hint="default" w:cs="Times New Roman"/>
                <w:color w:val="auto"/>
                <w:highlight w:val="none"/>
                <w:lang w:val="en-US" w:eastAsia="zh-CN"/>
              </w:rPr>
              <w:t>与恢复、水土保持</w:t>
            </w:r>
          </w:p>
        </w:tc>
        <w:tc>
          <w:tcPr>
            <w:tcW w:w="2960" w:type="pct"/>
            <w:tcBorders>
              <w:left w:val="single" w:color="000000" w:sz="8" w:space="0"/>
              <w:right w:val="single" w:color="000000" w:sz="8" w:space="0"/>
            </w:tcBorders>
            <w:noWrap w:val="0"/>
            <w:vAlign w:val="center"/>
          </w:tcPr>
          <w:p>
            <w:pPr>
              <w:adjustRightInd w:val="0"/>
              <w:snapToGrid w:val="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1、主体工程区、配套设施区、绿化工程区、弃渣场、临时堆场设置截排水沟、沉砂池。拦挡等临时防护措施。</w:t>
            </w:r>
          </w:p>
          <w:p>
            <w:pPr>
              <w:adjustRightInd w:val="0"/>
              <w:snapToGrid w:val="0"/>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2、临时堆场、物料等采用防冲、防风措施；</w:t>
            </w:r>
          </w:p>
          <w:p>
            <w:pPr>
              <w:adjustRightInd w:val="0"/>
              <w:snapToGrid w:val="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3、裸露地面采取覆盖措施。</w:t>
            </w:r>
          </w:p>
          <w:p>
            <w:pPr>
              <w:adjustRightInd w:val="0"/>
              <w:snapToGrid w:val="0"/>
              <w:jc w:val="both"/>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lang w:val="en-US" w:eastAsia="zh-CN"/>
              </w:rPr>
              <w:t>4、弃渣场及临时堆场生态恢复措施。</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1708.63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continue"/>
            <w:tcBorders>
              <w:left w:val="single" w:color="000000" w:sz="6" w:space="0"/>
              <w:right w:val="single" w:color="000000" w:sz="8" w:space="0"/>
            </w:tcBorders>
            <w:noWrap w:val="0"/>
            <w:textDirection w:val="tbRlV"/>
            <w:vAlign w:val="center"/>
          </w:tcPr>
          <w:p>
            <w:pPr>
              <w:jc w:val="center"/>
              <w:rPr>
                <w:rFonts w:hint="default" w:ascii="Times New Roman" w:hAnsi="Times New Roman" w:cs="Times New Roman"/>
                <w:color w:val="auto"/>
                <w:highlight w:val="none"/>
              </w:rPr>
            </w:pP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环境监测、环境 监理等</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按照工程监理、环保要求开展施工期环境监 理；并定期进行环境监测。</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continue"/>
            <w:tcBorders>
              <w:left w:val="single" w:color="000000" w:sz="6" w:space="0"/>
              <w:right w:val="single" w:color="000000" w:sz="8" w:space="0"/>
            </w:tcBorders>
            <w:noWrap w:val="0"/>
            <w:textDirection w:val="tbRlV"/>
            <w:vAlign w:val="center"/>
          </w:tcPr>
          <w:p>
            <w:pPr>
              <w:jc w:val="center"/>
              <w:rPr>
                <w:rFonts w:hint="default" w:ascii="Times New Roman" w:hAnsi="Times New Roman" w:cs="Times New Roman"/>
                <w:color w:val="auto"/>
                <w:highlight w:val="none"/>
              </w:rPr>
            </w:pP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生态监测</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陆生生态监测</w:t>
            </w:r>
            <w:r>
              <w:rPr>
                <w:rFonts w:hint="default" w:cs="Times New Roman"/>
                <w:color w:val="auto"/>
                <w:highlight w:val="none"/>
                <w:lang w:val="en-US" w:eastAsia="zh-CN"/>
              </w:rPr>
              <w:t>：施工期监测1次；水生生态监测：施工期监测1次</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restart"/>
            <w:tcBorders>
              <w:left w:val="single" w:color="000000" w:sz="6" w:space="0"/>
              <w:bottom w:val="nil"/>
              <w:right w:val="single" w:color="000000" w:sz="8" w:space="0"/>
            </w:tcBorders>
            <w:noWrap w:val="0"/>
            <w:textDirection w:val="tbRlV"/>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营运期</w:t>
            </w: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噪声防治</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做好外部交通噪声控制，设置交通导向标志，限速标志</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continue"/>
            <w:tcBorders>
              <w:top w:val="nil"/>
              <w:left w:val="single" w:color="000000" w:sz="6" w:space="0"/>
              <w:bottom w:val="nil"/>
              <w:right w:val="single" w:color="000000" w:sz="8" w:space="0"/>
            </w:tcBorders>
            <w:noWrap w:val="0"/>
            <w:textDirection w:val="tbRlV"/>
            <w:vAlign w:val="center"/>
          </w:tcPr>
          <w:p>
            <w:pPr>
              <w:jc w:val="center"/>
              <w:rPr>
                <w:rFonts w:hint="default" w:ascii="Times New Roman" w:hAnsi="Times New Roman" w:cs="Times New Roman"/>
                <w:color w:val="auto"/>
                <w:highlight w:val="none"/>
              </w:rPr>
            </w:pP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环境监测</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按照相关要求定期开展监测</w:t>
            </w:r>
          </w:p>
        </w:tc>
        <w:tc>
          <w:tcPr>
            <w:tcW w:w="760" w:type="pct"/>
            <w:tcBorders>
              <w:top w:val="single" w:color="000000" w:sz="6" w:space="0"/>
              <w:left w:val="single" w:color="000000" w:sz="8" w:space="0"/>
              <w:bottom w:val="single" w:color="000000" w:sz="6" w:space="0"/>
            </w:tcBorders>
            <w:noWrap w:val="0"/>
            <w:vAlign w:val="center"/>
          </w:tcPr>
          <w:p>
            <w:pPr>
              <w:jc w:val="center"/>
              <w:rPr>
                <w:rFonts w:hint="default" w:eastAsia="宋体" w:cs="Times New Roman"/>
                <w:color w:val="auto"/>
                <w:highlight w:val="none"/>
                <w:lang w:val="en-US" w:eastAsia="zh-CN"/>
              </w:rPr>
            </w:pPr>
            <w:r>
              <w:rPr>
                <w:rFonts w:hint="default" w:cs="Times New Roman"/>
                <w:color w:val="auto"/>
                <w:highlight w:val="none"/>
                <w:lang w:val="en-US" w:eastAsia="zh-CN"/>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283" w:type="pct"/>
            <w:vMerge w:val="continue"/>
            <w:tcBorders>
              <w:top w:val="nil"/>
              <w:left w:val="single" w:color="000000" w:sz="6" w:space="0"/>
              <w:right w:val="single" w:color="000000" w:sz="8" w:space="0"/>
            </w:tcBorders>
            <w:noWrap w:val="0"/>
            <w:textDirection w:val="tbRlV"/>
            <w:vAlign w:val="center"/>
          </w:tcPr>
          <w:p>
            <w:pPr>
              <w:jc w:val="center"/>
              <w:rPr>
                <w:rFonts w:hint="default" w:ascii="Times New Roman" w:hAnsi="Times New Roman" w:cs="Times New Roman"/>
                <w:color w:val="auto"/>
                <w:highlight w:val="none"/>
              </w:rPr>
            </w:pPr>
          </w:p>
        </w:tc>
        <w:tc>
          <w:tcPr>
            <w:tcW w:w="994"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生态监测</w:t>
            </w:r>
          </w:p>
        </w:tc>
        <w:tc>
          <w:tcPr>
            <w:tcW w:w="2960" w:type="pct"/>
            <w:tcBorders>
              <w:left w:val="single" w:color="000000" w:sz="8" w:space="0"/>
              <w:right w:val="single" w:color="000000" w:sz="8"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陆生生态监测</w:t>
            </w:r>
            <w:r>
              <w:rPr>
                <w:rFonts w:hint="default" w:cs="Times New Roman"/>
                <w:color w:val="auto"/>
                <w:highlight w:val="none"/>
                <w:lang w:val="en-US" w:eastAsia="zh-CN"/>
              </w:rPr>
              <w:t>：运行期监测3次；水生生态监测：运行期监测3次</w:t>
            </w:r>
          </w:p>
        </w:tc>
        <w:tc>
          <w:tcPr>
            <w:tcW w:w="760" w:type="pct"/>
            <w:tcBorders>
              <w:top w:val="single" w:color="000000" w:sz="6" w:space="0"/>
              <w:left w:val="single" w:color="000000" w:sz="8"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39.0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239" w:type="pct"/>
            <w:gridSpan w:val="3"/>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总计</w:t>
            </w:r>
          </w:p>
        </w:tc>
        <w:tc>
          <w:tcPr>
            <w:tcW w:w="760" w:type="pct"/>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1877.63</w:t>
            </w:r>
          </w:p>
        </w:tc>
      </w:tr>
    </w:tbl>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55" w:name="_Toc3970"/>
      <w:bookmarkStart w:id="256" w:name="_Toc22770"/>
      <w:r>
        <w:rPr>
          <w:rFonts w:hint="default" w:cs="Times New Roman"/>
          <w:b/>
          <w:bCs/>
          <w:color w:val="auto"/>
          <w:kern w:val="0"/>
          <w:sz w:val="30"/>
          <w:szCs w:val="30"/>
          <w:highlight w:val="none"/>
          <w:lang w:val="en-US" w:eastAsia="zh-CN"/>
        </w:rPr>
        <w:t>社会效益分析</w:t>
      </w:r>
      <w:bookmarkEnd w:id="255"/>
      <w:bookmarkEnd w:id="256"/>
    </w:p>
    <w:p>
      <w:pPr>
        <w:snapToGrid w:val="0"/>
        <w:spacing w:line="360" w:lineRule="auto"/>
        <w:ind w:firstLine="480" w:firstLineChars="200"/>
        <w:rPr>
          <w:color w:val="auto"/>
          <w:highlight w:val="none"/>
        </w:rPr>
      </w:pPr>
      <w:r>
        <w:rPr>
          <w:rFonts w:hint="default" w:ascii="Times New Roman" w:hAnsi="Times New Roman" w:eastAsia="宋体" w:cs="Times New Roman"/>
          <w:color w:val="auto"/>
          <w:sz w:val="24"/>
          <w:szCs w:val="24"/>
          <w:highlight w:val="none"/>
          <w:lang w:val="en-US" w:eastAsia="zh-CN"/>
        </w:rPr>
        <w:t>项目的建设将带动沿线土地的增值和商业的发展，从而带动整及整个衡阳市的经济繁荣，促进经济效益，增强经济实力，使城市经济建设步入良性循环和稳步的发展。财政收入用于建设，建设服务于经济和扩大再生产。</w:t>
      </w:r>
      <w:r>
        <w:rPr>
          <w:color w:val="auto"/>
          <w:highlight w:val="none"/>
        </w:rPr>
        <w:br w:type="page"/>
      </w:r>
    </w:p>
    <w:p>
      <w:pPr>
        <w:keepNext/>
        <w:keepLines w:val="0"/>
        <w:pageBreakBefore w:val="0"/>
        <w:widowControl w:val="0"/>
        <w:numPr>
          <w:ilvl w:val="0"/>
          <w:numId w:val="4"/>
        </w:numPr>
        <w:kinsoku/>
        <w:wordWrap/>
        <w:overflowPunct/>
        <w:topLinePunct w:val="0"/>
        <w:autoSpaceDE/>
        <w:autoSpaceDN/>
        <w:bidi w:val="0"/>
        <w:adjustRightInd/>
        <w:snapToGrid w:val="0"/>
        <w:spacing w:before="120" w:beforeLines="50" w:after="120" w:afterLines="50" w:line="360" w:lineRule="auto"/>
        <w:ind w:left="0"/>
        <w:jc w:val="center"/>
        <w:textAlignment w:val="auto"/>
        <w:outlineLvl w:val="0"/>
        <w:rPr>
          <w:rFonts w:cs="Times New Roman"/>
          <w:b/>
          <w:bCs/>
          <w:color w:val="auto"/>
          <w:kern w:val="44"/>
          <w:sz w:val="32"/>
          <w:szCs w:val="32"/>
          <w:highlight w:val="none"/>
        </w:rPr>
      </w:pPr>
      <w:bookmarkStart w:id="257" w:name="_Toc21039"/>
      <w:bookmarkStart w:id="258" w:name="_Toc11486"/>
      <w:r>
        <w:rPr>
          <w:rFonts w:hint="default" w:cs="Times New Roman"/>
          <w:b/>
          <w:bCs/>
          <w:color w:val="auto"/>
          <w:kern w:val="44"/>
          <w:sz w:val="32"/>
          <w:szCs w:val="32"/>
          <w:highlight w:val="none"/>
          <w:lang w:val="en-US" w:eastAsia="zh-CN"/>
        </w:rPr>
        <w:t>环境管理与监测计划</w:t>
      </w:r>
      <w:bookmarkEnd w:id="257"/>
      <w:bookmarkEnd w:id="258"/>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59" w:name="_Toc30567"/>
      <w:bookmarkStart w:id="260" w:name="_Toc4272"/>
      <w:r>
        <w:rPr>
          <w:rFonts w:hint="default" w:cs="Times New Roman"/>
          <w:b/>
          <w:bCs/>
          <w:color w:val="auto"/>
          <w:kern w:val="0"/>
          <w:sz w:val="30"/>
          <w:szCs w:val="30"/>
          <w:highlight w:val="none"/>
          <w:lang w:val="en-US" w:eastAsia="zh-CN"/>
        </w:rPr>
        <w:t>环境管理</w:t>
      </w:r>
      <w:bookmarkEnd w:id="259"/>
      <w:bookmarkEnd w:id="260"/>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8.1.1管理机构</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行政管理机构：</w:t>
      </w:r>
      <w:r>
        <w:rPr>
          <w:rFonts w:hint="eastAsia" w:ascii="Times New Roman" w:hAnsi="Times New Roman" w:cs="Times New Roman"/>
          <w:color w:val="auto"/>
          <w:kern w:val="0"/>
          <w:sz w:val="24"/>
          <w:szCs w:val="24"/>
          <w:highlight w:val="none"/>
          <w:lang w:val="en-US" w:eastAsia="zh-CN" w:bidi="ar"/>
        </w:rPr>
        <w:t>地方</w:t>
      </w:r>
      <w:r>
        <w:rPr>
          <w:rFonts w:hint="default" w:cs="Times New Roman"/>
          <w:color w:val="auto"/>
          <w:kern w:val="0"/>
          <w:sz w:val="24"/>
          <w:szCs w:val="24"/>
          <w:highlight w:val="none"/>
          <w:lang w:val="en-US" w:eastAsia="zh-CN" w:bidi="ar"/>
        </w:rPr>
        <w:t>生态环境</w:t>
      </w:r>
      <w:r>
        <w:rPr>
          <w:rFonts w:hint="eastAsia" w:ascii="Times New Roman" w:hAnsi="Times New Roman" w:cs="Times New Roman"/>
          <w:color w:val="auto"/>
          <w:kern w:val="0"/>
          <w:sz w:val="24"/>
          <w:szCs w:val="24"/>
          <w:highlight w:val="none"/>
          <w:lang w:val="en-US" w:eastAsia="zh-CN" w:bidi="ar"/>
        </w:rPr>
        <w:t>管理部门</w:t>
      </w:r>
      <w:r>
        <w:rPr>
          <w:rFonts w:hint="default" w:cs="Times New Roman"/>
          <w:color w:val="auto"/>
          <w:kern w:val="0"/>
          <w:sz w:val="24"/>
          <w:szCs w:val="24"/>
          <w:highlight w:val="none"/>
          <w:lang w:val="en-US" w:eastAsia="zh-CN" w:bidi="ar"/>
        </w:rPr>
        <w:t>、水利</w:t>
      </w:r>
      <w:r>
        <w:rPr>
          <w:rFonts w:hint="eastAsia" w:ascii="Times New Roman" w:hAnsi="Times New Roman" w:cs="Times New Roman"/>
          <w:color w:val="auto"/>
          <w:kern w:val="0"/>
          <w:sz w:val="24"/>
          <w:szCs w:val="24"/>
          <w:highlight w:val="none"/>
          <w:lang w:val="en-US" w:eastAsia="zh-CN" w:bidi="ar"/>
        </w:rPr>
        <w:t>部门</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行政管理机构：衡阳市城市建设投资发展集团有限公司负责日常环境管理工作</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8.1.2环境管理职责</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行政管理机构职责</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监督、监测各项生态环保措施、环境管理与生态监控计划的实施情况及本项目的环境保护验收工作的实施。</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建设单位职责</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1）贯彻执行国家环境保护的方针、政策、法律和法规。</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2）组织制定本项目环境保护的规章制度和标准，并督促检查其执行。</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参与选择环保业绩优秀的施工承包方。施工期对环境的破坏程度与施工承包方的素质和管理水平有很大关系。</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4）对施工承包方提出明确的环保要求。在承包合同中应明确规定有关环境保护条款，如承包施工段的主要环境保护目标应采取的水、气、声、生态保护及水土保持等，将环保工作的执行情况作为工程验收的标准之一。要求施工承包方在施工前，按照其施工段的环保要求，编制详细的</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环境管理方案</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，批准后方可开工。</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制定或审核施工作业的环境保护、监督计划，根据施工中各工种的作业特点和各施工区段的敏感目标，分别提出不同的环境保护要求，制定发生环境事故的应急计划和措施。</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6）</w:t>
      </w:r>
      <w:r>
        <w:rPr>
          <w:rFonts w:hint="default" w:ascii="Times New Roman" w:hAnsi="Times New Roman" w:eastAsia="宋体" w:cs="Times New Roman"/>
          <w:color w:val="auto"/>
          <w:kern w:val="0"/>
          <w:sz w:val="24"/>
          <w:szCs w:val="24"/>
          <w:highlight w:val="none"/>
          <w:lang w:val="en-US" w:eastAsia="zh-CN" w:bidi="ar"/>
        </w:rPr>
        <w:t>监督施工期各项环保措施的落实情况，负责环保工程的检查和预验收，负责协调与省、市环保、水利、土地等部门的关系，以及群众团体的生态环境保护问题，调查处理管道施工中的环境破坏和污染事故。</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7</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审定、落实并督促实施生态恢复和污染治理方案，监督恢复治理资金和物质的使用;负责有关环保文件、技术资料和施工期现场环境监测资料的收集建档。</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8）监督检查保护生态环境和防止污染设施与管道主体工程同时设计、同时施工、同时投入使用的执行情况。</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8.1.3环境管理计划</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0"/>
          <w:sz w:val="24"/>
          <w:szCs w:val="24"/>
          <w:highlight w:val="none"/>
          <w:lang w:val="en-US" w:eastAsia="zh-CN" w:bidi="ar"/>
        </w:rPr>
        <w:t>表</w:t>
      </w:r>
      <w:r>
        <w:rPr>
          <w:rFonts w:hint="default" w:cs="Times New Roman"/>
          <w:b/>
          <w:bCs/>
          <w:color w:val="auto"/>
          <w:kern w:val="0"/>
          <w:sz w:val="24"/>
          <w:szCs w:val="24"/>
          <w:highlight w:val="none"/>
          <w:lang w:val="en-US" w:eastAsia="zh-CN" w:bidi="ar"/>
        </w:rPr>
        <w:t>8.1-1</w:t>
      </w:r>
      <w:r>
        <w:rPr>
          <w:rFonts w:hint="default" w:ascii="Times New Roman" w:hAnsi="Times New Roman" w:eastAsia="宋体" w:cs="Times New Roman"/>
          <w:b/>
          <w:bCs/>
          <w:color w:val="auto"/>
          <w:kern w:val="0"/>
          <w:sz w:val="24"/>
          <w:szCs w:val="24"/>
          <w:highlight w:val="none"/>
          <w:lang w:val="en-US" w:eastAsia="zh-CN" w:bidi="ar"/>
        </w:rPr>
        <w:t xml:space="preserve"> 工程建设工程环境管理计划表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54"/>
        <w:gridCol w:w="1152"/>
        <w:gridCol w:w="63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1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阶段</w:t>
            </w:r>
          </w:p>
        </w:tc>
        <w:tc>
          <w:tcPr>
            <w:tcW w:w="6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类型</w:t>
            </w:r>
          </w:p>
        </w:tc>
        <w:tc>
          <w:tcPr>
            <w:tcW w:w="379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管理目标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14"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6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空气污染</w:t>
            </w:r>
          </w:p>
        </w:tc>
        <w:tc>
          <w:tcPr>
            <w:tcW w:w="3792"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a.施工期定期清扫和洒水，以降低道路扬尘，减少大气污染，洒水次数视当地土质决定。</w:t>
            </w:r>
          </w:p>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b.料堆和贮料场须遮盖或洒水以防止尘埃污染。运送建筑材料的卡车用采用遮盖措施，减少物料洒落。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1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p>
        </w:tc>
        <w:tc>
          <w:tcPr>
            <w:tcW w:w="6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highlight w:val="none"/>
                <w:lang w:val="en-US" w:eastAsia="zh-CN"/>
              </w:rPr>
            </w:pPr>
            <w:r>
              <w:rPr>
                <w:rFonts w:hint="default" w:cs="Times New Roman"/>
                <w:color w:val="auto"/>
                <w:highlight w:val="none"/>
                <w:lang w:val="en-US" w:eastAsia="zh-CN"/>
              </w:rPr>
              <w:t>水污染</w:t>
            </w:r>
          </w:p>
        </w:tc>
        <w:tc>
          <w:tcPr>
            <w:tcW w:w="3792"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cs="Times New Roman"/>
                <w:color w:val="auto"/>
                <w:highlight w:val="none"/>
                <w:lang w:val="en-US" w:eastAsia="zh-CN"/>
              </w:rPr>
            </w:pPr>
            <w:r>
              <w:rPr>
                <w:rFonts w:hint="default" w:cs="Times New Roman"/>
                <w:color w:val="auto"/>
                <w:highlight w:val="none"/>
                <w:lang w:val="en-US" w:eastAsia="zh-CN"/>
              </w:rPr>
              <w:t>a.施工现场的水泥、沙、石料应统一管理合理堆放，下雨时应加以遮盖，避免径流雨污水的污染影响；</w:t>
            </w:r>
          </w:p>
          <w:p>
            <w:pPr>
              <w:keepNext w:val="0"/>
              <w:keepLines w:val="0"/>
              <w:pageBreakBefore w:val="0"/>
              <w:widowControl w:val="0"/>
              <w:kinsoku/>
              <w:wordWrap/>
              <w:overflowPunct/>
              <w:topLinePunct w:val="0"/>
              <w:autoSpaceDE/>
              <w:autoSpaceDN/>
              <w:bidi w:val="0"/>
              <w:adjustRightInd/>
              <w:snapToGrid/>
              <w:jc w:val="left"/>
              <w:textAlignment w:val="auto"/>
              <w:rPr>
                <w:rFonts w:hint="default" w:cs="Times New Roman"/>
                <w:color w:val="auto"/>
                <w:highlight w:val="none"/>
                <w:lang w:val="en-US" w:eastAsia="zh-CN"/>
              </w:rPr>
            </w:pPr>
            <w:r>
              <w:rPr>
                <w:rFonts w:hint="default" w:cs="Times New Roman"/>
                <w:color w:val="auto"/>
                <w:highlight w:val="none"/>
                <w:lang w:val="en-US" w:eastAsia="zh-CN"/>
              </w:rPr>
              <w:t>b.施工期固体废物（建筑垃圾、施工人员生活垃圾）应集中收集，统一运至垃圾场，不得抛弃至湘江中；</w:t>
            </w:r>
          </w:p>
          <w:p>
            <w:pPr>
              <w:keepNext w:val="0"/>
              <w:keepLines w:val="0"/>
              <w:pageBreakBefore w:val="0"/>
              <w:widowControl w:val="0"/>
              <w:kinsoku/>
              <w:wordWrap/>
              <w:overflowPunct/>
              <w:topLinePunct w:val="0"/>
              <w:autoSpaceDE/>
              <w:autoSpaceDN/>
              <w:bidi w:val="0"/>
              <w:adjustRightInd/>
              <w:snapToGrid/>
              <w:jc w:val="left"/>
              <w:textAlignment w:val="auto"/>
              <w:rPr>
                <w:rFonts w:hint="default" w:cs="Times New Roman"/>
                <w:color w:val="auto"/>
                <w:highlight w:val="none"/>
                <w:lang w:val="en-US" w:eastAsia="zh-CN"/>
              </w:rPr>
            </w:pPr>
            <w:r>
              <w:rPr>
                <w:rFonts w:hint="default" w:cs="Times New Roman"/>
                <w:color w:val="auto"/>
                <w:highlight w:val="none"/>
                <w:lang w:val="en-US" w:eastAsia="zh-CN"/>
              </w:rPr>
              <w:t>C.施工期的生活污水经化粪池处理后排入市政管网，禁止排入湘江。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1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p>
        </w:tc>
        <w:tc>
          <w:tcPr>
            <w:tcW w:w="6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highlight w:val="none"/>
                <w:lang w:val="en-US" w:eastAsia="zh-CN"/>
              </w:rPr>
            </w:pPr>
            <w:r>
              <w:rPr>
                <w:rFonts w:hint="default" w:cs="Times New Roman"/>
                <w:color w:val="auto"/>
                <w:highlight w:val="none"/>
                <w:lang w:val="en-US" w:eastAsia="zh-CN"/>
              </w:rPr>
              <w:t>噪声</w:t>
            </w:r>
          </w:p>
        </w:tc>
        <w:tc>
          <w:tcPr>
            <w:tcW w:w="3792"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cs="Times New Roman"/>
                <w:color w:val="auto"/>
                <w:highlight w:val="none"/>
                <w:lang w:val="en-US" w:eastAsia="zh-CN"/>
              </w:rPr>
            </w:pPr>
            <w:r>
              <w:rPr>
                <w:rFonts w:hint="default" w:cs="Times New Roman"/>
                <w:color w:val="auto"/>
                <w:highlight w:val="none"/>
                <w:lang w:val="en-US" w:eastAsia="zh-CN"/>
              </w:rPr>
              <w:t>a.禁止高噪声机械夜间作业；</w:t>
            </w:r>
          </w:p>
          <w:p>
            <w:pPr>
              <w:keepNext w:val="0"/>
              <w:keepLines w:val="0"/>
              <w:pageBreakBefore w:val="0"/>
              <w:widowControl w:val="0"/>
              <w:kinsoku/>
              <w:wordWrap/>
              <w:overflowPunct/>
              <w:topLinePunct w:val="0"/>
              <w:autoSpaceDE/>
              <w:autoSpaceDN/>
              <w:bidi w:val="0"/>
              <w:adjustRightInd/>
              <w:snapToGrid/>
              <w:jc w:val="left"/>
              <w:textAlignment w:val="auto"/>
              <w:rPr>
                <w:rFonts w:hint="default" w:cs="Times New Roman"/>
                <w:color w:val="auto"/>
                <w:highlight w:val="none"/>
                <w:lang w:val="en-US" w:eastAsia="zh-CN"/>
              </w:rPr>
            </w:pPr>
            <w:r>
              <w:rPr>
                <w:rFonts w:hint="default" w:cs="Times New Roman"/>
                <w:color w:val="auto"/>
                <w:highlight w:val="none"/>
                <w:lang w:val="en-US" w:eastAsia="zh-CN"/>
              </w:rPr>
              <w:t>b.加强机械和车辆维修保养，保持其低噪声水平。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1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p>
        </w:tc>
        <w:tc>
          <w:tcPr>
            <w:tcW w:w="6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水生生态</w:t>
            </w:r>
          </w:p>
        </w:tc>
        <w:tc>
          <w:tcPr>
            <w:tcW w:w="3792"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cs="Times New Roman"/>
                <w:color w:val="auto"/>
                <w:highlight w:val="none"/>
                <w:lang w:val="en-US" w:eastAsia="zh-CN"/>
              </w:rPr>
              <w:t>施工过程中应严格按照设计方案进行施工</w:t>
            </w:r>
            <w:r>
              <w:rPr>
                <w:rFonts w:hint="default" w:ascii="Times New Roman" w:hAnsi="Times New Roman" w:cs="Times New Roman"/>
                <w:color w:val="auto"/>
                <w:highlight w:val="none"/>
              </w:rPr>
              <w:t>，</w:t>
            </w:r>
            <w:r>
              <w:rPr>
                <w:rFonts w:hint="default" w:cs="Times New Roman"/>
                <w:color w:val="auto"/>
                <w:highlight w:val="none"/>
                <w:lang w:val="en-US" w:eastAsia="zh-CN"/>
              </w:rPr>
              <w:t>不</w:t>
            </w:r>
            <w:r>
              <w:rPr>
                <w:rFonts w:hint="default" w:ascii="Times New Roman" w:hAnsi="Times New Roman" w:cs="Times New Roman"/>
                <w:color w:val="auto"/>
                <w:highlight w:val="none"/>
              </w:rPr>
              <w:t>得随息扩大</w:t>
            </w:r>
            <w:r>
              <w:rPr>
                <w:rFonts w:hint="default" w:cs="Times New Roman"/>
                <w:color w:val="auto"/>
                <w:highlight w:val="none"/>
                <w:lang w:val="en-US" w:eastAsia="zh-CN"/>
              </w:rPr>
              <w:t>施工</w:t>
            </w:r>
            <w:r>
              <w:rPr>
                <w:rFonts w:hint="default" w:ascii="Times New Roman" w:hAnsi="Times New Roman" w:cs="Times New Roman"/>
                <w:color w:val="auto"/>
                <w:highlight w:val="none"/>
              </w:rPr>
              <w:t>规模特别是水下施工规模，不得更改施工时间。</w:t>
            </w:r>
          </w:p>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b.从保护水生生物的角度，优化施工方法特别是水下施工方法，尽量减轻水下噪声。陆上施工包括完工时的试机也应尽量减轻噪声污染。水下施工应避免昼夜连续作业</w:t>
            </w:r>
            <w:r>
              <w:rPr>
                <w:rFonts w:hint="default" w:cs="Times New Roman"/>
                <w:color w:val="auto"/>
                <w:highlight w:val="none"/>
                <w:lang w:eastAsia="zh-CN"/>
              </w:rPr>
              <w:t>；</w:t>
            </w:r>
          </w:p>
          <w:p>
            <w:pPr>
              <w:keepNext w:val="0"/>
              <w:keepLines w:val="0"/>
              <w:pageBreakBefore w:val="0"/>
              <w:widowControl w:val="0"/>
              <w:kinsoku/>
              <w:wordWrap/>
              <w:overflowPunct/>
              <w:topLinePunct w:val="0"/>
              <w:autoSpaceDE/>
              <w:autoSpaceDN/>
              <w:bidi w:val="0"/>
              <w:adjustRightInd/>
              <w:snapToGrid/>
              <w:jc w:val="left"/>
              <w:textAlignment w:val="auto"/>
              <w:rPr>
                <w:rFonts w:hint="default" w:cs="Times New Roman"/>
                <w:color w:val="auto"/>
                <w:highlight w:val="none"/>
                <w:lang w:eastAsia="zh-CN"/>
              </w:rPr>
            </w:pPr>
            <w:r>
              <w:rPr>
                <w:rFonts w:hint="default" w:ascii="Times New Roman" w:hAnsi="Times New Roman" w:cs="Times New Roman"/>
                <w:color w:val="auto"/>
                <w:highlight w:val="none"/>
              </w:rPr>
              <w:t>c.施工过程中应采取有效的措施，控制生活垃圾、生活污水和生产废水的排放。施工中的弃渣不得排入江中，浇注混凝土时应防止泄漏</w:t>
            </w:r>
            <w:r>
              <w:rPr>
                <w:rFonts w:hint="default" w:cs="Times New Roman"/>
                <w:color w:val="auto"/>
                <w:highlight w:val="none"/>
                <w:lang w:eastAsia="zh-CN"/>
              </w:rPr>
              <w:t>；</w:t>
            </w:r>
          </w:p>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d.在施工过程中应采取有效的监管措施，保证人员安全和工程本身的安全，维护保护区的对外形象</w:t>
            </w:r>
            <w:r>
              <w:rPr>
                <w:rFonts w:hint="default" w:cs="Times New Roman"/>
                <w:color w:val="auto"/>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14"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运营期</w:t>
            </w:r>
          </w:p>
        </w:tc>
        <w:tc>
          <w:tcPr>
            <w:tcW w:w="6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水污染</w:t>
            </w:r>
          </w:p>
        </w:tc>
        <w:tc>
          <w:tcPr>
            <w:tcW w:w="3792"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rPr>
            </w:pPr>
            <w:r>
              <w:rPr>
                <w:rFonts w:hint="default" w:cs="Times New Roman"/>
                <w:color w:val="auto"/>
                <w:highlight w:val="none"/>
                <w:lang w:val="en-US" w:eastAsia="zh-CN"/>
              </w:rPr>
              <w:t>a.东洲岛上生活污水依托东洲岛现有已建污水处理设施（地下式污水处理站+无动力地埋分散式厌氧净化处理系统）处理后达到《污水综合排放标准》（GB8978-1996）一级标准要求，回用于岛上绿化不得外排。</w:t>
            </w:r>
          </w:p>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rPr>
            </w:pPr>
            <w:r>
              <w:rPr>
                <w:rFonts w:hint="default" w:cs="Times New Roman"/>
                <w:color w:val="auto"/>
                <w:highlight w:val="none"/>
                <w:lang w:val="en-US" w:eastAsia="zh-CN"/>
              </w:rPr>
              <w:t>b</w:t>
            </w:r>
            <w:r>
              <w:rPr>
                <w:rFonts w:hint="default" w:ascii="Times New Roman" w:hAnsi="Times New Roman" w:cs="Times New Roman"/>
                <w:color w:val="auto"/>
                <w:highlight w:val="none"/>
              </w:rPr>
              <w:t>.</w:t>
            </w:r>
            <w:r>
              <w:rPr>
                <w:rFonts w:hint="default" w:cs="Times New Roman"/>
                <w:color w:val="auto"/>
                <w:highlight w:val="none"/>
                <w:lang w:val="en-US" w:eastAsia="zh-CN"/>
              </w:rPr>
              <w:t>湘江东岸项目区域生活污水经化粪池预处理后接入市政管网排入江东污水处理厂处理后达标排放。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1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p>
        </w:tc>
        <w:tc>
          <w:tcPr>
            <w:tcW w:w="6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噪声</w:t>
            </w:r>
          </w:p>
        </w:tc>
        <w:tc>
          <w:tcPr>
            <w:tcW w:w="379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color w:val="auto"/>
                <w:lang w:val="en-US" w:eastAsia="zh-CN"/>
              </w:rPr>
            </w:pPr>
            <w:r>
              <w:rPr>
                <w:rFonts w:hint="default" w:cs="Times New Roman"/>
                <w:color w:val="auto"/>
                <w:highlight w:val="none"/>
                <w:lang w:val="en-US" w:eastAsia="zh-CN"/>
              </w:rPr>
              <w:t>a.设备选型要选择符合声环境标准的低噪声设备，并采用隔声、消声等措施；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1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p>
        </w:tc>
        <w:tc>
          <w:tcPr>
            <w:tcW w:w="6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事故应急</w:t>
            </w:r>
          </w:p>
        </w:tc>
        <w:tc>
          <w:tcPr>
            <w:tcW w:w="3792"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制定环境风险事故应急方案，按计划方案执行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1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p>
        </w:tc>
        <w:tc>
          <w:tcPr>
            <w:tcW w:w="6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环境监测</w:t>
            </w:r>
          </w:p>
        </w:tc>
        <w:tc>
          <w:tcPr>
            <w:tcW w:w="3792" w:type="pct"/>
            <w:noWrap w:val="0"/>
            <w:vAlign w:val="center"/>
          </w:tcPr>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按环境监测技术规范、监测标准、方法执行</w:t>
            </w:r>
          </w:p>
        </w:tc>
      </w:tr>
    </w:tbl>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61" w:name="_Toc10019"/>
      <w:bookmarkStart w:id="262" w:name="_Toc9871"/>
      <w:r>
        <w:rPr>
          <w:rFonts w:hint="default" w:cs="Times New Roman"/>
          <w:b/>
          <w:bCs/>
          <w:color w:val="auto"/>
          <w:kern w:val="0"/>
          <w:sz w:val="30"/>
          <w:szCs w:val="30"/>
          <w:highlight w:val="none"/>
          <w:lang w:val="en-US" w:eastAsia="zh-CN"/>
        </w:rPr>
        <w:t>环境监测</w:t>
      </w:r>
      <w:bookmarkEnd w:id="261"/>
      <w:bookmarkEnd w:id="262"/>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bookmarkStart w:id="263" w:name="_Toc17259"/>
      <w:r>
        <w:rPr>
          <w:rFonts w:hint="default" w:cs="Times New Roman"/>
          <w:b/>
          <w:bCs/>
          <w:color w:val="auto"/>
          <w:kern w:val="0"/>
          <w:sz w:val="28"/>
          <w:szCs w:val="28"/>
          <w:highlight w:val="none"/>
          <w:lang w:val="en-US" w:eastAsia="zh-CN"/>
        </w:rPr>
        <w:t>8.2.1环境监测机构</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环境监测是环境管理的依据和基础，它为环境评价和管理提供科学依据，并据此制定污染防治对策和规划。根据本次建设项目的隶属、性质、建设规模和污染物排放特点，评价要求建设单位按照自身的实际情况，委托有资质单位开展施工期日常监测任务。</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8.2.2环境监测计划</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为使本工程建设期和营运期减少污染物的排放，减轻对环境的污染，需要全面、及时掌握污染动态，了解区域环境质量变化，使整个受工程建设影响的区域符合本报告提出的环境质量标准，工程建设期和营运期必须执行本监测计划</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工程施工期环境影响源主要有施工扬尘、施工废水、施工噪声等，工程运营期环境影响主要表现为</w:t>
      </w:r>
      <w:r>
        <w:rPr>
          <w:rFonts w:hint="default" w:cs="Times New Roman"/>
          <w:color w:val="auto"/>
          <w:kern w:val="0"/>
          <w:sz w:val="24"/>
          <w:szCs w:val="24"/>
          <w:highlight w:val="none"/>
          <w:lang w:val="en-US" w:eastAsia="zh-CN" w:bidi="ar"/>
        </w:rPr>
        <w:t>废水、固废等</w:t>
      </w:r>
      <w:r>
        <w:rPr>
          <w:rFonts w:hint="default" w:ascii="Times New Roman" w:hAnsi="Times New Roman" w:eastAsia="宋体" w:cs="Times New Roman"/>
          <w:color w:val="auto"/>
          <w:kern w:val="0"/>
          <w:sz w:val="24"/>
          <w:szCs w:val="24"/>
          <w:highlight w:val="none"/>
          <w:lang w:val="en-US" w:eastAsia="zh-CN" w:bidi="ar"/>
        </w:rPr>
        <w:t xml:space="preserve">影响，建设单位应委托有资质的单位进行监测。 </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参考《排污单位自行监测技术指南 总则》（HJ819-2017）和本工程的特征，制定环境监测方案详见下表。</w:t>
      </w:r>
    </w:p>
    <w:p>
      <w:pPr>
        <w:keepNext w:val="0"/>
        <w:keepLines w:val="0"/>
        <w:pageBreakBefore w:val="0"/>
        <w:widowControl/>
        <w:suppressLineNumbers w:val="0"/>
        <w:kinsoku/>
        <w:wordWrap/>
        <w:overflowPunct/>
        <w:topLinePunct w:val="0"/>
        <w:autoSpaceDE/>
        <w:autoSpaceDN/>
        <w:bidi w:val="0"/>
        <w:spacing w:line="360" w:lineRule="auto"/>
        <w:ind w:firstLine="482" w:firstLineChars="200"/>
        <w:jc w:val="center"/>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b/>
          <w:bCs/>
          <w:color w:val="auto"/>
          <w:kern w:val="0"/>
          <w:sz w:val="24"/>
          <w:szCs w:val="24"/>
          <w:highlight w:val="none"/>
          <w:lang w:val="en-US" w:eastAsia="zh-CN" w:bidi="ar"/>
        </w:rPr>
        <w:t>表</w:t>
      </w:r>
      <w:r>
        <w:rPr>
          <w:rFonts w:hint="default" w:cs="Times New Roman"/>
          <w:b/>
          <w:bCs/>
          <w:color w:val="auto"/>
          <w:kern w:val="0"/>
          <w:sz w:val="24"/>
          <w:szCs w:val="24"/>
          <w:highlight w:val="none"/>
          <w:lang w:val="en-US" w:eastAsia="zh-CN" w:bidi="ar"/>
        </w:rPr>
        <w:t xml:space="preserve">8.2-1 </w:t>
      </w:r>
      <w:r>
        <w:rPr>
          <w:rFonts w:hint="default" w:ascii="Times New Roman" w:hAnsi="Times New Roman" w:eastAsia="宋体" w:cs="Times New Roman"/>
          <w:b/>
          <w:bCs/>
          <w:color w:val="auto"/>
          <w:kern w:val="0"/>
          <w:sz w:val="24"/>
          <w:szCs w:val="24"/>
          <w:highlight w:val="none"/>
          <w:lang w:val="en-US" w:eastAsia="zh-CN" w:bidi="ar"/>
        </w:rPr>
        <w:t xml:space="preserve"> 环境监测计划</w:t>
      </w:r>
      <w:r>
        <w:rPr>
          <w:rFonts w:hint="default" w:cs="Times New Roman"/>
          <w:b/>
          <w:bCs/>
          <w:color w:val="auto"/>
          <w:kern w:val="0"/>
          <w:sz w:val="24"/>
          <w:szCs w:val="24"/>
          <w:highlight w:val="none"/>
          <w:lang w:val="en-US" w:eastAsia="zh-CN" w:bidi="ar"/>
        </w:rPr>
        <w:t>表</w:t>
      </w:r>
    </w:p>
    <w:tbl>
      <w:tblPr>
        <w:tblStyle w:val="42"/>
        <w:tblW w:w="503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15"/>
        <w:gridCol w:w="1280"/>
        <w:gridCol w:w="1705"/>
        <w:gridCol w:w="2190"/>
        <w:gridCol w:w="227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trPr>
        <w:tc>
          <w:tcPr>
            <w:tcW w:w="547" w:type="pct"/>
            <w:tcBorders>
              <w:top w:val="single" w:color="auto" w:sz="4" w:space="0"/>
              <w:left w:val="single" w:color="000000" w:sz="6"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阶段</w:t>
            </w:r>
          </w:p>
        </w:tc>
        <w:tc>
          <w:tcPr>
            <w:tcW w:w="7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101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130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135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3" w:hRule="atLeast"/>
        </w:trPr>
        <w:tc>
          <w:tcPr>
            <w:tcW w:w="547" w:type="pct"/>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7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101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等效连续A 声级</w:t>
            </w:r>
          </w:p>
        </w:tc>
        <w:tc>
          <w:tcPr>
            <w:tcW w:w="130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施工区域200m范围内居民点</w:t>
            </w:r>
          </w:p>
        </w:tc>
        <w:tc>
          <w:tcPr>
            <w:tcW w:w="135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施工期每季度1次</w:t>
            </w:r>
            <w:r>
              <w:rPr>
                <w:rFonts w:hint="default" w:ascii="Times New Roman" w:hAnsi="Times New Roman" w:cs="Times New Roman"/>
                <w:color w:val="auto"/>
                <w:highlight w:val="none"/>
              </w:rPr>
              <w:t>，</w:t>
            </w:r>
            <w:r>
              <w:rPr>
                <w:rFonts w:hint="default" w:cs="Times New Roman"/>
                <w:color w:val="auto"/>
                <w:highlight w:val="none"/>
                <w:lang w:val="en-US" w:eastAsia="zh-CN"/>
              </w:rPr>
              <w:t>一次监测1天，</w:t>
            </w:r>
            <w:r>
              <w:rPr>
                <w:rFonts w:hint="default" w:ascii="Times New Roman" w:hAnsi="Times New Roman" w:cs="Times New Roman"/>
                <w:color w:val="auto"/>
                <w:highlight w:val="none"/>
              </w:rPr>
              <w:t>昼间、夜间</w:t>
            </w:r>
            <w:r>
              <w:rPr>
                <w:rFonts w:hint="default" w:cs="Times New Roman"/>
                <w:color w:val="auto"/>
                <w:highlight w:val="none"/>
                <w:lang w:val="en-US" w:eastAsia="zh-CN"/>
              </w:rPr>
              <w:t>各1次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4" w:hRule="atLeast"/>
        </w:trPr>
        <w:tc>
          <w:tcPr>
            <w:tcW w:w="547" w:type="pct"/>
            <w:vMerge w:val="continue"/>
            <w:tcBorders>
              <w:left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p>
        </w:tc>
        <w:tc>
          <w:tcPr>
            <w:tcW w:w="7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w:t>
            </w:r>
          </w:p>
        </w:tc>
        <w:tc>
          <w:tcPr>
            <w:tcW w:w="101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130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临时堆场附近居民点</w:t>
            </w:r>
          </w:p>
        </w:tc>
        <w:tc>
          <w:tcPr>
            <w:tcW w:w="135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施工期每季度1次</w:t>
            </w:r>
            <w:r>
              <w:rPr>
                <w:rFonts w:hint="default" w:ascii="Times New Roman" w:hAnsi="Times New Roman" w:cs="Times New Roman"/>
                <w:color w:val="auto"/>
                <w:highlight w:val="none"/>
              </w:rPr>
              <w:t>，</w:t>
            </w:r>
            <w:r>
              <w:rPr>
                <w:rFonts w:hint="default" w:cs="Times New Roman"/>
                <w:color w:val="auto"/>
                <w:highlight w:val="none"/>
                <w:lang w:val="en-US" w:eastAsia="zh-CN"/>
              </w:rPr>
              <w:t>一次监测1天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4" w:hRule="atLeast"/>
        </w:trPr>
        <w:tc>
          <w:tcPr>
            <w:tcW w:w="547" w:type="pct"/>
            <w:vMerge w:val="continue"/>
            <w:tcBorders>
              <w:left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p>
        </w:tc>
        <w:tc>
          <w:tcPr>
            <w:tcW w:w="7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水环境</w:t>
            </w:r>
          </w:p>
        </w:tc>
        <w:tc>
          <w:tcPr>
            <w:tcW w:w="101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PH、CODcr、BOD、SS、NH3-N、TN、TP、石油类</w:t>
            </w:r>
          </w:p>
        </w:tc>
        <w:tc>
          <w:tcPr>
            <w:tcW w:w="130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项目施工断面上游500m、下游500m</w:t>
            </w:r>
          </w:p>
        </w:tc>
        <w:tc>
          <w:tcPr>
            <w:tcW w:w="135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施工期1次/月，每次监测2天，随施工进度调整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4" w:hRule="atLeast"/>
        </w:trPr>
        <w:tc>
          <w:tcPr>
            <w:tcW w:w="547" w:type="pct"/>
            <w:vMerge w:val="continue"/>
            <w:tcBorders>
              <w:left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p>
        </w:tc>
        <w:tc>
          <w:tcPr>
            <w:tcW w:w="7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陆生生态环境</w:t>
            </w:r>
          </w:p>
        </w:tc>
        <w:tc>
          <w:tcPr>
            <w:tcW w:w="101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植物种类、覆盖率调查，陆生动物种类、数量、栖息地、动态变化等</w:t>
            </w:r>
          </w:p>
        </w:tc>
        <w:tc>
          <w:tcPr>
            <w:tcW w:w="130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施工区域</w:t>
            </w:r>
          </w:p>
        </w:tc>
        <w:tc>
          <w:tcPr>
            <w:tcW w:w="135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施工期监测1次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4" w:hRule="atLeast"/>
        </w:trPr>
        <w:tc>
          <w:tcPr>
            <w:tcW w:w="547" w:type="pct"/>
            <w:vMerge w:val="continue"/>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p>
        </w:tc>
        <w:tc>
          <w:tcPr>
            <w:tcW w:w="7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水生生态环境</w:t>
            </w:r>
          </w:p>
        </w:tc>
        <w:tc>
          <w:tcPr>
            <w:tcW w:w="101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水生态监测（鱼类种群动态及群落组成变化，包括其种类组成、分布、数量等）</w:t>
            </w:r>
          </w:p>
        </w:tc>
        <w:tc>
          <w:tcPr>
            <w:tcW w:w="130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项目所在湘江衡阳段四大家鱼国家级</w:t>
            </w:r>
            <w:r>
              <w:rPr>
                <w:rFonts w:hint="eastAsia" w:cs="Times New Roman"/>
                <w:color w:val="auto"/>
                <w:highlight w:val="none"/>
                <w:lang w:val="en-US" w:eastAsia="zh-CN"/>
              </w:rPr>
              <w:t>水产种质资源保护区</w:t>
            </w:r>
            <w:r>
              <w:rPr>
                <w:rFonts w:hint="default" w:cs="Times New Roman"/>
                <w:color w:val="auto"/>
                <w:highlight w:val="none"/>
                <w:lang w:val="en-US" w:eastAsia="zh-CN"/>
              </w:rPr>
              <w:t>核心区</w:t>
            </w:r>
          </w:p>
        </w:tc>
        <w:tc>
          <w:tcPr>
            <w:tcW w:w="135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施工期监测1次，选择在鱼类产卵期、索饵期或越冬期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4" w:hRule="atLeast"/>
        </w:trPr>
        <w:tc>
          <w:tcPr>
            <w:tcW w:w="547" w:type="pct"/>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营运期</w:t>
            </w:r>
          </w:p>
        </w:tc>
        <w:tc>
          <w:tcPr>
            <w:tcW w:w="7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101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等效连续A 声级</w:t>
            </w:r>
          </w:p>
        </w:tc>
        <w:tc>
          <w:tcPr>
            <w:tcW w:w="130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项目周边200m范围居民点</w:t>
            </w:r>
          </w:p>
        </w:tc>
        <w:tc>
          <w:tcPr>
            <w:tcW w:w="135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1次/年；昼间、夜间分别开展</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4" w:hRule="atLeast"/>
        </w:trPr>
        <w:tc>
          <w:tcPr>
            <w:tcW w:w="547" w:type="pct"/>
            <w:vMerge w:val="continue"/>
            <w:tcBorders>
              <w:left w:val="single" w:color="auto" w:sz="4" w:space="0"/>
              <w:right w:val="single" w:color="auto" w:sz="4" w:space="0"/>
            </w:tcBorders>
            <w:noWrap w:val="0"/>
            <w:vAlign w:val="center"/>
          </w:tcPr>
          <w:p>
            <w:pPr>
              <w:jc w:val="center"/>
              <w:rPr>
                <w:rFonts w:hint="default" w:ascii="Times New Roman" w:hAnsi="Times New Roman" w:cs="Times New Roman"/>
                <w:color w:val="auto"/>
                <w:highlight w:val="none"/>
                <w:lang w:val="en-US" w:eastAsia="zh-CN"/>
              </w:rPr>
            </w:pPr>
          </w:p>
        </w:tc>
        <w:tc>
          <w:tcPr>
            <w:tcW w:w="7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陆生生态环境</w:t>
            </w:r>
          </w:p>
        </w:tc>
        <w:tc>
          <w:tcPr>
            <w:tcW w:w="101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植物种类、覆盖率调查，陆生动物种类、数量、栖息地、动态变化、重要物种和古树保护情况；植被保护和恢复措施效果</w:t>
            </w:r>
          </w:p>
        </w:tc>
        <w:tc>
          <w:tcPr>
            <w:tcW w:w="130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运行期影响范围（湘江沿岸风光带、东洲岛）</w:t>
            </w:r>
          </w:p>
        </w:tc>
        <w:tc>
          <w:tcPr>
            <w:tcW w:w="135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运行期间前</w:t>
            </w:r>
            <w:r>
              <w:rPr>
                <w:rFonts w:hint="default" w:ascii="Times New Roman" w:hAnsi="Times New Roman" w:cs="Times New Roman"/>
                <w:color w:val="auto"/>
                <w:highlight w:val="none"/>
              </w:rPr>
              <w:t>10年内每3年进行监测一次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4" w:hRule="atLeast"/>
        </w:trPr>
        <w:tc>
          <w:tcPr>
            <w:tcW w:w="547" w:type="pct"/>
            <w:vMerge w:val="continue"/>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lang w:val="en-US" w:eastAsia="zh-CN"/>
              </w:rPr>
            </w:pPr>
          </w:p>
        </w:tc>
        <w:tc>
          <w:tcPr>
            <w:tcW w:w="7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水生生态环境</w:t>
            </w:r>
          </w:p>
        </w:tc>
        <w:tc>
          <w:tcPr>
            <w:tcW w:w="101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水生态监测（鱼类种群动态及群落组成变化，包括其种类组成、分布、数量等）</w:t>
            </w:r>
          </w:p>
        </w:tc>
        <w:tc>
          <w:tcPr>
            <w:tcW w:w="1309"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s="Times New Roman"/>
                <w:color w:val="auto"/>
                <w:highlight w:val="none"/>
                <w:lang w:val="en-US" w:eastAsia="zh-CN"/>
              </w:rPr>
            </w:pPr>
            <w:r>
              <w:rPr>
                <w:rFonts w:hint="default" w:cs="Times New Roman"/>
                <w:color w:val="auto"/>
                <w:highlight w:val="none"/>
                <w:lang w:val="en-US" w:eastAsia="zh-CN"/>
              </w:rPr>
              <w:t>运行期影响范围（东洲岛上游1km、蒸水河口、东洲岛右岸、东洲岛与湘江沿岸风光带相通区域、东洲岛左岸）</w:t>
            </w:r>
          </w:p>
        </w:tc>
        <w:tc>
          <w:tcPr>
            <w:tcW w:w="135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highlight w:val="none"/>
              </w:rPr>
            </w:pPr>
            <w:r>
              <w:rPr>
                <w:rFonts w:hint="default" w:cs="Times New Roman"/>
                <w:color w:val="auto"/>
                <w:highlight w:val="none"/>
                <w:lang w:val="en-US" w:eastAsia="zh-CN"/>
              </w:rPr>
              <w:t>运行期间前</w:t>
            </w:r>
            <w:r>
              <w:rPr>
                <w:rFonts w:hint="default" w:ascii="Times New Roman" w:hAnsi="Times New Roman" w:cs="Times New Roman"/>
                <w:color w:val="auto"/>
                <w:highlight w:val="none"/>
              </w:rPr>
              <w:t>10年内每3年进行监测一次</w:t>
            </w:r>
          </w:p>
        </w:tc>
      </w:tr>
    </w:tbl>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64" w:name="_Toc821"/>
      <w:r>
        <w:rPr>
          <w:rFonts w:hint="default" w:cs="Times New Roman"/>
          <w:b/>
          <w:bCs/>
          <w:color w:val="auto"/>
          <w:kern w:val="0"/>
          <w:sz w:val="30"/>
          <w:szCs w:val="30"/>
          <w:highlight w:val="none"/>
          <w:lang w:val="en-US" w:eastAsia="zh-CN"/>
        </w:rPr>
        <w:t>总量控制要求</w:t>
      </w:r>
      <w:bookmarkEnd w:id="264"/>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在污染物</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达标排放</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原则基础上，按污染防治设施所能达到的处理效果而计算的排放量，来核定项目污染物排放总量控制指标建议值。根据国家污染物总量控制因子并结合拟建工程所在区域环境质量现状和拟建工程外排污染物特征进行分析。</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本项目生活污水经化粪池预处理后排入市政管网进入江东污水处理厂，生活污水中COD</w:t>
      </w:r>
      <w:r>
        <w:rPr>
          <w:rFonts w:hint="default" w:cs="Times New Roman"/>
          <w:color w:val="auto"/>
          <w:kern w:val="0"/>
          <w:sz w:val="24"/>
          <w:szCs w:val="24"/>
          <w:highlight w:val="none"/>
          <w:lang w:val="en-US" w:eastAsia="zh-CN" w:bidi="ar"/>
        </w:rPr>
        <w:t>cr</w:t>
      </w:r>
      <w:r>
        <w:rPr>
          <w:rFonts w:hint="default" w:ascii="Times New Roman" w:hAnsi="Times New Roman" w:eastAsia="宋体" w:cs="Times New Roman"/>
          <w:color w:val="auto"/>
          <w:kern w:val="0"/>
          <w:sz w:val="24"/>
          <w:szCs w:val="24"/>
          <w:highlight w:val="none"/>
          <w:lang w:val="en-US" w:eastAsia="zh-CN" w:bidi="ar"/>
        </w:rPr>
        <w:t>、氨氮总量已经包含在江东污水处理厂总量指标中，不单独给总量指标。本项目运营期废气主要为</w:t>
      </w:r>
      <w:r>
        <w:rPr>
          <w:rFonts w:hint="default" w:cs="Times New Roman"/>
          <w:color w:val="auto"/>
          <w:kern w:val="0"/>
          <w:sz w:val="24"/>
          <w:szCs w:val="24"/>
          <w:highlight w:val="none"/>
          <w:lang w:val="en-US" w:eastAsia="zh-CN" w:bidi="ar"/>
        </w:rPr>
        <w:t>少量</w:t>
      </w:r>
      <w:r>
        <w:rPr>
          <w:rFonts w:hint="default" w:ascii="Times New Roman" w:hAnsi="Times New Roman" w:eastAsia="宋体" w:cs="Times New Roman"/>
          <w:color w:val="auto"/>
          <w:kern w:val="0"/>
          <w:sz w:val="24"/>
          <w:szCs w:val="24"/>
          <w:highlight w:val="none"/>
          <w:lang w:val="en-US" w:eastAsia="zh-CN" w:bidi="ar"/>
        </w:rPr>
        <w:t>汽车尾气，本项故本项目总量控制指标不考虑SO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、NO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总量，符合总量控制要求。</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65" w:name="_Toc4320"/>
      <w:r>
        <w:rPr>
          <w:rFonts w:hint="default" w:cs="Times New Roman"/>
          <w:b/>
          <w:bCs/>
          <w:color w:val="auto"/>
          <w:kern w:val="0"/>
          <w:sz w:val="30"/>
          <w:szCs w:val="30"/>
          <w:highlight w:val="none"/>
          <w:lang w:val="en-US" w:eastAsia="zh-CN"/>
        </w:rPr>
        <w:t>施工期环境监理</w:t>
      </w:r>
      <w:bookmarkEnd w:id="265"/>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工程施工实行监理制度</w:t>
      </w:r>
      <w:r>
        <w:rPr>
          <w:rFonts w:hint="default"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工程监理单位应根据与本项目有关的环保规范和标准、工程设计图纸、设计说明及其它设计文件、工程施工合同及招投标文件、工程环境监理合同及招标文件等编制环境监理方案,并严格按照制定的环境监理方案执行监理工作。</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8.4.1施工前期环境监理</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污染防治方案的审核</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环境监理根据具体项目的工艺设计，审核施工工艺中的</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三废</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排放环节，排放的主要污染物及设计中采用的治理技术是否先进，治理措施是否可行。污染物的最终处置方法和去向，应在工程前期按有关文件规定和处理要求，做好计划，并向环保主管部门申报后具体落实，审核整个工艺是否具有清洁生产的特点，并提出合理建议。</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审核施工承包合同中的环境保护专项条款</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施工期承包单位必须遵循的环境保护有关要求应以专项条款的方式在施工承包合同中体现，并在施工过程中据此加强监督管理、检查、监测、减少施工期对环境的污染影响,同时应对施工单位的文明施工素质及施工环境管理水平进行审核。</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8.4.2施工期环境监理</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工程环境监理工作主要依据国家和地方有关环境保护的法律和文件、环境影响报告书、有关的技术规范及设计文件等，工程环境监理包括水、大气、声环境和生态环境保护、污染防治措施等环境保护工作的所有方面。</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8.4.3环境监理范围</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本项目环境监理范围为项目实施范围。监理重点范围包括以下：</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（1）风光带整治工程：岸坡整治、抛石护脚，全长650m；</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（2）区域周边的敏感点；</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（3）运输车辆沿线；</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（4）临时堆场、弃渣场区域。</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8.4.4环境监理工作内容</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（1）水污染防治的监理</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环境监理工程师应对施工期生产和生活污水的来源、排放量、水质指标，处理设施的建设过程和处理效果等进行监理，检查和监测是否达到相关标准要求，或是否采取措施控制污染物的产生。监督检查施工生产废水经处理后是否回用于施工场地等综合措施。以保证上述生产和生活污水不对相应施工段水体水质造成污染影响。</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涉水施工期间，应对工程所在湘江衡阳段四大家鱼国家级</w:t>
      </w:r>
      <w:r>
        <w:rPr>
          <w:rFonts w:hint="eastAsia" w:cs="Times New Roman"/>
          <w:color w:val="auto"/>
          <w:kern w:val="0"/>
          <w:sz w:val="24"/>
          <w:szCs w:val="24"/>
          <w:highlight w:val="none"/>
          <w:lang w:val="en-US" w:eastAsia="zh-CN" w:bidi="ar"/>
        </w:rPr>
        <w:t>水产种质资源保护区</w:t>
      </w:r>
      <w:r>
        <w:rPr>
          <w:rFonts w:hint="default" w:cs="Times New Roman"/>
          <w:color w:val="auto"/>
          <w:kern w:val="0"/>
          <w:sz w:val="24"/>
          <w:szCs w:val="24"/>
          <w:highlight w:val="none"/>
          <w:lang w:val="en-US" w:eastAsia="zh-CN" w:bidi="ar"/>
        </w:rPr>
        <w:t>核心区施工断面上、下游500m处进行水质跟踪监测，避免清淤疏浚作业产生悬浮物引起保护区水质下降。</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（2）水生生态的监理</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环境监理工作重点应放在水生生物的保护方面，涉及的工作应由专业保护机构承担，相关监理费用应纳入工程环保投资概算施工人员进场前，监督工程承包商在环境保护和宣传方面的落实情况；检查各个施工阶段，对水生动物巡查的落实情况，督促巡查人员严格按照环保措施的要求实施，协助制定相关水生动物保护应急预案，并在工作中参与协调渔政、水利、环保等部门处理相关环境问题。</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（3）环境空气污染防治的监理</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施工区域大气污染主要来源于施工和生产过程中产生的废气和粉尘，对污染源要求达标排放，对施工营地及其影响区域应达到规定的环境质量标准。环境监理工程师应明确施工期</w:t>
      </w:r>
      <w:r>
        <w:rPr>
          <w:rFonts w:hint="eastAsia" w:cs="Times New Roman"/>
          <w:color w:val="auto"/>
          <w:kern w:val="0"/>
          <w:sz w:val="24"/>
          <w:szCs w:val="24"/>
          <w:highlight w:val="none"/>
          <w:lang w:val="en-US" w:eastAsia="zh-CN" w:bidi="ar"/>
        </w:rPr>
        <w:t>施工</w:t>
      </w:r>
      <w:r>
        <w:rPr>
          <w:rFonts w:hint="default" w:cs="Times New Roman"/>
          <w:color w:val="auto"/>
          <w:kern w:val="0"/>
          <w:sz w:val="24"/>
          <w:szCs w:val="24"/>
          <w:highlight w:val="none"/>
          <w:lang w:val="en-US" w:eastAsia="zh-CN" w:bidi="ar"/>
        </w:rPr>
        <w:t>机械、运输车辆及拌和站施工作业过程中大气污染源的排放情况，检查施工过程中各类机械设备是否依据有关法规控制粉尘及其它大气污染物污染，对临时堆场、弃渣场附件的大气环境保护目标居民点的环境空气质量监测结果评定，如超标，环保监理工程师应通知承包方采取防范措施，保证环境空气质量达到标准限制以内。</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（4）噪声污染防治的监理</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环境监理工程师应熟悉施工活动中施工机械作业场所、施工时间、交通噪声源等各类噪声污染源，监督检查施工过程中各类机械设备是否依据有关法规控制噪声污染。为防止噪声危害，对产生强烈噪声或振动的污染源，应按设计要求进行防治，要求施工噪声影响区域的声环境质量达到相应的标准，重点是检查靠近各声环境保护目标的施工点，必须避免噪声扰民。对施工区域200m之内的声环境敏感点进行噪声监测结果评定，如超标，环境监理工程师应通知承包方采取必要的减噪措施，或调整施工机械作业的时间，保证居民正常生活不受噪声影响。</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（5）固体废物的监理</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监督检查建筑工地生活垃圾是否按规定进行妥善处理处置。固体废物处理包括生产、生活垃圾和生产废渣的处理要保证工程所在现场清洁整齐的要求；弃渣是否</w:t>
      </w:r>
      <w:r>
        <w:rPr>
          <w:rFonts w:hint="eastAsia" w:cs="Times New Roman"/>
          <w:color w:val="auto"/>
          <w:kern w:val="0"/>
          <w:sz w:val="24"/>
          <w:szCs w:val="24"/>
          <w:highlight w:val="none"/>
          <w:lang w:val="en-US" w:eastAsia="zh-CN" w:bidi="ar"/>
        </w:rPr>
        <w:t>送至指定</w:t>
      </w:r>
      <w:r>
        <w:rPr>
          <w:rFonts w:hint="default" w:cs="Times New Roman"/>
          <w:color w:val="auto"/>
          <w:kern w:val="0"/>
          <w:sz w:val="24"/>
          <w:szCs w:val="24"/>
          <w:highlight w:val="none"/>
          <w:lang w:val="en-US" w:eastAsia="zh-CN" w:bidi="ar"/>
        </w:rPr>
        <w:t>的渣场，隔油池含油渣是否在施工区内存放，是否立即送有资质单位处理；生活垃圾收集送至垃圾填埋场。</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（6）其它方面</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施工期间对施工人员做好环境保护方面的培训工作，培养大家爱护环境、防止污染的意识，参与调查处理施工期的环境污染事故和环境污染纠纷。</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66" w:name="_Toc5932"/>
      <w:r>
        <w:rPr>
          <w:rFonts w:hint="default" w:cs="Times New Roman"/>
          <w:b/>
          <w:bCs/>
          <w:color w:val="auto"/>
          <w:kern w:val="0"/>
          <w:sz w:val="30"/>
          <w:szCs w:val="30"/>
          <w:highlight w:val="none"/>
          <w:lang w:val="en-US" w:eastAsia="zh-CN"/>
        </w:rPr>
        <w:t>环境保护三同时验收</w:t>
      </w:r>
      <w:bookmarkEnd w:id="266"/>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s="Times New Roman"/>
          <w:color w:val="auto"/>
          <w:kern w:val="0"/>
          <w:sz w:val="24"/>
          <w:szCs w:val="24"/>
          <w:highlight w:val="none"/>
          <w:lang w:val="en-US" w:eastAsia="zh-CN" w:bidi="ar"/>
        </w:rPr>
      </w:pPr>
      <w:r>
        <w:rPr>
          <w:rFonts w:hint="default" w:cs="Times New Roman"/>
          <w:color w:val="auto"/>
          <w:kern w:val="0"/>
          <w:sz w:val="24"/>
          <w:szCs w:val="24"/>
          <w:highlight w:val="none"/>
          <w:lang w:val="en-US" w:eastAsia="zh-CN" w:bidi="ar"/>
        </w:rPr>
        <w:t>根据建设单位项目</w:t>
      </w:r>
      <w:r>
        <w:rPr>
          <w:rFonts w:hint="eastAsia"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三同时</w:t>
      </w:r>
      <w:r>
        <w:rPr>
          <w:rFonts w:hint="eastAsia" w:cs="Times New Roman"/>
          <w:color w:val="auto"/>
          <w:kern w:val="0"/>
          <w:sz w:val="24"/>
          <w:szCs w:val="24"/>
          <w:highlight w:val="none"/>
          <w:lang w:val="en-US" w:eastAsia="zh-CN" w:bidi="ar"/>
        </w:rPr>
        <w:t>”</w:t>
      </w:r>
      <w:r>
        <w:rPr>
          <w:rFonts w:hint="default" w:cs="Times New Roman"/>
          <w:color w:val="auto"/>
          <w:kern w:val="0"/>
          <w:sz w:val="24"/>
          <w:szCs w:val="24"/>
          <w:highlight w:val="none"/>
          <w:lang w:val="en-US" w:eastAsia="zh-CN" w:bidi="ar"/>
        </w:rPr>
        <w:t>原则，在项目建设过程中，环境污染防治设施应与主体工程同时设计、同时施工、同时投入使用。本项目建成时，应对环保设施进行验收，验收清单见下表。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8.5-1 项目</w:t>
      </w:r>
      <w:r>
        <w:rPr>
          <w:rFonts w:hint="eastAsia"/>
          <w:b/>
          <w:color w:val="auto"/>
          <w:szCs w:val="24"/>
          <w:highlight w:val="none"/>
          <w:u w:val="none" w:color="auto"/>
          <w:lang w:val="en-US" w:eastAsia="zh-CN"/>
        </w:rPr>
        <w:t>“</w:t>
      </w:r>
      <w:r>
        <w:rPr>
          <w:rFonts w:hint="default"/>
          <w:b/>
          <w:color w:val="auto"/>
          <w:szCs w:val="24"/>
          <w:highlight w:val="none"/>
          <w:u w:val="none" w:color="auto"/>
          <w:lang w:val="en-US" w:eastAsia="zh-CN"/>
        </w:rPr>
        <w:t>三同时</w:t>
      </w:r>
      <w:r>
        <w:rPr>
          <w:rFonts w:hint="eastAsia"/>
          <w:b/>
          <w:color w:val="auto"/>
          <w:szCs w:val="24"/>
          <w:highlight w:val="none"/>
          <w:u w:val="none" w:color="auto"/>
          <w:lang w:val="en-US" w:eastAsia="zh-CN"/>
        </w:rPr>
        <w:t>”</w:t>
      </w:r>
      <w:r>
        <w:rPr>
          <w:rFonts w:hint="default"/>
          <w:b/>
          <w:color w:val="auto"/>
          <w:szCs w:val="24"/>
          <w:highlight w:val="none"/>
          <w:u w:val="none" w:color="auto"/>
          <w:lang w:val="en-US" w:eastAsia="zh-CN"/>
        </w:rPr>
        <w:t>验收一览表</w:t>
      </w:r>
    </w:p>
    <w:p>
      <w:pPr>
        <w:pStyle w:val="28"/>
        <w:rPr>
          <w:rFonts w:hint="default" w:ascii="Times New Roman" w:cs="Times New Roman"/>
          <w:color w:val="auto"/>
          <w:lang w:val="en-US" w:eastAsia="zh-CN"/>
        </w:rPr>
      </w:pPr>
    </w:p>
    <w:tbl>
      <w:tblPr>
        <w:tblStyle w:val="2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1"/>
        <w:gridCol w:w="1016"/>
        <w:gridCol w:w="4154"/>
        <w:gridCol w:w="23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noWrap w:val="0"/>
            <w:vAlign w:val="center"/>
          </w:tcPr>
          <w:p>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项目</w:t>
            </w:r>
          </w:p>
        </w:tc>
        <w:tc>
          <w:tcPr>
            <w:tcW w:w="596" w:type="pct"/>
            <w:noWrap w:val="0"/>
            <w:vAlign w:val="center"/>
          </w:tcPr>
          <w:p>
            <w:pPr>
              <w:keepNext w:val="0"/>
              <w:keepLines w:val="0"/>
              <w:widowControl/>
              <w:suppressLineNumbers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 w:val="21"/>
                <w:szCs w:val="21"/>
                <w:highlight w:val="none"/>
                <w:lang w:val="en-US" w:eastAsia="zh-CN" w:bidi="ar"/>
              </w:rPr>
              <w:t>内容</w:t>
            </w:r>
          </w:p>
        </w:tc>
        <w:tc>
          <w:tcPr>
            <w:tcW w:w="2438" w:type="pct"/>
            <w:noWrap w:val="0"/>
            <w:vAlign w:val="center"/>
          </w:tcPr>
          <w:p>
            <w:pPr>
              <w:keepNext w:val="0"/>
              <w:keepLines w:val="0"/>
              <w:widowControl/>
              <w:suppressLineNumbers w:val="0"/>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主要保护措施</w:t>
            </w:r>
          </w:p>
        </w:tc>
        <w:tc>
          <w:tcPr>
            <w:tcW w:w="1394" w:type="pct"/>
            <w:noWrap w:val="0"/>
            <w:vAlign w:val="center"/>
          </w:tcPr>
          <w:p>
            <w:pPr>
              <w:keepNext w:val="0"/>
              <w:keepLines w:val="0"/>
              <w:widowControl/>
              <w:suppressLineNumbers w:val="0"/>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vMerge w:val="restart"/>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环境保护措施</w:t>
            </w:r>
          </w:p>
        </w:tc>
        <w:tc>
          <w:tcPr>
            <w:tcW w:w="596" w:type="pc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水环境</w:t>
            </w:r>
          </w:p>
        </w:tc>
        <w:tc>
          <w:tcPr>
            <w:tcW w:w="2438" w:type="pct"/>
            <w:noWrap w:val="0"/>
            <w:vAlign w:val="center"/>
          </w:tcPr>
          <w:p>
            <w:pPr>
              <w:keepNext w:val="0"/>
              <w:keepLines w:val="0"/>
              <w:widowControl/>
              <w:numPr>
                <w:ilvl w:val="0"/>
                <w:numId w:val="23"/>
              </w:numPr>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施工期生活污水：湘江东岸项目区域生活污水依托风情古街已建的化粪池处理后排入市政污水管网送入江东污水处理厂处理；</w:t>
            </w:r>
          </w:p>
          <w:p>
            <w:pPr>
              <w:keepNext w:val="0"/>
              <w:keepLines w:val="0"/>
              <w:widowControl/>
              <w:numPr>
                <w:ilvl w:val="0"/>
                <w:numId w:val="0"/>
              </w:numPr>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2、东洲岛生活污水依托岛上现有已建一体化污水处理设施处理后回用绿化，不外排。</w:t>
            </w:r>
          </w:p>
        </w:tc>
        <w:tc>
          <w:tcPr>
            <w:tcW w:w="1394" w:type="pc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湘江东岸项目区域生活污水排入市政污水管网，东洲岛生活污水回用，不外排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vMerge w:val="continue"/>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p>
        </w:tc>
        <w:tc>
          <w:tcPr>
            <w:tcW w:w="596" w:type="pc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声环境</w:t>
            </w:r>
          </w:p>
        </w:tc>
        <w:tc>
          <w:tcPr>
            <w:tcW w:w="2438" w:type="pct"/>
            <w:noWrap w:val="0"/>
            <w:vAlign w:val="center"/>
          </w:tcPr>
          <w:p>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1、做好机械及车辆的保养、更新；</w:t>
            </w:r>
          </w:p>
          <w:p>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2、施工人员加强劳动保护；</w:t>
            </w:r>
          </w:p>
          <w:p>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3、禁止夜间施工、运输车辆限制车速；</w:t>
            </w:r>
          </w:p>
          <w:p>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4、敏感区设置临时隔声屏障等。</w:t>
            </w:r>
          </w:p>
        </w:tc>
        <w:tc>
          <w:tcPr>
            <w:tcW w:w="1394" w:type="pc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施工噪声满足《建筑施工场界环境噪声排放标准》（GB12523-2011）；居民点满足《声环境质量标准》</w:t>
            </w:r>
          </w:p>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（GB3096-2008）2类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vMerge w:val="continue"/>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p>
        </w:tc>
        <w:tc>
          <w:tcPr>
            <w:tcW w:w="596" w:type="pc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大气环境</w:t>
            </w:r>
          </w:p>
        </w:tc>
        <w:tc>
          <w:tcPr>
            <w:tcW w:w="2438" w:type="pct"/>
            <w:noWrap w:val="0"/>
            <w:vAlign w:val="center"/>
          </w:tcPr>
          <w:p>
            <w:pPr>
              <w:keepNext w:val="0"/>
              <w:keepLines w:val="0"/>
              <w:widowControl/>
              <w:numPr>
                <w:ilvl w:val="0"/>
                <w:numId w:val="0"/>
              </w:numPr>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1、机械燃油废气：用合格的燃料；采用先进施工工艺，降低油耗；</w:t>
            </w:r>
          </w:p>
          <w:p>
            <w:pPr>
              <w:keepNext w:val="0"/>
              <w:keepLines w:val="0"/>
              <w:widowControl/>
              <w:numPr>
                <w:ilvl w:val="0"/>
                <w:numId w:val="0"/>
              </w:numPr>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2、施工扬尘：洒水抑尘、防尘网等覆盖、施工围挡或围墙。</w:t>
            </w:r>
          </w:p>
          <w:p>
            <w:pPr>
              <w:pStyle w:val="28"/>
              <w:rPr>
                <w:rFonts w:hint="default" w:asci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highlight w:val="none"/>
                <w:lang w:val="en-US" w:eastAsia="zh-CN" w:bidi="ar"/>
              </w:rPr>
              <w:t>3、道路运输扬尘：散装材料密封运输、路面洒水、车辆清洗、低速行驶等。</w:t>
            </w:r>
          </w:p>
        </w:tc>
        <w:tc>
          <w:tcPr>
            <w:tcW w:w="1394" w:type="pc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《大气污染物综合排放标准》（GB16297-1996）无组织排放监控浓度限值标准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vMerge w:val="continue"/>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p>
        </w:tc>
        <w:tc>
          <w:tcPr>
            <w:tcW w:w="596" w:type="pc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固废处置</w:t>
            </w:r>
          </w:p>
        </w:tc>
        <w:tc>
          <w:tcPr>
            <w:tcW w:w="2438" w:type="pct"/>
            <w:noWrap w:val="0"/>
            <w:vAlign w:val="center"/>
          </w:tcPr>
          <w:p>
            <w:pPr>
              <w:keepNext w:val="0"/>
              <w:keepLines w:val="0"/>
              <w:widowControl/>
              <w:numPr>
                <w:ilvl w:val="0"/>
                <w:numId w:val="24"/>
              </w:numPr>
              <w:suppressLineNumbers w:val="0"/>
              <w:jc w:val="left"/>
              <w:rPr>
                <w:rFonts w:hint="default"/>
                <w:color w:val="auto"/>
                <w:szCs w:val="21"/>
                <w:lang w:val="en-US" w:eastAsia="zh-CN"/>
              </w:rPr>
            </w:pPr>
            <w:r>
              <w:rPr>
                <w:rFonts w:hint="default" w:ascii="Times New Roman" w:hAnsi="Times New Roman" w:eastAsia="宋体" w:cs="Times New Roman"/>
                <w:color w:val="auto"/>
                <w:kern w:val="0"/>
                <w:sz w:val="21"/>
                <w:szCs w:val="21"/>
                <w:highlight w:val="none"/>
                <w:lang w:val="en-US" w:eastAsia="zh-CN" w:bidi="ar"/>
              </w:rPr>
              <w:t>弃渣篷布遮盖运输；</w:t>
            </w:r>
          </w:p>
          <w:p>
            <w:pPr>
              <w:keepNext w:val="0"/>
              <w:keepLines w:val="0"/>
              <w:widowControl/>
              <w:numPr>
                <w:ilvl w:val="0"/>
                <w:numId w:val="0"/>
              </w:numPr>
              <w:suppressLineNumbers w:val="0"/>
              <w:jc w:val="left"/>
              <w:rPr>
                <w:rFonts w:hint="default"/>
                <w:color w:val="auto"/>
                <w:szCs w:val="21"/>
                <w:lang w:val="en-US" w:eastAsia="zh-CN"/>
              </w:rPr>
            </w:pPr>
            <w:r>
              <w:rPr>
                <w:rFonts w:hint="default" w:ascii="Times New Roman" w:hAnsi="Times New Roman" w:eastAsia="宋体" w:cs="Times New Roman"/>
                <w:color w:val="auto"/>
                <w:kern w:val="0"/>
                <w:sz w:val="21"/>
                <w:szCs w:val="21"/>
                <w:highlight w:val="none"/>
                <w:lang w:val="en-US" w:eastAsia="zh-CN" w:bidi="ar"/>
              </w:rPr>
              <w:t>2、生活垃圾集中收集、定点投放、交由环卫部门处理</w:t>
            </w:r>
          </w:p>
        </w:tc>
        <w:tc>
          <w:tcPr>
            <w:tcW w:w="1394" w:type="pc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合理处置，不外排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vMerge w:val="restart"/>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生态</w:t>
            </w:r>
          </w:p>
        </w:tc>
        <w:tc>
          <w:tcPr>
            <w:tcW w:w="596" w:type="pct"/>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陆生生态</w:t>
            </w:r>
          </w:p>
        </w:tc>
        <w:tc>
          <w:tcPr>
            <w:tcW w:w="2438" w:type="pct"/>
            <w:noWrap w:val="0"/>
            <w:vAlign w:val="center"/>
          </w:tcPr>
          <w:p>
            <w:pPr>
              <w:keepNext w:val="0"/>
              <w:keepLines w:val="0"/>
              <w:widowControl/>
              <w:numPr>
                <w:ilvl w:val="0"/>
                <w:numId w:val="0"/>
              </w:numPr>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1、优化施工布置，减少工程占地，提高施工人员保护意识，不随意破坏植被和捕杀野生动物；</w:t>
            </w:r>
          </w:p>
          <w:p>
            <w:pPr>
              <w:keepNext w:val="0"/>
              <w:keepLines w:val="0"/>
              <w:widowControl/>
              <w:numPr>
                <w:ilvl w:val="0"/>
                <w:numId w:val="0"/>
              </w:numPr>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2、临时占地进行生态恢复；</w:t>
            </w:r>
          </w:p>
          <w:p>
            <w:pPr>
              <w:keepNext w:val="0"/>
              <w:keepLines w:val="0"/>
              <w:widowControl/>
              <w:numPr>
                <w:ilvl w:val="0"/>
                <w:numId w:val="0"/>
              </w:numPr>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3、绿化措施。</w:t>
            </w:r>
          </w:p>
        </w:tc>
        <w:tc>
          <w:tcPr>
            <w:tcW w:w="1394" w:type="pct"/>
            <w:vMerge w:val="restart"/>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不受破坏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vMerge w:val="continue"/>
            <w:noWrap w:val="0"/>
            <w:vAlign w:val="center"/>
          </w:tcPr>
          <w:p>
            <w:pPr>
              <w:adjustRightInd w:val="0"/>
              <w:snapToGrid w:val="0"/>
              <w:jc w:val="center"/>
              <w:rPr>
                <w:rFonts w:hint="default" w:ascii="Times New Roman" w:hAnsi="Times New Roman" w:eastAsia="宋体" w:cs="Times New Roman"/>
                <w:color w:val="auto"/>
                <w:szCs w:val="21"/>
                <w:highlight w:val="none"/>
                <w:lang w:eastAsia="zh-CN"/>
              </w:rPr>
            </w:pPr>
          </w:p>
        </w:tc>
        <w:tc>
          <w:tcPr>
            <w:tcW w:w="596" w:type="pct"/>
            <w:noWrap w:val="0"/>
            <w:vAlign w:val="center"/>
          </w:tcPr>
          <w:p>
            <w:pPr>
              <w:keepNext w:val="0"/>
              <w:keepLines w:val="0"/>
              <w:widowControl/>
              <w:suppressLineNumbers w:val="0"/>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水生生态</w:t>
            </w:r>
          </w:p>
        </w:tc>
        <w:tc>
          <w:tcPr>
            <w:tcW w:w="2438" w:type="pct"/>
            <w:noWrap w:val="0"/>
            <w:vAlign w:val="center"/>
          </w:tcPr>
          <w:p>
            <w:pPr>
              <w:adjustRightInd w:val="0"/>
              <w:snapToGrid w:val="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1、预防保护，加强管理和宣传教育；</w:t>
            </w:r>
          </w:p>
          <w:p>
            <w:pPr>
              <w:adjustRightInd w:val="0"/>
              <w:snapToGrid w:val="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2、禁捕</w:t>
            </w:r>
          </w:p>
        </w:tc>
        <w:tc>
          <w:tcPr>
            <w:tcW w:w="1394" w:type="pct"/>
            <w:vMerge w:val="continue"/>
            <w:noWrap w:val="0"/>
            <w:vAlign w:val="center"/>
          </w:tcPr>
          <w:p>
            <w:pPr>
              <w:keepNext w:val="0"/>
              <w:keepLines w:val="0"/>
              <w:widowControl/>
              <w:suppressLineNumbers w:val="0"/>
              <w:jc w:val="center"/>
              <w:rPr>
                <w:rFonts w:hint="default" w:ascii="Times New Roman" w:hAnsi="Times New Roman" w:eastAsia="宋体" w:cs="Times New Roman"/>
                <w:color w:val="auto"/>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vMerge w:val="continue"/>
            <w:noWrap w:val="0"/>
            <w:vAlign w:val="center"/>
          </w:tcPr>
          <w:p>
            <w:pPr>
              <w:adjustRightInd w:val="0"/>
              <w:snapToGrid w:val="0"/>
              <w:jc w:val="center"/>
              <w:rPr>
                <w:rFonts w:hint="default" w:ascii="Times New Roman" w:hAnsi="Times New Roman" w:eastAsia="宋体" w:cs="Times New Roman"/>
                <w:color w:val="auto"/>
                <w:szCs w:val="21"/>
                <w:highlight w:val="none"/>
              </w:rPr>
            </w:pPr>
          </w:p>
        </w:tc>
        <w:tc>
          <w:tcPr>
            <w:tcW w:w="596" w:type="pct"/>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水土保持</w:t>
            </w:r>
          </w:p>
        </w:tc>
        <w:tc>
          <w:tcPr>
            <w:tcW w:w="2438" w:type="pct"/>
            <w:noWrap w:val="0"/>
            <w:vAlign w:val="center"/>
          </w:tcPr>
          <w:p>
            <w:pPr>
              <w:adjustRightInd w:val="0"/>
              <w:snapToGrid w:val="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1、主体工程区、配套设施区、绿化工程区、弃渣场、临时堆场设置截排水沟、沉砂池。拦挡等临时防护措施。</w:t>
            </w:r>
          </w:p>
          <w:p>
            <w:pPr>
              <w:adjustRightInd w:val="0"/>
              <w:snapToGrid w:val="0"/>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2、临时堆场、物料等采用防冲、防风措施；</w:t>
            </w:r>
          </w:p>
          <w:p>
            <w:pPr>
              <w:adjustRightInd w:val="0"/>
              <w:snapToGrid w:val="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3、裸露地面采取覆盖措施。</w:t>
            </w:r>
          </w:p>
          <w:p>
            <w:pPr>
              <w:adjustRightInd w:val="0"/>
              <w:snapToGrid w:val="0"/>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4、弃渣场及临时堆场生态恢复措施。</w:t>
            </w:r>
          </w:p>
          <w:p>
            <w:pPr>
              <w:adjustRightInd w:val="0"/>
              <w:snapToGrid w:val="0"/>
              <w:jc w:val="center"/>
              <w:rPr>
                <w:rFonts w:hint="default" w:ascii="Times New Roman" w:hAnsi="Times New Roman" w:eastAsia="宋体" w:cs="Times New Roman"/>
                <w:color w:val="auto"/>
                <w:szCs w:val="21"/>
                <w:highlight w:val="none"/>
                <w:lang w:val="en-US" w:eastAsia="zh-CN"/>
              </w:rPr>
            </w:pPr>
          </w:p>
        </w:tc>
        <w:tc>
          <w:tcPr>
            <w:tcW w:w="1394" w:type="pct"/>
            <w:vMerge w:val="continue"/>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noWrap w:val="0"/>
            <w:vAlign w:val="center"/>
          </w:tcPr>
          <w:p>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环境</w:t>
            </w:r>
            <w:r>
              <w:rPr>
                <w:rFonts w:hint="default" w:ascii="Times New Roman" w:hAnsi="Times New Roman" w:eastAsia="宋体" w:cs="Times New Roman"/>
                <w:color w:val="auto"/>
                <w:szCs w:val="21"/>
                <w:highlight w:val="none"/>
                <w:lang w:val="en-US" w:eastAsia="zh-CN"/>
              </w:rPr>
              <w:t>管理</w:t>
            </w:r>
          </w:p>
        </w:tc>
        <w:tc>
          <w:tcPr>
            <w:tcW w:w="596" w:type="pct"/>
            <w:noWrap w:val="0"/>
            <w:vAlign w:val="center"/>
          </w:tcPr>
          <w:p>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环境监测</w:t>
            </w:r>
          </w:p>
        </w:tc>
        <w:tc>
          <w:tcPr>
            <w:tcW w:w="2438" w:type="pct"/>
            <w:noWrap w:val="0"/>
            <w:vAlign w:val="center"/>
          </w:tcPr>
          <w:p>
            <w:pPr>
              <w:adjustRightInd w:val="0"/>
              <w:snapToGrid w:val="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1、设置环境管理人员；</w:t>
            </w:r>
          </w:p>
          <w:p>
            <w:pPr>
              <w:adjustRightInd w:val="0"/>
              <w:snapToGrid w:val="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2、开展施工期环境监测。</w:t>
            </w:r>
          </w:p>
        </w:tc>
        <w:tc>
          <w:tcPr>
            <w:tcW w:w="1394" w:type="pct"/>
            <w:noWrap w:val="0"/>
            <w:vAlign w:val="center"/>
          </w:tcPr>
          <w:p>
            <w:pPr>
              <w:keepNext w:val="0"/>
              <w:keepLines w:val="0"/>
              <w:widowControl/>
              <w:suppressLineNumbers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具备环境管理人员和开展监测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vMerge w:val="restart"/>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环境风险</w:t>
            </w:r>
          </w:p>
        </w:tc>
        <w:tc>
          <w:tcPr>
            <w:tcW w:w="596" w:type="pct"/>
            <w:noWrap w:val="0"/>
            <w:vAlign w:val="center"/>
          </w:tcPr>
          <w:p>
            <w:pPr>
              <w:keepNext w:val="0"/>
              <w:keepLines w:val="0"/>
              <w:widowControl/>
              <w:suppressLineNumbers w:val="0"/>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风险事故</w:t>
            </w:r>
          </w:p>
        </w:tc>
        <w:tc>
          <w:tcPr>
            <w:tcW w:w="2438" w:type="pct"/>
            <w:noWrap w:val="0"/>
            <w:vAlign w:val="center"/>
          </w:tcPr>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1、应急监测和事故应对；</w:t>
            </w:r>
          </w:p>
          <w:p>
            <w:pPr>
              <w:keepNext w:val="0"/>
              <w:keepLines w:val="0"/>
              <w:widowControl/>
              <w:suppressLineNumbers w:val="0"/>
              <w:jc w:val="both"/>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 w:val="21"/>
                <w:szCs w:val="21"/>
                <w:highlight w:val="none"/>
                <w:lang w:val="en-US" w:eastAsia="zh-CN" w:bidi="ar"/>
              </w:rPr>
              <w:t>2、配置必要的应急设备和器材。</w:t>
            </w:r>
          </w:p>
        </w:tc>
        <w:tc>
          <w:tcPr>
            <w:tcW w:w="1394" w:type="pct"/>
            <w:vMerge w:val="restart"/>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具备应急处置的人员及能力</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0" w:type="pct"/>
            <w:vMerge w:val="continue"/>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p>
        </w:tc>
        <w:tc>
          <w:tcPr>
            <w:tcW w:w="596" w:type="pc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应急预案</w:t>
            </w:r>
          </w:p>
        </w:tc>
        <w:tc>
          <w:tcPr>
            <w:tcW w:w="2438" w:type="pct"/>
            <w:noWrap w:val="0"/>
            <w:vAlign w:val="center"/>
          </w:tcPr>
          <w:p>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根据本项目施工特点制定应急预案及风险防范措施。</w:t>
            </w:r>
          </w:p>
        </w:tc>
        <w:tc>
          <w:tcPr>
            <w:tcW w:w="1394" w:type="pct"/>
            <w:vMerge w:val="continue"/>
            <w:noWrap w:val="0"/>
            <w:vAlign w:val="center"/>
          </w:tcPr>
          <w:p>
            <w:pPr>
              <w:adjustRightInd w:val="0"/>
              <w:snapToGrid w:val="0"/>
              <w:jc w:val="center"/>
              <w:rPr>
                <w:rFonts w:hint="default" w:ascii="Times New Roman" w:hAnsi="Times New Roman" w:eastAsia="宋体" w:cs="Times New Roman"/>
                <w:color w:val="auto"/>
                <w:szCs w:val="21"/>
                <w:highlight w:val="none"/>
              </w:rPr>
            </w:pPr>
          </w:p>
        </w:tc>
      </w:tr>
    </w:tbl>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textAlignment w:val="auto"/>
        <w:outlineLvl w:val="9"/>
        <w:rPr>
          <w:rFonts w:cs="Times New Roman"/>
          <w:b/>
          <w:bCs/>
          <w:color w:val="auto"/>
          <w:kern w:val="0"/>
          <w:sz w:val="30"/>
          <w:szCs w:val="30"/>
          <w:highlight w:val="none"/>
        </w:rPr>
      </w:pP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jc w:val="both"/>
        <w:textAlignment w:val="auto"/>
        <w:outlineLvl w:val="9"/>
        <w:rPr>
          <w:rFonts w:cs="Times New Roman"/>
          <w:b/>
          <w:bCs/>
          <w:color w:val="auto"/>
          <w:kern w:val="44"/>
          <w:sz w:val="32"/>
          <w:szCs w:val="32"/>
          <w:highlight w:val="none"/>
        </w:rPr>
      </w:pPr>
      <w:r>
        <w:rPr>
          <w:rFonts w:cs="Times New Roman"/>
          <w:b/>
          <w:bCs/>
          <w:color w:val="auto"/>
          <w:kern w:val="44"/>
          <w:sz w:val="32"/>
          <w:szCs w:val="32"/>
          <w:highlight w:val="none"/>
        </w:rPr>
        <w:br w:type="page"/>
      </w:r>
    </w:p>
    <w:p>
      <w:pPr>
        <w:keepNext/>
        <w:keepLines w:val="0"/>
        <w:pageBreakBefore w:val="0"/>
        <w:widowControl w:val="0"/>
        <w:numPr>
          <w:ilvl w:val="0"/>
          <w:numId w:val="4"/>
        </w:numPr>
        <w:kinsoku/>
        <w:wordWrap/>
        <w:overflowPunct/>
        <w:topLinePunct w:val="0"/>
        <w:autoSpaceDE/>
        <w:autoSpaceDN/>
        <w:bidi w:val="0"/>
        <w:adjustRightInd/>
        <w:snapToGrid w:val="0"/>
        <w:spacing w:before="120" w:beforeLines="50" w:after="120" w:afterLines="50" w:line="360" w:lineRule="auto"/>
        <w:ind w:left="0"/>
        <w:jc w:val="center"/>
        <w:textAlignment w:val="auto"/>
        <w:outlineLvl w:val="0"/>
        <w:rPr>
          <w:rFonts w:cs="Times New Roman"/>
          <w:b/>
          <w:bCs/>
          <w:color w:val="auto"/>
          <w:kern w:val="44"/>
          <w:sz w:val="32"/>
          <w:szCs w:val="32"/>
          <w:highlight w:val="none"/>
        </w:rPr>
      </w:pPr>
      <w:bookmarkStart w:id="267" w:name="_Toc30605"/>
      <w:r>
        <w:rPr>
          <w:rFonts w:hint="default" w:cs="Times New Roman"/>
          <w:b/>
          <w:bCs/>
          <w:color w:val="auto"/>
          <w:kern w:val="44"/>
          <w:sz w:val="32"/>
          <w:szCs w:val="32"/>
          <w:highlight w:val="none"/>
          <w:lang w:val="en-US" w:eastAsia="zh-CN"/>
        </w:rPr>
        <w:t>结论与建议</w:t>
      </w:r>
      <w:bookmarkEnd w:id="263"/>
      <w:bookmarkEnd w:id="267"/>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68" w:name="_Toc14606"/>
      <w:bookmarkStart w:id="269" w:name="_Toc12587"/>
      <w:r>
        <w:rPr>
          <w:rFonts w:hint="default" w:cs="Times New Roman"/>
          <w:b/>
          <w:bCs/>
          <w:color w:val="auto"/>
          <w:kern w:val="0"/>
          <w:sz w:val="30"/>
          <w:szCs w:val="30"/>
          <w:highlight w:val="none"/>
          <w:lang w:val="en-US" w:eastAsia="zh-CN"/>
        </w:rPr>
        <w:t>结论</w:t>
      </w:r>
      <w:bookmarkEnd w:id="268"/>
      <w:bookmarkEnd w:id="269"/>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9.1.1工程概况</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（1）项目名称：衡阳市</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美丽湘江</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项目</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（2）建设单位：衡阳市城市建设投资发展集团有限公司</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（3）建设地点：衡阳市湘江东岸（北段）风光带和东洲岛景区范围</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（4）总投资：48942万元</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（5）用地面积：</w:t>
      </w:r>
      <w:r>
        <w:rPr>
          <w:rFonts w:hint="default" w:ascii="Times New Roman" w:hAnsi="Times New Roman" w:eastAsia="宋体" w:cs="Times New Roman"/>
          <w:color w:val="auto"/>
          <w:sz w:val="24"/>
          <w:highlight w:val="none"/>
          <w:u w:val="none"/>
          <w:lang w:val="en-US" w:eastAsia="zh-CN"/>
        </w:rPr>
        <w:t>476.40亩</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（6）建设性质：新建</w:t>
      </w:r>
    </w:p>
    <w:p>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（7）项目建设工期：施工期为12个月</w:t>
      </w:r>
    </w:p>
    <w:p>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（8）工程建设内容与规模：</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u w:val="none"/>
          <w:lang w:val="en-US" w:eastAsia="zh-CN"/>
        </w:rPr>
        <w:t>本项目</w:t>
      </w:r>
      <w:r>
        <w:rPr>
          <w:rFonts w:hint="default" w:cs="Times New Roman"/>
          <w:color w:val="auto"/>
          <w:sz w:val="24"/>
          <w:highlight w:val="none"/>
          <w:u w:val="none"/>
          <w:lang w:val="en-US" w:eastAsia="zh-CN"/>
        </w:rPr>
        <w:t>具体建设内容包括</w:t>
      </w:r>
      <w:r>
        <w:rPr>
          <w:rFonts w:hint="default" w:ascii="Times New Roman" w:hAnsi="Times New Roman" w:eastAsia="宋体" w:cs="Times New Roman"/>
          <w:color w:val="auto"/>
          <w:sz w:val="24"/>
          <w:szCs w:val="24"/>
          <w:highlight w:val="none"/>
          <w:lang w:val="en-US" w:eastAsia="zh-CN"/>
        </w:rPr>
        <w:t>建筑修缮及新建工程、湘江东岸沿江风光带（龙家坪路-冶金中路）整治工程、东洲岛景观提质工程、东洲岛-石鼓书院夜游灯光秀工程、配套设施建设工程五项内容，具体包括：</w:t>
      </w:r>
    </w:p>
    <w:p>
      <w:pPr>
        <w:keepNext w:val="0"/>
        <w:keepLines w:val="0"/>
        <w:pageBreakBefore w:val="0"/>
        <w:widowControl w:val="0"/>
        <w:kinsoku/>
        <w:wordWrap/>
        <w:overflowPunct/>
        <w:topLinePunct w:val="0"/>
        <w:autoSpaceDE/>
        <w:autoSpaceDN/>
        <w:bidi w:val="0"/>
        <w:adjustRightInd/>
        <w:snapToGrid/>
        <w:spacing w:line="360" w:lineRule="auto"/>
        <w:ind w:firstLine="561"/>
        <w:textAlignment w:val="auto"/>
        <w:rPr>
          <w:rFonts w:hint="default" w:ascii="Times New Roman" w:hAnsi="Times New Roman"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en-US" w:eastAsia="zh-CN"/>
        </w:rPr>
        <w:t>①</w:t>
      </w:r>
      <w:r>
        <w:rPr>
          <w:rFonts w:hint="default" w:ascii="Times New Roman" w:hAnsi="Times New Roman" w:cs="Times New Roman"/>
          <w:color w:val="auto"/>
          <w:sz w:val="24"/>
          <w:szCs w:val="24"/>
          <w:highlight w:val="none"/>
          <w:lang w:val="zh-CN"/>
        </w:rPr>
        <w:t>建筑修缮及新建工程：本次主要改造修缮总建筑面积11466.35m</w:t>
      </w:r>
      <w:r>
        <w:rPr>
          <w:rFonts w:hint="default" w:ascii="Times New Roman" w:hAnsi="Times New Roman" w:cs="Times New Roman"/>
          <w:color w:val="auto"/>
          <w:sz w:val="24"/>
          <w:szCs w:val="24"/>
          <w:highlight w:val="none"/>
          <w:vertAlign w:val="superscript"/>
          <w:lang w:val="zh-CN"/>
        </w:rPr>
        <w:t>2</w:t>
      </w:r>
      <w:r>
        <w:rPr>
          <w:rFonts w:hint="default" w:ascii="Times New Roman" w:hAnsi="Times New Roman" w:cs="Times New Roman"/>
          <w:color w:val="auto"/>
          <w:sz w:val="24"/>
          <w:szCs w:val="24"/>
          <w:highlight w:val="none"/>
          <w:lang w:val="zh-CN"/>
        </w:rPr>
        <w:t>。项目新建配套用房总建筑面积9346.65m</w:t>
      </w:r>
      <w:r>
        <w:rPr>
          <w:rFonts w:hint="default" w:ascii="Times New Roman" w:hAnsi="Times New Roman" w:cs="Times New Roman"/>
          <w:color w:val="auto"/>
          <w:sz w:val="24"/>
          <w:szCs w:val="24"/>
          <w:highlight w:val="none"/>
          <w:vertAlign w:val="superscript"/>
          <w:lang w:val="zh-CN"/>
        </w:rPr>
        <w:t>2</w:t>
      </w:r>
      <w:r>
        <w:rPr>
          <w:rFonts w:hint="default" w:ascii="Times New Roman" w:hAnsi="Times New Roman" w:cs="Times New Roman"/>
          <w:color w:val="auto"/>
          <w:sz w:val="24"/>
          <w:szCs w:val="24"/>
          <w:highlight w:val="none"/>
          <w:lang w:val="zh-CN"/>
        </w:rPr>
        <w:t>，其中地上建筑面积3846.72m</w:t>
      </w:r>
      <w:r>
        <w:rPr>
          <w:rFonts w:hint="default" w:ascii="Times New Roman" w:hAnsi="Times New Roman" w:cs="Times New Roman"/>
          <w:color w:val="auto"/>
          <w:sz w:val="24"/>
          <w:szCs w:val="24"/>
          <w:highlight w:val="none"/>
          <w:vertAlign w:val="superscript"/>
          <w:lang w:val="zh-CN"/>
        </w:rPr>
        <w:t>2</w:t>
      </w:r>
      <w:r>
        <w:rPr>
          <w:rFonts w:hint="default" w:ascii="Times New Roman" w:hAnsi="Times New Roman" w:cs="Times New Roman"/>
          <w:color w:val="auto"/>
          <w:sz w:val="24"/>
          <w:szCs w:val="24"/>
          <w:highlight w:val="none"/>
          <w:lang w:val="zh-CN"/>
        </w:rPr>
        <w:t>，地下车库建筑面积5499.93m</w:t>
      </w:r>
      <w:r>
        <w:rPr>
          <w:rFonts w:hint="default" w:ascii="Times New Roman" w:hAnsi="Times New Roman" w:cs="Times New Roman"/>
          <w:color w:val="auto"/>
          <w:sz w:val="24"/>
          <w:szCs w:val="24"/>
          <w:highlight w:val="none"/>
          <w:vertAlign w:val="superscript"/>
          <w:lang w:val="zh-CN"/>
        </w:rPr>
        <w:t>2</w:t>
      </w:r>
      <w:r>
        <w:rPr>
          <w:rFonts w:hint="default" w:ascii="Times New Roman" w:hAnsi="Times New Roman" w:cs="Times New Roman"/>
          <w:color w:val="auto"/>
          <w:sz w:val="24"/>
          <w:szCs w:val="24"/>
          <w:highlight w:val="none"/>
          <w:lang w:val="zh-CN"/>
        </w:rPr>
        <w:t>（停车位250个）。</w:t>
      </w:r>
    </w:p>
    <w:p>
      <w:pPr>
        <w:keepNext w:val="0"/>
        <w:keepLines w:val="0"/>
        <w:pageBreakBefore w:val="0"/>
        <w:widowControl w:val="0"/>
        <w:kinsoku/>
        <w:wordWrap/>
        <w:overflowPunct/>
        <w:topLinePunct w:val="0"/>
        <w:autoSpaceDE/>
        <w:autoSpaceDN/>
        <w:bidi w:val="0"/>
        <w:adjustRightInd/>
        <w:snapToGrid/>
        <w:spacing w:line="360" w:lineRule="auto"/>
        <w:ind w:firstLine="561"/>
        <w:textAlignment w:val="auto"/>
        <w:rPr>
          <w:rFonts w:hint="default" w:ascii="Times New Roman" w:hAnsi="Times New Roman"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en-US" w:eastAsia="zh-CN"/>
        </w:rPr>
        <w:t>②</w:t>
      </w:r>
      <w:r>
        <w:rPr>
          <w:rFonts w:hint="default" w:ascii="Times New Roman" w:hAnsi="Times New Roman" w:cs="Times New Roman"/>
          <w:color w:val="auto"/>
          <w:sz w:val="24"/>
          <w:szCs w:val="24"/>
          <w:highlight w:val="none"/>
          <w:lang w:val="zh-CN"/>
        </w:rPr>
        <w:t>湘江东岸沿江风光带（龙家坪路-冶金中路）整治工程：拆除建构筑物11200.12m</w:t>
      </w:r>
      <w:r>
        <w:rPr>
          <w:rFonts w:hint="default" w:ascii="Times New Roman" w:hAnsi="Times New Roman" w:cs="Times New Roman"/>
          <w:color w:val="auto"/>
          <w:sz w:val="24"/>
          <w:szCs w:val="24"/>
          <w:highlight w:val="none"/>
          <w:vertAlign w:val="superscript"/>
          <w:lang w:val="zh-CN"/>
        </w:rPr>
        <w:t>2</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抛石护岸3320</w:t>
      </w:r>
      <w:r>
        <w:rPr>
          <w:rFonts w:hint="default" w:ascii="Times New Roman" w:hAnsi="Times New Roman" w:cs="Times New Roman"/>
          <w:color w:val="auto"/>
          <w:sz w:val="24"/>
          <w:szCs w:val="24"/>
          <w:highlight w:val="none"/>
          <w:lang w:val="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岸坡整治650</w:t>
      </w:r>
      <w:r>
        <w:rPr>
          <w:rFonts w:hint="default" w:ascii="Times New Roman" w:hAnsi="Times New Roman" w:cs="Times New Roman"/>
          <w:color w:val="auto"/>
          <w:sz w:val="24"/>
          <w:szCs w:val="24"/>
          <w:highlight w:val="none"/>
          <w:lang w:val="zh-CN"/>
        </w:rPr>
        <w:t>m，</w:t>
      </w:r>
      <w:r>
        <w:rPr>
          <w:rFonts w:hint="default" w:ascii="Times New Roman" w:hAnsi="Times New Roman" w:cs="Times New Roman"/>
          <w:color w:val="auto"/>
          <w:sz w:val="24"/>
          <w:szCs w:val="24"/>
          <w:highlight w:val="none"/>
          <w:lang w:val="en-US" w:eastAsia="zh-CN"/>
        </w:rPr>
        <w:t>防洪堤（加固）650m，</w:t>
      </w:r>
      <w:r>
        <w:rPr>
          <w:rFonts w:hint="default" w:ascii="Times New Roman" w:hAnsi="Times New Roman" w:cs="Times New Roman"/>
          <w:color w:val="auto"/>
          <w:sz w:val="24"/>
          <w:szCs w:val="24"/>
          <w:highlight w:val="none"/>
          <w:lang w:val="zh-CN"/>
        </w:rPr>
        <w:t>建设亲水栈道1890m</w:t>
      </w:r>
      <w:r>
        <w:rPr>
          <w:rFonts w:hint="default" w:ascii="Times New Roman" w:hAnsi="Times New Roman" w:cs="Times New Roman"/>
          <w:color w:val="auto"/>
          <w:sz w:val="24"/>
          <w:szCs w:val="24"/>
          <w:highlight w:val="none"/>
          <w:vertAlign w:val="superscript"/>
          <w:lang w:val="zh-CN"/>
        </w:rPr>
        <w:t>2</w:t>
      </w:r>
      <w:r>
        <w:rPr>
          <w:rFonts w:hint="default" w:ascii="Times New Roman" w:hAnsi="Times New Roman" w:cs="Times New Roman"/>
          <w:color w:val="auto"/>
          <w:sz w:val="24"/>
          <w:szCs w:val="24"/>
          <w:highlight w:val="none"/>
          <w:lang w:val="zh-CN"/>
        </w:rPr>
        <w:t>等。</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③东洲岛景观提质工程：修缮木栈道、木平台、汀步道、补种乔灌木绿化、沙滩填沙等；</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en-US" w:eastAsia="zh-CN"/>
        </w:rPr>
        <w:t>④配套设施建设工程：修建东洲桃浪园、草坪等</w:t>
      </w:r>
      <w:r>
        <w:rPr>
          <w:rFonts w:hint="default" w:ascii="Times New Roman" w:hAnsi="Times New Roman" w:cs="Times New Roman"/>
          <w:color w:val="auto"/>
          <w:sz w:val="24"/>
          <w:szCs w:val="24"/>
          <w:highlight w:val="none"/>
          <w:lang w:val="zh-CN"/>
        </w:rPr>
        <w:t>。</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9.1.2产业政策及相关规划的相符性分析结论</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（1）与国家产业政策符合性</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eastAsia="宋体"/>
          <w:color w:val="auto"/>
          <w:sz w:val="24"/>
          <w:highlight w:val="none"/>
          <w:u w:val="none"/>
          <w:lang w:val="en-US" w:eastAsia="zh-CN"/>
        </w:rPr>
        <w:t>本项目</w:t>
      </w:r>
      <w:r>
        <w:rPr>
          <w:rFonts w:hint="default"/>
          <w:color w:val="auto"/>
          <w:sz w:val="24"/>
          <w:highlight w:val="none"/>
          <w:u w:val="none"/>
          <w:lang w:val="en-US" w:eastAsia="zh-CN"/>
        </w:rPr>
        <w:t>风光带整治工程属于水利工程中的河道整治，包括堤防护坡护岸、岸坡整治等，属于《</w:t>
      </w:r>
      <w:r>
        <w:rPr>
          <w:rFonts w:hint="default" w:eastAsia="宋体"/>
          <w:color w:val="auto"/>
          <w:sz w:val="24"/>
          <w:highlight w:val="none"/>
          <w:u w:val="none"/>
          <w:lang w:val="en-US" w:eastAsia="zh-CN"/>
        </w:rPr>
        <w:t>产业结构调整指导目录（2024年本）</w:t>
      </w:r>
      <w:r>
        <w:rPr>
          <w:rFonts w:hint="default"/>
          <w:color w:val="auto"/>
          <w:sz w:val="24"/>
          <w:highlight w:val="none"/>
          <w:u w:val="none"/>
          <w:lang w:val="en-US" w:eastAsia="zh-CN"/>
        </w:rPr>
        <w:t>》</w:t>
      </w:r>
      <w:r>
        <w:rPr>
          <w:rFonts w:hint="default" w:eastAsia="宋体"/>
          <w:color w:val="auto"/>
          <w:sz w:val="24"/>
          <w:highlight w:val="none"/>
          <w:u w:val="none"/>
          <w:lang w:val="en-US" w:eastAsia="zh-CN"/>
        </w:rPr>
        <w:t>中</w:t>
      </w:r>
      <w:r>
        <w:rPr>
          <w:rFonts w:hint="default" w:ascii="Times New Roman" w:hAnsi="Times New Roman" w:eastAsia="宋体" w:cs="Times New Roman"/>
          <w:color w:val="auto"/>
          <w:sz w:val="24"/>
          <w:szCs w:val="24"/>
          <w:highlight w:val="none"/>
        </w:rPr>
        <w:t>鼓励类</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二、水利1、江河湖海堤防建设及河道治理工程</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故本项目建设符合国家产业政策。</w:t>
      </w:r>
    </w:p>
    <w:p>
      <w:pPr>
        <w:keepNext w:val="0"/>
        <w:keepLines w:val="0"/>
        <w:pageBreakBefore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highlight w:val="none"/>
          <w:u w:val="none"/>
          <w:lang w:val="en-US" w:eastAsia="zh-CN"/>
        </w:rPr>
      </w:pPr>
      <w:r>
        <w:rPr>
          <w:rFonts w:hint="default" w:ascii="Times New Roman" w:hAnsi="Times New Roman" w:eastAsia="宋体" w:cs="Times New Roman"/>
          <w:b/>
          <w:bCs/>
          <w:color w:val="auto"/>
          <w:sz w:val="24"/>
          <w:highlight w:val="none"/>
          <w:u w:val="none"/>
          <w:lang w:val="en-US" w:eastAsia="zh-CN"/>
        </w:rPr>
        <w:t>（2）与相关法律、规划、负面清单的相符性</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u w:val="none"/>
          <w:lang w:val="zh-CN" w:eastAsia="zh-CN"/>
        </w:rPr>
      </w:pPr>
      <w:r>
        <w:rPr>
          <w:rFonts w:hint="default" w:ascii="Times New Roman" w:hAnsi="Times New Roman" w:eastAsia="宋体" w:cs="Times New Roman"/>
          <w:color w:val="auto"/>
          <w:sz w:val="24"/>
          <w:highlight w:val="none"/>
          <w:u w:val="none"/>
          <w:lang w:val="zh-CN" w:eastAsia="zh-CN"/>
        </w:rPr>
        <w:t>本项目符合所在地区的</w:t>
      </w:r>
      <w:r>
        <w:rPr>
          <w:rFonts w:hint="eastAsia" w:cs="Times New Roman"/>
          <w:color w:val="auto"/>
          <w:sz w:val="24"/>
          <w:highlight w:val="none"/>
          <w:u w:val="none"/>
          <w:lang w:val="zh-CN" w:eastAsia="zh-CN"/>
        </w:rPr>
        <w:t>“</w:t>
      </w:r>
      <w:r>
        <w:rPr>
          <w:rFonts w:hint="default" w:ascii="Times New Roman" w:hAnsi="Times New Roman" w:eastAsia="宋体" w:cs="Times New Roman"/>
          <w:color w:val="auto"/>
          <w:sz w:val="24"/>
          <w:highlight w:val="none"/>
          <w:u w:val="none"/>
          <w:lang w:val="zh-CN" w:eastAsia="zh-CN"/>
        </w:rPr>
        <w:t>三线一单</w:t>
      </w:r>
      <w:r>
        <w:rPr>
          <w:rFonts w:hint="eastAsia" w:cs="Times New Roman"/>
          <w:color w:val="auto"/>
          <w:sz w:val="24"/>
          <w:highlight w:val="none"/>
          <w:u w:val="none"/>
          <w:lang w:val="zh-CN" w:eastAsia="zh-CN"/>
        </w:rPr>
        <w:t>”</w:t>
      </w:r>
      <w:r>
        <w:rPr>
          <w:rFonts w:hint="default" w:ascii="Times New Roman" w:hAnsi="Times New Roman" w:eastAsia="宋体" w:cs="Times New Roman"/>
          <w:color w:val="auto"/>
          <w:sz w:val="24"/>
          <w:highlight w:val="none"/>
          <w:u w:val="none"/>
          <w:lang w:val="zh-CN" w:eastAsia="zh-CN"/>
        </w:rPr>
        <w:t>要求，符合《中华人民共和国水污染防治法</w:t>
      </w:r>
      <w:r>
        <w:rPr>
          <w:rFonts w:hint="eastAsia" w:cs="Times New Roman"/>
          <w:color w:val="auto"/>
          <w:sz w:val="24"/>
          <w:highlight w:val="none"/>
          <w:u w:val="none"/>
          <w:lang w:val="zh-CN" w:eastAsia="zh-CN"/>
        </w:rPr>
        <w:t>》《</w:t>
      </w:r>
      <w:r>
        <w:rPr>
          <w:rFonts w:hint="default" w:ascii="Times New Roman" w:hAnsi="Times New Roman" w:eastAsia="宋体" w:cs="Times New Roman"/>
          <w:color w:val="auto"/>
          <w:sz w:val="24"/>
          <w:highlight w:val="none"/>
          <w:u w:val="none"/>
          <w:lang w:val="zh-CN" w:eastAsia="zh-CN"/>
        </w:rPr>
        <w:t>水产种质资源保护区管理暂行办法</w:t>
      </w:r>
      <w:r>
        <w:rPr>
          <w:rFonts w:hint="eastAsia" w:cs="Times New Roman"/>
          <w:color w:val="auto"/>
          <w:sz w:val="24"/>
          <w:highlight w:val="none"/>
          <w:u w:val="none"/>
          <w:lang w:val="zh-CN" w:eastAsia="zh-CN"/>
        </w:rPr>
        <w:t>》《</w:t>
      </w:r>
      <w:r>
        <w:rPr>
          <w:rFonts w:hint="default" w:ascii="Times New Roman" w:hAnsi="Times New Roman" w:eastAsia="宋体" w:cs="Times New Roman"/>
          <w:color w:val="auto"/>
          <w:sz w:val="24"/>
          <w:highlight w:val="none"/>
          <w:u w:val="none"/>
          <w:lang w:val="zh-CN" w:eastAsia="zh-CN"/>
        </w:rPr>
        <w:t>湖南省主体功能区划</w:t>
      </w:r>
      <w:r>
        <w:rPr>
          <w:rFonts w:hint="eastAsia" w:cs="Times New Roman"/>
          <w:color w:val="auto"/>
          <w:sz w:val="24"/>
          <w:highlight w:val="none"/>
          <w:u w:val="none"/>
          <w:lang w:val="zh-CN" w:eastAsia="zh-CN"/>
        </w:rPr>
        <w:t>》《</w:t>
      </w:r>
      <w:r>
        <w:rPr>
          <w:rFonts w:hint="default" w:ascii="Times New Roman" w:hAnsi="Times New Roman" w:eastAsia="宋体" w:cs="Times New Roman"/>
          <w:color w:val="auto"/>
          <w:sz w:val="24"/>
          <w:highlight w:val="none"/>
          <w:u w:val="none"/>
          <w:lang w:val="en-US" w:eastAsia="zh-CN"/>
        </w:rPr>
        <w:t>湖南省湘江保护条例</w:t>
      </w:r>
      <w:r>
        <w:rPr>
          <w:rFonts w:hint="default" w:ascii="Times New Roman" w:hAnsi="Times New Roman" w:eastAsia="宋体" w:cs="Times New Roman"/>
          <w:color w:val="auto"/>
          <w:sz w:val="24"/>
          <w:highlight w:val="none"/>
          <w:u w:val="none"/>
          <w:lang w:val="zh-CN" w:eastAsia="zh-CN"/>
        </w:rPr>
        <w:t>》</w:t>
      </w:r>
      <w:r>
        <w:rPr>
          <w:rFonts w:hint="default" w:ascii="Times New Roman" w:hAnsi="Times New Roman" w:eastAsia="宋体" w:cs="Times New Roman"/>
          <w:color w:val="auto"/>
          <w:sz w:val="24"/>
          <w:highlight w:val="none"/>
          <w:u w:val="none"/>
          <w:lang w:val="en-US" w:eastAsia="zh-CN"/>
        </w:rPr>
        <w:t>等</w:t>
      </w:r>
      <w:r>
        <w:rPr>
          <w:rFonts w:hint="default" w:ascii="Times New Roman" w:hAnsi="Times New Roman" w:eastAsia="宋体" w:cs="Times New Roman"/>
          <w:color w:val="auto"/>
          <w:sz w:val="24"/>
          <w:highlight w:val="none"/>
          <w:u w:val="none"/>
          <w:lang w:val="zh-CN" w:eastAsia="zh-CN"/>
        </w:rPr>
        <w:t>相关要求，不在《湖南省长江经济带发展负面清单实施细则</w:t>
      </w:r>
      <w:r>
        <w:rPr>
          <w:rFonts w:hint="eastAsia" w:cs="Times New Roman"/>
          <w:color w:val="auto"/>
          <w:sz w:val="24"/>
          <w:highlight w:val="none"/>
          <w:u w:val="none"/>
          <w:lang w:val="zh-CN" w:eastAsia="zh-CN"/>
        </w:rPr>
        <w:t>（</w:t>
      </w:r>
      <w:r>
        <w:rPr>
          <w:rFonts w:hint="default" w:ascii="Times New Roman" w:hAnsi="Times New Roman" w:eastAsia="宋体" w:cs="Times New Roman"/>
          <w:color w:val="auto"/>
          <w:sz w:val="24"/>
          <w:highlight w:val="none"/>
          <w:u w:val="none"/>
          <w:lang w:val="zh-CN" w:eastAsia="zh-CN"/>
        </w:rPr>
        <w:t>试行，2022年版)》负面清单范围内。</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9.1.3项目选址合理性分析结论</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本项目选址位于衡阳市珠晖区、雁峰区，项目新增用地不涉及基本农田</w:t>
      </w:r>
      <w:r>
        <w:rPr>
          <w:rFonts w:hint="default"/>
          <w:color w:val="auto"/>
          <w:sz w:val="24"/>
          <w:highlight w:val="none"/>
          <w:u w:val="none"/>
          <w:lang w:val="en-US" w:eastAsia="zh-CN"/>
        </w:rPr>
        <w:t>，项目选址已取得衡阳市自然资源和规划局用地预审与选址意见书</w:t>
      </w:r>
      <w:r>
        <w:rPr>
          <w:rFonts w:hint="default" w:eastAsia="宋体"/>
          <w:color w:val="auto"/>
          <w:sz w:val="24"/>
          <w:highlight w:val="none"/>
          <w:u w:val="none"/>
          <w:lang w:val="en-US" w:eastAsia="zh-CN"/>
        </w:rPr>
        <w:t>。本项目施工总布置应遵循因地制宜、有利于生产、方便生活、易于管理、安全经济等原则</w:t>
      </w:r>
      <w:r>
        <w:rPr>
          <w:rFonts w:hint="default"/>
          <w:color w:val="auto"/>
          <w:sz w:val="24"/>
          <w:highlight w:val="none"/>
          <w:u w:val="none"/>
          <w:lang w:val="en-US" w:eastAsia="zh-CN"/>
        </w:rPr>
        <w:t>：（1）</w:t>
      </w:r>
      <w:r>
        <w:rPr>
          <w:rFonts w:hint="default" w:eastAsia="宋体"/>
          <w:color w:val="auto"/>
          <w:sz w:val="24"/>
          <w:highlight w:val="none"/>
          <w:u w:val="none"/>
          <w:lang w:val="en-US" w:eastAsia="zh-CN"/>
        </w:rPr>
        <w:t>尽量减少对附近居民生活影响</w:t>
      </w:r>
      <w:r>
        <w:rPr>
          <w:rFonts w:hint="default"/>
          <w:color w:val="auto"/>
          <w:sz w:val="24"/>
          <w:highlight w:val="none"/>
          <w:u w:val="none"/>
          <w:lang w:val="en-US" w:eastAsia="zh-CN"/>
        </w:rPr>
        <w:t>；（2）</w:t>
      </w:r>
      <w:r>
        <w:rPr>
          <w:rFonts w:hint="default" w:eastAsia="宋体"/>
          <w:color w:val="auto"/>
          <w:sz w:val="24"/>
          <w:highlight w:val="none"/>
          <w:u w:val="none"/>
          <w:lang w:val="en-US" w:eastAsia="zh-CN"/>
        </w:rPr>
        <w:t>施工布置充分考虑施工要求影响。合理利用有利地形，采取就近布置，尽量减少临建工程量</w:t>
      </w:r>
      <w:r>
        <w:rPr>
          <w:rFonts w:hint="default"/>
          <w:color w:val="auto"/>
          <w:sz w:val="24"/>
          <w:highlight w:val="none"/>
          <w:u w:val="none"/>
          <w:lang w:val="en-US" w:eastAsia="zh-CN"/>
        </w:rPr>
        <w:t>；（3）生活设施依托已有设施。项目对外交通较便利。</w:t>
      </w:r>
      <w:r>
        <w:rPr>
          <w:rFonts w:hint="eastAsia"/>
          <w:color w:val="auto"/>
          <w:sz w:val="24"/>
          <w:highlight w:val="none"/>
          <w:u w:val="none"/>
          <w:lang w:val="en-US" w:eastAsia="zh-CN"/>
        </w:rPr>
        <w:t>临时堆场</w:t>
      </w:r>
      <w:r>
        <w:rPr>
          <w:rFonts w:hint="default"/>
          <w:color w:val="auto"/>
          <w:sz w:val="24"/>
          <w:highlight w:val="none"/>
          <w:u w:val="none"/>
          <w:lang w:val="en-US" w:eastAsia="zh-CN"/>
        </w:rPr>
        <w:t>不涉及河道水域；（4）</w:t>
      </w:r>
      <w:r>
        <w:rPr>
          <w:rFonts w:hint="default" w:eastAsia="宋体"/>
          <w:color w:val="auto"/>
          <w:sz w:val="24"/>
          <w:highlight w:val="none"/>
          <w:u w:val="none"/>
          <w:lang w:val="en-US" w:eastAsia="zh-CN"/>
        </w:rPr>
        <w:t>防洪堤施工期安排在枯水期进行，不会影响行洪。随着施工期结束，不会对环境造成影响。</w:t>
      </w:r>
      <w:r>
        <w:rPr>
          <w:rFonts w:hint="eastAsia"/>
          <w:color w:val="auto"/>
          <w:sz w:val="24"/>
          <w:highlight w:val="none"/>
          <w:u w:val="none"/>
          <w:lang w:val="en-US" w:eastAsia="zh-CN"/>
        </w:rPr>
        <w:t>项目</w:t>
      </w:r>
      <w:r>
        <w:rPr>
          <w:rFonts w:hint="default" w:eastAsia="宋体"/>
          <w:color w:val="auto"/>
          <w:sz w:val="24"/>
          <w:highlight w:val="none"/>
          <w:u w:val="none"/>
          <w:lang w:val="en-US" w:eastAsia="zh-CN"/>
        </w:rPr>
        <w:t>投运后可阻隔周边污水进入湘江，减少水流对岸坡的冲刷，也可极大改善沿岸风光面貌。因此，</w:t>
      </w:r>
      <w:r>
        <w:rPr>
          <w:rFonts w:hint="default"/>
          <w:color w:val="auto"/>
          <w:sz w:val="24"/>
          <w:highlight w:val="none"/>
          <w:u w:val="none"/>
          <w:lang w:val="en-US" w:eastAsia="zh-CN"/>
        </w:rPr>
        <w:t>从环境角度分析，</w:t>
      </w:r>
      <w:r>
        <w:rPr>
          <w:rFonts w:hint="default" w:eastAsia="宋体"/>
          <w:color w:val="auto"/>
          <w:sz w:val="24"/>
          <w:highlight w:val="none"/>
          <w:u w:val="none"/>
          <w:lang w:val="en-US" w:eastAsia="zh-CN"/>
        </w:rPr>
        <w:t>本项目选址可行。</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9.1.4环境质量现状</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（1）地表水环境</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根据衡阳市生态环境局公布的《关于2023年12月及1-12月全市环境质量状况的通报》</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本项目所在区域地表水湘江新塘铺、江东水厂、城南水厂、城北水厂、鱼石村</w:t>
      </w:r>
      <w:r>
        <w:rPr>
          <w:rFonts w:hint="default" w:ascii="Times New Roman" w:hAnsi="Times New Roman" w:eastAsia="宋体" w:cs="Times New Roman"/>
          <w:color w:val="auto"/>
          <w:sz w:val="24"/>
          <w:szCs w:val="24"/>
          <w:highlight w:val="none"/>
          <w:lang w:val="en-US" w:eastAsia="zh-CN"/>
        </w:rPr>
        <w:t>5个常规水质监测断面</w:t>
      </w:r>
      <w:r>
        <w:rPr>
          <w:rFonts w:hint="eastAsia" w:cs="Times New Roman"/>
          <w:color w:val="auto"/>
          <w:sz w:val="24"/>
          <w:szCs w:val="24"/>
          <w:highlight w:val="none"/>
          <w:lang w:val="en-US" w:eastAsia="zh-CN"/>
        </w:rPr>
        <w:t>2023年1-12月</w:t>
      </w:r>
      <w:r>
        <w:rPr>
          <w:rFonts w:hint="default" w:ascii="Times New Roman" w:hAnsi="Times New Roman" w:eastAsia="宋体" w:cs="Times New Roman"/>
          <w:color w:val="auto"/>
          <w:sz w:val="24"/>
          <w:szCs w:val="24"/>
          <w:highlight w:val="none"/>
          <w:lang w:val="en-US" w:eastAsia="zh-CN"/>
        </w:rPr>
        <w:t>的水质均能达到《地表水环境质量标准》（GB3838-2002）表</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中Ⅱ类标准要</w:t>
      </w:r>
      <w:r>
        <w:rPr>
          <w:rFonts w:hint="eastAsia" w:cs="Times New Roman"/>
          <w:color w:val="auto"/>
          <w:sz w:val="24"/>
          <w:szCs w:val="24"/>
          <w:highlight w:val="none"/>
          <w:lang w:val="en-US" w:eastAsia="zh-CN"/>
        </w:rPr>
        <w:t>求。同时根据衡阳市生态环境局公布的《衡阳市城区集中式生活饮用水水源水质状况报告（2024年1月）》，2024年1月江东水厂、城南水厂及城北水厂61项监测因子</w:t>
      </w:r>
      <w:r>
        <w:rPr>
          <w:rFonts w:hint="default" w:ascii="Times New Roman" w:hAnsi="Times New Roman" w:eastAsia="宋体" w:cs="Times New Roman"/>
          <w:color w:val="auto"/>
          <w:sz w:val="24"/>
          <w:szCs w:val="24"/>
          <w:highlight w:val="none"/>
          <w:lang w:val="en-US" w:eastAsia="zh-CN"/>
        </w:rPr>
        <w:t>均能达到《地表水环境质量标准》（GB3838-2002）表</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中Ⅱ类标准要求。</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（2）环境空气</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color w:val="auto"/>
          <w:kern w:val="0"/>
          <w:sz w:val="24"/>
          <w:szCs w:val="24"/>
          <w:highlight w:val="none"/>
          <w:lang w:val="en-US" w:eastAsia="zh-CN" w:bidi="ar"/>
        </w:rPr>
      </w:pPr>
      <w:r>
        <w:rPr>
          <w:rFonts w:hint="eastAsia" w:cs="Times New Roman"/>
          <w:color w:val="auto"/>
          <w:sz w:val="24"/>
          <w:szCs w:val="24"/>
          <w:highlight w:val="none"/>
          <w:lang w:val="en-US" w:eastAsia="zh-CN"/>
        </w:rPr>
        <w:t>根据衡阳市生态环境局公布的《关于2023年12月及1-12月全市环境质量状况的通报》中的珠晖区、雁峰区的空气质量监测数据</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2023年珠晖区、雁峰区</w:t>
      </w:r>
      <w:r>
        <w:rPr>
          <w:rFonts w:hint="eastAsia" w:cs="Times New Roman"/>
          <w:color w:val="auto"/>
          <w:kern w:val="0"/>
          <w:sz w:val="24"/>
          <w:szCs w:val="24"/>
          <w:highlight w:val="none"/>
          <w:lang w:val="en-US" w:eastAsia="zh-CN" w:bidi="ar"/>
        </w:rPr>
        <w:t>PM</w:t>
      </w:r>
      <w:r>
        <w:rPr>
          <w:rFonts w:hint="eastAsia" w:cs="Times New Roman"/>
          <w:color w:val="auto"/>
          <w:kern w:val="0"/>
          <w:sz w:val="24"/>
          <w:szCs w:val="24"/>
          <w:highlight w:val="none"/>
          <w:vertAlign w:val="subscript"/>
          <w:lang w:val="en-US" w:eastAsia="zh-CN" w:bidi="ar"/>
        </w:rPr>
        <w:t>10</w:t>
      </w:r>
      <w:r>
        <w:rPr>
          <w:rFonts w:hint="eastAsia" w:cs="Times New Roman"/>
          <w:color w:val="auto"/>
          <w:kern w:val="0"/>
          <w:sz w:val="24"/>
          <w:szCs w:val="24"/>
          <w:highlight w:val="none"/>
          <w:lang w:val="en-US" w:eastAsia="zh-CN" w:bidi="ar"/>
        </w:rPr>
        <w:t>、O</w:t>
      </w:r>
      <w:r>
        <w:rPr>
          <w:rFonts w:hint="eastAsia" w:cs="Times New Roman"/>
          <w:color w:val="auto"/>
          <w:kern w:val="0"/>
          <w:sz w:val="24"/>
          <w:szCs w:val="24"/>
          <w:highlight w:val="none"/>
          <w:vertAlign w:val="subscript"/>
          <w:lang w:val="en-US" w:eastAsia="zh-CN" w:bidi="ar"/>
        </w:rPr>
        <w:t>3</w:t>
      </w:r>
      <w:r>
        <w:rPr>
          <w:rFonts w:hint="eastAsia" w:cs="Times New Roman"/>
          <w:color w:val="auto"/>
          <w:kern w:val="0"/>
          <w:sz w:val="24"/>
          <w:szCs w:val="24"/>
          <w:highlight w:val="none"/>
          <w:lang w:val="en-US" w:eastAsia="zh-CN" w:bidi="ar"/>
        </w:rPr>
        <w:t>、CO、SO</w:t>
      </w:r>
      <w:r>
        <w:rPr>
          <w:rFonts w:hint="eastAsia" w:cs="Times New Roman"/>
          <w:color w:val="auto"/>
          <w:kern w:val="0"/>
          <w:sz w:val="24"/>
          <w:szCs w:val="24"/>
          <w:highlight w:val="none"/>
          <w:vertAlign w:val="subscript"/>
          <w:lang w:val="en-US" w:eastAsia="zh-CN" w:bidi="ar"/>
        </w:rPr>
        <w:t>2</w:t>
      </w:r>
      <w:r>
        <w:rPr>
          <w:rFonts w:hint="eastAsia" w:cs="Times New Roman"/>
          <w:color w:val="auto"/>
          <w:kern w:val="0"/>
          <w:sz w:val="24"/>
          <w:szCs w:val="24"/>
          <w:highlight w:val="none"/>
          <w:lang w:val="en-US" w:eastAsia="zh-CN" w:bidi="ar"/>
        </w:rPr>
        <w:t>、NO</w:t>
      </w:r>
      <w:r>
        <w:rPr>
          <w:rFonts w:hint="eastAsia" w:cs="Times New Roman"/>
          <w:color w:val="auto"/>
          <w:kern w:val="0"/>
          <w:sz w:val="24"/>
          <w:szCs w:val="24"/>
          <w:highlight w:val="none"/>
          <w:vertAlign w:val="subscript"/>
          <w:lang w:val="en-US" w:eastAsia="zh-CN" w:bidi="ar"/>
        </w:rPr>
        <w:t>2</w:t>
      </w:r>
      <w:r>
        <w:rPr>
          <w:rFonts w:hint="eastAsia" w:cs="Times New Roman"/>
          <w:color w:val="auto"/>
          <w:kern w:val="0"/>
          <w:sz w:val="24"/>
          <w:szCs w:val="24"/>
          <w:highlight w:val="none"/>
          <w:lang w:val="en-US" w:eastAsia="zh-CN" w:bidi="ar"/>
        </w:rPr>
        <w:t>均能够达到《环境空气质量标准》（GB3095-2012）二级标准，PM</w:t>
      </w:r>
      <w:r>
        <w:rPr>
          <w:rFonts w:hint="eastAsia" w:cs="Times New Roman"/>
          <w:color w:val="auto"/>
          <w:kern w:val="0"/>
          <w:sz w:val="24"/>
          <w:szCs w:val="24"/>
          <w:highlight w:val="none"/>
          <w:vertAlign w:val="subscript"/>
          <w:lang w:val="en-US" w:eastAsia="zh-CN" w:bidi="ar"/>
        </w:rPr>
        <w:t>2.5</w:t>
      </w:r>
      <w:r>
        <w:rPr>
          <w:rFonts w:hint="eastAsia" w:cs="Times New Roman"/>
          <w:color w:val="auto"/>
          <w:kern w:val="0"/>
          <w:sz w:val="24"/>
          <w:szCs w:val="24"/>
          <w:highlight w:val="none"/>
          <w:lang w:val="en-US" w:eastAsia="zh-CN" w:bidi="ar"/>
        </w:rPr>
        <w:t>年均值超过《环境空气质量标准》（GB3095-2012）二级标准年均值要求，项目所在区域属于不达标区。同时本项目收集了区域TSP历史监测数据，并补充开展了一期TSP现状监测，根据历史监测数据和本次补充监测数据表明，项目所在区域TSP能满足</w:t>
      </w:r>
      <w:r>
        <w:rPr>
          <w:rFonts w:hint="eastAsia" w:ascii="Times New Roman" w:hAnsi="Times New Roman" w:eastAsia="宋体" w:cs="Times New Roman"/>
          <w:color w:val="auto"/>
          <w:kern w:val="0"/>
          <w:sz w:val="24"/>
          <w:szCs w:val="24"/>
          <w:highlight w:val="none"/>
          <w:lang w:val="en-US" w:eastAsia="zh-CN" w:bidi="ar"/>
        </w:rPr>
        <w:t>《环境空气质量标准》（GB3095-2012）及其修改单中二级标准要求。</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（3）声环境</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本次监测在项目周边布设了4个监测点位，监测结果表明各点的昼、夜声环境质量现状均符合《声环境质量标准》( GB3096-2008）中的2类、4a类标准，表明评价区域声环境质量现状良好。</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（4）地下水环境</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本次监测在项目周边布设了</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个</w:t>
      </w:r>
      <w:r>
        <w:rPr>
          <w:rFonts w:hint="eastAsia" w:cs="Times New Roman"/>
          <w:color w:val="auto"/>
          <w:sz w:val="24"/>
          <w:szCs w:val="24"/>
          <w:highlight w:val="none"/>
          <w:lang w:val="en-US" w:eastAsia="zh-CN"/>
        </w:rPr>
        <w:t>地下水</w:t>
      </w:r>
      <w:r>
        <w:rPr>
          <w:rFonts w:hint="default" w:ascii="Times New Roman" w:hAnsi="Times New Roman" w:eastAsia="宋体" w:cs="Times New Roman"/>
          <w:color w:val="auto"/>
          <w:sz w:val="24"/>
          <w:szCs w:val="24"/>
          <w:highlight w:val="none"/>
          <w:lang w:val="en-US" w:eastAsia="zh-CN"/>
        </w:rPr>
        <w:t>监测点位，监测结果表明各</w:t>
      </w:r>
      <w:r>
        <w:rPr>
          <w:rFonts w:hint="eastAsia" w:cs="Times New Roman"/>
          <w:color w:val="auto"/>
          <w:sz w:val="24"/>
          <w:szCs w:val="24"/>
          <w:highlight w:val="none"/>
          <w:lang w:val="en-US" w:eastAsia="zh-CN"/>
        </w:rPr>
        <w:t>监测点</w:t>
      </w:r>
      <w:r>
        <w:rPr>
          <w:rFonts w:hint="default" w:ascii="Times New Roman" w:hAnsi="Times New Roman" w:eastAsia="宋体" w:cs="Times New Roman"/>
          <w:color w:val="auto"/>
          <w:sz w:val="24"/>
          <w:szCs w:val="24"/>
          <w:highlight w:val="none"/>
          <w:lang w:val="en-US" w:eastAsia="zh-CN"/>
        </w:rPr>
        <w:t>地下水监测因子均符合《地下水质量标准》（GB14848-2017）Ⅲ类标准。</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w:t>
      </w:r>
      <w:r>
        <w:rPr>
          <w:rFonts w:hint="eastAsia" w:cs="Times New Roman"/>
          <w:color w:val="auto"/>
          <w:sz w:val="24"/>
          <w:szCs w:val="24"/>
          <w:highlight w:val="none"/>
          <w:lang w:val="en-US" w:eastAsia="zh-CN"/>
        </w:rPr>
        <w:t>5</w:t>
      </w:r>
      <w:r>
        <w:rPr>
          <w:rFonts w:hint="default" w:cs="Times New Roman"/>
          <w:color w:val="auto"/>
          <w:sz w:val="24"/>
          <w:szCs w:val="24"/>
          <w:highlight w:val="none"/>
          <w:lang w:val="en-US" w:eastAsia="zh-CN"/>
        </w:rPr>
        <w:t>）土壤底泥环境</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本项目涉及扰动河道底泥，项目引用《衡阳市综合保税区跟踪环境影响评价报告书》于2023年6月27日的底泥监测数据，监测结果表明，本项目所涉及的河道底泥各监测因子均满足《土壤环境质量 农用地土壤污染风险管控标准（试行）》（GB15618-2018）筛选值要求</w:t>
      </w:r>
      <w:r>
        <w:rPr>
          <w:rFonts w:hint="default" w:ascii="Times New Roman" w:hAnsi="Times New Roman" w:eastAsia="宋体" w:cs="Times New Roman"/>
          <w:color w:val="auto"/>
          <w:sz w:val="24"/>
          <w:szCs w:val="24"/>
          <w:highlight w:val="none"/>
          <w:lang w:val="en-US"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w:t>
      </w:r>
      <w:r>
        <w:rPr>
          <w:rFonts w:hint="eastAsia" w:cs="Times New Roman"/>
          <w:color w:val="auto"/>
          <w:sz w:val="24"/>
          <w:szCs w:val="24"/>
          <w:highlight w:val="none"/>
          <w:lang w:val="en-US" w:eastAsia="zh-CN"/>
        </w:rPr>
        <w:t>6</w:t>
      </w:r>
      <w:r>
        <w:rPr>
          <w:rFonts w:hint="default" w:cs="Times New Roman"/>
          <w:color w:val="auto"/>
          <w:sz w:val="24"/>
          <w:szCs w:val="24"/>
          <w:highlight w:val="none"/>
          <w:lang w:val="en-US" w:eastAsia="zh-CN"/>
        </w:rPr>
        <w:t>）生态环境</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根据调查</w:t>
      </w:r>
      <w:r>
        <w:rPr>
          <w:rFonts w:hint="default" w:ascii="Times New Roman" w:hAnsi="Times New Roman" w:eastAsia="宋体" w:cs="Times New Roman"/>
          <w:color w:val="auto"/>
          <w:sz w:val="24"/>
          <w:szCs w:val="24"/>
          <w:highlight w:val="none"/>
          <w:lang w:val="en-US" w:eastAsia="zh-CN"/>
        </w:rPr>
        <w:t>本项目评价区有维管束植物69科151属186种。评价区自然植被划分为2个植被型组，2个植被型，2个植被亚型，12个群系。评价区范围内分布无国家重点保护野生植物和湖南省重点保护野生植物分布，无珍稀濒危物种分布，无极小种群物种分布，有7种中国特有种植物分布。在评价区内发现7株挂牌古樟树，2株大樟树。</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评价区内分布有陆生脊椎动物4纲19目51科113种。有国家二级重点保护野生动物6种，有湖南省级重点保护野生动物65种；有《中国生物多样性红色名录》中列为濒危（EN）的动物2种、易危（VU）的动物3种；有中国特有种2种。评价区分布的鸟类香农威纳（Shannon-Wiener）多样性指数为2.95；Pielou均匀度指数为0.80；Simpson优势度指数为0.91。</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调查河段共检出浮游植物5门46种。其中硅藻门种类最多，有21种，占总种数的45.7%；其次为绿藻门12种，蓝藻门8种，甲藻门3种；浮游植物密度平均值为10.79×104ind./L，生物量平均值为0.21mg/L。浮游动物有28种，其中轮虫11种，原生动物8种，桡足类5种枝角类4种；浮游动物</w:t>
      </w:r>
      <w:r>
        <w:rPr>
          <w:rFonts w:hint="eastAsia" w:cs="Times New Roman"/>
          <w:color w:val="auto"/>
          <w:sz w:val="24"/>
          <w:szCs w:val="24"/>
          <w:highlight w:val="none"/>
          <w:lang w:val="en-US" w:eastAsia="zh-CN"/>
        </w:rPr>
        <w:t>平均</w:t>
      </w:r>
      <w:r>
        <w:rPr>
          <w:rFonts w:hint="default" w:ascii="Times New Roman" w:hAnsi="Times New Roman" w:eastAsia="宋体" w:cs="Times New Roman"/>
          <w:color w:val="auto"/>
          <w:sz w:val="24"/>
          <w:szCs w:val="24"/>
          <w:highlight w:val="none"/>
          <w:lang w:val="en-US" w:eastAsia="zh-CN"/>
        </w:rPr>
        <w:t>值为89.6ind./L，生物量平均值为0.1mg/L。底栖动物3门13种（附录3-3），软体动物最多，有8种，节肢动物4种，环节动物1种；底栖动物</w:t>
      </w:r>
      <w:r>
        <w:rPr>
          <w:rFonts w:hint="eastAsia" w:cs="Times New Roman"/>
          <w:color w:val="auto"/>
          <w:sz w:val="24"/>
          <w:szCs w:val="24"/>
          <w:highlight w:val="none"/>
          <w:lang w:val="en-US" w:eastAsia="zh-CN"/>
        </w:rPr>
        <w:t>平均</w:t>
      </w:r>
      <w:r>
        <w:rPr>
          <w:rFonts w:hint="default" w:ascii="Times New Roman" w:hAnsi="Times New Roman" w:eastAsia="宋体" w:cs="Times New Roman"/>
          <w:color w:val="auto"/>
          <w:sz w:val="24"/>
          <w:szCs w:val="24"/>
          <w:highlight w:val="none"/>
          <w:lang w:val="en-US" w:eastAsia="zh-CN"/>
        </w:rPr>
        <w:t>值为115.8ind./m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，生物量平均值为74.3g/m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。评价区共有鱼类5目11科81种，以鲤形目为主，占总种类的80.2%。评价区附近分布有东洲、</w:t>
      </w:r>
      <w:r>
        <w:rPr>
          <w:rFonts w:hint="default" w:cs="Times New Roman"/>
          <w:color w:val="auto"/>
          <w:sz w:val="24"/>
          <w:szCs w:val="24"/>
          <w:highlight w:val="none"/>
          <w:lang w:val="en-US" w:eastAsia="zh-CN"/>
        </w:rPr>
        <w:t>白渔潭</w:t>
      </w:r>
      <w:r>
        <w:rPr>
          <w:rFonts w:hint="default" w:ascii="Times New Roman" w:hAnsi="Times New Roman" w:eastAsia="宋体" w:cs="Times New Roman"/>
          <w:color w:val="auto"/>
          <w:sz w:val="24"/>
          <w:szCs w:val="24"/>
          <w:highlight w:val="none"/>
          <w:lang w:val="en-US" w:eastAsia="zh-CN"/>
        </w:rPr>
        <w:t>部分产粘沉性卵鱼类产卵场、索饵场及越冬场。在评价区内没有发现国家重点保护水生野生动物，有被列入《湖南省地方重点保护野生动植物名录》鱼类有6种，分别为衡阳薄鳅、鳤、瓣结鱼、犁头鳅、南方鳅鮀、宜昌鳅鮀。</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9.1.5环境影响评价结论</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9.1.5.1施工期</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（1）环境空气</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施工期大气环境污染物主要来源于施工拆除、开挖填筑、物料堆存、运输等产生的施工扬尘，施工机械和车辆排放的汽车尾气等。</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本工程施工区北侧200m范围内有居民区，应做好施工期扬尘的防护措施，如采取路面洒水降尘、保证路面清洁干净等措施后，对周边环境影响较小。</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施工机械废气属于低架点源无组织排放性质，具有间断性产生、产生量小、产生点相对分散、易被稀释扩散的特点，项目施工区相对分散，施工设备数量较少，大气扩散条件较好，故一般情况下，施工机械和运输车辆所产生的尾气污染物在空气中经自然扩散和稀释后，对区域环境空气质量影响很小。</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（2）声环境</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本项目主要采用挖掘机、推土机、自卸式汽车等机械，项目施工作业均在白天进行，夜间不安排施工，本项目在施工区边界范围</w:t>
      </w:r>
      <w:r>
        <w:rPr>
          <w:rFonts w:hint="eastAsia" w:cs="Times New Roman"/>
          <w:color w:val="auto"/>
          <w:sz w:val="24"/>
          <w:szCs w:val="24"/>
          <w:highlight w:val="none"/>
          <w:lang w:val="en-US" w:eastAsia="zh-CN"/>
        </w:rPr>
        <w:t>设置</w:t>
      </w:r>
      <w:r>
        <w:rPr>
          <w:rFonts w:hint="default" w:cs="Times New Roman"/>
          <w:color w:val="auto"/>
          <w:sz w:val="24"/>
          <w:szCs w:val="24"/>
          <w:highlight w:val="none"/>
          <w:lang w:val="en-US" w:eastAsia="zh-CN"/>
        </w:rPr>
        <w:t>围挡设施，合理安排设备布置等措施，可以有效降低施工噪声对附近居民的影响。</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物料运输车辆进出施工区过程会对道路沿线环境保护目标产生噪声影响，拟采取合理规划运输时间、限制鸣笛、减速慢行等措施减轻噪声影响。采取上述措施后，可有效降低施工期车辆运输噪声对沿线居民的不利影响。</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（3）水环境</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本项目对岸坡的整治、抛石护脚等工程占用湘江干流现有河道范围很小，河道水流速、水位等基本不会因为工程施工而发生改变，施工活动对湘江水文情势影响很小</w:t>
      </w:r>
      <w:r>
        <w:rPr>
          <w:rFonts w:hint="eastAsia" w:cs="Times New Roman"/>
          <w:color w:val="auto"/>
          <w:sz w:val="24"/>
          <w:szCs w:val="24"/>
          <w:highlight w:val="none"/>
          <w:lang w:val="en-US"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工程施工期废水主要为施工生产废水</w:t>
      </w:r>
      <w:r>
        <w:rPr>
          <w:rFonts w:hint="default" w:cs="Times New Roman"/>
          <w:color w:val="auto"/>
          <w:sz w:val="24"/>
          <w:szCs w:val="24"/>
          <w:highlight w:val="none"/>
          <w:lang w:val="en-US" w:eastAsia="zh-CN"/>
        </w:rPr>
        <w:t>经风情古街已建化粪池处理后排入市政污水管网送至江东污水处理厂处理，对地表水影响很小。</w:t>
      </w:r>
      <w:r>
        <w:rPr>
          <w:rFonts w:hint="default" w:ascii="Times New Roman" w:hAnsi="Times New Roman" w:eastAsia="宋体" w:cs="Times New Roman"/>
          <w:color w:val="auto"/>
          <w:sz w:val="24"/>
          <w:szCs w:val="24"/>
          <w:highlight w:val="none"/>
          <w:lang w:val="en-US" w:eastAsia="zh-CN"/>
        </w:rPr>
        <w:t>工程施工</w:t>
      </w:r>
      <w:r>
        <w:rPr>
          <w:rFonts w:hint="default" w:cs="Times New Roman"/>
          <w:color w:val="auto"/>
          <w:sz w:val="24"/>
          <w:szCs w:val="24"/>
          <w:highlight w:val="none"/>
          <w:lang w:val="en-US" w:eastAsia="zh-CN"/>
        </w:rPr>
        <w:t>生产</w:t>
      </w:r>
      <w:r>
        <w:rPr>
          <w:rFonts w:hint="default" w:ascii="Times New Roman" w:hAnsi="Times New Roman" w:eastAsia="宋体" w:cs="Times New Roman"/>
          <w:color w:val="auto"/>
          <w:sz w:val="24"/>
          <w:szCs w:val="24"/>
          <w:highlight w:val="none"/>
          <w:lang w:val="en-US" w:eastAsia="zh-CN"/>
        </w:rPr>
        <w:t>废水</w:t>
      </w:r>
      <w:r>
        <w:rPr>
          <w:rFonts w:hint="default" w:cs="Times New Roman"/>
          <w:color w:val="auto"/>
          <w:sz w:val="24"/>
          <w:szCs w:val="24"/>
          <w:highlight w:val="none"/>
          <w:lang w:val="en-US" w:eastAsia="zh-CN"/>
        </w:rPr>
        <w:t>（车辆冲洗废水、施工机械冲洗废水）经隔油池+沉淀池</w:t>
      </w:r>
      <w:r>
        <w:rPr>
          <w:rFonts w:hint="default" w:ascii="Times New Roman" w:hAnsi="Times New Roman" w:eastAsia="宋体" w:cs="Times New Roman"/>
          <w:color w:val="auto"/>
          <w:sz w:val="24"/>
          <w:szCs w:val="24"/>
          <w:highlight w:val="none"/>
          <w:lang w:val="en-US" w:eastAsia="zh-CN"/>
        </w:rPr>
        <w:t>处理后，回用</w:t>
      </w:r>
      <w:r>
        <w:rPr>
          <w:rFonts w:hint="default" w:cs="Times New Roman"/>
          <w:color w:val="auto"/>
          <w:sz w:val="24"/>
          <w:szCs w:val="24"/>
          <w:highlight w:val="none"/>
          <w:lang w:val="en-US" w:eastAsia="zh-CN"/>
        </w:rPr>
        <w:t>车辆设备清洗、混凝土养护、洒水</w:t>
      </w:r>
      <w:r>
        <w:rPr>
          <w:rFonts w:hint="default" w:ascii="Times New Roman" w:hAnsi="Times New Roman" w:eastAsia="宋体" w:cs="Times New Roman"/>
          <w:color w:val="auto"/>
          <w:sz w:val="24"/>
          <w:szCs w:val="24"/>
          <w:highlight w:val="none"/>
          <w:lang w:val="en-US" w:eastAsia="zh-CN"/>
        </w:rPr>
        <w:t>降尘用水</w:t>
      </w:r>
      <w:r>
        <w:rPr>
          <w:rFonts w:hint="default" w:cs="Times New Roman"/>
          <w:color w:val="auto"/>
          <w:sz w:val="24"/>
          <w:szCs w:val="24"/>
          <w:highlight w:val="none"/>
          <w:lang w:val="en-US" w:eastAsia="zh-CN"/>
        </w:rPr>
        <w:t>，经自然蒸发损耗不外排，对地表水环境影响很小</w:t>
      </w:r>
      <w:r>
        <w:rPr>
          <w:rFonts w:hint="default" w:ascii="Times New Roman" w:hAnsi="Times New Roman" w:eastAsia="宋体" w:cs="Times New Roman"/>
          <w:color w:val="auto"/>
          <w:sz w:val="24"/>
          <w:szCs w:val="24"/>
          <w:highlight w:val="none"/>
          <w:lang w:val="en-US"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抛石护脚施工会扰动底泥，引起泥沙悬浮，使得施工区域水体中悬浮物增加，根据本报告引用项目所在断面附近的湘江底泥监测结果表明，各监测因子均可达到相应的标准值。本工程抛石护岸、岸坡整治等作业无酸性废水产生，同时水体中pH值正常，悬浮于水体中的重金属形态不会发生新的改变，因此，抛石护岸、岸坡整治除增加作业区下游局部水域水体中悬浮物浓度外，不会造成重金属污染</w:t>
      </w:r>
      <w:r>
        <w:rPr>
          <w:rFonts w:hint="default" w:ascii="Times New Roman" w:hAnsi="Times New Roman" w:eastAsia="宋体" w:cs="Times New Roman"/>
          <w:color w:val="auto"/>
          <w:sz w:val="24"/>
          <w:szCs w:val="24"/>
          <w:highlight w:val="none"/>
          <w:lang w:val="en-US"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（4）固体废物</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为了减少弃土的产生，同时为了保护宝贵的表土资源，对剥离的表土在表土堆放区暂存并做好防护措施，挖方全部用于回填</w:t>
      </w:r>
      <w:r>
        <w:rPr>
          <w:rFonts w:hint="default"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在有效控制水土流失的前提下，对环境影响不大。本项目</w:t>
      </w:r>
      <w:r>
        <w:rPr>
          <w:rFonts w:hint="default" w:cs="Times New Roman"/>
          <w:color w:val="auto"/>
          <w:sz w:val="24"/>
          <w:szCs w:val="24"/>
          <w:highlight w:val="none"/>
          <w:lang w:val="en-US" w:eastAsia="zh-CN"/>
        </w:rPr>
        <w:t>弃渣送至指定地点综合利用，</w:t>
      </w:r>
      <w:r>
        <w:rPr>
          <w:rFonts w:hint="default" w:ascii="Times New Roman" w:hAnsi="Times New Roman" w:eastAsia="宋体" w:cs="Times New Roman"/>
          <w:color w:val="auto"/>
          <w:sz w:val="24"/>
          <w:szCs w:val="24"/>
          <w:highlight w:val="none"/>
          <w:lang w:val="en-US" w:eastAsia="zh-CN"/>
        </w:rPr>
        <w:t>施工过程少量施工人员的生活垃圾收集后交由环卫部门处置</w:t>
      </w:r>
      <w:r>
        <w:rPr>
          <w:rFonts w:hint="default" w:cs="Times New Roman"/>
          <w:color w:val="auto"/>
          <w:sz w:val="24"/>
          <w:szCs w:val="24"/>
          <w:highlight w:val="none"/>
          <w:lang w:val="en-US" w:eastAsia="zh-CN"/>
        </w:rPr>
        <w:t>，不会造成二次污染</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在采取以上措施的情况下，本项目施工期的环境</w:t>
      </w:r>
      <w:r>
        <w:rPr>
          <w:rFonts w:hint="eastAsia" w:cs="Times New Roman"/>
          <w:color w:val="auto"/>
          <w:sz w:val="24"/>
          <w:szCs w:val="24"/>
          <w:highlight w:val="none"/>
          <w:lang w:val="en-US" w:eastAsia="zh-CN"/>
        </w:rPr>
        <w:t>影响</w:t>
      </w:r>
      <w:r>
        <w:rPr>
          <w:rFonts w:hint="default" w:ascii="Times New Roman" w:hAnsi="Times New Roman" w:eastAsia="宋体" w:cs="Times New Roman"/>
          <w:color w:val="auto"/>
          <w:sz w:val="24"/>
          <w:szCs w:val="24"/>
          <w:highlight w:val="none"/>
          <w:lang w:val="en-US" w:eastAsia="zh-CN"/>
        </w:rPr>
        <w:t>在可接受范围内。</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ind w:leftChars="0" w:firstLine="562" w:firstLineChars="200"/>
        <w:textAlignment w:val="auto"/>
        <w:outlineLvl w:val="3"/>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9.1.5.2营运期</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（1）水环境</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本项目运营期的水环境污染物主要来源于游客、管理人员生活污水。运营期本项目湘江东岸区域</w:t>
      </w:r>
      <w:r>
        <w:rPr>
          <w:rFonts w:hint="default" w:ascii="Times New Roman" w:hAnsi="Times New Roman" w:cs="Times New Roman"/>
          <w:color w:val="auto"/>
          <w:sz w:val="24"/>
          <w:szCs w:val="24"/>
          <w:highlight w:val="none"/>
        </w:rPr>
        <w:t>生活污水经</w:t>
      </w:r>
      <w:r>
        <w:rPr>
          <w:rFonts w:hint="default" w:ascii="Times New Roman" w:hAnsi="Times New Roman" w:cs="Times New Roman"/>
          <w:color w:val="auto"/>
          <w:sz w:val="24"/>
          <w:szCs w:val="24"/>
          <w:highlight w:val="none"/>
          <w:lang w:val="en-US" w:eastAsia="zh-CN"/>
        </w:rPr>
        <w:t>隔油池+</w:t>
      </w:r>
      <w:r>
        <w:rPr>
          <w:rFonts w:hint="default" w:ascii="Times New Roman" w:hAnsi="Times New Roman" w:cs="Times New Roman"/>
          <w:color w:val="auto"/>
          <w:sz w:val="24"/>
          <w:szCs w:val="24"/>
          <w:highlight w:val="none"/>
        </w:rPr>
        <w:t>化粪池预处理后达到《污水综合排放标准》（GB8978-1996）表中三级标准后</w:t>
      </w:r>
      <w:r>
        <w:rPr>
          <w:rFonts w:hint="default" w:cs="Times New Roman"/>
          <w:color w:val="auto"/>
          <w:sz w:val="24"/>
          <w:szCs w:val="24"/>
          <w:highlight w:val="none"/>
          <w:lang w:val="en-US" w:eastAsia="zh-CN"/>
        </w:rPr>
        <w:t>排入市政管网</w:t>
      </w:r>
      <w:r>
        <w:rPr>
          <w:rFonts w:hint="default" w:ascii="Times New Roman" w:hAnsi="Times New Roman" w:cs="Times New Roman"/>
          <w:color w:val="auto"/>
          <w:sz w:val="24"/>
          <w:szCs w:val="24"/>
          <w:highlight w:val="none"/>
        </w:rPr>
        <w:t>进入</w:t>
      </w:r>
      <w:r>
        <w:rPr>
          <w:rFonts w:hint="default" w:ascii="Times New Roman" w:hAnsi="Times New Roman" w:cs="Times New Roman"/>
          <w:color w:val="auto"/>
          <w:sz w:val="24"/>
          <w:szCs w:val="24"/>
          <w:highlight w:val="none"/>
          <w:lang w:val="en-US" w:eastAsia="zh-CN"/>
        </w:rPr>
        <w:t>江东</w:t>
      </w:r>
      <w:r>
        <w:rPr>
          <w:rFonts w:hint="default" w:ascii="Times New Roman" w:hAnsi="Times New Roman" w:cs="Times New Roman"/>
          <w:color w:val="auto"/>
          <w:sz w:val="24"/>
          <w:szCs w:val="24"/>
          <w:highlight w:val="none"/>
        </w:rPr>
        <w:t>污水处理厂进行深度处理</w:t>
      </w:r>
      <w:r>
        <w:rPr>
          <w:rFonts w:hint="default" w:cs="Times New Roman"/>
          <w:color w:val="auto"/>
          <w:sz w:val="24"/>
          <w:szCs w:val="24"/>
          <w:highlight w:val="none"/>
          <w:lang w:val="en-US" w:eastAsia="zh-CN"/>
        </w:rPr>
        <w:t>后达标排放至耒水</w:t>
      </w:r>
      <w:r>
        <w:rPr>
          <w:rFonts w:hint="default" w:ascii="Times New Roman" w:hAnsi="Times New Roman" w:cs="Times New Roman"/>
          <w:color w:val="auto"/>
          <w:sz w:val="24"/>
          <w:szCs w:val="24"/>
          <w:highlight w:val="none"/>
        </w:rPr>
        <w:t>。东洲岛上生活污水依托东洲岛现有已建污水处理设施（地下式污水处理站+无动力地埋分散式厌氧净化处理系统）处理后达到《污水综合排放标准》（GB8978-1996）一级标准要求，回用于岛上绿化不外排</w:t>
      </w: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对地表水环境影响很小</w:t>
      </w:r>
      <w:r>
        <w:rPr>
          <w:rFonts w:hint="default" w:ascii="Times New Roman" w:hAnsi="Times New Roman" w:eastAsia="宋体" w:cs="Times New Roman"/>
          <w:color w:val="auto"/>
          <w:sz w:val="24"/>
          <w:szCs w:val="24"/>
          <w:highlight w:val="none"/>
          <w:lang w:val="en-US" w:eastAsia="zh-CN"/>
        </w:rPr>
        <w:t>。</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非正常情况下主要是废水的渗漏对地下水水质的影响，根据现场调查，现有已建污水处理设施已采用防渗处理，可有效防止废水渗漏污染地下水，且本项目污水水质简单，主要是COD、BOD5、SS、氨氮、动植物油等，在落实上述措施后，可管控对地下水的污染风险，对地下水环境的影响可以接受。</w:t>
      </w:r>
    </w:p>
    <w:p>
      <w:pPr>
        <w:keepNext/>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）环境空气</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项目运营期废气主要为汽车尾气，随着我国执行机动车排放标准的不断提高，汽车尾气的排放量将会不断降低，运营期汽车</w:t>
      </w:r>
      <w:r>
        <w:rPr>
          <w:rFonts w:hint="eastAsia" w:cs="Times New Roman"/>
          <w:color w:val="auto"/>
          <w:sz w:val="24"/>
          <w:szCs w:val="24"/>
          <w:highlight w:val="none"/>
          <w:lang w:val="en-US" w:eastAsia="zh-CN"/>
        </w:rPr>
        <w:t>尾气</w:t>
      </w:r>
      <w:r>
        <w:rPr>
          <w:rFonts w:hint="default" w:cs="Times New Roman"/>
          <w:color w:val="auto"/>
          <w:sz w:val="24"/>
          <w:szCs w:val="24"/>
          <w:highlight w:val="none"/>
          <w:lang w:val="en-US" w:eastAsia="zh-CN"/>
        </w:rPr>
        <w:t>排放的污染物基本不会对沿线环境空气产生较明显的影响。</w:t>
      </w:r>
    </w:p>
    <w:p>
      <w:pPr>
        <w:keepNext w:val="0"/>
        <w:keepLines w:val="0"/>
        <w:pageBreakBefore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（3）声环境</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该项目运营期对环境的影响主要源于交通噪声、停车场及配套设施运行噪声和游客喧嚣等噪声。交通噪声经过加强管理，禁止车辆鸣笛，控制行驶车速，保证绿化等措施后，不会对居民生活产生影响。游客娱乐活动噪声</w:t>
      </w:r>
      <w:r>
        <w:rPr>
          <w:rFonts w:hint="default" w:cs="Times New Roman"/>
          <w:color w:val="auto"/>
          <w:sz w:val="24"/>
          <w:szCs w:val="24"/>
          <w:highlight w:val="none"/>
          <w:lang w:val="en-US" w:eastAsia="zh-CN"/>
        </w:rPr>
        <w:t>经</w:t>
      </w:r>
      <w:r>
        <w:rPr>
          <w:rFonts w:hint="default" w:ascii="Times New Roman" w:hAnsi="Times New Roman" w:eastAsia="宋体" w:cs="Times New Roman"/>
          <w:color w:val="auto"/>
          <w:sz w:val="24"/>
          <w:szCs w:val="24"/>
          <w:highlight w:val="none"/>
          <w:lang w:val="en-US" w:eastAsia="zh-CN"/>
        </w:rPr>
        <w:t>文明引导，加强管理等措施有效降低噪声对项目区域环境的影响，营运期噪声对外界声环境的影响很小。</w:t>
      </w:r>
    </w:p>
    <w:p>
      <w:pPr>
        <w:keepNext w:val="0"/>
        <w:keepLines w:val="0"/>
        <w:pageBreakBefore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（4）固体废物</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本项目产生的固体废弃物主要为游客及工作人员产生的生活垃圾，能回收利用的收集后交废旧物品回收站处理。不能利用的其他垃圾集中汇集到垃圾站后由相关环卫部门定期清运，营运期</w:t>
      </w:r>
      <w:r>
        <w:rPr>
          <w:rFonts w:hint="default" w:cs="Times New Roman"/>
          <w:color w:val="auto"/>
          <w:sz w:val="24"/>
          <w:szCs w:val="24"/>
          <w:highlight w:val="none"/>
          <w:lang w:val="en-US" w:eastAsia="zh-CN"/>
        </w:rPr>
        <w:t>固废</w:t>
      </w:r>
      <w:r>
        <w:rPr>
          <w:rFonts w:hint="default" w:ascii="Times New Roman" w:hAnsi="Times New Roman" w:eastAsia="宋体" w:cs="Times New Roman"/>
          <w:color w:val="auto"/>
          <w:sz w:val="24"/>
          <w:szCs w:val="24"/>
          <w:highlight w:val="none"/>
          <w:lang w:val="en-US" w:eastAsia="zh-CN"/>
        </w:rPr>
        <w:t>对外环境的影响很小。</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9.1.6生态影响评价结论</w:t>
      </w:r>
    </w:p>
    <w:p>
      <w:pPr>
        <w:spacing w:line="360" w:lineRule="auto"/>
        <w:ind w:firstLine="482" w:firstLineChars="200"/>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（1）对陆生生物的影响</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本工程</w:t>
      </w:r>
      <w:r>
        <w:rPr>
          <w:rFonts w:hint="default" w:ascii="Times New Roman" w:hAnsi="Times New Roman" w:cs="Times New Roman"/>
          <w:color w:val="auto"/>
          <w:sz w:val="24"/>
          <w:szCs w:val="24"/>
          <w:highlight w:val="none"/>
          <w:lang w:val="en-US" w:eastAsia="zh-CN"/>
        </w:rPr>
        <w:t>实施</w:t>
      </w:r>
      <w:r>
        <w:rPr>
          <w:rFonts w:hint="default" w:ascii="Times New Roman" w:hAnsi="Times New Roman" w:cs="Times New Roman"/>
          <w:color w:val="auto"/>
          <w:sz w:val="24"/>
          <w:szCs w:val="24"/>
          <w:highlight w:val="none"/>
        </w:rPr>
        <w:t>带来的主要不利影响为施工期工程区的地表植被将会暂时遭到破坏，引起水土流失；施工期废气、废水、废渣以及噪声的排放对周围环境、景观产生的不利影响</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运行期间灯光、游客活动对区域野生动植物的干扰等。施工期的影响</w:t>
      </w:r>
      <w:r>
        <w:rPr>
          <w:rFonts w:hint="default" w:ascii="Times New Roman" w:hAnsi="Times New Roman" w:cs="Times New Roman"/>
          <w:color w:val="auto"/>
          <w:sz w:val="24"/>
          <w:szCs w:val="24"/>
          <w:highlight w:val="none"/>
        </w:rPr>
        <w:t>是局部和暂时的，采取措施后可以避免减缓。</w:t>
      </w:r>
      <w:r>
        <w:rPr>
          <w:rFonts w:hint="default" w:ascii="Times New Roman" w:hAnsi="Times New Roman" w:cs="Times New Roman"/>
          <w:color w:val="auto"/>
          <w:sz w:val="24"/>
          <w:szCs w:val="24"/>
          <w:highlight w:val="none"/>
          <w:lang w:val="en-US" w:eastAsia="zh-CN"/>
        </w:rPr>
        <w:t>项目区域为市区，区域自然植被和野生动植物种类数量均较少，且大部分为城市物种，运行期间</w:t>
      </w:r>
      <w:r>
        <w:rPr>
          <w:rFonts w:hint="default" w:ascii="Times New Roman" w:hAnsi="Times New Roman" w:cs="Times New Roman"/>
          <w:color w:val="auto"/>
          <w:sz w:val="24"/>
          <w:szCs w:val="24"/>
          <w:highlight w:val="none"/>
        </w:rPr>
        <w:t>不会影响区域生态系统的完整性，</w:t>
      </w:r>
      <w:r>
        <w:rPr>
          <w:rFonts w:hint="default" w:ascii="Times New Roman" w:hAnsi="Times New Roman" w:cs="Times New Roman"/>
          <w:color w:val="auto"/>
          <w:sz w:val="24"/>
          <w:szCs w:val="24"/>
          <w:highlight w:val="none"/>
          <w:lang w:val="en-US" w:eastAsia="zh-CN"/>
        </w:rPr>
        <w:t>对陆生生态的影响小。</w:t>
      </w:r>
    </w:p>
    <w:p>
      <w:pPr>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对水生生物的影响</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工程施工期产生噪声和悬浮物等，会造成局部水体透明度和溶氧下降，浮游生物生长受到抑制，驱离鱼类迁移到其他水域，可能对鱼类生境都造成一定影响。但由于工程量小、工期短，且施工区域占用</w:t>
      </w:r>
      <w:r>
        <w:rPr>
          <w:rFonts w:hint="default" w:ascii="Times New Roman" w:hAnsi="Times New Roman" w:cs="Times New Roman"/>
          <w:color w:val="auto"/>
          <w:sz w:val="24"/>
          <w:szCs w:val="24"/>
          <w:highlight w:val="none"/>
          <w:lang w:val="en-US" w:eastAsia="zh-CN"/>
        </w:rPr>
        <w:t>湘江水体</w:t>
      </w:r>
      <w:r>
        <w:rPr>
          <w:rFonts w:hint="default" w:ascii="Times New Roman" w:hAnsi="Times New Roman" w:cs="Times New Roman"/>
          <w:color w:val="auto"/>
          <w:sz w:val="24"/>
          <w:szCs w:val="24"/>
          <w:highlight w:val="none"/>
        </w:rPr>
        <w:t>面积较小，因此噪声和悬浮物影响的范围有限，施工期对</w:t>
      </w:r>
      <w:r>
        <w:rPr>
          <w:rFonts w:hint="default" w:ascii="Times New Roman" w:hAnsi="Times New Roman" w:cs="Times New Roman"/>
          <w:color w:val="auto"/>
          <w:sz w:val="24"/>
          <w:szCs w:val="24"/>
          <w:highlight w:val="none"/>
          <w:lang w:val="en-US" w:eastAsia="zh-CN"/>
        </w:rPr>
        <w:t>评价水体内</w:t>
      </w:r>
      <w:r>
        <w:rPr>
          <w:rFonts w:hint="default" w:ascii="Times New Roman" w:hAnsi="Times New Roman" w:cs="Times New Roman"/>
          <w:color w:val="auto"/>
          <w:sz w:val="24"/>
          <w:szCs w:val="24"/>
          <w:highlight w:val="none"/>
        </w:rPr>
        <w:t>的水生生物影响可控</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灯光</w:t>
      </w:r>
      <w:r>
        <w:rPr>
          <w:rFonts w:hint="default" w:ascii="Times New Roman" w:hAnsi="Times New Roman" w:cs="Times New Roman"/>
          <w:color w:val="auto"/>
          <w:sz w:val="24"/>
          <w:szCs w:val="24"/>
          <w:highlight w:val="none"/>
        </w:rPr>
        <w:t>运行及人为噪音会影响附近鱼类的正常摄食和繁殖等，运行期间路面径流携带污染物进入</w:t>
      </w:r>
      <w:r>
        <w:rPr>
          <w:rFonts w:hint="default" w:ascii="Times New Roman" w:hAnsi="Times New Roman" w:cs="Times New Roman"/>
          <w:color w:val="auto"/>
          <w:sz w:val="24"/>
          <w:szCs w:val="24"/>
          <w:highlight w:val="none"/>
          <w:lang w:val="en-US" w:eastAsia="zh-CN"/>
        </w:rPr>
        <w:t>湘江</w:t>
      </w:r>
      <w:r>
        <w:rPr>
          <w:rFonts w:hint="default" w:ascii="Times New Roman" w:hAnsi="Times New Roman" w:cs="Times New Roman"/>
          <w:color w:val="auto"/>
          <w:sz w:val="24"/>
          <w:szCs w:val="24"/>
          <w:highlight w:val="none"/>
        </w:rPr>
        <w:t>水体，也会对水生生物产生一定影响，但在采取一系列环保措施后。运行期噪声和污水对鱼类产卵场、索饵场、洄游通道的影响可控。</w:t>
      </w:r>
    </w:p>
    <w:p>
      <w:pPr>
        <w:spacing w:line="360" w:lineRule="auto"/>
        <w:ind w:firstLine="482" w:firstLineChars="200"/>
        <w:rPr>
          <w:rFonts w:hint="default" w:cs="Times New Roman"/>
          <w:b/>
          <w:bCs/>
          <w:color w:val="auto"/>
          <w:sz w:val="24"/>
          <w:szCs w:val="24"/>
          <w:highlight w:val="none"/>
          <w:lang w:val="en-US" w:eastAsia="zh-CN"/>
        </w:rPr>
      </w:pPr>
      <w:bookmarkStart w:id="270" w:name="_Toc130573077"/>
      <w:bookmarkStart w:id="271" w:name="_Toc147738265"/>
      <w:bookmarkStart w:id="272" w:name="_Toc14450"/>
      <w:r>
        <w:rPr>
          <w:rFonts w:hint="default" w:cs="Times New Roman"/>
          <w:b/>
          <w:bCs/>
          <w:color w:val="auto"/>
          <w:sz w:val="24"/>
          <w:szCs w:val="24"/>
          <w:highlight w:val="none"/>
          <w:lang w:val="en-US" w:eastAsia="zh-CN"/>
        </w:rPr>
        <w:t>（3）生态保护</w:t>
      </w:r>
      <w:bookmarkEnd w:id="270"/>
      <w:bookmarkEnd w:id="271"/>
      <w:r>
        <w:rPr>
          <w:rFonts w:hint="default" w:cs="Times New Roman"/>
          <w:b/>
          <w:bCs/>
          <w:color w:val="auto"/>
          <w:sz w:val="24"/>
          <w:szCs w:val="24"/>
          <w:highlight w:val="none"/>
          <w:lang w:val="en-US" w:eastAsia="zh-CN"/>
        </w:rPr>
        <w:t>措施及结论</w:t>
      </w:r>
      <w:bookmarkEnd w:id="272"/>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体来说，本评价工作在工程分析和生态现状调查的基础上，识别、预测和评价了建设项目在施工期、运行期等不同阶段的生态影响，提出了避让、减缓、恢复补偿、管理、监测等一系列有针对性的保护措施，切实落实保护措施的基础上，</w:t>
      </w:r>
      <w:r>
        <w:rPr>
          <w:rFonts w:hint="default" w:ascii="Times New Roman" w:hAnsi="Times New Roman"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rPr>
        <w:t>的建设和运行对生态环境的影响在可接受范围之内，项目的建设是可行。</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9.1.7环境风险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本项目</w:t>
      </w:r>
      <w:r>
        <w:rPr>
          <w:rFonts w:hint="default" w:ascii="Times New Roman" w:hAnsi="Times New Roman" w:eastAsia="宋体" w:cs="Times New Roman"/>
          <w:color w:val="auto"/>
          <w:sz w:val="24"/>
          <w:highlight w:val="none"/>
          <w:u w:val="none"/>
          <w:lang w:val="en-US" w:eastAsia="zh-CN"/>
        </w:rPr>
        <w:t>抛石护岸</w:t>
      </w:r>
      <w:r>
        <w:rPr>
          <w:rFonts w:hint="default" w:cs="Times New Roman"/>
          <w:color w:val="auto"/>
          <w:sz w:val="24"/>
          <w:szCs w:val="24"/>
          <w:highlight w:val="none"/>
          <w:lang w:val="en-US" w:eastAsia="zh-CN"/>
        </w:rPr>
        <w:t>工程项目本身不涉及有毒有害物质和易燃易爆危险物质生产、使用和储存，也不涉及管线输运，但项目施工过程中一旦出现施工船舶搁浅等造成燃油舱燃油泄漏或液挖掘机油箱破损泄漏，将对水环境造成污染。本项目在严格实施各项规章制度，在确保环境风险防范措施落实的基础上，其潜在的环境风险事故是可控的。</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9.1.8公众参与结论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建设单位编制了公众参与说明，环境影响评价期间，建设单位按照《环境影响评价公众参与办法》</w:t>
      </w:r>
      <w:r>
        <w:rPr>
          <w:rFonts w:hint="default"/>
          <w:color w:val="auto"/>
          <w:sz w:val="24"/>
          <w:highlight w:val="none"/>
          <w:u w:val="none"/>
          <w:lang w:val="en-US" w:eastAsia="zh-CN"/>
        </w:rPr>
        <w:t>（</w:t>
      </w:r>
      <w:r>
        <w:rPr>
          <w:rFonts w:hint="default" w:eastAsia="宋体"/>
          <w:color w:val="auto"/>
          <w:sz w:val="24"/>
          <w:highlight w:val="none"/>
          <w:u w:val="none"/>
          <w:lang w:val="en-US" w:eastAsia="zh-CN"/>
        </w:rPr>
        <w:t>生态环境部令第4号</w:t>
      </w:r>
      <w:r>
        <w:rPr>
          <w:rFonts w:hint="default"/>
          <w:color w:val="auto"/>
          <w:sz w:val="24"/>
          <w:highlight w:val="none"/>
          <w:u w:val="none"/>
          <w:lang w:val="en-US" w:eastAsia="zh-CN"/>
        </w:rPr>
        <w:t>）</w:t>
      </w:r>
      <w:r>
        <w:rPr>
          <w:rFonts w:hint="default" w:eastAsia="宋体"/>
          <w:color w:val="auto"/>
          <w:sz w:val="24"/>
          <w:highlight w:val="none"/>
          <w:u w:val="none"/>
          <w:lang w:val="en-US" w:eastAsia="zh-CN"/>
        </w:rPr>
        <w:t>和关于发布《环境影响评价公众参与办法》配套文件的公告</w:t>
      </w:r>
      <w:r>
        <w:rPr>
          <w:rFonts w:hint="default"/>
          <w:color w:val="auto"/>
          <w:sz w:val="24"/>
          <w:highlight w:val="none"/>
          <w:u w:val="none"/>
          <w:lang w:val="en-US" w:eastAsia="zh-CN"/>
        </w:rPr>
        <w:t>（</w:t>
      </w:r>
      <w:r>
        <w:rPr>
          <w:rFonts w:hint="default" w:eastAsia="宋体"/>
          <w:color w:val="auto"/>
          <w:sz w:val="24"/>
          <w:highlight w:val="none"/>
          <w:u w:val="none"/>
          <w:lang w:val="en-US" w:eastAsia="zh-CN"/>
        </w:rPr>
        <w:t>公告2018年第48号</w:t>
      </w:r>
      <w:r>
        <w:rPr>
          <w:rFonts w:hint="default"/>
          <w:color w:val="auto"/>
          <w:sz w:val="24"/>
          <w:highlight w:val="none"/>
          <w:u w:val="none"/>
          <w:lang w:val="en-US" w:eastAsia="zh-CN"/>
        </w:rPr>
        <w:t>）</w:t>
      </w:r>
      <w:r>
        <w:rPr>
          <w:rFonts w:hint="default" w:eastAsia="宋体"/>
          <w:color w:val="auto"/>
          <w:sz w:val="24"/>
          <w:highlight w:val="none"/>
          <w:u w:val="none"/>
          <w:lang w:val="en-US" w:eastAsia="zh-CN"/>
        </w:rPr>
        <w:t>等相关规定进行了公众参与，2023年12月28日在全国建设项目环境信息公示平台网站上进行了首次环境影响评价公示，于 2024年2月2日将征求意见稿公开内容公开，在全国建设项目环境信息公示平台网站上进行了网络公示，第二次公示期间在《潇湘晨报》进行了两次报纸公示。公示期间均未收到周围公众意见表相关公众关于本项目建设的反对意见。</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9.1.9环境制约因素及解决办法</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firstLine="480" w:firstLineChars="200"/>
        <w:textAlignment w:val="auto"/>
        <w:outlineLvl w:val="9"/>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本工程涉及湘江衡阳段四大家鱼国家级水产种质资源保护区核心区，沿河道长度约650m，</w:t>
      </w:r>
      <w:r>
        <w:rPr>
          <w:rFonts w:hint="eastAsia" w:ascii="Times New Roman" w:hAnsi="Times New Roman" w:cs="Times New Roman"/>
          <w:color w:val="auto"/>
          <w:sz w:val="24"/>
          <w:highlight w:val="none"/>
          <w:u w:val="none"/>
          <w:lang w:val="en-US" w:eastAsia="zh-CN"/>
        </w:rPr>
        <w:t>工程量很小，</w:t>
      </w:r>
      <w:r>
        <w:rPr>
          <w:rFonts w:hint="default" w:ascii="Times New Roman" w:hAnsi="Times New Roman" w:eastAsia="宋体" w:cs="Times New Roman"/>
          <w:color w:val="auto"/>
          <w:sz w:val="24"/>
          <w:highlight w:val="none"/>
          <w:u w:val="none"/>
          <w:lang w:val="en-US" w:eastAsia="zh-CN"/>
        </w:rPr>
        <w:t>本工程评价区附近分布有东洲、白渔潭产粘沉性卵鱼类产卵场、索饵场及越冬场，项目建设将对保护区水生态产生一定影响。本项目风光带整治工程涉及饮用水水源二级保护区陆域及水域，项目建设将对饮用水水源保护区水质产生一定影响。</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firstLine="480" w:firstLineChars="200"/>
        <w:textAlignment w:val="auto"/>
        <w:outlineLvl w:val="9"/>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解决办法：</w:t>
      </w:r>
      <w:r>
        <w:rPr>
          <w:rFonts w:hint="eastAsia" w:ascii="Times New Roman" w:hAnsi="Times New Roman" w:cs="Times New Roman"/>
          <w:color w:val="auto"/>
          <w:sz w:val="24"/>
          <w:highlight w:val="none"/>
          <w:u w:val="none"/>
          <w:lang w:val="en-US" w:eastAsia="zh-CN"/>
        </w:rPr>
        <w:t>合理安排施工期和</w:t>
      </w:r>
      <w:r>
        <w:rPr>
          <w:rFonts w:hint="default" w:ascii="Times New Roman" w:hAnsi="Times New Roman" w:eastAsia="宋体" w:cs="Times New Roman"/>
          <w:color w:val="auto"/>
          <w:sz w:val="24"/>
          <w:highlight w:val="none"/>
          <w:u w:val="none"/>
          <w:lang w:val="en-US" w:eastAsia="zh-CN"/>
        </w:rPr>
        <w:t>优化</w:t>
      </w:r>
      <w:r>
        <w:rPr>
          <w:rFonts w:hint="eastAsia" w:ascii="Times New Roman" w:hAnsi="Times New Roman" w:cs="Times New Roman"/>
          <w:color w:val="auto"/>
          <w:sz w:val="24"/>
          <w:highlight w:val="none"/>
          <w:u w:val="none"/>
          <w:lang w:val="en-US" w:eastAsia="zh-CN"/>
        </w:rPr>
        <w:t>施工</w:t>
      </w:r>
      <w:r>
        <w:rPr>
          <w:rFonts w:hint="default" w:ascii="Times New Roman" w:hAnsi="Times New Roman" w:eastAsia="宋体" w:cs="Times New Roman"/>
          <w:color w:val="auto"/>
          <w:sz w:val="24"/>
          <w:highlight w:val="none"/>
          <w:u w:val="none"/>
          <w:lang w:val="en-US" w:eastAsia="zh-CN"/>
        </w:rPr>
        <w:t>方案，</w:t>
      </w:r>
      <w:r>
        <w:rPr>
          <w:rFonts w:hint="eastAsia" w:ascii="Times New Roman" w:hAnsi="Times New Roman" w:cs="Times New Roman"/>
          <w:color w:val="auto"/>
          <w:sz w:val="24"/>
          <w:highlight w:val="none"/>
          <w:u w:val="none"/>
          <w:lang w:val="en-US" w:eastAsia="zh-CN"/>
        </w:rPr>
        <w:t>施工期主要安排在枯水期，以减少水体扰动，尽量避开产粘沉卵鱼类的主要繁殖时间4~7月；</w:t>
      </w:r>
      <w:r>
        <w:rPr>
          <w:rFonts w:hint="default" w:ascii="Times New Roman" w:hAnsi="Times New Roman" w:eastAsia="宋体" w:cs="Times New Roman"/>
          <w:color w:val="auto"/>
          <w:sz w:val="24"/>
          <w:highlight w:val="none"/>
          <w:u w:val="none"/>
          <w:lang w:val="en-US" w:eastAsia="zh-CN"/>
        </w:rPr>
        <w:t>在满足施工要求的情况下尽量减少施工作业面积；施工产生的弃渣禁止向河中倾倒；保护区内不得设置排污口等。</w:t>
      </w:r>
    </w:p>
    <w:p>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firstLine="281" w:firstLineChars="100"/>
        <w:textAlignment w:val="auto"/>
        <w:outlineLvl w:val="2"/>
        <w:rPr>
          <w:rFonts w:hint="default" w:cs="Times New Roman"/>
          <w:b/>
          <w:bCs/>
          <w:color w:val="auto"/>
          <w:kern w:val="0"/>
          <w:sz w:val="28"/>
          <w:szCs w:val="28"/>
          <w:highlight w:val="none"/>
          <w:lang w:val="en-US" w:eastAsia="zh-CN"/>
        </w:rPr>
      </w:pPr>
      <w:r>
        <w:rPr>
          <w:rFonts w:hint="default" w:cs="Times New Roman"/>
          <w:b/>
          <w:bCs/>
          <w:color w:val="auto"/>
          <w:kern w:val="0"/>
          <w:sz w:val="28"/>
          <w:szCs w:val="28"/>
          <w:highlight w:val="none"/>
          <w:lang w:val="en-US" w:eastAsia="zh-CN"/>
        </w:rPr>
        <w:t>9.1.10总结论</w:t>
      </w:r>
    </w:p>
    <w:p>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本项目建设符合国家产业政策的相关要求，符合区域</w:t>
      </w:r>
      <w:r>
        <w:rPr>
          <w:rFonts w:hint="eastAsia"/>
          <w:color w:val="auto"/>
          <w:sz w:val="24"/>
          <w:highlight w:val="none"/>
          <w:u w:val="none"/>
          <w:lang w:val="en-US" w:eastAsia="zh-CN"/>
        </w:rPr>
        <w:t>“</w:t>
      </w:r>
      <w:r>
        <w:rPr>
          <w:rFonts w:hint="default" w:eastAsia="宋体"/>
          <w:color w:val="auto"/>
          <w:sz w:val="24"/>
          <w:highlight w:val="none"/>
          <w:u w:val="none"/>
          <w:lang w:val="en-US" w:eastAsia="zh-CN"/>
        </w:rPr>
        <w:t>三线一单</w:t>
      </w:r>
      <w:r>
        <w:rPr>
          <w:rFonts w:hint="eastAsia"/>
          <w:color w:val="auto"/>
          <w:sz w:val="24"/>
          <w:highlight w:val="none"/>
          <w:u w:val="none"/>
          <w:lang w:val="en-US" w:eastAsia="zh-CN"/>
        </w:rPr>
        <w:t>”</w:t>
      </w:r>
      <w:r>
        <w:rPr>
          <w:rFonts w:hint="default" w:eastAsia="宋体"/>
          <w:color w:val="auto"/>
          <w:sz w:val="24"/>
          <w:highlight w:val="none"/>
          <w:u w:val="none"/>
          <w:lang w:val="en-US" w:eastAsia="zh-CN"/>
        </w:rPr>
        <w:t>环境管控要求</w:t>
      </w:r>
      <w:r>
        <w:rPr>
          <w:rFonts w:hint="default"/>
          <w:color w:val="auto"/>
          <w:sz w:val="24"/>
          <w:highlight w:val="none"/>
          <w:u w:val="none"/>
          <w:lang w:val="en-US" w:eastAsia="zh-CN"/>
        </w:rPr>
        <w:t>项目建成后可改善河岸环境现状，</w:t>
      </w:r>
      <w:r>
        <w:rPr>
          <w:rFonts w:hint="default" w:eastAsia="宋体"/>
          <w:color w:val="auto"/>
          <w:sz w:val="24"/>
          <w:highlight w:val="none"/>
          <w:u w:val="none"/>
          <w:lang w:val="en-US" w:eastAsia="zh-CN"/>
        </w:rPr>
        <w:t>带动沿线土地的增值和商业的发展。</w:t>
      </w:r>
      <w:r>
        <w:rPr>
          <w:rFonts w:hint="default"/>
          <w:color w:val="auto"/>
          <w:sz w:val="24"/>
          <w:highlight w:val="none"/>
          <w:u w:val="none"/>
          <w:lang w:val="en-US" w:eastAsia="zh-CN"/>
        </w:rPr>
        <w:t>本工程占地、人为扰动对</w:t>
      </w:r>
      <w:r>
        <w:rPr>
          <w:rFonts w:hint="default" w:ascii="Times New Roman" w:hAnsi="Times New Roman" w:eastAsia="宋体" w:cs="Times New Roman"/>
          <w:color w:val="auto"/>
          <w:sz w:val="24"/>
          <w:highlight w:val="none"/>
          <w:u w:val="none"/>
          <w:lang w:val="en-US" w:eastAsia="zh-CN"/>
        </w:rPr>
        <w:t>衡阳段四大家鱼国家级水产种质资源保护区、湘江饮用水水源保护区、区域生态环境、自然环境造成一定的不利影响，同时还存在一定的环境风险，但在采取相应的环境影响减缓措施和风险防范措施的前提下，其环境影响和环境风险处于可接受的范围内。在落实本环评提出的各项污染防治措施和生态保护措施的前提下，从环保的角度分析，本工程建设可行。</w:t>
      </w:r>
    </w:p>
    <w:p>
      <w:pPr>
        <w:keepNext/>
        <w:keepLines w:val="0"/>
        <w:pageBreakBefore w:val="0"/>
        <w:widowControl w:val="0"/>
        <w:numPr>
          <w:ilvl w:val="1"/>
          <w:numId w:val="5"/>
        </w:numPr>
        <w:kinsoku/>
        <w:wordWrap/>
        <w:overflowPunct/>
        <w:topLinePunct w:val="0"/>
        <w:bidi w:val="0"/>
        <w:snapToGrid w:val="0"/>
        <w:spacing w:before="120" w:beforeLines="50" w:after="120" w:afterLines="50" w:line="360" w:lineRule="auto"/>
        <w:outlineLvl w:val="1"/>
        <w:rPr>
          <w:rFonts w:cs="Times New Roman"/>
          <w:b/>
          <w:bCs/>
          <w:color w:val="auto"/>
          <w:kern w:val="0"/>
          <w:sz w:val="30"/>
          <w:szCs w:val="30"/>
          <w:highlight w:val="none"/>
        </w:rPr>
      </w:pPr>
      <w:bookmarkStart w:id="273" w:name="_Toc15972"/>
      <w:bookmarkStart w:id="274" w:name="_Toc22354"/>
      <w:r>
        <w:rPr>
          <w:rFonts w:hint="default" w:cs="Times New Roman"/>
          <w:b/>
          <w:bCs/>
          <w:color w:val="auto"/>
          <w:kern w:val="0"/>
          <w:sz w:val="30"/>
          <w:szCs w:val="30"/>
          <w:highlight w:val="none"/>
          <w:lang w:val="en-US" w:eastAsia="zh-CN"/>
        </w:rPr>
        <w:t>建议</w:t>
      </w:r>
      <w:bookmarkEnd w:id="273"/>
      <w:bookmarkEnd w:id="274"/>
    </w:p>
    <w:p>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cs="Times New Roman"/>
          <w:color w:val="auto"/>
          <w:sz w:val="24"/>
          <w:highlight w:val="none"/>
          <w:u w:val="none"/>
          <w:lang w:val="en-US" w:eastAsia="zh-CN"/>
        </w:rPr>
        <w:t>（1）</w:t>
      </w:r>
      <w:r>
        <w:rPr>
          <w:rFonts w:hint="default" w:ascii="Times New Roman" w:hAnsi="Times New Roman" w:eastAsia="宋体" w:cs="Times New Roman"/>
          <w:color w:val="auto"/>
          <w:sz w:val="24"/>
          <w:highlight w:val="none"/>
          <w:u w:val="none"/>
          <w:lang w:val="en-US" w:eastAsia="zh-CN"/>
        </w:rPr>
        <w:t>加强宣传教育，增强施工人员的环保意识。</w:t>
      </w:r>
    </w:p>
    <w:p>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cs="Times New Roman"/>
          <w:color w:val="auto"/>
          <w:sz w:val="24"/>
          <w:highlight w:val="none"/>
          <w:u w:val="none"/>
          <w:lang w:val="en-US" w:eastAsia="zh-CN"/>
        </w:rPr>
        <w:t>（2）</w:t>
      </w:r>
      <w:r>
        <w:rPr>
          <w:rFonts w:hint="default" w:ascii="Times New Roman" w:hAnsi="Times New Roman" w:eastAsia="宋体" w:cs="Times New Roman"/>
          <w:color w:val="auto"/>
          <w:sz w:val="24"/>
          <w:highlight w:val="none"/>
          <w:u w:val="none"/>
          <w:lang w:val="en-US" w:eastAsia="zh-CN"/>
        </w:rPr>
        <w:t>合理安排施工作业时间。工程施工避让鱼类繁殖期和洄游期。</w:t>
      </w:r>
    </w:p>
    <w:p>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3）建议工程监理单位和环境监理单位在施工过程中，切实监督针对衡阳段四大家鱼国家级水产种质资源保护区的保护措施</w:t>
      </w:r>
      <w:r>
        <w:rPr>
          <w:rFonts w:hint="eastAsia" w:cs="Times New Roman"/>
          <w:color w:val="auto"/>
          <w:sz w:val="24"/>
          <w:highlight w:val="none"/>
          <w:u w:val="none"/>
          <w:lang w:val="en-US" w:eastAsia="zh-CN"/>
        </w:rPr>
        <w:t>是否</w:t>
      </w:r>
      <w:r>
        <w:rPr>
          <w:rFonts w:hint="default" w:ascii="Times New Roman" w:hAnsi="Times New Roman" w:eastAsia="宋体" w:cs="Times New Roman"/>
          <w:color w:val="auto"/>
          <w:sz w:val="24"/>
          <w:highlight w:val="none"/>
          <w:u w:val="none"/>
          <w:lang w:val="en-US" w:eastAsia="zh-CN"/>
        </w:rPr>
        <w:t>落实到位。</w:t>
      </w:r>
    </w:p>
    <w:p>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cs="Times New Roman"/>
          <w:color w:val="auto"/>
          <w:sz w:val="24"/>
          <w:highlight w:val="none"/>
          <w:u w:val="none"/>
          <w:lang w:val="en-US" w:eastAsia="zh-CN"/>
        </w:rPr>
        <w:t>（4）</w:t>
      </w:r>
      <w:r>
        <w:rPr>
          <w:rFonts w:hint="default" w:ascii="Times New Roman" w:hAnsi="Times New Roman" w:eastAsia="宋体" w:cs="Times New Roman"/>
          <w:color w:val="auto"/>
          <w:sz w:val="24"/>
          <w:highlight w:val="none"/>
          <w:u w:val="none"/>
          <w:lang w:val="en-US" w:eastAsia="zh-CN"/>
        </w:rPr>
        <w:t>施工结束后，做好生态恢复工作。</w:t>
      </w:r>
    </w:p>
    <w:p>
      <w:pPr>
        <w:snapToGrid w:val="0"/>
        <w:spacing w:line="360" w:lineRule="auto"/>
        <w:ind w:firstLine="480" w:firstLineChars="200"/>
        <w:rPr>
          <w:color w:val="auto"/>
        </w:rPr>
      </w:pPr>
      <w:r>
        <w:rPr>
          <w:rFonts w:hint="default" w:cs="Times New Roman"/>
          <w:color w:val="auto"/>
          <w:sz w:val="24"/>
          <w:highlight w:val="none"/>
          <w:u w:val="none"/>
          <w:lang w:val="en-US" w:eastAsia="zh-CN"/>
        </w:rPr>
        <w:t>（5）</w:t>
      </w:r>
      <w:r>
        <w:rPr>
          <w:rFonts w:hint="default" w:ascii="Times New Roman" w:hAnsi="Times New Roman" w:eastAsia="宋体" w:cs="Times New Roman"/>
          <w:color w:val="auto"/>
          <w:sz w:val="24"/>
          <w:highlight w:val="none"/>
          <w:u w:val="none"/>
          <w:lang w:val="en-US" w:eastAsia="zh-CN"/>
        </w:rPr>
        <w:t>本项目在建设的同时保护生态环境和水环境十分必要。应以预防为主为指导方针，在主体工程规划设计中，充分考虑工程建设对自然环境的影响和破坏，工程施工建设过程严格贯彻</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三同时</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原则，确保环境保护投资的到位与投入。</w:t>
      </w:r>
    </w:p>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Arial Unicode MS">
    <w:panose1 w:val="020B0604020202020204"/>
    <w:charset w:val="86"/>
    <w:family w:val="swiss"/>
    <w:pitch w:val="default"/>
    <w:sig w:usb0="FFFFFFFF" w:usb1="E9FFFFFF" w:usb2="0000003F" w:usb3="00000000" w:csb0="603F01FF" w:csb1="FFFF0000"/>
  </w:font>
  <w:font w:name="Calibri Light">
    <w:panose1 w:val="020F0302020204030204"/>
    <w:charset w:val="00"/>
    <w:family w:val="swiss"/>
    <w:pitch w:val="default"/>
    <w:sig w:usb0="E4002EFF" w:usb1="C200247B" w:usb2="00000009" w:usb3="00000000" w:csb0="200001FF" w:csb1="00000000"/>
  </w:font>
  <w:font w:name="Wingdings 2">
    <w:panose1 w:val="05020102010507070707"/>
    <w:charset w:val="02"/>
    <w:family w:val="roman"/>
    <w:pitch w:val="default"/>
    <w:sig w:usb0="00000000" w:usb1="00000000" w:usb2="00000000" w:usb3="00000000" w:csb0="80000000" w:csb1="00000000"/>
  </w:font>
  <w:font w:name="MS Gothic">
    <w:panose1 w:val="020B0609070205080204"/>
    <w:charset w:val="80"/>
    <w:family w:val="modern"/>
    <w:pitch w:val="default"/>
    <w:sig w:usb0="E00002FF" w:usb1="6AC7FDFB" w:usb2="08000012" w:usb3="00000000" w:csb0="400200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w:rPr>
        <w:sz w:val="18"/>
      </w:rPr>
      <mc:AlternateContent>
        <mc:Choice Requires="wps">
          <w:drawing>
            <wp:anchor distT="0" distB="0" distL="114300" distR="114300" simplePos="0" relativeHeight="251704320"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4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62</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w:rPr>
        <w:sz w:val="18"/>
      </w:rPr>
      <mc:AlternateContent>
        <mc:Choice Requires="wps">
          <w:drawing>
            <wp:anchor distT="0" distB="0" distL="114300" distR="114300" simplePos="0" relativeHeight="251705344"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108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53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108</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706368"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139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63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UJagQ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FCWoEMQIAAGMEAAAOAAAAAAAAAAEAIAAAAB8BAABkcnMvZTJvRG9jLnhtbFBLBQYA&#10;AAAABgAGAFkBAADCBQ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139</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r>
      <w:rPr>
        <w:sz w:val="21"/>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r>
      <w:rPr>
        <w:sz w:val="21"/>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28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r>
      <w:rPr>
        <w:sz w:val="21"/>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30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6Gf4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g6Gf4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30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r>
      <w:rPr>
        <w:sz w:val="21"/>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31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31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r>
      <w:rPr>
        <w:sz w:val="21"/>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32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2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tv3szAgAAY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ctv3s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32</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r>
      <w:rPr>
        <w:sz w:val="21"/>
      </w:rPr>
      <mc:AlternateContent>
        <mc:Choice Requires="wps">
          <w:drawing>
            <wp:anchor distT="0" distB="0" distL="114300" distR="114300" simplePos="0" relativeHeight="251703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3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33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5729"/>
      </w:tabs>
      <w:ind w:firstLine="480"/>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92E896C"/>
    <w:multiLevelType w:val="singleLevel"/>
    <w:tmpl w:val="A92E896C"/>
    <w:lvl w:ilvl="0" w:tentative="0">
      <w:start w:val="1"/>
      <w:numFmt w:val="decimal"/>
      <w:suff w:val="nothing"/>
      <w:lvlText w:val="（%1）"/>
      <w:lvlJc w:val="left"/>
    </w:lvl>
  </w:abstractNum>
  <w:abstractNum w:abstractNumId="1">
    <w:nsid w:val="B4D75797"/>
    <w:multiLevelType w:val="singleLevel"/>
    <w:tmpl w:val="B4D75797"/>
    <w:lvl w:ilvl="0" w:tentative="0">
      <w:start w:val="1"/>
      <w:numFmt w:val="bullet"/>
      <w:pStyle w:val="7"/>
      <w:lvlText w:val=""/>
      <w:lvlJc w:val="left"/>
      <w:pPr>
        <w:tabs>
          <w:tab w:val="left" w:pos="1620"/>
        </w:tabs>
        <w:ind w:left="1620" w:hanging="360"/>
      </w:pPr>
      <w:rPr>
        <w:rFonts w:hint="default" w:ascii="Wingdings" w:hAnsi="Wingdings"/>
      </w:rPr>
    </w:lvl>
  </w:abstractNum>
  <w:abstractNum w:abstractNumId="2">
    <w:nsid w:val="C3F322B9"/>
    <w:multiLevelType w:val="singleLevel"/>
    <w:tmpl w:val="C3F322B9"/>
    <w:lvl w:ilvl="0" w:tentative="0">
      <w:start w:val="1"/>
      <w:numFmt w:val="decimal"/>
      <w:suff w:val="nothing"/>
      <w:lvlText w:val="（%1）"/>
      <w:lvlJc w:val="left"/>
    </w:lvl>
  </w:abstractNum>
  <w:abstractNum w:abstractNumId="3">
    <w:nsid w:val="C610D4A5"/>
    <w:multiLevelType w:val="multilevel"/>
    <w:tmpl w:val="C610D4A5"/>
    <w:lvl w:ilvl="0" w:tentative="0">
      <w:start w:val="1"/>
      <w:numFmt w:val="decimal"/>
      <w:suff w:val="nothing"/>
      <w:lvlText w:val="%1、"/>
      <w:lvlJc w:val="left"/>
      <w:pPr>
        <w:ind w:left="2269" w:firstLine="0"/>
      </w:pPr>
      <w:rPr>
        <w:rFonts w:hint="default" w:ascii="Times New Roman" w:hAnsi="Times New Roman" w:cs="Times New Roman"/>
        <w:color w:val="auto"/>
      </w:rPr>
    </w:lvl>
    <w:lvl w:ilvl="1" w:tentative="0">
      <w:start w:val="1"/>
      <w:numFmt w:val="decimal"/>
      <w:suff w:val="space"/>
      <w:lvlText w:val="%1.%2"/>
      <w:lvlJc w:val="left"/>
      <w:pPr>
        <w:ind w:left="0" w:firstLine="0"/>
      </w:pPr>
    </w:lvl>
    <w:lvl w:ilvl="2" w:tentative="0">
      <w:start w:val="1"/>
      <w:numFmt w:val="decimal"/>
      <w:suff w:val="space"/>
      <w:lvlText w:val="%1.%2.%3"/>
      <w:lvlJc w:val="left"/>
      <w:pPr>
        <w:ind w:left="284" w:firstLine="0"/>
      </w:pPr>
      <w:rPr>
        <w:color w:val="auto"/>
      </w:rPr>
    </w:lvl>
    <w:lvl w:ilvl="3" w:tentative="0">
      <w:start w:val="1"/>
      <w:numFmt w:val="decimal"/>
      <w:suff w:val="space"/>
      <w:lvlText w:val="%1.%2.%3.%4"/>
      <w:lvlJc w:val="left"/>
      <w:pPr>
        <w:ind w:left="0" w:firstLine="0"/>
      </w:pPr>
    </w:lvl>
    <w:lvl w:ilvl="4" w:tentative="0">
      <w:start w:val="1"/>
      <w:numFmt w:val="decimal"/>
      <w:lvlText w:val="%1.%2.%3.%4.%5"/>
      <w:lvlJc w:val="left"/>
      <w:pPr>
        <w:tabs>
          <w:tab w:val="left" w:pos="0"/>
        </w:tabs>
        <w:ind w:left="0" w:firstLine="0"/>
      </w:pPr>
    </w:lvl>
    <w:lvl w:ilvl="5" w:tentative="0">
      <w:start w:val="1"/>
      <w:numFmt w:val="decimal"/>
      <w:lvlText w:val="%1.%2.%3.%4.%5.%6"/>
      <w:lvlJc w:val="left"/>
      <w:pPr>
        <w:tabs>
          <w:tab w:val="left" w:pos="0"/>
        </w:tabs>
        <w:ind w:left="0" w:firstLine="0"/>
      </w:pPr>
    </w:lvl>
    <w:lvl w:ilvl="6" w:tentative="0">
      <w:start w:val="1"/>
      <w:numFmt w:val="decimal"/>
      <w:lvlText w:val="%1.%2.%3.%4.%5.%6.%7"/>
      <w:lvlJc w:val="left"/>
      <w:pPr>
        <w:tabs>
          <w:tab w:val="left" w:pos="0"/>
        </w:tabs>
        <w:ind w:left="0" w:firstLine="0"/>
      </w:pPr>
    </w:lvl>
    <w:lvl w:ilvl="7" w:tentative="0">
      <w:start w:val="1"/>
      <w:numFmt w:val="decimal"/>
      <w:lvlText w:val="%1.%2.%3.%4.%5.%6.%7.%8"/>
      <w:lvlJc w:val="left"/>
      <w:pPr>
        <w:tabs>
          <w:tab w:val="left" w:pos="0"/>
        </w:tabs>
        <w:ind w:left="0" w:firstLine="0"/>
      </w:pPr>
    </w:lvl>
    <w:lvl w:ilvl="8" w:tentative="0">
      <w:start w:val="1"/>
      <w:numFmt w:val="decimal"/>
      <w:lvlText w:val="%1.%2.%3.%4.%5.%6.%7.%8.%9"/>
      <w:lvlJc w:val="left"/>
      <w:pPr>
        <w:tabs>
          <w:tab w:val="left" w:pos="0"/>
        </w:tabs>
        <w:ind w:left="0" w:firstLine="0"/>
      </w:pPr>
    </w:lvl>
  </w:abstractNum>
  <w:abstractNum w:abstractNumId="4">
    <w:nsid w:val="CCCB22F1"/>
    <w:multiLevelType w:val="singleLevel"/>
    <w:tmpl w:val="CCCB22F1"/>
    <w:lvl w:ilvl="0" w:tentative="0">
      <w:start w:val="1"/>
      <w:numFmt w:val="decimal"/>
      <w:suff w:val="nothing"/>
      <w:lvlText w:val="（%1）"/>
      <w:lvlJc w:val="left"/>
    </w:lvl>
  </w:abstractNum>
  <w:abstractNum w:abstractNumId="5">
    <w:nsid w:val="D208E92D"/>
    <w:multiLevelType w:val="singleLevel"/>
    <w:tmpl w:val="D208E92D"/>
    <w:lvl w:ilvl="0" w:tentative="0">
      <w:start w:val="2"/>
      <w:numFmt w:val="decimal"/>
      <w:suff w:val="nothing"/>
      <w:lvlText w:val="（%1）"/>
      <w:lvlJc w:val="left"/>
    </w:lvl>
  </w:abstractNum>
  <w:abstractNum w:abstractNumId="6">
    <w:nsid w:val="E22CE9B4"/>
    <w:multiLevelType w:val="singleLevel"/>
    <w:tmpl w:val="E22CE9B4"/>
    <w:lvl w:ilvl="0" w:tentative="0">
      <w:start w:val="1"/>
      <w:numFmt w:val="decimal"/>
      <w:suff w:val="nothing"/>
      <w:lvlText w:val="%1、"/>
      <w:lvlJc w:val="left"/>
    </w:lvl>
  </w:abstractNum>
  <w:abstractNum w:abstractNumId="7">
    <w:nsid w:val="EF7364B0"/>
    <w:multiLevelType w:val="singleLevel"/>
    <w:tmpl w:val="EF7364B0"/>
    <w:lvl w:ilvl="0" w:tentative="0">
      <w:start w:val="2"/>
      <w:numFmt w:val="decimal"/>
      <w:suff w:val="nothing"/>
      <w:lvlText w:val="%1）"/>
      <w:lvlJc w:val="left"/>
    </w:lvl>
  </w:abstractNum>
  <w:abstractNum w:abstractNumId="8">
    <w:nsid w:val="FB79615F"/>
    <w:multiLevelType w:val="singleLevel"/>
    <w:tmpl w:val="FB79615F"/>
    <w:lvl w:ilvl="0" w:tentative="0">
      <w:start w:val="1"/>
      <w:numFmt w:val="decimal"/>
      <w:suff w:val="nothing"/>
      <w:lvlText w:val="%1、"/>
      <w:lvlJc w:val="left"/>
    </w:lvl>
  </w:abstractNum>
  <w:abstractNum w:abstractNumId="9">
    <w:nsid w:val="01A24635"/>
    <w:multiLevelType w:val="multilevel"/>
    <w:tmpl w:val="01A24635"/>
    <w:lvl w:ilvl="0" w:tentative="0">
      <w:start w:val="1"/>
      <w:numFmt w:val="chineseCountingThousand"/>
      <w:suff w:val="nothing"/>
      <w:lvlText w:val="（%1）、"/>
      <w:lvlJc w:val="left"/>
      <w:pPr>
        <w:ind w:left="0" w:firstLine="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0">
    <w:nsid w:val="049C08B4"/>
    <w:multiLevelType w:val="multilevel"/>
    <w:tmpl w:val="049C08B4"/>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1">
    <w:nsid w:val="089619A0"/>
    <w:multiLevelType w:val="multilevel"/>
    <w:tmpl w:val="089619A0"/>
    <w:lvl w:ilvl="0" w:tentative="0">
      <w:start w:val="1"/>
      <w:numFmt w:val="decimal"/>
      <w:isLgl/>
      <w:lvlText w:val="%1"/>
      <w:lvlJc w:val="left"/>
      <w:pPr>
        <w:tabs>
          <w:tab w:val="left" w:pos="340"/>
        </w:tabs>
        <w:ind w:left="425" w:hanging="425"/>
      </w:pPr>
      <w:rPr>
        <w:b/>
        <w:i w:val="0"/>
        <w:sz w:val="36"/>
        <w:szCs w:val="36"/>
      </w:rPr>
    </w:lvl>
    <w:lvl w:ilvl="1" w:tentative="0">
      <w:start w:val="1"/>
      <w:numFmt w:val="decimal"/>
      <w:lvlText w:val="%1.%2"/>
      <w:lvlJc w:val="left"/>
      <w:pPr>
        <w:tabs>
          <w:tab w:val="left" w:pos="510"/>
        </w:tabs>
        <w:ind w:left="851" w:hanging="851"/>
      </w:pPr>
      <w:rPr>
        <w:rFonts w:ascii="Times New Roman" w:hAnsi="Times New Roman" w:cs="Times New Roman"/>
        <w:b/>
        <w:i w:val="0"/>
        <w:iCs w:val="0"/>
        <w:caps w:val="0"/>
        <w:smallCaps w:val="0"/>
        <w:strike w:val="0"/>
        <w:dstrike w:val="0"/>
        <w:vanish w:val="0"/>
        <w:spacing w:val="0"/>
        <w:position w:val="0"/>
        <w:sz w:val="32"/>
        <w:szCs w:val="32"/>
        <w:u w:val="none"/>
        <w:vertAlign w:val="baseline"/>
      </w:rPr>
    </w:lvl>
    <w:lvl w:ilvl="2" w:tentative="0">
      <w:start w:val="1"/>
      <w:numFmt w:val="decimal"/>
      <w:lvlText w:val="%1.%2.%3"/>
      <w:lvlJc w:val="left"/>
      <w:pPr>
        <w:tabs>
          <w:tab w:val="left" w:pos="624"/>
        </w:tabs>
        <w:ind w:left="1418" w:hanging="1418"/>
      </w:pPr>
      <w:rPr>
        <w:rFonts w:hint="default" w:ascii="Times New Roman" w:hAnsi="Times New Roman" w:eastAsia="黑体" w:cs="Times New Roman"/>
        <w:b/>
        <w:bCs w:val="0"/>
        <w:i w:val="0"/>
        <w:sz w:val="28"/>
        <w:szCs w:val="28"/>
      </w:rPr>
    </w:lvl>
    <w:lvl w:ilvl="3" w:tentative="0">
      <w:start w:val="1"/>
      <w:numFmt w:val="decimal"/>
      <w:pStyle w:val="5"/>
      <w:lvlText w:val="%1.%2.%3.%4"/>
      <w:lvlJc w:val="left"/>
      <w:pPr>
        <w:tabs>
          <w:tab w:val="left" w:pos="3714"/>
        </w:tabs>
        <w:ind w:left="2693" w:firstLine="0"/>
      </w:pPr>
      <w:rPr>
        <w:rFonts w:hint="default" w:ascii="Times New Roman" w:hAnsi="Times New Roman" w:cs="Times New Roman"/>
        <w:b/>
        <w:bCs w:val="0"/>
        <w:i w:val="0"/>
        <w:iCs w:val="0"/>
        <w:caps w:val="0"/>
        <w:smallCaps w:val="0"/>
        <w:strike w:val="0"/>
        <w:dstrike w:val="0"/>
        <w:vanish w:val="0"/>
        <w:spacing w:val="0"/>
        <w:position w:val="0"/>
        <w:u w:val="none"/>
        <w:vertAlign w:val="baseline"/>
      </w:r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12">
    <w:nsid w:val="281D1F1B"/>
    <w:multiLevelType w:val="multilevel"/>
    <w:tmpl w:val="281D1F1B"/>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decimal"/>
      <w:suff w:val="space"/>
      <w:lvlText w:val="%3."/>
      <w:lvlJc w:val="left"/>
      <w:pPr>
        <w:ind w:left="0" w:firstLine="0"/>
      </w:pPr>
      <w:rPr>
        <w:rFonts w:hint="eastAsia"/>
      </w:r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3">
    <w:nsid w:val="299B17E6"/>
    <w:multiLevelType w:val="singleLevel"/>
    <w:tmpl w:val="299B17E6"/>
    <w:lvl w:ilvl="0" w:tentative="0">
      <w:start w:val="3"/>
      <w:numFmt w:val="decimal"/>
      <w:suff w:val="nothing"/>
      <w:lvlText w:val="（%1）"/>
      <w:lvlJc w:val="left"/>
    </w:lvl>
  </w:abstractNum>
  <w:abstractNum w:abstractNumId="14">
    <w:nsid w:val="3C70C301"/>
    <w:multiLevelType w:val="singleLevel"/>
    <w:tmpl w:val="3C70C301"/>
    <w:lvl w:ilvl="0" w:tentative="0">
      <w:start w:val="1"/>
      <w:numFmt w:val="chineseCounting"/>
      <w:pStyle w:val="60"/>
      <w:suff w:val="nothing"/>
      <w:lvlText w:val="（%1）"/>
      <w:lvlJc w:val="left"/>
      <w:pPr>
        <w:ind w:left="0" w:firstLine="420"/>
      </w:pPr>
      <w:rPr>
        <w:rFonts w:hint="eastAsia"/>
        <w:sz w:val="24"/>
        <w:szCs w:val="24"/>
      </w:rPr>
    </w:lvl>
  </w:abstractNum>
  <w:abstractNum w:abstractNumId="15">
    <w:nsid w:val="432FBC2D"/>
    <w:multiLevelType w:val="singleLevel"/>
    <w:tmpl w:val="432FBC2D"/>
    <w:lvl w:ilvl="0" w:tentative="0">
      <w:start w:val="2"/>
      <w:numFmt w:val="decimal"/>
      <w:suff w:val="nothing"/>
      <w:lvlText w:val="%1）"/>
      <w:lvlJc w:val="left"/>
    </w:lvl>
  </w:abstractNum>
  <w:abstractNum w:abstractNumId="16">
    <w:nsid w:val="49D37764"/>
    <w:multiLevelType w:val="multilevel"/>
    <w:tmpl w:val="49D37764"/>
    <w:lvl w:ilvl="0" w:tentative="0">
      <w:start w:val="1"/>
      <w:numFmt w:val="chineseCountingThousand"/>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7">
    <w:nsid w:val="691938EF"/>
    <w:multiLevelType w:val="multilevel"/>
    <w:tmpl w:val="691938EF"/>
    <w:lvl w:ilvl="0" w:tentative="0">
      <w:start w:val="1"/>
      <w:numFmt w:val="upperRoman"/>
      <w:lvlText w:val="%1、"/>
      <w:lvlJc w:val="left"/>
      <w:pPr>
        <w:ind w:left="922" w:hanging="440"/>
      </w:pPr>
      <w:rPr>
        <w:rFonts w:hint="default"/>
      </w:rPr>
    </w:lvl>
    <w:lvl w:ilvl="1" w:tentative="0">
      <w:start w:val="1"/>
      <w:numFmt w:val="chineseCountingThousand"/>
      <w:suff w:val="space"/>
      <w:lvlText w:val="%2、"/>
      <w:lvlJc w:val="left"/>
      <w:pPr>
        <w:ind w:left="0" w:firstLine="0"/>
      </w:pPr>
      <w:rPr>
        <w:rFonts w:hint="eastAsia"/>
      </w:rPr>
    </w:lvl>
    <w:lvl w:ilvl="2" w:tentative="0">
      <w:start w:val="1"/>
      <w:numFmt w:val="lowerLetter"/>
      <w:lvlText w:val="%3）"/>
      <w:lvlJc w:val="left"/>
      <w:pPr>
        <w:ind w:left="1737" w:hanging="375"/>
      </w:pPr>
      <w:rPr>
        <w:rFonts w:hint="default"/>
      </w:rPr>
    </w:lvl>
    <w:lvl w:ilvl="3" w:tentative="0">
      <w:start w:val="1"/>
      <w:numFmt w:val="decimal"/>
      <w:lvlText w:val="%4."/>
      <w:lvlJc w:val="left"/>
      <w:pPr>
        <w:ind w:left="2242" w:hanging="440"/>
      </w:pPr>
    </w:lvl>
    <w:lvl w:ilvl="4" w:tentative="0">
      <w:start w:val="1"/>
      <w:numFmt w:val="lowerLetter"/>
      <w:lvlText w:val="%5)"/>
      <w:lvlJc w:val="left"/>
      <w:pPr>
        <w:ind w:left="2682" w:hanging="440"/>
      </w:pPr>
    </w:lvl>
    <w:lvl w:ilvl="5" w:tentative="0">
      <w:start w:val="1"/>
      <w:numFmt w:val="lowerRoman"/>
      <w:lvlText w:val="%6."/>
      <w:lvlJc w:val="right"/>
      <w:pPr>
        <w:ind w:left="3122" w:hanging="440"/>
      </w:pPr>
    </w:lvl>
    <w:lvl w:ilvl="6" w:tentative="0">
      <w:start w:val="1"/>
      <w:numFmt w:val="decimal"/>
      <w:lvlText w:val="%7."/>
      <w:lvlJc w:val="left"/>
      <w:pPr>
        <w:ind w:left="3562" w:hanging="440"/>
      </w:pPr>
    </w:lvl>
    <w:lvl w:ilvl="7" w:tentative="0">
      <w:start w:val="1"/>
      <w:numFmt w:val="lowerLetter"/>
      <w:lvlText w:val="%8)"/>
      <w:lvlJc w:val="left"/>
      <w:pPr>
        <w:ind w:left="4002" w:hanging="440"/>
      </w:pPr>
    </w:lvl>
    <w:lvl w:ilvl="8" w:tentative="0">
      <w:start w:val="1"/>
      <w:numFmt w:val="lowerRoman"/>
      <w:lvlText w:val="%9."/>
      <w:lvlJc w:val="right"/>
      <w:pPr>
        <w:ind w:left="4442" w:hanging="440"/>
      </w:pPr>
    </w:lvl>
  </w:abstractNum>
  <w:abstractNum w:abstractNumId="18">
    <w:nsid w:val="6B3D58D6"/>
    <w:multiLevelType w:val="multilevel"/>
    <w:tmpl w:val="6B3D58D6"/>
    <w:lvl w:ilvl="0" w:tentative="0">
      <w:start w:val="1"/>
      <w:numFmt w:val="upperRoman"/>
      <w:lvlText w:val="%1."/>
      <w:lvlJc w:val="left"/>
      <w:pPr>
        <w:ind w:left="922" w:hanging="440"/>
      </w:pPr>
      <w:rPr>
        <w:rFonts w:hint="eastAsia"/>
      </w:rPr>
    </w:lvl>
    <w:lvl w:ilvl="1" w:tentative="0">
      <w:start w:val="1"/>
      <w:numFmt w:val="lowerLetter"/>
      <w:lvlText w:val="%2)"/>
      <w:lvlJc w:val="left"/>
      <w:pPr>
        <w:ind w:left="1362" w:hanging="440"/>
      </w:pPr>
    </w:lvl>
    <w:lvl w:ilvl="2" w:tentative="0">
      <w:start w:val="1"/>
      <w:numFmt w:val="upperRoman"/>
      <w:suff w:val="space"/>
      <w:lvlText w:val="%3."/>
      <w:lvlJc w:val="left"/>
      <w:pPr>
        <w:ind w:left="0" w:firstLine="0"/>
      </w:pPr>
      <w:rPr>
        <w:rFonts w:hint="eastAsia"/>
      </w:rPr>
    </w:lvl>
    <w:lvl w:ilvl="3" w:tentative="0">
      <w:start w:val="1"/>
      <w:numFmt w:val="decimal"/>
      <w:lvlText w:val="%4."/>
      <w:lvlJc w:val="left"/>
      <w:pPr>
        <w:ind w:left="2242" w:hanging="440"/>
      </w:pPr>
    </w:lvl>
    <w:lvl w:ilvl="4" w:tentative="0">
      <w:start w:val="1"/>
      <w:numFmt w:val="lowerLetter"/>
      <w:lvlText w:val="%5)"/>
      <w:lvlJc w:val="left"/>
      <w:pPr>
        <w:ind w:left="2682" w:hanging="440"/>
      </w:pPr>
    </w:lvl>
    <w:lvl w:ilvl="5" w:tentative="0">
      <w:start w:val="1"/>
      <w:numFmt w:val="lowerRoman"/>
      <w:lvlText w:val="%6."/>
      <w:lvlJc w:val="right"/>
      <w:pPr>
        <w:ind w:left="3122" w:hanging="440"/>
      </w:pPr>
    </w:lvl>
    <w:lvl w:ilvl="6" w:tentative="0">
      <w:start w:val="1"/>
      <w:numFmt w:val="decimal"/>
      <w:lvlText w:val="%7."/>
      <w:lvlJc w:val="left"/>
      <w:pPr>
        <w:ind w:left="3562" w:hanging="440"/>
      </w:pPr>
    </w:lvl>
    <w:lvl w:ilvl="7" w:tentative="0">
      <w:start w:val="1"/>
      <w:numFmt w:val="lowerLetter"/>
      <w:lvlText w:val="%8)"/>
      <w:lvlJc w:val="left"/>
      <w:pPr>
        <w:ind w:left="4002" w:hanging="440"/>
      </w:pPr>
    </w:lvl>
    <w:lvl w:ilvl="8" w:tentative="0">
      <w:start w:val="1"/>
      <w:numFmt w:val="lowerRoman"/>
      <w:lvlText w:val="%9."/>
      <w:lvlJc w:val="right"/>
      <w:pPr>
        <w:ind w:left="4442" w:hanging="440"/>
      </w:pPr>
    </w:lvl>
  </w:abstractNum>
  <w:abstractNum w:abstractNumId="19">
    <w:nsid w:val="6D5353D2"/>
    <w:multiLevelType w:val="multilevel"/>
    <w:tmpl w:val="6D5353D2"/>
    <w:lvl w:ilvl="0" w:tentative="0">
      <w:start w:val="1"/>
      <w:numFmt w:val="upperRoman"/>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0">
    <w:nsid w:val="77F8455C"/>
    <w:multiLevelType w:val="multilevel"/>
    <w:tmpl w:val="77F8455C"/>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1">
    <w:nsid w:val="7AE3BCB0"/>
    <w:multiLevelType w:val="multilevel"/>
    <w:tmpl w:val="7AE3BCB0"/>
    <w:lvl w:ilvl="0" w:tentative="0">
      <w:start w:val="1"/>
      <w:numFmt w:val="decimal"/>
      <w:suff w:val="nothing"/>
      <w:lvlText w:val="（%1）"/>
      <w:lvlJc w:val="left"/>
      <w:pPr>
        <w:tabs>
          <w:tab w:val="left" w:pos="0"/>
        </w:tabs>
        <w:ind w:left="4822" w:firstLine="0"/>
      </w:pPr>
      <w:rPr>
        <w:rFonts w:hint="default"/>
      </w:rPr>
    </w:lvl>
    <w:lvl w:ilvl="1" w:tentative="0">
      <w:start w:val="1"/>
      <w:numFmt w:val="decimal"/>
      <w:lvlText w:val="%2."/>
      <w:lvlJc w:val="left"/>
      <w:pPr>
        <w:tabs>
          <w:tab w:val="left" w:pos="6120"/>
        </w:tabs>
        <w:ind w:left="6120" w:hanging="360"/>
      </w:pPr>
    </w:lvl>
    <w:lvl w:ilvl="2" w:tentative="0">
      <w:start w:val="1"/>
      <w:numFmt w:val="decimal"/>
      <w:lvlText w:val="%3."/>
      <w:lvlJc w:val="left"/>
      <w:pPr>
        <w:tabs>
          <w:tab w:val="left" w:pos="6840"/>
        </w:tabs>
        <w:ind w:left="6840" w:hanging="360"/>
      </w:pPr>
    </w:lvl>
    <w:lvl w:ilvl="3" w:tentative="0">
      <w:start w:val="1"/>
      <w:numFmt w:val="decimal"/>
      <w:lvlText w:val="%4."/>
      <w:lvlJc w:val="left"/>
      <w:pPr>
        <w:tabs>
          <w:tab w:val="left" w:pos="7560"/>
        </w:tabs>
        <w:ind w:left="7560" w:hanging="360"/>
      </w:pPr>
    </w:lvl>
    <w:lvl w:ilvl="4" w:tentative="0">
      <w:start w:val="1"/>
      <w:numFmt w:val="decimal"/>
      <w:lvlText w:val="%5."/>
      <w:lvlJc w:val="left"/>
      <w:pPr>
        <w:tabs>
          <w:tab w:val="left" w:pos="8280"/>
        </w:tabs>
        <w:ind w:left="8280" w:hanging="360"/>
      </w:pPr>
    </w:lvl>
    <w:lvl w:ilvl="5" w:tentative="0">
      <w:start w:val="1"/>
      <w:numFmt w:val="decimal"/>
      <w:lvlText w:val="%6."/>
      <w:lvlJc w:val="left"/>
      <w:pPr>
        <w:tabs>
          <w:tab w:val="left" w:pos="9000"/>
        </w:tabs>
        <w:ind w:left="9000" w:hanging="360"/>
      </w:pPr>
    </w:lvl>
    <w:lvl w:ilvl="6" w:tentative="0">
      <w:start w:val="1"/>
      <w:numFmt w:val="decimal"/>
      <w:lvlText w:val="%7."/>
      <w:lvlJc w:val="left"/>
      <w:pPr>
        <w:tabs>
          <w:tab w:val="left" w:pos="9720"/>
        </w:tabs>
        <w:ind w:left="9720" w:hanging="360"/>
      </w:pPr>
    </w:lvl>
    <w:lvl w:ilvl="7" w:tentative="0">
      <w:start w:val="1"/>
      <w:numFmt w:val="decimal"/>
      <w:lvlText w:val="%8."/>
      <w:lvlJc w:val="left"/>
      <w:pPr>
        <w:tabs>
          <w:tab w:val="left" w:pos="10440"/>
        </w:tabs>
        <w:ind w:left="10440" w:hanging="360"/>
      </w:pPr>
    </w:lvl>
    <w:lvl w:ilvl="8" w:tentative="0">
      <w:start w:val="1"/>
      <w:numFmt w:val="decimal"/>
      <w:lvlText w:val="%9."/>
      <w:lvlJc w:val="left"/>
      <w:pPr>
        <w:tabs>
          <w:tab w:val="left" w:pos="11160"/>
        </w:tabs>
        <w:ind w:left="11160" w:hanging="360"/>
      </w:p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4"/>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num>
  <w:num w:numId="7">
    <w:abstractNumId w:val="5"/>
  </w:num>
  <w:num w:numId="8">
    <w:abstractNumId w:val="14"/>
    <w:lvlOverride w:ilvl="0">
      <w:startOverride w:val="1"/>
    </w:lvlOverride>
  </w:num>
  <w:num w:numId="9">
    <w:abstractNumId w:val="16"/>
  </w:num>
  <w:num w:numId="10">
    <w:abstractNumId w:val="9"/>
  </w:num>
  <w:num w:numId="11">
    <w:abstractNumId w:val="19"/>
  </w:num>
  <w:num w:numId="12">
    <w:abstractNumId w:val="10"/>
  </w:num>
  <w:num w:numId="13">
    <w:abstractNumId w:val="20"/>
  </w:num>
  <w:num w:numId="14">
    <w:abstractNumId w:val="17"/>
  </w:num>
  <w:num w:numId="15">
    <w:abstractNumId w:val="18"/>
  </w:num>
  <w:num w:numId="16">
    <w:abstractNumId w:val="12"/>
  </w:num>
  <w:num w:numId="17">
    <w:abstractNumId w:val="4"/>
  </w:num>
  <w:num w:numId="18">
    <w:abstractNumId w:val="2"/>
  </w:num>
  <w:num w:numId="19">
    <w:abstractNumId w:val="7"/>
  </w:num>
  <w:num w:numId="20">
    <w:abstractNumId w:val="15"/>
  </w:num>
  <w:num w:numId="21">
    <w:abstractNumId w:val="21"/>
  </w:num>
  <w:num w:numId="22">
    <w:abstractNumId w:val="0"/>
  </w:num>
  <w:num w:numId="23">
    <w:abstractNumId w:val="6"/>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hlNjg2OTVkMTRmZTdhMzUyZmRjY2JjODc2ZTdhNWUifQ=="/>
  </w:docVars>
  <w:rsids>
    <w:rsidRoot w:val="00000000"/>
    <w:rsid w:val="010158D6"/>
    <w:rsid w:val="010A29DC"/>
    <w:rsid w:val="01717651"/>
    <w:rsid w:val="029D6F8C"/>
    <w:rsid w:val="03463A74"/>
    <w:rsid w:val="06A518A1"/>
    <w:rsid w:val="07044413"/>
    <w:rsid w:val="07971162"/>
    <w:rsid w:val="079851F4"/>
    <w:rsid w:val="07BE4EFD"/>
    <w:rsid w:val="094E1671"/>
    <w:rsid w:val="09A21C24"/>
    <w:rsid w:val="0A3604C6"/>
    <w:rsid w:val="0B534AA3"/>
    <w:rsid w:val="0B5B302D"/>
    <w:rsid w:val="0F80660C"/>
    <w:rsid w:val="0FC27ED3"/>
    <w:rsid w:val="111F75D4"/>
    <w:rsid w:val="129E434D"/>
    <w:rsid w:val="12D45C13"/>
    <w:rsid w:val="135E0CF4"/>
    <w:rsid w:val="13AE4693"/>
    <w:rsid w:val="14774DBB"/>
    <w:rsid w:val="14780F8C"/>
    <w:rsid w:val="14790474"/>
    <w:rsid w:val="14E82BDD"/>
    <w:rsid w:val="15447918"/>
    <w:rsid w:val="15B409FB"/>
    <w:rsid w:val="16373826"/>
    <w:rsid w:val="164E173F"/>
    <w:rsid w:val="167069E6"/>
    <w:rsid w:val="1715128F"/>
    <w:rsid w:val="175E5645"/>
    <w:rsid w:val="17626C76"/>
    <w:rsid w:val="180743C9"/>
    <w:rsid w:val="1840252E"/>
    <w:rsid w:val="18A06D70"/>
    <w:rsid w:val="18C952F4"/>
    <w:rsid w:val="19EA517E"/>
    <w:rsid w:val="1C49256B"/>
    <w:rsid w:val="1D4D7972"/>
    <w:rsid w:val="1D6E053B"/>
    <w:rsid w:val="1DBF0627"/>
    <w:rsid w:val="1E0F1CD1"/>
    <w:rsid w:val="1E154DC0"/>
    <w:rsid w:val="1EE571BE"/>
    <w:rsid w:val="206143A1"/>
    <w:rsid w:val="2073406F"/>
    <w:rsid w:val="20AC1AA6"/>
    <w:rsid w:val="20F42A6D"/>
    <w:rsid w:val="21215B8F"/>
    <w:rsid w:val="21876CD1"/>
    <w:rsid w:val="21C446F2"/>
    <w:rsid w:val="22610F07"/>
    <w:rsid w:val="22DF3C55"/>
    <w:rsid w:val="23671992"/>
    <w:rsid w:val="2414512F"/>
    <w:rsid w:val="24847038"/>
    <w:rsid w:val="249A614C"/>
    <w:rsid w:val="24B27920"/>
    <w:rsid w:val="25296552"/>
    <w:rsid w:val="26042706"/>
    <w:rsid w:val="262A6506"/>
    <w:rsid w:val="268B4A25"/>
    <w:rsid w:val="27182EAE"/>
    <w:rsid w:val="271A76A6"/>
    <w:rsid w:val="29086F52"/>
    <w:rsid w:val="295E3A67"/>
    <w:rsid w:val="29862E97"/>
    <w:rsid w:val="29D97C17"/>
    <w:rsid w:val="2A8D72E7"/>
    <w:rsid w:val="2BCA6A83"/>
    <w:rsid w:val="2C37619A"/>
    <w:rsid w:val="2C614DF9"/>
    <w:rsid w:val="2CAB441F"/>
    <w:rsid w:val="2CFC5AD4"/>
    <w:rsid w:val="2DB24078"/>
    <w:rsid w:val="2EE61BB5"/>
    <w:rsid w:val="2F154177"/>
    <w:rsid w:val="2F284FB3"/>
    <w:rsid w:val="2F8F5CD7"/>
    <w:rsid w:val="312D581A"/>
    <w:rsid w:val="318A7690"/>
    <w:rsid w:val="323A625C"/>
    <w:rsid w:val="32A918B3"/>
    <w:rsid w:val="33997124"/>
    <w:rsid w:val="353A0493"/>
    <w:rsid w:val="35977A46"/>
    <w:rsid w:val="36B71853"/>
    <w:rsid w:val="36C00FA9"/>
    <w:rsid w:val="370154DB"/>
    <w:rsid w:val="375D2B5F"/>
    <w:rsid w:val="38F11062"/>
    <w:rsid w:val="390019F4"/>
    <w:rsid w:val="39B53EC9"/>
    <w:rsid w:val="39B67F0D"/>
    <w:rsid w:val="3A176BCB"/>
    <w:rsid w:val="3A2D7FCB"/>
    <w:rsid w:val="3A341631"/>
    <w:rsid w:val="3B855A43"/>
    <w:rsid w:val="3C591B47"/>
    <w:rsid w:val="3D1B6DFC"/>
    <w:rsid w:val="3E421C48"/>
    <w:rsid w:val="3E473BF6"/>
    <w:rsid w:val="3E90381A"/>
    <w:rsid w:val="402E1164"/>
    <w:rsid w:val="406B178E"/>
    <w:rsid w:val="40833636"/>
    <w:rsid w:val="40E172AE"/>
    <w:rsid w:val="41B22E4E"/>
    <w:rsid w:val="41E9396D"/>
    <w:rsid w:val="421E36DE"/>
    <w:rsid w:val="43941F45"/>
    <w:rsid w:val="43DA0BC1"/>
    <w:rsid w:val="44006226"/>
    <w:rsid w:val="45CD7855"/>
    <w:rsid w:val="45CF27C7"/>
    <w:rsid w:val="460073A4"/>
    <w:rsid w:val="463805C6"/>
    <w:rsid w:val="46554BF1"/>
    <w:rsid w:val="47C716A5"/>
    <w:rsid w:val="49506EBE"/>
    <w:rsid w:val="4A7D115C"/>
    <w:rsid w:val="4AB10DA0"/>
    <w:rsid w:val="4ACA42E7"/>
    <w:rsid w:val="4AF53C6A"/>
    <w:rsid w:val="4B1E1B01"/>
    <w:rsid w:val="4B2A1C6F"/>
    <w:rsid w:val="4C347D34"/>
    <w:rsid w:val="4CB9086F"/>
    <w:rsid w:val="4D7C28A4"/>
    <w:rsid w:val="4DB87B01"/>
    <w:rsid w:val="4DC02066"/>
    <w:rsid w:val="4DD52340"/>
    <w:rsid w:val="4E622D80"/>
    <w:rsid w:val="4E6C4F93"/>
    <w:rsid w:val="4E9A3978"/>
    <w:rsid w:val="4F810730"/>
    <w:rsid w:val="4FD24EBC"/>
    <w:rsid w:val="4FEC0774"/>
    <w:rsid w:val="50055E16"/>
    <w:rsid w:val="5030715B"/>
    <w:rsid w:val="521572B6"/>
    <w:rsid w:val="52B1173A"/>
    <w:rsid w:val="53DA4EC3"/>
    <w:rsid w:val="540B1521"/>
    <w:rsid w:val="54CE2076"/>
    <w:rsid w:val="54D46404"/>
    <w:rsid w:val="54D576D5"/>
    <w:rsid w:val="54F4383D"/>
    <w:rsid w:val="555F7B44"/>
    <w:rsid w:val="56DF2534"/>
    <w:rsid w:val="5709065E"/>
    <w:rsid w:val="578C27C9"/>
    <w:rsid w:val="5A2055FA"/>
    <w:rsid w:val="5AA12CAB"/>
    <w:rsid w:val="5ACD1629"/>
    <w:rsid w:val="5AF32989"/>
    <w:rsid w:val="5B084EC9"/>
    <w:rsid w:val="5C6615CC"/>
    <w:rsid w:val="5D227C36"/>
    <w:rsid w:val="5EF202C8"/>
    <w:rsid w:val="5EFA256C"/>
    <w:rsid w:val="5F3717BD"/>
    <w:rsid w:val="5FC74410"/>
    <w:rsid w:val="625C73EB"/>
    <w:rsid w:val="629303C0"/>
    <w:rsid w:val="637B092F"/>
    <w:rsid w:val="63BC0D27"/>
    <w:rsid w:val="64346C59"/>
    <w:rsid w:val="64552600"/>
    <w:rsid w:val="64594E1E"/>
    <w:rsid w:val="64907B36"/>
    <w:rsid w:val="649317EA"/>
    <w:rsid w:val="64C11055"/>
    <w:rsid w:val="64CE64BB"/>
    <w:rsid w:val="64FD2AC9"/>
    <w:rsid w:val="656F638F"/>
    <w:rsid w:val="65C66B3A"/>
    <w:rsid w:val="662A52E5"/>
    <w:rsid w:val="678E3ACD"/>
    <w:rsid w:val="6A2A4596"/>
    <w:rsid w:val="6B1328E6"/>
    <w:rsid w:val="6B487482"/>
    <w:rsid w:val="6B6E1384"/>
    <w:rsid w:val="6BC303ED"/>
    <w:rsid w:val="6C10311C"/>
    <w:rsid w:val="6C8F6454"/>
    <w:rsid w:val="6D3D7994"/>
    <w:rsid w:val="6D5749E0"/>
    <w:rsid w:val="6E182CB3"/>
    <w:rsid w:val="6E8557F9"/>
    <w:rsid w:val="6E9F3CBA"/>
    <w:rsid w:val="6EC45127"/>
    <w:rsid w:val="6EC66318"/>
    <w:rsid w:val="6EEF148F"/>
    <w:rsid w:val="703E07AD"/>
    <w:rsid w:val="70430622"/>
    <w:rsid w:val="70A24B63"/>
    <w:rsid w:val="70AB1C6A"/>
    <w:rsid w:val="71293A2C"/>
    <w:rsid w:val="72895FDA"/>
    <w:rsid w:val="72F81FDF"/>
    <w:rsid w:val="73357A88"/>
    <w:rsid w:val="73BC5F3C"/>
    <w:rsid w:val="74323000"/>
    <w:rsid w:val="74B63839"/>
    <w:rsid w:val="751D1FFC"/>
    <w:rsid w:val="7531243E"/>
    <w:rsid w:val="76E07D23"/>
    <w:rsid w:val="77444B50"/>
    <w:rsid w:val="77E94D56"/>
    <w:rsid w:val="780C357D"/>
    <w:rsid w:val="781F4CEB"/>
    <w:rsid w:val="78830961"/>
    <w:rsid w:val="78AC47D1"/>
    <w:rsid w:val="7AFC0C52"/>
    <w:rsid w:val="7B9374D1"/>
    <w:rsid w:val="7CA705C1"/>
    <w:rsid w:val="7D4845B3"/>
    <w:rsid w:val="7DB969E8"/>
    <w:rsid w:val="7E256B75"/>
    <w:rsid w:val="7FDA69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99"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qFormat="1"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jc w:val="center"/>
      <w:outlineLvl w:val="0"/>
    </w:pPr>
    <w:rPr>
      <w:rFonts w:ascii="Times New Roman" w:hAnsi="Times New Roman" w:eastAsia="宋体"/>
      <w:b/>
      <w:kern w:val="44"/>
      <w:sz w:val="44"/>
    </w:rPr>
  </w:style>
  <w:style w:type="paragraph" w:styleId="3">
    <w:name w:val="heading 2"/>
    <w:basedOn w:val="1"/>
    <w:next w:val="1"/>
    <w:autoRedefine/>
    <w:unhideWhenUsed/>
    <w:qFormat/>
    <w:uiPriority w:val="0"/>
    <w:pPr>
      <w:tabs>
        <w:tab w:val="left" w:pos="0"/>
      </w:tabs>
      <w:adjustRightInd/>
      <w:snapToGrid/>
      <w:spacing w:line="360" w:lineRule="auto"/>
      <w:ind w:left="0" w:firstLine="0" w:firstLineChars="0"/>
      <w:outlineLvl w:val="1"/>
    </w:pPr>
    <w:rPr>
      <w:rFonts w:ascii="Times New Roman" w:hAnsi="Times New Roman" w:eastAsia="宋体" w:cs="Times New Roman"/>
      <w:b/>
      <w:bCs/>
      <w:snapToGrid w:val="0"/>
      <w:color w:val="000000"/>
      <w:kern w:val="0"/>
      <w:sz w:val="30"/>
      <w:szCs w:val="30"/>
      <w:lang w:val="zh-CN" w:bidi="zh-CN"/>
    </w:rPr>
  </w:style>
  <w:style w:type="paragraph" w:styleId="4">
    <w:name w:val="heading 3"/>
    <w:basedOn w:val="1"/>
    <w:next w:val="1"/>
    <w:autoRedefine/>
    <w:unhideWhenUsed/>
    <w:qFormat/>
    <w:uiPriority w:val="0"/>
    <w:pPr>
      <w:spacing w:line="360" w:lineRule="auto"/>
      <w:ind w:left="0" w:firstLine="0" w:firstLineChars="0"/>
      <w:outlineLvl w:val="2"/>
    </w:pPr>
    <w:rPr>
      <w:rFonts w:ascii="Times New Roman" w:hAnsi="Times New Roman" w:eastAsia="宋体" w:cs="宋体"/>
      <w:b/>
      <w:bCs/>
      <w:snapToGrid w:val="0"/>
      <w:color w:val="000000"/>
      <w:kern w:val="0"/>
      <w:sz w:val="28"/>
      <w:szCs w:val="32"/>
      <w:lang w:val="zh-CN" w:bidi="zh-CN"/>
    </w:rPr>
  </w:style>
  <w:style w:type="paragraph" w:styleId="5">
    <w:name w:val="heading 4"/>
    <w:basedOn w:val="1"/>
    <w:next w:val="1"/>
    <w:autoRedefine/>
    <w:qFormat/>
    <w:uiPriority w:val="0"/>
    <w:pPr>
      <w:keepNext/>
      <w:keepLines/>
      <w:numPr>
        <w:ilvl w:val="3"/>
        <w:numId w:val="1"/>
      </w:numPr>
      <w:tabs>
        <w:tab w:val="left" w:pos="720"/>
        <w:tab w:val="left" w:pos="1021"/>
      </w:tabs>
      <w:adjustRightInd w:val="0"/>
      <w:spacing w:line="360" w:lineRule="auto"/>
      <w:ind w:left="0" w:firstLine="0" w:firstLineChars="0"/>
      <w:contextualSpacing/>
      <w:outlineLvl w:val="3"/>
    </w:pPr>
    <w:rPr>
      <w:rFonts w:eastAsia="宋体" w:cs="Times New Roman"/>
      <w:b/>
      <w:bCs/>
      <w:kern w:val="2"/>
      <w:szCs w:val="28"/>
    </w:rPr>
  </w:style>
  <w:style w:type="paragraph" w:styleId="6">
    <w:name w:val="heading 5"/>
    <w:basedOn w:val="1"/>
    <w:next w:val="1"/>
    <w:autoRedefine/>
    <w:unhideWhenUsed/>
    <w:qFormat/>
    <w:uiPriority w:val="9"/>
    <w:pPr>
      <w:keepNext/>
      <w:keepLines/>
      <w:spacing w:line="240" w:lineRule="auto"/>
      <w:ind w:firstLine="0" w:firstLineChars="0"/>
      <w:jc w:val="center"/>
      <w:outlineLvl w:val="4"/>
    </w:pPr>
    <w:rPr>
      <w:b/>
      <w:bCs/>
      <w:sz w:val="24"/>
      <w:szCs w:val="28"/>
    </w:rPr>
  </w:style>
  <w:style w:type="character" w:default="1" w:styleId="24">
    <w:name w:val="Default Paragraph Font"/>
    <w:autoRedefine/>
    <w:semiHidden/>
    <w:qFormat/>
    <w:uiPriority w:val="0"/>
  </w:style>
  <w:style w:type="table" w:default="1" w:styleId="22">
    <w:name w:val="Normal Table"/>
    <w:autoRedefine/>
    <w:semiHidden/>
    <w:qFormat/>
    <w:uiPriority w:val="0"/>
    <w:tblPr>
      <w:tblCellMar>
        <w:top w:w="0" w:type="dxa"/>
        <w:left w:w="108" w:type="dxa"/>
        <w:bottom w:w="0" w:type="dxa"/>
        <w:right w:w="108" w:type="dxa"/>
      </w:tblCellMar>
    </w:tblPr>
  </w:style>
  <w:style w:type="paragraph" w:styleId="7">
    <w:name w:val="List Bullet 4"/>
    <w:basedOn w:val="1"/>
    <w:autoRedefine/>
    <w:qFormat/>
    <w:uiPriority w:val="0"/>
    <w:pPr>
      <w:numPr>
        <w:ilvl w:val="0"/>
        <w:numId w:val="2"/>
      </w:numPr>
    </w:pPr>
  </w:style>
  <w:style w:type="paragraph" w:styleId="8">
    <w:name w:val="Normal Indent"/>
    <w:basedOn w:val="1"/>
    <w:autoRedefine/>
    <w:qFormat/>
    <w:uiPriority w:val="99"/>
    <w:pPr>
      <w:ind w:firstLine="420"/>
    </w:pPr>
    <w:rPr>
      <w:sz w:val="28"/>
      <w:szCs w:val="20"/>
    </w:rPr>
  </w:style>
  <w:style w:type="paragraph" w:styleId="9">
    <w:name w:val="caption"/>
    <w:basedOn w:val="1"/>
    <w:next w:val="1"/>
    <w:autoRedefine/>
    <w:qFormat/>
    <w:uiPriority w:val="35"/>
    <w:pPr>
      <w:widowControl/>
      <w:spacing w:line="360" w:lineRule="auto"/>
      <w:ind w:firstLine="200" w:firstLineChars="200"/>
      <w:jc w:val="left"/>
    </w:pPr>
    <w:rPr>
      <w:rFonts w:ascii="Arial" w:hAnsi="Arial" w:eastAsia="黑体" w:cs="Times New Roman"/>
      <w:sz w:val="20"/>
      <w:szCs w:val="20"/>
    </w:rPr>
  </w:style>
  <w:style w:type="paragraph" w:styleId="10">
    <w:name w:val="annotation text"/>
    <w:basedOn w:val="1"/>
    <w:autoRedefine/>
    <w:qFormat/>
    <w:uiPriority w:val="99"/>
    <w:pPr>
      <w:jc w:val="left"/>
    </w:pPr>
  </w:style>
  <w:style w:type="paragraph" w:styleId="11">
    <w:name w:val="Body Text"/>
    <w:basedOn w:val="1"/>
    <w:autoRedefine/>
    <w:qFormat/>
    <w:uiPriority w:val="1"/>
    <w:pPr>
      <w:spacing w:after="120"/>
    </w:pPr>
  </w:style>
  <w:style w:type="paragraph" w:styleId="12">
    <w:name w:val="Body Text Indent"/>
    <w:basedOn w:val="1"/>
    <w:next w:val="13"/>
    <w:autoRedefine/>
    <w:unhideWhenUsed/>
    <w:qFormat/>
    <w:uiPriority w:val="99"/>
    <w:pPr>
      <w:ind w:firstLine="560"/>
    </w:pPr>
    <w:rPr>
      <w:rFonts w:ascii="Calibri" w:hAnsi="Calibri" w:cs="黑体"/>
      <w:szCs w:val="22"/>
    </w:rPr>
  </w:style>
  <w:style w:type="paragraph" w:customStyle="1" w:styleId="13">
    <w:name w:val="font5"/>
    <w:basedOn w:val="1"/>
    <w:autoRedefine/>
    <w:qFormat/>
    <w:uiPriority w:val="0"/>
    <w:pPr>
      <w:widowControl/>
      <w:spacing w:before="100" w:beforeAutospacing="1" w:after="100" w:afterAutospacing="1"/>
      <w:jc w:val="left"/>
    </w:pPr>
    <w:rPr>
      <w:rFonts w:ascii="宋体"/>
      <w:kern w:val="0"/>
      <w:sz w:val="18"/>
      <w:szCs w:val="18"/>
    </w:rPr>
  </w:style>
  <w:style w:type="paragraph" w:styleId="14">
    <w:name w:val="Plain Text"/>
    <w:basedOn w:val="1"/>
    <w:autoRedefine/>
    <w:qFormat/>
    <w:uiPriority w:val="0"/>
    <w:rPr>
      <w:rFonts w:ascii="宋体" w:hAnsi="Courier New"/>
      <w:sz w:val="30"/>
    </w:rPr>
  </w:style>
  <w:style w:type="paragraph" w:styleId="15">
    <w:name w:val="Body Text Indent 2"/>
    <w:basedOn w:val="1"/>
    <w:autoRedefine/>
    <w:qFormat/>
    <w:uiPriority w:val="0"/>
    <w:pPr>
      <w:ind w:left="200" w:leftChars="200"/>
    </w:pPr>
  </w:style>
  <w:style w:type="paragraph" w:styleId="16">
    <w:name w:val="footer"/>
    <w:basedOn w:val="1"/>
    <w:autoRedefine/>
    <w:qFormat/>
    <w:uiPriority w:val="0"/>
    <w:pPr>
      <w:tabs>
        <w:tab w:val="center" w:pos="4153"/>
        <w:tab w:val="right" w:pos="8306"/>
      </w:tabs>
      <w:snapToGrid w:val="0"/>
      <w:jc w:val="left"/>
    </w:pPr>
    <w:rPr>
      <w:sz w:val="18"/>
      <w:szCs w:val="18"/>
    </w:rPr>
  </w:style>
  <w:style w:type="paragraph" w:styleId="17">
    <w:name w:val="toc 1"/>
    <w:basedOn w:val="1"/>
    <w:next w:val="1"/>
    <w:autoRedefine/>
    <w:qFormat/>
    <w:uiPriority w:val="0"/>
  </w:style>
  <w:style w:type="paragraph" w:styleId="18">
    <w:name w:val="toc 2"/>
    <w:basedOn w:val="1"/>
    <w:next w:val="1"/>
    <w:autoRedefine/>
    <w:unhideWhenUsed/>
    <w:qFormat/>
    <w:uiPriority w:val="39"/>
    <w:pPr>
      <w:ind w:left="420" w:leftChars="200"/>
    </w:pPr>
  </w:style>
  <w:style w:type="paragraph" w:styleId="19">
    <w:name w:val="Normal (Web)"/>
    <w:basedOn w:val="1"/>
    <w:autoRedefine/>
    <w:qFormat/>
    <w:uiPriority w:val="0"/>
    <w:pPr>
      <w:widowControl/>
      <w:spacing w:before="100" w:beforeAutospacing="1" w:after="100" w:afterAutospacing="1"/>
      <w:jc w:val="left"/>
    </w:pPr>
    <w:rPr>
      <w:rFonts w:ascii="宋体" w:hAnsi="宋体"/>
      <w:kern w:val="0"/>
      <w:sz w:val="24"/>
    </w:rPr>
  </w:style>
  <w:style w:type="paragraph" w:styleId="20">
    <w:name w:val="Body Text First Indent"/>
    <w:basedOn w:val="11"/>
    <w:next w:val="1"/>
    <w:autoRedefine/>
    <w:qFormat/>
    <w:uiPriority w:val="0"/>
    <w:pPr>
      <w:ind w:firstLine="420" w:firstLineChars="100"/>
    </w:pPr>
  </w:style>
  <w:style w:type="paragraph" w:styleId="21">
    <w:name w:val="Body Text First Indent 2"/>
    <w:basedOn w:val="12"/>
    <w:next w:val="1"/>
    <w:autoRedefine/>
    <w:qFormat/>
    <w:uiPriority w:val="0"/>
    <w:pPr>
      <w:tabs>
        <w:tab w:val="left" w:pos="630"/>
      </w:tabs>
      <w:spacing w:after="120" w:line="240" w:lineRule="auto"/>
      <w:ind w:left="420" w:leftChars="200" w:firstLine="420"/>
    </w:pPr>
    <w:rPr>
      <w:rFonts w:ascii="Verdana" w:hAnsi="Verdana" w:eastAsia="宋体"/>
      <w:szCs w:val="24"/>
    </w:rPr>
  </w:style>
  <w:style w:type="table" w:styleId="23">
    <w:name w:val="Table Grid"/>
    <w:basedOn w:val="2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page number"/>
    <w:basedOn w:val="24"/>
    <w:autoRedefine/>
    <w:qFormat/>
    <w:uiPriority w:val="0"/>
  </w:style>
  <w:style w:type="character" w:styleId="26">
    <w:name w:val="Emphasis"/>
    <w:basedOn w:val="24"/>
    <w:autoRedefine/>
    <w:qFormat/>
    <w:uiPriority w:val="0"/>
    <w:rPr>
      <w:i/>
    </w:rPr>
  </w:style>
  <w:style w:type="character" w:styleId="27">
    <w:name w:val="annotation reference"/>
    <w:basedOn w:val="24"/>
    <w:autoRedefine/>
    <w:unhideWhenUsed/>
    <w:qFormat/>
    <w:uiPriority w:val="0"/>
    <w:rPr>
      <w:sz w:val="21"/>
      <w:szCs w:val="21"/>
    </w:rPr>
  </w:style>
  <w:style w:type="paragraph" w:customStyle="1" w:styleId="28">
    <w:name w:val="Default"/>
    <w:basedOn w:val="29"/>
    <w:next w:val="30"/>
    <w:autoRedefine/>
    <w:qFormat/>
    <w:uiPriority w:val="0"/>
    <w:pPr>
      <w:widowControl w:val="0"/>
      <w:autoSpaceDE w:val="0"/>
      <w:autoSpaceDN w:val="0"/>
      <w:adjustRightInd w:val="0"/>
    </w:pPr>
    <w:rPr>
      <w:rFonts w:ascii="仿宋" w:hAnsi="Times New Roman" w:eastAsia="仿宋" w:cs="仿宋"/>
      <w:color w:val="000000"/>
      <w:sz w:val="24"/>
      <w:szCs w:val="24"/>
      <w:lang w:val="en-US" w:eastAsia="zh-CN" w:bidi="ar-SA"/>
    </w:rPr>
  </w:style>
  <w:style w:type="paragraph" w:customStyle="1" w:styleId="29">
    <w:name w:val="纯文本1"/>
    <w:basedOn w:val="1"/>
    <w:autoRedefine/>
    <w:qFormat/>
    <w:uiPriority w:val="0"/>
    <w:pPr>
      <w:adjustRightInd w:val="0"/>
    </w:pPr>
    <w:rPr>
      <w:rFonts w:ascii="宋体" w:hAnsi="Courier New"/>
      <w:szCs w:val="20"/>
    </w:rPr>
  </w:style>
  <w:style w:type="paragraph" w:customStyle="1" w:styleId="30">
    <w:name w:val="样式 样式 首行缩进:  2 字符 + 首行缩进:  2 字符"/>
    <w:basedOn w:val="1"/>
    <w:next w:val="17"/>
    <w:autoRedefine/>
    <w:qFormat/>
    <w:uiPriority w:val="0"/>
    <w:pPr>
      <w:snapToGrid w:val="0"/>
      <w:spacing w:line="360" w:lineRule="auto"/>
      <w:ind w:firstLine="560" w:firstLineChars="200"/>
    </w:pPr>
    <w:rPr>
      <w:spacing w:val="0"/>
      <w:sz w:val="28"/>
    </w:rPr>
  </w:style>
  <w:style w:type="paragraph" w:customStyle="1" w:styleId="31">
    <w:name w:val="1"/>
    <w:basedOn w:val="32"/>
    <w:next w:val="12"/>
    <w:autoRedefine/>
    <w:qFormat/>
    <w:uiPriority w:val="99"/>
    <w:pPr>
      <w:spacing w:after="120" w:line="480" w:lineRule="auto"/>
      <w:ind w:firstLine="0" w:firstLineChars="0"/>
    </w:pPr>
    <w:rPr>
      <w:rFonts w:eastAsia="宋体"/>
      <w:sz w:val="21"/>
    </w:rPr>
  </w:style>
  <w:style w:type="paragraph" w:customStyle="1" w:styleId="32">
    <w:name w:val="正文 New New New"/>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3">
    <w:name w:val="样式 正文文本缩进 + 行距: 1.5 倍行距"/>
    <w:basedOn w:val="12"/>
    <w:autoRedefine/>
    <w:qFormat/>
    <w:uiPriority w:val="0"/>
    <w:pPr>
      <w:spacing w:line="360" w:lineRule="auto"/>
      <w:ind w:left="90" w:leftChars="32" w:firstLine="560"/>
    </w:pPr>
    <w:rPr>
      <w:rFonts w:cs="宋体"/>
    </w:rPr>
  </w:style>
  <w:style w:type="paragraph" w:customStyle="1" w:styleId="34">
    <w:name w:val="WPSOffice手动目录 1"/>
    <w:autoRedefine/>
    <w:qFormat/>
    <w:uiPriority w:val="0"/>
    <w:pPr>
      <w:ind w:leftChars="0"/>
    </w:pPr>
    <w:rPr>
      <w:rFonts w:asciiTheme="minorHAnsi" w:hAnsiTheme="minorHAnsi" w:eastAsiaTheme="minorEastAsia" w:cstheme="minorBidi"/>
      <w:sz w:val="20"/>
      <w:szCs w:val="20"/>
    </w:rPr>
  </w:style>
  <w:style w:type="paragraph" w:customStyle="1" w:styleId="35">
    <w:name w:val="WPSOffice手动目录 2"/>
    <w:autoRedefine/>
    <w:qFormat/>
    <w:uiPriority w:val="0"/>
    <w:pPr>
      <w:ind w:leftChars="200"/>
    </w:pPr>
    <w:rPr>
      <w:rFonts w:asciiTheme="minorHAnsi" w:hAnsiTheme="minorHAnsi" w:eastAsiaTheme="minorEastAsia" w:cstheme="minorBidi"/>
      <w:sz w:val="20"/>
      <w:szCs w:val="20"/>
    </w:rPr>
  </w:style>
  <w:style w:type="paragraph" w:customStyle="1" w:styleId="36">
    <w:name w:val="文本"/>
    <w:basedOn w:val="1"/>
    <w:next w:val="1"/>
    <w:autoRedefine/>
    <w:qFormat/>
    <w:uiPriority w:val="0"/>
    <w:pPr>
      <w:spacing w:line="360" w:lineRule="auto"/>
      <w:ind w:firstLine="720" w:firstLineChars="200"/>
    </w:pPr>
    <w:rPr>
      <w:sz w:val="21"/>
    </w:rPr>
  </w:style>
  <w:style w:type="paragraph" w:customStyle="1" w:styleId="37">
    <w:name w:val="段落"/>
    <w:basedOn w:val="1"/>
    <w:autoRedefine/>
    <w:qFormat/>
    <w:uiPriority w:val="0"/>
    <w:pPr>
      <w:tabs>
        <w:tab w:val="left" w:pos="1021"/>
      </w:tabs>
      <w:snapToGrid w:val="0"/>
      <w:ind w:firstLine="480"/>
    </w:pPr>
    <w:rPr>
      <w:kern w:val="0"/>
    </w:rPr>
  </w:style>
  <w:style w:type="paragraph" w:customStyle="1" w:styleId="38">
    <w:name w:val="表格文字"/>
    <w:basedOn w:val="20"/>
    <w:next w:val="1"/>
    <w:autoRedefine/>
    <w:qFormat/>
    <w:uiPriority w:val="0"/>
    <w:pPr>
      <w:adjustRightInd w:val="0"/>
      <w:spacing w:line="340" w:lineRule="exact"/>
      <w:ind w:firstLine="0" w:firstLineChars="0"/>
      <w:jc w:val="center"/>
    </w:pPr>
    <w:rPr>
      <w:kern w:val="0"/>
      <w:sz w:val="21"/>
      <w:szCs w:val="21"/>
    </w:rPr>
  </w:style>
  <w:style w:type="paragraph" w:customStyle="1" w:styleId="39">
    <w:name w:val="样式 标题 2H2He + 首行缩进:  0.5 字符"/>
    <w:basedOn w:val="3"/>
    <w:autoRedefine/>
    <w:qFormat/>
    <w:uiPriority w:val="0"/>
    <w:pPr>
      <w:keepNext w:val="0"/>
      <w:keepLines w:val="0"/>
      <w:tabs>
        <w:tab w:val="left" w:pos="648"/>
        <w:tab w:val="clear" w:pos="0"/>
      </w:tabs>
      <w:overflowPunct w:val="0"/>
      <w:autoSpaceDE w:val="0"/>
      <w:autoSpaceDN w:val="0"/>
      <w:adjustRightInd w:val="0"/>
      <w:spacing w:before="40" w:after="40" w:line="400" w:lineRule="exact"/>
      <w:ind w:firstLine="221" w:firstLineChars="50"/>
      <w:textAlignment w:val="baseline"/>
    </w:pPr>
    <w:rPr>
      <w:rFonts w:ascii="宋体" w:hAnsi="宋体" w:cs="宋体"/>
      <w:bCs w:val="0"/>
      <w:color w:val="000000"/>
      <w:kern w:val="32"/>
      <w:szCs w:val="20"/>
    </w:rPr>
  </w:style>
  <w:style w:type="paragraph" w:customStyle="1" w:styleId="40">
    <w:name w:val="模板正文"/>
    <w:basedOn w:val="1"/>
    <w:autoRedefine/>
    <w:qFormat/>
    <w:uiPriority w:val="0"/>
    <w:pPr>
      <w:spacing w:line="360" w:lineRule="auto"/>
      <w:ind w:firstLine="200" w:firstLineChars="200"/>
    </w:pPr>
    <w:rPr>
      <w:rFonts w:ascii="Times New Roman" w:hAnsi="Times New Roman" w:eastAsia="宋体"/>
      <w:sz w:val="28"/>
    </w:rPr>
  </w:style>
  <w:style w:type="paragraph" w:customStyle="1" w:styleId="41">
    <w:name w:val="6正文"/>
    <w:basedOn w:val="1"/>
    <w:autoRedefine/>
    <w:qFormat/>
    <w:uiPriority w:val="0"/>
    <w:pPr>
      <w:spacing w:line="360" w:lineRule="auto"/>
      <w:ind w:firstLine="200" w:firstLineChars="200"/>
    </w:pPr>
    <w:rPr>
      <w:rFonts w:ascii="Times New Roman" w:hAnsi="Times New Roman" w:eastAsia="仿宋_GB2312" w:cs="Times New Roman"/>
      <w:sz w:val="28"/>
      <w:szCs w:val="28"/>
    </w:rPr>
  </w:style>
  <w:style w:type="table" w:customStyle="1" w:styleId="42">
    <w:name w:val="Table Normal"/>
    <w:autoRedefine/>
    <w:unhideWhenUsed/>
    <w:qFormat/>
    <w:uiPriority w:val="0"/>
    <w:tblPr>
      <w:tblCellMar>
        <w:top w:w="0" w:type="dxa"/>
        <w:left w:w="0" w:type="dxa"/>
        <w:bottom w:w="0" w:type="dxa"/>
        <w:right w:w="0" w:type="dxa"/>
      </w:tblCellMar>
    </w:tblPr>
  </w:style>
  <w:style w:type="paragraph" w:customStyle="1" w:styleId="43">
    <w:name w:val="Table Text"/>
    <w:basedOn w:val="1"/>
    <w:autoRedefine/>
    <w:semiHidden/>
    <w:qFormat/>
    <w:uiPriority w:val="0"/>
    <w:rPr>
      <w:rFonts w:ascii="微软雅黑" w:hAnsi="微软雅黑" w:eastAsia="微软雅黑" w:cs="微软雅黑"/>
      <w:sz w:val="24"/>
      <w:szCs w:val="24"/>
      <w:lang w:val="en-US" w:eastAsia="en-US" w:bidi="ar-SA"/>
    </w:rPr>
  </w:style>
  <w:style w:type="paragraph" w:customStyle="1" w:styleId="44">
    <w:name w:val="样式 正文首行缩进:  2 字符 + 首行缩进:  2 字符"/>
    <w:basedOn w:val="1"/>
    <w:autoRedefine/>
    <w:qFormat/>
    <w:uiPriority w:val="0"/>
    <w:pPr>
      <w:spacing w:line="360" w:lineRule="auto"/>
      <w:ind w:firstLine="480" w:firstLineChars="200"/>
    </w:pPr>
    <w:rPr>
      <w:rFonts w:cs="宋体"/>
      <w:sz w:val="24"/>
    </w:rPr>
  </w:style>
  <w:style w:type="paragraph" w:customStyle="1" w:styleId="45">
    <w:name w:val="Table Paragraph"/>
    <w:basedOn w:val="1"/>
    <w:autoRedefine/>
    <w:qFormat/>
    <w:uiPriority w:val="1"/>
    <w:pPr>
      <w:jc w:val="left"/>
    </w:pPr>
    <w:rPr>
      <w:rFonts w:ascii="Calibri" w:hAnsi="Calibri"/>
      <w:kern w:val="0"/>
      <w:sz w:val="22"/>
      <w:szCs w:val="22"/>
      <w:lang w:eastAsia="en-US"/>
    </w:rPr>
  </w:style>
  <w:style w:type="paragraph" w:customStyle="1" w:styleId="46">
    <w:name w:val="表格名称2"/>
    <w:basedOn w:val="1"/>
    <w:autoRedefine/>
    <w:qFormat/>
    <w:uiPriority w:val="0"/>
    <w:pPr>
      <w:widowControl/>
      <w:spacing w:line="240" w:lineRule="auto"/>
      <w:ind w:firstLine="0" w:firstLineChars="0"/>
      <w:jc w:val="center"/>
    </w:pPr>
    <w:rPr>
      <w:rFonts w:hint="eastAsia" w:ascii="Times New Roman" w:hAnsi="Times New Roman" w:eastAsia="宋体"/>
      <w:b/>
      <w:color w:val="auto"/>
      <w:kern w:val="0"/>
      <w:sz w:val="22"/>
      <w:szCs w:val="20"/>
      <w:u w:val="none" w:color="auto"/>
    </w:rPr>
  </w:style>
  <w:style w:type="paragraph" w:styleId="47">
    <w:name w:val="No Spacing"/>
    <w:next w:val="6"/>
    <w:autoRedefine/>
    <w:qFormat/>
    <w:uiPriority w:val="1"/>
    <w:pPr>
      <w:widowControl w:val="0"/>
      <w:jc w:val="center"/>
      <w:outlineLvl w:val="4"/>
    </w:pPr>
    <w:rPr>
      <w:rFonts w:ascii="Times New Roman" w:hAnsi="Times New Roman" w:eastAsia="仿宋" w:cs="Times New Roman"/>
      <w:b/>
      <w:kern w:val="2"/>
      <w:sz w:val="24"/>
      <w:szCs w:val="22"/>
      <w:lang w:val="en-US" w:eastAsia="zh-CN" w:bidi="ar-SA"/>
    </w:rPr>
  </w:style>
  <w:style w:type="paragraph" w:customStyle="1" w:styleId="48">
    <w:name w:val="表头"/>
    <w:basedOn w:val="8"/>
    <w:next w:val="1"/>
    <w:autoRedefine/>
    <w:qFormat/>
    <w:uiPriority w:val="0"/>
    <w:pPr>
      <w:tabs>
        <w:tab w:val="center" w:pos="4817"/>
        <w:tab w:val="left" w:pos="7950"/>
      </w:tabs>
      <w:adjustRightInd w:val="0"/>
      <w:snapToGrid w:val="0"/>
      <w:ind w:firstLine="238" w:firstLineChars="0"/>
      <w:jc w:val="center"/>
    </w:pPr>
    <w:rPr>
      <w:b/>
      <w:color w:val="000000"/>
    </w:rPr>
  </w:style>
  <w:style w:type="paragraph" w:customStyle="1" w:styleId="49">
    <w:name w:val="表格内格式"/>
    <w:basedOn w:val="50"/>
    <w:next w:val="1"/>
    <w:autoRedefine/>
    <w:qFormat/>
    <w:uiPriority w:val="0"/>
    <w:pPr>
      <w:widowControl/>
      <w:spacing w:line="360" w:lineRule="exact"/>
    </w:pPr>
    <w:rPr>
      <w:kern w:val="0"/>
      <w:szCs w:val="20"/>
    </w:rPr>
  </w:style>
  <w:style w:type="paragraph" w:customStyle="1" w:styleId="50">
    <w:name w:val="表格内容"/>
    <w:basedOn w:val="1"/>
    <w:next w:val="1"/>
    <w:autoRedefine/>
    <w:qFormat/>
    <w:uiPriority w:val="0"/>
    <w:pPr>
      <w:spacing w:line="240" w:lineRule="auto"/>
      <w:ind w:firstLine="0" w:firstLineChars="0"/>
      <w:jc w:val="center"/>
    </w:pPr>
    <w:rPr>
      <w:sz w:val="21"/>
      <w:szCs w:val="22"/>
    </w:rPr>
  </w:style>
  <w:style w:type="paragraph" w:customStyle="1" w:styleId="51">
    <w:name w:val="正文 表格  居中"/>
    <w:basedOn w:val="1"/>
    <w:next w:val="1"/>
    <w:autoRedefine/>
    <w:qFormat/>
    <w:uiPriority w:val="0"/>
    <w:pPr>
      <w:spacing w:line="240" w:lineRule="auto"/>
      <w:ind w:firstLine="0" w:firstLineChars="0"/>
      <w:jc w:val="center"/>
    </w:pPr>
    <w:rPr>
      <w:rFonts w:ascii="Times New Roman" w:hAnsi="Times New Roman" w:eastAsia="宋体"/>
      <w:sz w:val="21"/>
    </w:rPr>
  </w:style>
  <w:style w:type="paragraph" w:customStyle="1" w:styleId="52">
    <w:name w:val="样式3"/>
    <w:basedOn w:val="4"/>
    <w:autoRedefine/>
    <w:qFormat/>
    <w:uiPriority w:val="0"/>
    <w:rPr>
      <w:szCs w:val="24"/>
    </w:rPr>
  </w:style>
  <w:style w:type="paragraph" w:customStyle="1" w:styleId="53">
    <w:name w:val="表格文字C"/>
    <w:basedOn w:val="1"/>
    <w:autoRedefine/>
    <w:qFormat/>
    <w:uiPriority w:val="0"/>
    <w:pPr>
      <w:ind w:firstLine="0" w:firstLineChars="0"/>
      <w:jc w:val="center"/>
    </w:pPr>
    <w:rPr>
      <w:rFonts w:ascii="Times New Roman" w:hAnsi="Times New Roman"/>
      <w:kern w:val="28"/>
      <w:sz w:val="21"/>
    </w:rPr>
  </w:style>
  <w:style w:type="paragraph" w:customStyle="1" w:styleId="54">
    <w:name w:val="xl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sz w:val="24"/>
    </w:rPr>
  </w:style>
  <w:style w:type="paragraph" w:styleId="55">
    <w:name w:val="List Paragraph"/>
    <w:basedOn w:val="1"/>
    <w:autoRedefine/>
    <w:qFormat/>
    <w:uiPriority w:val="34"/>
    <w:pPr>
      <w:ind w:firstLine="420" w:firstLineChars="200"/>
    </w:pPr>
  </w:style>
  <w:style w:type="character" w:customStyle="1" w:styleId="56">
    <w:name w:val="font21"/>
    <w:basedOn w:val="24"/>
    <w:autoRedefine/>
    <w:qFormat/>
    <w:uiPriority w:val="0"/>
    <w:rPr>
      <w:rFonts w:hint="default" w:ascii="Times New Roman" w:hAnsi="Times New Roman" w:cs="Times New Roman"/>
      <w:color w:val="000000"/>
      <w:sz w:val="24"/>
      <w:szCs w:val="24"/>
      <w:u w:val="none"/>
    </w:rPr>
  </w:style>
  <w:style w:type="character" w:customStyle="1" w:styleId="57">
    <w:name w:val="16"/>
    <w:basedOn w:val="24"/>
    <w:autoRedefine/>
    <w:qFormat/>
    <w:uiPriority w:val="0"/>
    <w:rPr>
      <w:rFonts w:hint="eastAsia" w:ascii="宋体" w:hAnsi="宋体" w:eastAsia="宋体"/>
      <w:color w:val="000000"/>
      <w:sz w:val="20"/>
      <w:szCs w:val="20"/>
    </w:rPr>
  </w:style>
  <w:style w:type="character" w:customStyle="1" w:styleId="58">
    <w:name w:val="15"/>
    <w:basedOn w:val="24"/>
    <w:autoRedefine/>
    <w:qFormat/>
    <w:uiPriority w:val="0"/>
    <w:rPr>
      <w:rFonts w:hint="eastAsia" w:ascii="宋体" w:hAnsi="宋体" w:eastAsia="宋体"/>
      <w:color w:val="000000"/>
      <w:sz w:val="24"/>
      <w:szCs w:val="24"/>
    </w:rPr>
  </w:style>
  <w:style w:type="character" w:customStyle="1" w:styleId="59">
    <w:name w:val="font41"/>
    <w:basedOn w:val="24"/>
    <w:autoRedefine/>
    <w:qFormat/>
    <w:uiPriority w:val="0"/>
    <w:rPr>
      <w:rFonts w:hint="eastAsia" w:ascii="宋体" w:hAnsi="宋体" w:eastAsia="宋体" w:cs="宋体"/>
      <w:color w:val="000000"/>
      <w:sz w:val="20"/>
      <w:szCs w:val="20"/>
      <w:u w:val="none"/>
    </w:rPr>
  </w:style>
  <w:style w:type="paragraph" w:customStyle="1" w:styleId="60">
    <w:name w:val="5级标题 New New"/>
    <w:basedOn w:val="1"/>
    <w:next w:val="1"/>
    <w:autoRedefine/>
    <w:qFormat/>
    <w:uiPriority w:val="0"/>
    <w:pPr>
      <w:keepNext/>
      <w:keepLines/>
      <w:numPr>
        <w:ilvl w:val="0"/>
        <w:numId w:val="3"/>
      </w:numPr>
      <w:tabs>
        <w:tab w:val="left" w:pos="0"/>
      </w:tabs>
      <w:spacing w:before="280" w:line="372" w:lineRule="auto"/>
      <w:outlineLvl w:val="4"/>
    </w:pPr>
    <w:rPr>
      <w:rFonts w:ascii="Calibri" w:hAnsi="Calibri" w:cs="Times New Roman"/>
      <w:bCs/>
      <w:sz w:val="24"/>
      <w:szCs w:val="28"/>
    </w:rPr>
  </w:style>
  <w:style w:type="character" w:customStyle="1" w:styleId="61">
    <w:name w:val="font81"/>
    <w:basedOn w:val="24"/>
    <w:autoRedefine/>
    <w:qFormat/>
    <w:uiPriority w:val="0"/>
    <w:rPr>
      <w:rFonts w:hint="default" w:ascii="Courier New" w:hAnsi="Courier New" w:eastAsia="Courier New" w:cs="Calibri Light"/>
      <w:color w:val="0000FF"/>
      <w:sz w:val="18"/>
      <w:szCs w:val="18"/>
      <w:u w:val="none"/>
    </w:rPr>
  </w:style>
  <w:style w:type="character" w:customStyle="1" w:styleId="62">
    <w:name w:val="font91"/>
    <w:basedOn w:val="24"/>
    <w:autoRedefine/>
    <w:qFormat/>
    <w:uiPriority w:val="0"/>
    <w:rPr>
      <w:rFonts w:hint="default" w:ascii="Courier New" w:hAnsi="Courier New" w:eastAsia="Courier New" w:cs="Calibri Light"/>
      <w:color w:val="0000FF"/>
      <w:sz w:val="20"/>
      <w:szCs w:val="20"/>
      <w:u w:val="none"/>
    </w:rPr>
  </w:style>
  <w:style w:type="character" w:customStyle="1" w:styleId="63">
    <w:name w:val="font61"/>
    <w:basedOn w:val="24"/>
    <w:autoRedefine/>
    <w:qFormat/>
    <w:uiPriority w:val="0"/>
    <w:rPr>
      <w:rFonts w:hint="default" w:ascii="Times New Roman" w:hAnsi="Times New Roman" w:cs="Times New Roman"/>
      <w:color w:val="000000"/>
      <w:sz w:val="20"/>
      <w:szCs w:val="20"/>
      <w:u w:val="none"/>
    </w:rPr>
  </w:style>
  <w:style w:type="character" w:customStyle="1" w:styleId="64">
    <w:name w:val="font51"/>
    <w:basedOn w:val="24"/>
    <w:autoRedefine/>
    <w:qFormat/>
    <w:uiPriority w:val="0"/>
    <w:rPr>
      <w:rFonts w:hint="default" w:ascii="Calibri Light" w:hAnsi="Calibri Light" w:cs="Calibri Light"/>
      <w:color w:val="000000"/>
      <w:sz w:val="18"/>
      <w:szCs w:val="18"/>
      <w:u w:val="none"/>
    </w:rPr>
  </w:style>
  <w:style w:type="paragraph" w:customStyle="1" w:styleId="65">
    <w:name w:val="！正文"/>
    <w:basedOn w:val="1"/>
    <w:autoRedefine/>
    <w:qFormat/>
    <w:uiPriority w:val="0"/>
    <w:rPr>
      <w:kern w:val="0"/>
      <w:szCs w:val="20"/>
    </w:rPr>
  </w:style>
  <w:style w:type="paragraph" w:customStyle="1" w:styleId="66">
    <w:name w:val="正文hh"/>
    <w:basedOn w:val="1"/>
    <w:autoRedefine/>
    <w:qFormat/>
    <w:uiPriority w:val="0"/>
    <w:pPr>
      <w:ind w:firstLine="402"/>
    </w:pPr>
    <w:rPr>
      <w:rFonts w:hAnsi="宋体"/>
      <w:kern w:val="0"/>
      <w:szCs w:val="24"/>
    </w:rPr>
  </w:style>
  <w:style w:type="paragraph" w:customStyle="1" w:styleId="67">
    <w:name w:val="Char Char Char1 Char"/>
    <w:basedOn w:val="1"/>
    <w:autoRedefine/>
    <w:qFormat/>
    <w:uiPriority w:val="0"/>
    <w:pPr>
      <w:spacing w:afterLines="20"/>
    </w:pPr>
    <w:rPr>
      <w:rFonts w:cs="Times New Roman"/>
      <w:sz w:val="24"/>
      <w:szCs w:val="24"/>
    </w:rPr>
  </w:style>
  <w:style w:type="paragraph" w:customStyle="1" w:styleId="68">
    <w:name w:val="陈正文"/>
    <w:basedOn w:val="1"/>
    <w:autoRedefine/>
    <w:qFormat/>
    <w:uiPriority w:val="0"/>
    <w:pPr>
      <w:snapToGrid w:val="0"/>
      <w:spacing w:line="360" w:lineRule="auto"/>
      <w:ind w:firstLine="200" w:firstLineChars="200"/>
    </w:pPr>
    <w:rPr>
      <w:rFonts w:ascii="宋体" w:hAnsi="宋体"/>
      <w:szCs w:val="24"/>
      <w:lang w:val="zh-CN" w:eastAsia="zh-CN"/>
    </w:rPr>
  </w:style>
  <w:style w:type="character" w:customStyle="1" w:styleId="69">
    <w:name w:val="font11"/>
    <w:basedOn w:val="24"/>
    <w:autoRedefine/>
    <w:qFormat/>
    <w:uiPriority w:val="0"/>
    <w:rPr>
      <w:rFonts w:hint="default" w:ascii="Times New Roman" w:hAnsi="Times New Roman" w:cs="Times New Roman"/>
      <w:b/>
      <w:bCs/>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77.png"/><Relationship Id="rId98" Type="http://schemas.openxmlformats.org/officeDocument/2006/relationships/image" Target="media/image76.png"/><Relationship Id="rId97" Type="http://schemas.openxmlformats.org/officeDocument/2006/relationships/image" Target="media/image75.png"/><Relationship Id="rId96" Type="http://schemas.openxmlformats.org/officeDocument/2006/relationships/image" Target="media/image74.png"/><Relationship Id="rId95" Type="http://schemas.openxmlformats.org/officeDocument/2006/relationships/image" Target="media/image73.png"/><Relationship Id="rId94" Type="http://schemas.openxmlformats.org/officeDocument/2006/relationships/image" Target="media/image72.png"/><Relationship Id="rId93" Type="http://schemas.openxmlformats.org/officeDocument/2006/relationships/image" Target="media/image71.png"/><Relationship Id="rId92" Type="http://schemas.openxmlformats.org/officeDocument/2006/relationships/image" Target="media/image70.png"/><Relationship Id="rId91" Type="http://schemas.openxmlformats.org/officeDocument/2006/relationships/image" Target="media/image69.png"/><Relationship Id="rId90" Type="http://schemas.openxmlformats.org/officeDocument/2006/relationships/image" Target="media/image68.png"/><Relationship Id="rId9" Type="http://schemas.openxmlformats.org/officeDocument/2006/relationships/footer" Target="footer4.xml"/><Relationship Id="rId89" Type="http://schemas.openxmlformats.org/officeDocument/2006/relationships/image" Target="media/image67.jpe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jpeg"/><Relationship Id="rId85" Type="http://schemas.openxmlformats.org/officeDocument/2006/relationships/image" Target="media/image63.jpeg"/><Relationship Id="rId84" Type="http://schemas.openxmlformats.org/officeDocument/2006/relationships/image" Target="media/image62.jpeg"/><Relationship Id="rId83" Type="http://schemas.openxmlformats.org/officeDocument/2006/relationships/image" Target="media/image61.jpeg"/><Relationship Id="rId82" Type="http://schemas.openxmlformats.org/officeDocument/2006/relationships/image" Target="media/image60.jpeg"/><Relationship Id="rId81" Type="http://schemas.openxmlformats.org/officeDocument/2006/relationships/image" Target="media/image59.jpeg"/><Relationship Id="rId80" Type="http://schemas.openxmlformats.org/officeDocument/2006/relationships/image" Target="media/image58.jpeg"/><Relationship Id="rId8" Type="http://schemas.openxmlformats.org/officeDocument/2006/relationships/footer" Target="footer3.xml"/><Relationship Id="rId79" Type="http://schemas.openxmlformats.org/officeDocument/2006/relationships/image" Target="media/image57.jpeg"/><Relationship Id="rId78" Type="http://schemas.openxmlformats.org/officeDocument/2006/relationships/image" Target="media/image56.jpeg"/><Relationship Id="rId77" Type="http://schemas.openxmlformats.org/officeDocument/2006/relationships/image" Target="media/image55.jpeg"/><Relationship Id="rId76" Type="http://schemas.openxmlformats.org/officeDocument/2006/relationships/image" Target="media/image54.jpeg"/><Relationship Id="rId75" Type="http://schemas.openxmlformats.org/officeDocument/2006/relationships/image" Target="media/image53.jpeg"/><Relationship Id="rId74" Type="http://schemas.openxmlformats.org/officeDocument/2006/relationships/image" Target="media/image52.jpeg"/><Relationship Id="rId73" Type="http://schemas.openxmlformats.org/officeDocument/2006/relationships/image" Target="media/image51.jpeg"/><Relationship Id="rId72" Type="http://schemas.openxmlformats.org/officeDocument/2006/relationships/image" Target="media/image50.jpeg"/><Relationship Id="rId71" Type="http://schemas.openxmlformats.org/officeDocument/2006/relationships/image" Target="media/image49.jpeg"/><Relationship Id="rId70" Type="http://schemas.openxmlformats.org/officeDocument/2006/relationships/image" Target="media/image48.jpeg"/><Relationship Id="rId7" Type="http://schemas.openxmlformats.org/officeDocument/2006/relationships/footer" Target="footer2.xml"/><Relationship Id="rId69" Type="http://schemas.openxmlformats.org/officeDocument/2006/relationships/image" Target="media/image47.jpeg"/><Relationship Id="rId68" Type="http://schemas.openxmlformats.org/officeDocument/2006/relationships/image" Target="media/image46.jpeg"/><Relationship Id="rId67" Type="http://schemas.openxmlformats.org/officeDocument/2006/relationships/image" Target="media/image45.jpeg"/><Relationship Id="rId66" Type="http://schemas.openxmlformats.org/officeDocument/2006/relationships/image" Target="media/image44.jpeg"/><Relationship Id="rId65" Type="http://schemas.openxmlformats.org/officeDocument/2006/relationships/image" Target="media/image43.jpeg"/><Relationship Id="rId64" Type="http://schemas.openxmlformats.org/officeDocument/2006/relationships/image" Target="media/image42.jpeg"/><Relationship Id="rId63" Type="http://schemas.openxmlformats.org/officeDocument/2006/relationships/image" Target="media/image41.jpeg"/><Relationship Id="rId62" Type="http://schemas.openxmlformats.org/officeDocument/2006/relationships/image" Target="media/image40.jpeg"/><Relationship Id="rId61" Type="http://schemas.openxmlformats.org/officeDocument/2006/relationships/image" Target="media/image39.jpeg"/><Relationship Id="rId60" Type="http://schemas.openxmlformats.org/officeDocument/2006/relationships/image" Target="media/image38.jpeg"/><Relationship Id="rId6" Type="http://schemas.openxmlformats.org/officeDocument/2006/relationships/footer" Target="footer1.xml"/><Relationship Id="rId59" Type="http://schemas.openxmlformats.org/officeDocument/2006/relationships/image" Target="media/image37.jpeg"/><Relationship Id="rId58" Type="http://schemas.openxmlformats.org/officeDocument/2006/relationships/image" Target="media/image36.jpeg"/><Relationship Id="rId57" Type="http://schemas.openxmlformats.org/officeDocument/2006/relationships/image" Target="media/image35.jpeg"/><Relationship Id="rId56" Type="http://schemas.openxmlformats.org/officeDocument/2006/relationships/image" Target="media/image34.jpeg"/><Relationship Id="rId55" Type="http://schemas.openxmlformats.org/officeDocument/2006/relationships/image" Target="media/image33.jpeg"/><Relationship Id="rId54" Type="http://schemas.openxmlformats.org/officeDocument/2006/relationships/image" Target="media/image32.jpeg"/><Relationship Id="rId53" Type="http://schemas.openxmlformats.org/officeDocument/2006/relationships/image" Target="media/image31.jpeg"/><Relationship Id="rId52" Type="http://schemas.openxmlformats.org/officeDocument/2006/relationships/image" Target="media/image30.jpeg"/><Relationship Id="rId51" Type="http://schemas.openxmlformats.org/officeDocument/2006/relationships/image" Target="media/image29.jpeg"/><Relationship Id="rId50" Type="http://schemas.openxmlformats.org/officeDocument/2006/relationships/image" Target="media/image28.jpeg"/><Relationship Id="rId5" Type="http://schemas.openxmlformats.org/officeDocument/2006/relationships/header" Target="header3.xml"/><Relationship Id="rId49" Type="http://schemas.openxmlformats.org/officeDocument/2006/relationships/image" Target="media/image27.jpeg"/><Relationship Id="rId48" Type="http://schemas.openxmlformats.org/officeDocument/2006/relationships/image" Target="media/image26.jpeg"/><Relationship Id="rId47" Type="http://schemas.openxmlformats.org/officeDocument/2006/relationships/image" Target="media/image25.png"/><Relationship Id="rId46" Type="http://schemas.openxmlformats.org/officeDocument/2006/relationships/image" Target="media/image24.jpeg"/><Relationship Id="rId45" Type="http://schemas.openxmlformats.org/officeDocument/2006/relationships/image" Target="media/image23.png"/><Relationship Id="rId44" Type="http://schemas.openxmlformats.org/officeDocument/2006/relationships/image" Target="media/image22.jpeg"/><Relationship Id="rId43" Type="http://schemas.openxmlformats.org/officeDocument/2006/relationships/image" Target="media/image21.emf"/><Relationship Id="rId42" Type="http://schemas.openxmlformats.org/officeDocument/2006/relationships/oleObject" Target="embeddings/oleObject3.bin"/><Relationship Id="rId41" Type="http://schemas.openxmlformats.org/officeDocument/2006/relationships/image" Target="media/image20.emf"/><Relationship Id="rId40" Type="http://schemas.openxmlformats.org/officeDocument/2006/relationships/oleObject" Target="embeddings/oleObject2.bin"/><Relationship Id="rId4" Type="http://schemas.openxmlformats.org/officeDocument/2006/relationships/header" Target="header2.xml"/><Relationship Id="rId39" Type="http://schemas.openxmlformats.org/officeDocument/2006/relationships/image" Target="media/image19.wmf"/><Relationship Id="rId38" Type="http://schemas.openxmlformats.org/officeDocument/2006/relationships/oleObject" Target="embeddings/oleObject1.bin"/><Relationship Id="rId37" Type="http://schemas.openxmlformats.org/officeDocument/2006/relationships/image" Target="media/image18.png"/><Relationship Id="rId36" Type="http://schemas.openxmlformats.org/officeDocument/2006/relationships/image" Target="file:///C:\Users\Administrator\AppData\Roaming\Tencent\Users\309425466\QQ\WinTemp\RichOle\A_WU%25252525252525252525252525252525252525252525252525255BTFF@9I%25252525252525252525252525252525252525252525252525255BNAG%252525252525252525252525252525252525252525252525252560ZYY78%25252525252525252525252525252525252525252525252525257BY.jpg" TargetMode="External"/><Relationship Id="rId35" Type="http://schemas.openxmlformats.org/officeDocument/2006/relationships/image" Target="media/image17.jpe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header" Target="header1.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wmf"/><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5" Type="http://schemas.openxmlformats.org/officeDocument/2006/relationships/fontTable" Target="fontTable.xml"/><Relationship Id="rId144" Type="http://schemas.openxmlformats.org/officeDocument/2006/relationships/numbering" Target="numbering.xml"/><Relationship Id="rId143" Type="http://schemas.openxmlformats.org/officeDocument/2006/relationships/customXml" Target="../customXml/item1.xml"/><Relationship Id="rId142" Type="http://schemas.openxmlformats.org/officeDocument/2006/relationships/image" Target="media/image119.png"/><Relationship Id="rId141" Type="http://schemas.openxmlformats.org/officeDocument/2006/relationships/image" Target="media/image118.png"/><Relationship Id="rId140" Type="http://schemas.openxmlformats.org/officeDocument/2006/relationships/image" Target="media/image117.png"/><Relationship Id="rId14" Type="http://schemas.openxmlformats.org/officeDocument/2006/relationships/footer" Target="footer9.xml"/><Relationship Id="rId139" Type="http://schemas.openxmlformats.org/officeDocument/2006/relationships/image" Target="media/image116.png"/><Relationship Id="rId138" Type="http://schemas.openxmlformats.org/officeDocument/2006/relationships/image" Target="media/image115.jpeg"/><Relationship Id="rId137" Type="http://schemas.openxmlformats.org/officeDocument/2006/relationships/image" Target="media/image114.png"/><Relationship Id="rId136" Type="http://schemas.openxmlformats.org/officeDocument/2006/relationships/image" Target="media/image113.png"/><Relationship Id="rId135" Type="http://schemas.openxmlformats.org/officeDocument/2006/relationships/image" Target="media/image112.png"/><Relationship Id="rId134" Type="http://schemas.openxmlformats.org/officeDocument/2006/relationships/image" Target="media/image111.jpeg"/><Relationship Id="rId133" Type="http://schemas.openxmlformats.org/officeDocument/2006/relationships/image" Target="media/image110.jpeg"/><Relationship Id="rId132" Type="http://schemas.openxmlformats.org/officeDocument/2006/relationships/image" Target="media/image109.jpeg"/><Relationship Id="rId131" Type="http://schemas.openxmlformats.org/officeDocument/2006/relationships/image" Target="media/image108.png"/><Relationship Id="rId130" Type="http://schemas.openxmlformats.org/officeDocument/2006/relationships/image" Target="media/image107.jpeg"/><Relationship Id="rId13" Type="http://schemas.openxmlformats.org/officeDocument/2006/relationships/footer" Target="footer8.xml"/><Relationship Id="rId129" Type="http://schemas.openxmlformats.org/officeDocument/2006/relationships/image" Target="media/image106.jpeg"/><Relationship Id="rId128" Type="http://schemas.openxmlformats.org/officeDocument/2006/relationships/image" Target="media/image105.jpeg"/><Relationship Id="rId127" Type="http://schemas.openxmlformats.org/officeDocument/2006/relationships/image" Target="media/image104.jpeg"/><Relationship Id="rId126" Type="http://schemas.openxmlformats.org/officeDocument/2006/relationships/image" Target="media/image103.jpeg"/><Relationship Id="rId125" Type="http://schemas.openxmlformats.org/officeDocument/2006/relationships/image" Target="media/image102.jpeg"/><Relationship Id="rId124" Type="http://schemas.openxmlformats.org/officeDocument/2006/relationships/image" Target="media/image101.jpeg"/><Relationship Id="rId123" Type="http://schemas.openxmlformats.org/officeDocument/2006/relationships/image" Target="media/image100.jpeg"/><Relationship Id="rId122" Type="http://schemas.openxmlformats.org/officeDocument/2006/relationships/image" Target="media/image99.jpeg"/><Relationship Id="rId121" Type="http://schemas.openxmlformats.org/officeDocument/2006/relationships/image" Target="media/image98.jpeg"/><Relationship Id="rId120" Type="http://schemas.openxmlformats.org/officeDocument/2006/relationships/image" Target="media/image97.jpeg"/><Relationship Id="rId12" Type="http://schemas.openxmlformats.org/officeDocument/2006/relationships/footer" Target="footer7.xml"/><Relationship Id="rId119" Type="http://schemas.openxmlformats.org/officeDocument/2006/relationships/image" Target="media/image96.jpeg"/><Relationship Id="rId118" Type="http://schemas.openxmlformats.org/officeDocument/2006/relationships/image" Target="media/image95.jpeg"/><Relationship Id="rId117" Type="http://schemas.openxmlformats.org/officeDocument/2006/relationships/image" Target="media/image94.jpeg"/><Relationship Id="rId116" Type="http://schemas.openxmlformats.org/officeDocument/2006/relationships/image" Target="media/image93.jpeg"/><Relationship Id="rId115" Type="http://schemas.openxmlformats.org/officeDocument/2006/relationships/image" Target="media/image92.jpeg"/><Relationship Id="rId114" Type="http://schemas.openxmlformats.org/officeDocument/2006/relationships/image" Target="media/image91.jpeg"/><Relationship Id="rId113" Type="http://schemas.openxmlformats.org/officeDocument/2006/relationships/image" Target="media/image90.jpeg"/><Relationship Id="rId112" Type="http://schemas.openxmlformats.org/officeDocument/2006/relationships/image" Target="media/image89.jpeg"/><Relationship Id="rId111" Type="http://schemas.openxmlformats.org/officeDocument/2006/relationships/image" Target="media/image88.jpeg"/><Relationship Id="rId110" Type="http://schemas.openxmlformats.org/officeDocument/2006/relationships/image" Target="media/image87.jpeg"/><Relationship Id="rId11" Type="http://schemas.openxmlformats.org/officeDocument/2006/relationships/footer" Target="footer6.xml"/><Relationship Id="rId109" Type="http://schemas.openxmlformats.org/officeDocument/2006/relationships/image" Target="media/image86.jpeg"/><Relationship Id="rId108" Type="http://schemas.openxmlformats.org/officeDocument/2006/relationships/image" Target="media/image85.jpeg"/><Relationship Id="rId107" Type="http://schemas.openxmlformats.org/officeDocument/2006/relationships/image" Target="media/image84.jpeg"/><Relationship Id="rId106" Type="http://schemas.openxmlformats.org/officeDocument/2006/relationships/image" Target="media/image83.jpeg"/><Relationship Id="rId105" Type="http://schemas.openxmlformats.org/officeDocument/2006/relationships/image" Target="media/image82.jpeg"/><Relationship Id="rId104" Type="http://schemas.openxmlformats.org/officeDocument/2006/relationships/image" Target="media/image81.jpeg"/><Relationship Id="rId103" Type="http://schemas.openxmlformats.org/officeDocument/2006/relationships/image" Target="media/image80.jpeg"/><Relationship Id="rId102" Type="http://schemas.openxmlformats.org/officeDocument/2006/relationships/image" Target="media/image79.jpeg"/><Relationship Id="rId101" Type="http://schemas.openxmlformats.org/officeDocument/2006/relationships/chart" Target="charts/chart1.xml"/><Relationship Id="rId100" Type="http://schemas.openxmlformats.org/officeDocument/2006/relationships/image" Target="media/image78.jpeg"/><Relationship Id="rId10" Type="http://schemas.openxmlformats.org/officeDocument/2006/relationships/footer" Target="footer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H:\1&#8212;&#8212;123\&#20854;&#20182;&#39033;&#30446;\18&#8212;&#8212;&#32654;&#20029;&#28248;&#27743;-202312\7&#8212;&#8212;&#25253;&#21578;&#32534;&#20889;\&#21160;&#29289;&#21517;&#24405;-20240218.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804935533065299"/>
          <c:y val="0.0466898954703833"/>
          <c:w val="0.889005961458478"/>
          <c:h val="0.760882694541231"/>
        </c:manualLayout>
      </c:layout>
      <c:barChart>
        <c:barDir val="col"/>
        <c:grouping val="clustered"/>
        <c:varyColors val="0"/>
        <c:ser>
          <c:idx val="0"/>
          <c:order val="0"/>
          <c:tx>
            <c:strRef>
              <c:f>'[动物名录-20240218.xls]多样性指数'!$G$53</c:f>
              <c:strCache>
                <c:ptCount val="1"/>
                <c:pt idx="0">
                  <c:v>香农-威纳多样性指数</c:v>
                </c:pt>
              </c:strCache>
            </c:strRef>
          </c:tx>
          <c:spPr>
            <a:solidFill>
              <a:schemeClr val="accent1"/>
            </a:solidFill>
            <a:ln>
              <a:noFill/>
            </a:ln>
            <a:effectLst/>
          </c:spPr>
          <c:invertIfNegative val="0"/>
          <c:dLbls>
            <c:delete val="1"/>
          </c:dLbls>
          <c:cat>
            <c:strRef>
              <c:f>'[动物名录-20240218.xls]多样性指数'!$F$54:$F$60</c:f>
              <c:strCache>
                <c:ptCount val="7"/>
                <c:pt idx="0">
                  <c:v>整个评价区</c:v>
                </c:pt>
                <c:pt idx="1">
                  <c:v>森林生态系统</c:v>
                </c:pt>
                <c:pt idx="2">
                  <c:v>灌丛生态系统</c:v>
                </c:pt>
                <c:pt idx="3">
                  <c:v>草地生态系统</c:v>
                </c:pt>
                <c:pt idx="4">
                  <c:v>湿地生态系统</c:v>
                </c:pt>
                <c:pt idx="5">
                  <c:v>农田生态系统</c:v>
                </c:pt>
                <c:pt idx="6">
                  <c:v>城镇生态系统</c:v>
                </c:pt>
              </c:strCache>
            </c:strRef>
          </c:cat>
          <c:val>
            <c:numRef>
              <c:f>'[动物名录-20240218.xls]多样性指数'!$G$54:$G$60</c:f>
              <c:numCache>
                <c:formatCode>0.00_ </c:formatCode>
                <c:ptCount val="7"/>
                <c:pt idx="0">
                  <c:v>2.94872938484452</c:v>
                </c:pt>
                <c:pt idx="1">
                  <c:v>1.64366707355179</c:v>
                </c:pt>
                <c:pt idx="2">
                  <c:v>2.30481690629472</c:v>
                </c:pt>
                <c:pt idx="3">
                  <c:v>2.10626778700868</c:v>
                </c:pt>
                <c:pt idx="4">
                  <c:v>1.81056745532746</c:v>
                </c:pt>
                <c:pt idx="5">
                  <c:v>2.0653420234697</c:v>
                </c:pt>
                <c:pt idx="6">
                  <c:v>1.96389211954322</c:v>
                </c:pt>
              </c:numCache>
            </c:numRef>
          </c:val>
        </c:ser>
        <c:ser>
          <c:idx val="1"/>
          <c:order val="1"/>
          <c:tx>
            <c:strRef>
              <c:f>'[动物名录-20240218.xls]多样性指数'!$H$53</c:f>
              <c:strCache>
                <c:ptCount val="1"/>
                <c:pt idx="0">
                  <c:v>均匀度指数</c:v>
                </c:pt>
              </c:strCache>
            </c:strRef>
          </c:tx>
          <c:spPr>
            <a:solidFill>
              <a:schemeClr val="accent2"/>
            </a:solidFill>
            <a:ln>
              <a:noFill/>
            </a:ln>
            <a:effectLst/>
          </c:spPr>
          <c:invertIfNegative val="0"/>
          <c:dLbls>
            <c:delete val="1"/>
          </c:dLbls>
          <c:cat>
            <c:strRef>
              <c:f>'[动物名录-20240218.xls]多样性指数'!$F$54:$F$60</c:f>
              <c:strCache>
                <c:ptCount val="7"/>
                <c:pt idx="0">
                  <c:v>整个评价区</c:v>
                </c:pt>
                <c:pt idx="1">
                  <c:v>森林生态系统</c:v>
                </c:pt>
                <c:pt idx="2">
                  <c:v>灌丛生态系统</c:v>
                </c:pt>
                <c:pt idx="3">
                  <c:v>草地生态系统</c:v>
                </c:pt>
                <c:pt idx="4">
                  <c:v>湿地生态系统</c:v>
                </c:pt>
                <c:pt idx="5">
                  <c:v>农田生态系统</c:v>
                </c:pt>
                <c:pt idx="6">
                  <c:v>城镇生态系统</c:v>
                </c:pt>
              </c:strCache>
            </c:strRef>
          </c:cat>
          <c:val>
            <c:numRef>
              <c:f>'[动物名录-20240218.xls]多样性指数'!$H$54:$H$60</c:f>
              <c:numCache>
                <c:formatCode>0.00_ </c:formatCode>
                <c:ptCount val="7"/>
                <c:pt idx="0">
                  <c:v>0.799356395762951</c:v>
                </c:pt>
                <c:pt idx="1">
                  <c:v>0.622823557149255</c:v>
                </c:pt>
                <c:pt idx="2">
                  <c:v>0.85109829402595</c:v>
                </c:pt>
                <c:pt idx="3">
                  <c:v>0.914740477308442</c:v>
                </c:pt>
                <c:pt idx="4">
                  <c:v>0.824024760146494</c:v>
                </c:pt>
                <c:pt idx="5">
                  <c:v>0.939977663081486</c:v>
                </c:pt>
                <c:pt idx="6">
                  <c:v>0.74416425043314</c:v>
                </c:pt>
              </c:numCache>
            </c:numRef>
          </c:val>
        </c:ser>
        <c:ser>
          <c:idx val="2"/>
          <c:order val="2"/>
          <c:tx>
            <c:strRef>
              <c:f>'[动物名录-20240218.xls]多样性指数'!$I$53</c:f>
              <c:strCache>
                <c:ptCount val="1"/>
                <c:pt idx="0">
                  <c:v>优势度指数</c:v>
                </c:pt>
              </c:strCache>
            </c:strRef>
          </c:tx>
          <c:spPr>
            <a:solidFill>
              <a:schemeClr val="accent3"/>
            </a:solidFill>
            <a:ln>
              <a:noFill/>
            </a:ln>
            <a:effectLst/>
          </c:spPr>
          <c:invertIfNegative val="0"/>
          <c:dLbls>
            <c:delete val="1"/>
          </c:dLbls>
          <c:cat>
            <c:strRef>
              <c:f>'[动物名录-20240218.xls]多样性指数'!$F$54:$F$60</c:f>
              <c:strCache>
                <c:ptCount val="7"/>
                <c:pt idx="0">
                  <c:v>整个评价区</c:v>
                </c:pt>
                <c:pt idx="1">
                  <c:v>森林生态系统</c:v>
                </c:pt>
                <c:pt idx="2">
                  <c:v>灌丛生态系统</c:v>
                </c:pt>
                <c:pt idx="3">
                  <c:v>草地生态系统</c:v>
                </c:pt>
                <c:pt idx="4">
                  <c:v>湿地生态系统</c:v>
                </c:pt>
                <c:pt idx="5">
                  <c:v>农田生态系统</c:v>
                </c:pt>
                <c:pt idx="6">
                  <c:v>城镇生态系统</c:v>
                </c:pt>
              </c:strCache>
            </c:strRef>
          </c:cat>
          <c:val>
            <c:numRef>
              <c:f>'[动物名录-20240218.xls]多样性指数'!$I$54:$I$60</c:f>
              <c:numCache>
                <c:formatCode>0.00_ </c:formatCode>
                <c:ptCount val="7"/>
                <c:pt idx="0">
                  <c:v>0.9092471412519</c:v>
                </c:pt>
                <c:pt idx="1">
                  <c:v>0.681120242214533</c:v>
                </c:pt>
                <c:pt idx="2">
                  <c:v>0.860113421550095</c:v>
                </c:pt>
                <c:pt idx="3">
                  <c:v>0.860544217687075</c:v>
                </c:pt>
                <c:pt idx="4">
                  <c:v>0.784</c:v>
                </c:pt>
                <c:pt idx="5">
                  <c:v>0.862003780718336</c:v>
                </c:pt>
                <c:pt idx="6">
                  <c:v>0.776703156552237</c:v>
                </c:pt>
              </c:numCache>
            </c:numRef>
          </c:val>
        </c:ser>
        <c:dLbls>
          <c:showLegendKey val="0"/>
          <c:showVal val="0"/>
          <c:showCatName val="0"/>
          <c:showSerName val="0"/>
          <c:showPercent val="0"/>
          <c:showBubbleSize val="0"/>
        </c:dLbls>
        <c:gapWidth val="219"/>
        <c:overlap val="-27"/>
        <c:axId val="612227855"/>
        <c:axId val="59093730"/>
      </c:barChart>
      <c:catAx>
        <c:axId val="612227855"/>
        <c:scaling>
          <c:orientation val="minMax"/>
        </c:scaling>
        <c:delete val="0"/>
        <c:axPos val="b"/>
        <c:majorTickMark val="in"/>
        <c:minorTickMark val="none"/>
        <c:tickLblPos val="nextTo"/>
        <c:spPr>
          <a:noFill/>
          <a:ln w="9525" cap="flat" cmpd="sng" algn="ctr">
            <a:solidFill>
              <a:srgbClr val="000000"/>
            </a:solidFill>
            <a:prstDash val="solid"/>
            <a:round/>
          </a:ln>
          <a:effectLst/>
        </c:spPr>
        <c:txPr>
          <a:bodyPr rot="-60000000" spcFirstLastPara="0" vertOverflow="ellipsis" vert="horz" wrap="square" anchor="ctr" anchorCtr="1"/>
          <a:lstStyle/>
          <a:p>
            <a:pPr>
              <a:defRPr lang="zh-CN" sz="600" b="0" i="0" u="none" strike="noStrike" kern="1200" baseline="0">
                <a:solidFill>
                  <a:sysClr val="windowText" lastClr="000000"/>
                </a:solidFill>
                <a:latin typeface="+mn-lt"/>
                <a:ea typeface="+mn-ea"/>
                <a:cs typeface="+mn-cs"/>
              </a:defRPr>
            </a:pPr>
          </a:p>
        </c:txPr>
        <c:crossAx val="59093730"/>
        <c:crosses val="autoZero"/>
        <c:auto val="1"/>
        <c:lblAlgn val="ctr"/>
        <c:lblOffset val="100"/>
        <c:noMultiLvlLbl val="0"/>
      </c:catAx>
      <c:valAx>
        <c:axId val="59093730"/>
        <c:scaling>
          <c:orientation val="minMax"/>
        </c:scaling>
        <c:delete val="0"/>
        <c:axPos val="l"/>
        <c:majorGridlines>
          <c:spPr>
            <a:ln w="12700" cap="flat" cmpd="sng" algn="ctr">
              <a:solidFill>
                <a:schemeClr val="tx1">
                  <a:lumMod val="15000"/>
                  <a:lumOff val="85000"/>
                </a:schemeClr>
              </a:solidFill>
              <a:prstDash val="sysDot"/>
              <a:round/>
            </a:ln>
            <a:effectLst/>
          </c:spPr>
        </c:majorGridlines>
        <c:numFmt formatCode="0.00_ " sourceLinked="1"/>
        <c:majorTickMark val="in"/>
        <c:minorTickMark val="none"/>
        <c:tickLblPos val="nextTo"/>
        <c:spPr>
          <a:noFill/>
          <a:ln w="6350" cap="flat" cmpd="sng" algn="ctr">
            <a:solidFill>
              <a:srgbClr val="000000"/>
            </a:solidFill>
            <a:prstDash val="solid"/>
            <a:round/>
          </a:ln>
          <a:effectLst/>
        </c:spPr>
        <c:txPr>
          <a:bodyPr rot="-60000000" spcFirstLastPara="0"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12227855"/>
        <c:crosses val="autoZero"/>
        <c:crossBetween val="between"/>
      </c:valAx>
      <c:spPr>
        <a:noFill/>
        <a:ln>
          <a:noFill/>
        </a:ln>
        <a:effectLst/>
      </c:spPr>
    </c:plotArea>
    <c:legend>
      <c:legendPos val="r"/>
      <c:legendEntry>
        <c:idx val="0"/>
        <c:txPr>
          <a:bodyPr rot="0" spcFirstLastPara="0" vertOverflow="ellipsis" vert="horz" wrap="square" anchor="ctr" anchorCtr="1"/>
          <a:lstStyle/>
          <a:p>
            <a:pPr>
              <a:defRPr lang="zh-CN" sz="900" b="1" i="0" u="none" strike="noStrike" kern="1200" baseline="0">
                <a:solidFill>
                  <a:sysClr val="windowText" lastClr="000000"/>
                </a:solidFill>
                <a:latin typeface="+mn-lt"/>
                <a:ea typeface="+mn-ea"/>
                <a:cs typeface="+mn-cs"/>
              </a:defRPr>
            </a:pPr>
          </a:p>
        </c:txPr>
      </c:legendEntry>
      <c:legendEntry>
        <c:idx val="1"/>
        <c:txPr>
          <a:bodyPr rot="0" spcFirstLastPara="0" vertOverflow="ellipsis" vert="horz" wrap="square" anchor="ctr" anchorCtr="1"/>
          <a:lstStyle/>
          <a:p>
            <a:pPr>
              <a:defRPr lang="zh-CN" sz="900" b="1" i="0" u="none" strike="noStrike" kern="1200" baseline="0">
                <a:solidFill>
                  <a:sysClr val="windowText" lastClr="000000"/>
                </a:solidFill>
                <a:latin typeface="+mn-lt"/>
                <a:ea typeface="+mn-ea"/>
                <a:cs typeface="+mn-cs"/>
              </a:defRPr>
            </a:pPr>
          </a:p>
        </c:txPr>
      </c:legendEntry>
      <c:legendEntry>
        <c:idx val="2"/>
        <c:txPr>
          <a:bodyPr rot="0" spcFirstLastPara="0" vertOverflow="ellipsis" vert="horz" wrap="square" anchor="ctr" anchorCtr="1"/>
          <a:lstStyle/>
          <a:p>
            <a:pPr>
              <a:defRPr lang="zh-CN" sz="900" b="1" i="0" u="none" strike="noStrike" kern="1200" baseline="0">
                <a:solidFill>
                  <a:sysClr val="windowText" lastClr="000000"/>
                </a:solidFill>
                <a:latin typeface="+mn-lt"/>
                <a:ea typeface="+mn-ea"/>
                <a:cs typeface="+mn-cs"/>
              </a:defRPr>
            </a:pPr>
          </a:p>
        </c:txPr>
      </c:legendEntry>
      <c:layout>
        <c:manualLayout>
          <c:xMode val="edge"/>
          <c:yMode val="edge"/>
          <c:x val="0.20475"/>
          <c:y val="0.89425"/>
          <c:w val="0.58875"/>
          <c:h val="0.0705"/>
        </c:manualLayout>
      </c:layout>
      <c:overlay val="0"/>
      <c:spPr>
        <a:noFill/>
        <a:ln>
          <a:noFill/>
        </a:ln>
        <a:effectLst/>
      </c:spPr>
      <c:txPr>
        <a:bodyPr rot="0" spcFirstLastPara="0" vertOverflow="ellipsis" vert="horz" wrap="square" anchor="ctr" anchorCtr="1"/>
        <a:lstStyle/>
        <a:p>
          <a:pPr>
            <a:defRPr lang="zh-CN" sz="900" b="1" i="0" u="none" strike="noStrike" kern="1200" baseline="0">
              <a:solidFill>
                <a:sysClr val="windowText" lastClr="000000"/>
              </a:solidFill>
              <a:latin typeface="+mn-lt"/>
              <a:ea typeface="+mn-ea"/>
              <a:cs typeface="+mn-cs"/>
            </a:defRPr>
          </a:pPr>
        </a:p>
      </c:txPr>
    </c:legend>
    <c:plotVisOnly val="1"/>
    <c:dispBlanksAs val="gap"/>
    <c:showDLblsOverMax val="0"/>
  </c:chart>
  <c:spPr>
    <a:noFill/>
    <a:ln w="6350" cap="flat" cmpd="sng" algn="ctr">
      <a:noFill/>
      <a:prstDash val="solid"/>
      <a:round/>
    </a:ln>
  </c:spPr>
  <c:txPr>
    <a:bodyPr wrap="square"/>
    <a:lstStyle/>
    <a:p>
      <a:pPr>
        <a:defRPr lang="zh-CN"/>
      </a:pPr>
    </a:p>
  </c:txPr>
  <c:externalData r:id="rId1">
    <c:autoUpdate val="0"/>
  </c:externalData>
</c:chartSpac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216</Pages>
  <Words>130305</Words>
  <Characters>152450</Characters>
  <Lines>0</Lines>
  <Paragraphs>0</Paragraphs>
  <TotalTime>4</TotalTime>
  <ScaleCrop>false</ScaleCrop>
  <LinksUpToDate>false</LinksUpToDate>
  <CharactersWithSpaces>154167</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2023-12-29T09:52:00Z</dcterms:created>
  <dc:creator>Admin</dc:creator>
  <cp:lastModifiedBy>M iSs</cp:lastModifiedBy>
  <cp:lastPrinted>2024-01-29T07:59:00Z</cp:lastPrinted>
  <dcterms:modified xsi:type="dcterms:W3CDTF">2024-05-10T05:53:51Z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21AA6B1EFC8C4A068A7B80AD2E51E6EE_13</vt:lpwstr>
  </property>
</Properties>
</file>