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ascii="Times New Roman" w:hAnsi="Times New Roman" w:eastAsia="Times New Roman"/>
          <w:sz w:val="36"/>
          <w:szCs w:val="36"/>
        </w:rPr>
      </w:pPr>
    </w:p>
    <w:p>
      <w:pPr>
        <w:spacing w:afterLines="100"/>
        <w:rPr>
          <w:rFonts w:ascii="仿宋_GB2312" w:hAnsi="Times New Roman" w:eastAsia="仿宋_GB2312"/>
          <w:kern w:val="0"/>
          <w:sz w:val="32"/>
          <w:szCs w:val="32"/>
        </w:rPr>
      </w:pPr>
      <w:r>
        <w:rPr>
          <w:rFonts w:hint="eastAsia" w:ascii="仿宋_GB2312" w:hAnsi="Times New Roman" w:eastAsia="仿宋_GB2312"/>
          <w:kern w:val="0"/>
          <w:sz w:val="32"/>
          <w:szCs w:val="32"/>
        </w:rPr>
        <w:t>附件</w:t>
      </w:r>
      <w:r>
        <w:rPr>
          <w:rFonts w:ascii="仿宋_GB2312" w:hAnsi="Times New Roman" w:eastAsia="仿宋_GB2312"/>
          <w:kern w:val="0"/>
          <w:sz w:val="32"/>
          <w:szCs w:val="32"/>
        </w:rPr>
        <w:t>1</w:t>
      </w: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jc w:val="center"/>
        <w:rPr>
          <w:rFonts w:asciiTheme="majorEastAsia" w:hAnsiTheme="majorEastAsia" w:eastAsiaTheme="majorEastAsia"/>
          <w:b/>
          <w:sz w:val="48"/>
          <w:szCs w:val="48"/>
        </w:rPr>
      </w:pPr>
      <w:r>
        <w:rPr>
          <w:rFonts w:asciiTheme="majorEastAsia" w:hAnsiTheme="majorEastAsia" w:eastAsiaTheme="majorEastAsia"/>
          <w:b/>
          <w:sz w:val="48"/>
          <w:szCs w:val="48"/>
        </w:rPr>
        <w:t>202</w:t>
      </w:r>
      <w:r>
        <w:rPr>
          <w:rFonts w:hint="eastAsia" w:asciiTheme="majorEastAsia" w:hAnsiTheme="majorEastAsia" w:eastAsiaTheme="majorEastAsia"/>
          <w:b/>
          <w:sz w:val="48"/>
          <w:szCs w:val="48"/>
        </w:rPr>
        <w:t>1年度部门整体支出绩效自评报告</w:t>
      </w:r>
    </w:p>
    <w:p>
      <w:pPr>
        <w:jc w:val="center"/>
        <w:rPr>
          <w:rFonts w:ascii="Times New Roman" w:hAnsi="Times New Roman" w:eastAsia="黑体"/>
          <w:b/>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sz w:val="36"/>
          <w:szCs w:val="36"/>
        </w:rPr>
      </w:pPr>
      <w:r>
        <w:rPr>
          <w:rFonts w:hint="eastAsia" w:ascii="Times New Roman" w:hAnsi="Times New Roman"/>
          <w:sz w:val="36"/>
          <w:szCs w:val="36"/>
        </w:rPr>
        <w:t>单位名称：衡阳市环境保护局</w:t>
      </w:r>
      <w:r>
        <w:rPr>
          <w:rFonts w:hint="eastAsia" w:ascii="Times New Roman" w:hAnsi="Times New Roman"/>
          <w:sz w:val="36"/>
          <w:szCs w:val="36"/>
          <w:lang w:eastAsia="zh-CN"/>
        </w:rPr>
        <w:t>珠晖</w:t>
      </w:r>
      <w:r>
        <w:rPr>
          <w:rFonts w:hint="eastAsia" w:ascii="Times New Roman" w:hAnsi="Times New Roman"/>
          <w:sz w:val="36"/>
          <w:szCs w:val="36"/>
        </w:rPr>
        <w:t>分局</w:t>
      </w:r>
    </w:p>
    <w:p>
      <w:pPr>
        <w:jc w:val="center"/>
        <w:rPr>
          <w:rFonts w:ascii="Times New Roman" w:hAnsi="Times New Roman" w:eastAsia="黑体"/>
          <w:sz w:val="36"/>
          <w:szCs w:val="36"/>
        </w:rPr>
      </w:pPr>
      <w:r>
        <w:rPr>
          <w:rFonts w:hint="eastAsia" w:ascii="Times New Roman" w:hAnsi="Times New Roman"/>
          <w:sz w:val="36"/>
          <w:szCs w:val="36"/>
        </w:rPr>
        <w:t>（单位公章）：</w:t>
      </w:r>
    </w:p>
    <w:p>
      <w:pPr>
        <w:jc w:val="center"/>
        <w:rPr>
          <w:rFonts w:ascii="Times New Roman" w:hAnsi="Times New Roman" w:eastAsia="黑体"/>
          <w:sz w:val="36"/>
          <w:szCs w:val="36"/>
        </w:rPr>
      </w:pPr>
    </w:p>
    <w:p>
      <w:pPr>
        <w:jc w:val="center"/>
        <w:rPr>
          <w:rFonts w:ascii="Times New Roman" w:hAnsi="Times New Roman" w:eastAsia="黑体"/>
          <w:sz w:val="32"/>
          <w:szCs w:val="32"/>
        </w:rPr>
      </w:pPr>
      <w:r>
        <w:rPr>
          <w:rFonts w:hint="eastAsia" w:ascii="Times New Roman" w:hAnsi="Times New Roman" w:eastAsia="黑体"/>
          <w:sz w:val="32"/>
          <w:szCs w:val="32"/>
        </w:rPr>
        <w:t>2022年3月7日</w:t>
      </w: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spacing w:line="60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部门整体支出绩效评价报告</w:t>
      </w:r>
    </w:p>
    <w:p>
      <w:pPr>
        <w:rPr>
          <w:rFonts w:ascii="Times New Roman" w:hAnsi="Times New Roman" w:eastAsia="方正小标宋_GBK"/>
          <w:sz w:val="32"/>
          <w:szCs w:val="32"/>
        </w:rPr>
      </w:pPr>
    </w:p>
    <w:p>
      <w:pPr>
        <w:pStyle w:val="16"/>
        <w:widowControl/>
        <w:spacing w:line="560" w:lineRule="exact"/>
        <w:ind w:firstLine="640"/>
        <w:rPr>
          <w:rFonts w:eastAsia="黑体"/>
          <w:sz w:val="32"/>
          <w:szCs w:val="32"/>
        </w:rPr>
      </w:pPr>
      <w:r>
        <w:rPr>
          <w:rFonts w:hint="eastAsia" w:eastAsia="黑体"/>
          <w:sz w:val="32"/>
          <w:szCs w:val="32"/>
        </w:rPr>
        <w:t>一、单位基本情况</w:t>
      </w:r>
    </w:p>
    <w:p>
      <w:pPr>
        <w:spacing w:line="560" w:lineRule="exact"/>
        <w:ind w:firstLine="640" w:firstLineChars="200"/>
        <w:rPr>
          <w:rFonts w:ascii="楷体" w:hAnsi="楷体" w:eastAsia="楷体" w:cs="楷体"/>
          <w:sz w:val="32"/>
          <w:szCs w:val="32"/>
        </w:rPr>
      </w:pPr>
      <w:r>
        <w:rPr>
          <w:rFonts w:hint="eastAsia" w:eastAsia="楷体"/>
          <w:sz w:val="32"/>
          <w:szCs w:val="32"/>
        </w:rPr>
        <w:t>1．主要职能：</w:t>
      </w:r>
      <w:r>
        <w:rPr>
          <w:rFonts w:hint="eastAsia" w:ascii="楷体" w:hAnsi="楷体" w:eastAsia="楷体" w:cs="楷体"/>
          <w:sz w:val="32"/>
          <w:szCs w:val="32"/>
        </w:rPr>
        <w:t>从事为环境保护提供监管保障。环境违法行为的查处，水体、大气、土壤、噪音、光、恶臭、机动车等污染和防治及监管，主要污染物排放的总量控制，固体废物的监管。</w:t>
      </w:r>
    </w:p>
    <w:p>
      <w:pPr>
        <w:pStyle w:val="16"/>
        <w:widowControl/>
        <w:spacing w:line="560" w:lineRule="exact"/>
        <w:ind w:firstLine="640"/>
        <w:rPr>
          <w:rFonts w:eastAsia="楷体"/>
          <w:sz w:val="32"/>
          <w:szCs w:val="32"/>
        </w:rPr>
      </w:pPr>
      <w:r>
        <w:rPr>
          <w:rFonts w:hint="eastAsia" w:eastAsia="楷体"/>
          <w:sz w:val="32"/>
          <w:szCs w:val="32"/>
        </w:rPr>
        <w:t>2．机构情况：</w:t>
      </w:r>
      <w:r>
        <w:rPr>
          <w:rFonts w:hint="eastAsia" w:ascii="楷体" w:hAnsi="楷体" w:eastAsia="楷体" w:cs="楷体"/>
          <w:sz w:val="32"/>
          <w:szCs w:val="32"/>
        </w:rPr>
        <w:t>隶属于衡阳市生态环境局二级机构，是市财政全额拨款的公益性事业单位，独立编制独立核算。</w:t>
      </w:r>
    </w:p>
    <w:p>
      <w:pPr>
        <w:spacing w:line="560" w:lineRule="exact"/>
        <w:ind w:firstLine="640" w:firstLineChars="200"/>
        <w:rPr>
          <w:rFonts w:ascii="楷体" w:hAnsi="楷体" w:eastAsia="楷体" w:cs="楷体"/>
          <w:sz w:val="32"/>
          <w:szCs w:val="32"/>
        </w:rPr>
      </w:pPr>
      <w:r>
        <w:rPr>
          <w:rFonts w:hint="eastAsia" w:eastAsia="楷体"/>
          <w:sz w:val="32"/>
          <w:szCs w:val="32"/>
        </w:rPr>
        <w:t>3．人员情况：</w:t>
      </w:r>
      <w:r>
        <w:rPr>
          <w:rFonts w:hint="eastAsia" w:ascii="楷体" w:hAnsi="楷体" w:eastAsia="楷体" w:cs="楷体"/>
          <w:sz w:val="32"/>
          <w:szCs w:val="32"/>
        </w:rPr>
        <w:t>全额拨款事业编制人员25人，临时聘用人员</w:t>
      </w:r>
      <w:r>
        <w:rPr>
          <w:rFonts w:hint="eastAsia" w:ascii="楷体" w:hAnsi="楷体" w:eastAsia="楷体" w:cs="楷体"/>
          <w:sz w:val="32"/>
          <w:szCs w:val="32"/>
          <w:lang w:val="en-US" w:eastAsia="zh-CN"/>
        </w:rPr>
        <w:t>2</w:t>
      </w:r>
      <w:r>
        <w:rPr>
          <w:rFonts w:hint="eastAsia" w:ascii="楷体" w:hAnsi="楷体" w:eastAsia="楷体" w:cs="楷体"/>
          <w:sz w:val="32"/>
          <w:szCs w:val="32"/>
        </w:rPr>
        <w:t>人，现有职工25人。2021年年末共有25人。</w:t>
      </w:r>
    </w:p>
    <w:p>
      <w:pPr>
        <w:pStyle w:val="16"/>
        <w:widowControl/>
        <w:spacing w:line="560" w:lineRule="exact"/>
        <w:ind w:firstLine="640"/>
        <w:rPr>
          <w:rFonts w:eastAsia="黑体"/>
          <w:sz w:val="32"/>
          <w:szCs w:val="32"/>
        </w:rPr>
      </w:pPr>
      <w:r>
        <w:rPr>
          <w:rFonts w:hint="eastAsia" w:eastAsia="黑体"/>
          <w:sz w:val="32"/>
          <w:szCs w:val="32"/>
        </w:rPr>
        <w:t>二、一般公共预算支出情况</w:t>
      </w:r>
    </w:p>
    <w:p>
      <w:pPr>
        <w:pStyle w:val="16"/>
        <w:widowControl/>
        <w:spacing w:line="560" w:lineRule="exact"/>
        <w:ind w:firstLine="643"/>
        <w:rPr>
          <w:rFonts w:eastAsia="楷体"/>
          <w:b/>
          <w:sz w:val="32"/>
          <w:szCs w:val="32"/>
        </w:rPr>
      </w:pPr>
      <w:r>
        <w:rPr>
          <w:rFonts w:hint="eastAsia" w:eastAsia="楷体"/>
          <w:b/>
          <w:sz w:val="32"/>
          <w:szCs w:val="32"/>
        </w:rPr>
        <w:t>（一）基本支出情况</w:t>
      </w:r>
    </w:p>
    <w:p>
      <w:pPr>
        <w:pStyle w:val="16"/>
        <w:widowControl/>
        <w:spacing w:line="560" w:lineRule="exact"/>
        <w:ind w:firstLine="640"/>
        <w:rPr>
          <w:rFonts w:eastAsia="楷体"/>
          <w:sz w:val="32"/>
          <w:szCs w:val="32"/>
        </w:rPr>
      </w:pPr>
      <w:r>
        <w:rPr>
          <w:rFonts w:hint="eastAsia" w:eastAsia="楷体"/>
          <w:sz w:val="32"/>
          <w:szCs w:val="32"/>
        </w:rPr>
        <w:t>衡阳市环境保护局</w:t>
      </w:r>
      <w:r>
        <w:rPr>
          <w:rFonts w:hint="eastAsia" w:eastAsia="楷体"/>
          <w:sz w:val="32"/>
          <w:szCs w:val="32"/>
          <w:lang w:eastAsia="zh-CN"/>
        </w:rPr>
        <w:t>珠晖</w:t>
      </w:r>
      <w:r>
        <w:rPr>
          <w:rFonts w:hint="eastAsia" w:eastAsia="楷体"/>
          <w:sz w:val="32"/>
          <w:szCs w:val="32"/>
        </w:rPr>
        <w:t>分局2021年全年一般公共预算支出基本支出总计</w:t>
      </w:r>
      <w:r>
        <w:rPr>
          <w:rFonts w:hint="eastAsia" w:eastAsia="楷体"/>
          <w:sz w:val="32"/>
          <w:szCs w:val="32"/>
          <w:lang w:val="en-US" w:eastAsia="zh-CN"/>
        </w:rPr>
        <w:t>5260136.74</w:t>
      </w:r>
      <w:r>
        <w:rPr>
          <w:rFonts w:hint="eastAsia" w:eastAsia="楷体"/>
          <w:sz w:val="32"/>
          <w:szCs w:val="32"/>
        </w:rPr>
        <w:t>元，其中包括以下几个方面：</w:t>
      </w:r>
    </w:p>
    <w:p>
      <w:pPr>
        <w:pStyle w:val="16"/>
        <w:widowControl/>
        <w:spacing w:line="560" w:lineRule="exact"/>
        <w:ind w:firstLine="640"/>
        <w:rPr>
          <w:rFonts w:eastAsia="楷体"/>
          <w:sz w:val="32"/>
          <w:szCs w:val="32"/>
        </w:rPr>
      </w:pPr>
      <w:r>
        <w:rPr>
          <w:rFonts w:hint="eastAsia" w:eastAsia="楷体"/>
          <w:sz w:val="32"/>
          <w:szCs w:val="32"/>
        </w:rPr>
        <w:t>1、工资福利支出</w:t>
      </w:r>
      <w:r>
        <w:rPr>
          <w:rFonts w:hint="eastAsia" w:eastAsia="楷体"/>
          <w:sz w:val="32"/>
          <w:szCs w:val="32"/>
          <w:lang w:val="en-US" w:eastAsia="zh-CN"/>
        </w:rPr>
        <w:t>3979072.55</w:t>
      </w:r>
      <w:r>
        <w:rPr>
          <w:rFonts w:hint="eastAsia" w:eastAsia="楷体"/>
          <w:sz w:val="32"/>
          <w:szCs w:val="32"/>
        </w:rPr>
        <w:t>元，</w:t>
      </w:r>
    </w:p>
    <w:p>
      <w:pPr>
        <w:pStyle w:val="16"/>
        <w:widowControl/>
        <w:spacing w:line="560" w:lineRule="exact"/>
        <w:ind w:firstLine="640"/>
        <w:rPr>
          <w:rFonts w:eastAsia="楷体"/>
          <w:sz w:val="32"/>
          <w:szCs w:val="32"/>
        </w:rPr>
      </w:pPr>
      <w:r>
        <w:rPr>
          <w:rFonts w:hint="eastAsia" w:eastAsia="楷体"/>
          <w:sz w:val="32"/>
          <w:szCs w:val="32"/>
        </w:rPr>
        <w:t>2、商品和服务支出</w:t>
      </w:r>
      <w:r>
        <w:rPr>
          <w:rFonts w:hint="eastAsia" w:eastAsia="楷体"/>
          <w:sz w:val="32"/>
          <w:szCs w:val="32"/>
          <w:lang w:val="en-US" w:eastAsia="zh-CN"/>
        </w:rPr>
        <w:t>1155539.19</w:t>
      </w:r>
      <w:r>
        <w:rPr>
          <w:rFonts w:hint="eastAsia" w:eastAsia="楷体"/>
          <w:sz w:val="32"/>
          <w:szCs w:val="32"/>
        </w:rPr>
        <w:t>元，</w:t>
      </w:r>
    </w:p>
    <w:p>
      <w:pPr>
        <w:pStyle w:val="16"/>
        <w:widowControl/>
        <w:spacing w:line="560" w:lineRule="exact"/>
        <w:ind w:firstLine="640"/>
        <w:rPr>
          <w:rFonts w:eastAsia="楷体"/>
          <w:sz w:val="32"/>
          <w:szCs w:val="32"/>
        </w:rPr>
      </w:pPr>
      <w:r>
        <w:rPr>
          <w:rFonts w:hint="eastAsia" w:eastAsia="楷体"/>
          <w:sz w:val="32"/>
          <w:szCs w:val="32"/>
        </w:rPr>
        <w:t>3、对个人及家庭的补助</w:t>
      </w:r>
      <w:r>
        <w:rPr>
          <w:rFonts w:hint="eastAsia" w:eastAsia="楷体"/>
          <w:sz w:val="32"/>
          <w:szCs w:val="32"/>
          <w:lang w:val="en-US" w:eastAsia="zh-CN"/>
        </w:rPr>
        <w:t>27660</w:t>
      </w:r>
      <w:r>
        <w:rPr>
          <w:rFonts w:hint="eastAsia" w:eastAsia="楷体"/>
          <w:sz w:val="32"/>
          <w:szCs w:val="32"/>
        </w:rPr>
        <w:t>元。</w:t>
      </w:r>
    </w:p>
    <w:p>
      <w:pPr>
        <w:pStyle w:val="16"/>
        <w:widowControl/>
        <w:spacing w:line="560" w:lineRule="exact"/>
        <w:ind w:firstLine="640"/>
        <w:rPr>
          <w:rFonts w:eastAsia="楷体"/>
          <w:sz w:val="32"/>
          <w:szCs w:val="32"/>
        </w:rPr>
      </w:pPr>
      <w:r>
        <w:rPr>
          <w:rFonts w:hint="eastAsia" w:eastAsia="楷体"/>
          <w:sz w:val="32"/>
          <w:szCs w:val="32"/>
        </w:rPr>
        <w:t xml:space="preserve">4、资本性支出 </w:t>
      </w:r>
      <w:r>
        <w:rPr>
          <w:rFonts w:hint="eastAsia" w:eastAsia="楷体"/>
          <w:sz w:val="32"/>
          <w:szCs w:val="32"/>
          <w:lang w:val="en-US" w:eastAsia="zh-CN"/>
        </w:rPr>
        <w:t>97865</w:t>
      </w:r>
      <w:r>
        <w:rPr>
          <w:rFonts w:hint="eastAsia" w:eastAsia="楷体"/>
          <w:sz w:val="32"/>
          <w:szCs w:val="32"/>
        </w:rPr>
        <w:t>元。</w:t>
      </w:r>
    </w:p>
    <w:p>
      <w:pPr>
        <w:pStyle w:val="16"/>
        <w:widowControl/>
        <w:spacing w:line="560" w:lineRule="exact"/>
        <w:ind w:firstLine="643"/>
        <w:rPr>
          <w:rFonts w:eastAsia="楷体"/>
          <w:b/>
          <w:sz w:val="32"/>
          <w:szCs w:val="32"/>
        </w:rPr>
      </w:pPr>
      <w:r>
        <w:rPr>
          <w:rFonts w:hint="eastAsia" w:eastAsia="楷体"/>
          <w:b/>
          <w:sz w:val="32"/>
          <w:szCs w:val="32"/>
        </w:rPr>
        <w:t>（二）项目支出</w:t>
      </w:r>
    </w:p>
    <w:p>
      <w:pPr>
        <w:pStyle w:val="16"/>
        <w:widowControl/>
        <w:spacing w:line="560" w:lineRule="exact"/>
        <w:ind w:firstLine="640"/>
        <w:rPr>
          <w:rFonts w:hint="eastAsia" w:eastAsia="楷体"/>
          <w:sz w:val="32"/>
          <w:szCs w:val="32"/>
        </w:rPr>
      </w:pPr>
      <w:r>
        <w:rPr>
          <w:rFonts w:hint="eastAsia" w:eastAsia="楷体"/>
          <w:sz w:val="32"/>
          <w:szCs w:val="32"/>
        </w:rPr>
        <w:t>2021年全年一般公共预算项目总支出为</w:t>
      </w:r>
      <w:r>
        <w:rPr>
          <w:rFonts w:hint="eastAsia" w:eastAsia="楷体"/>
          <w:color w:val="000000" w:themeColor="text1"/>
          <w:sz w:val="32"/>
          <w:szCs w:val="32"/>
          <w:lang w:val="en-US" w:eastAsia="zh-CN"/>
        </w:rPr>
        <w:t>2124946.14</w:t>
      </w:r>
      <w:r>
        <w:rPr>
          <w:rFonts w:hint="eastAsia" w:eastAsia="楷体"/>
          <w:sz w:val="32"/>
          <w:szCs w:val="32"/>
        </w:rPr>
        <w:t>元。</w:t>
      </w:r>
    </w:p>
    <w:p>
      <w:pPr>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1</w:t>
      </w:r>
      <w:r>
        <w:rPr>
          <w:rFonts w:hint="eastAsia" w:ascii="楷体" w:hAnsi="楷体" w:eastAsia="楷体" w:cs="楷体"/>
          <w:sz w:val="32"/>
          <w:szCs w:val="32"/>
          <w:lang w:eastAsia="zh-CN"/>
        </w:rPr>
        <w:t>）</w:t>
      </w:r>
      <w:r>
        <w:rPr>
          <w:rFonts w:hint="eastAsia" w:ascii="楷体" w:hAnsi="楷体" w:eastAsia="楷体" w:cs="楷体"/>
          <w:sz w:val="32"/>
          <w:szCs w:val="32"/>
        </w:rPr>
        <w:t>绩效管理评价工作开展情况。</w:t>
      </w:r>
    </w:p>
    <w:p>
      <w:pPr>
        <w:rPr>
          <w:rFonts w:hint="eastAsia" w:ascii="楷体" w:hAnsi="楷体" w:eastAsia="楷体" w:cs="楷体"/>
          <w:sz w:val="32"/>
          <w:szCs w:val="32"/>
        </w:rPr>
      </w:pPr>
      <w:r>
        <w:rPr>
          <w:rFonts w:hint="eastAsia" w:ascii="楷体" w:hAnsi="楷体" w:eastAsia="楷体" w:cs="楷体"/>
          <w:sz w:val="32"/>
          <w:szCs w:val="32"/>
        </w:rPr>
        <w:t>根据预算绩效管理要求，我部门组织对2021 年度一般公共预算项目支出全面开展绩效自评，其中，一级项目</w:t>
      </w:r>
      <w:r>
        <w:rPr>
          <w:rFonts w:hint="eastAsia" w:ascii="楷体" w:hAnsi="楷体" w:eastAsia="楷体" w:cs="楷体"/>
          <w:sz w:val="32"/>
          <w:szCs w:val="32"/>
          <w:lang w:val="en-US" w:eastAsia="zh-CN"/>
        </w:rPr>
        <w:t>0</w:t>
      </w:r>
      <w:r>
        <w:rPr>
          <w:rFonts w:hint="eastAsia" w:ascii="楷体" w:hAnsi="楷体" w:eastAsia="楷体" w:cs="楷体"/>
          <w:sz w:val="32"/>
          <w:szCs w:val="32"/>
        </w:rPr>
        <w:t>个，二级项目</w:t>
      </w:r>
      <w:r>
        <w:rPr>
          <w:rFonts w:hint="eastAsia" w:ascii="楷体" w:hAnsi="楷体" w:eastAsia="楷体" w:cs="楷体"/>
          <w:sz w:val="32"/>
          <w:szCs w:val="32"/>
          <w:lang w:val="en-US" w:eastAsia="zh-CN"/>
        </w:rPr>
        <w:t>3</w:t>
      </w:r>
      <w:r>
        <w:rPr>
          <w:rFonts w:hint="eastAsia" w:ascii="楷体" w:hAnsi="楷体" w:eastAsia="楷体" w:cs="楷体"/>
          <w:sz w:val="32"/>
          <w:szCs w:val="32"/>
        </w:rPr>
        <w:t>个，共涉及资金</w:t>
      </w:r>
      <w:r>
        <w:rPr>
          <w:rFonts w:hint="eastAsia" w:ascii="楷体" w:hAnsi="楷体" w:eastAsia="楷体" w:cs="楷体"/>
          <w:sz w:val="32"/>
          <w:szCs w:val="32"/>
          <w:lang w:val="en-US" w:eastAsia="zh-CN"/>
        </w:rPr>
        <w:t>212.49</w:t>
      </w:r>
      <w:r>
        <w:rPr>
          <w:rFonts w:hint="eastAsia" w:ascii="楷体" w:hAnsi="楷体" w:eastAsia="楷体" w:cs="楷体"/>
          <w:sz w:val="32"/>
          <w:szCs w:val="32"/>
        </w:rPr>
        <w:t>万元，占一般公共预算项目支出总额的</w:t>
      </w:r>
      <w:r>
        <w:rPr>
          <w:rFonts w:hint="eastAsia" w:ascii="楷体" w:hAnsi="楷体" w:eastAsia="楷体" w:cs="楷体"/>
          <w:sz w:val="32"/>
          <w:szCs w:val="32"/>
          <w:lang w:val="en-US" w:eastAsia="zh-CN"/>
        </w:rPr>
        <w:t>100</w:t>
      </w:r>
      <w:r>
        <w:rPr>
          <w:rFonts w:hint="eastAsia" w:ascii="楷体" w:hAnsi="楷体" w:eastAsia="楷体" w:cs="楷体"/>
          <w:sz w:val="32"/>
          <w:szCs w:val="32"/>
        </w:rPr>
        <w:t>%。组织对2021年度政府性基金预算项目支出开展绩效自评，共涉及资金</w:t>
      </w:r>
      <w:r>
        <w:rPr>
          <w:rFonts w:hint="eastAsia" w:ascii="楷体" w:hAnsi="楷体" w:eastAsia="楷体" w:cs="楷体"/>
          <w:sz w:val="32"/>
          <w:szCs w:val="32"/>
          <w:lang w:val="en-US" w:eastAsia="zh-CN"/>
        </w:rPr>
        <w:t>0</w:t>
      </w:r>
      <w:r>
        <w:rPr>
          <w:rFonts w:hint="eastAsia" w:ascii="楷体" w:hAnsi="楷体" w:eastAsia="楷体" w:cs="楷体"/>
          <w:sz w:val="32"/>
          <w:szCs w:val="32"/>
        </w:rPr>
        <w:t xml:space="preserve"> 万元，占政府性基金预算项目支出总额的</w:t>
      </w:r>
      <w:r>
        <w:rPr>
          <w:rFonts w:hint="eastAsia" w:ascii="楷体" w:hAnsi="楷体" w:eastAsia="楷体" w:cs="楷体"/>
          <w:sz w:val="32"/>
          <w:szCs w:val="32"/>
          <w:lang w:val="en-US" w:eastAsia="zh-CN"/>
        </w:rPr>
        <w:t>0</w:t>
      </w:r>
      <w:r>
        <w:rPr>
          <w:rFonts w:hint="eastAsia" w:ascii="楷体" w:hAnsi="楷体" w:eastAsia="楷体" w:cs="楷体"/>
          <w:sz w:val="32"/>
          <w:szCs w:val="32"/>
        </w:rPr>
        <w:t>%。组织对2021 年度国有资本经营预算项目支出开展绩效自评，共涉及资金</w:t>
      </w:r>
      <w:r>
        <w:rPr>
          <w:rFonts w:hint="eastAsia" w:ascii="楷体" w:hAnsi="楷体" w:eastAsia="楷体" w:cs="楷体"/>
          <w:sz w:val="32"/>
          <w:szCs w:val="32"/>
          <w:lang w:val="en-US" w:eastAsia="zh-CN"/>
        </w:rPr>
        <w:t>0</w:t>
      </w:r>
      <w:r>
        <w:rPr>
          <w:rFonts w:hint="eastAsia" w:ascii="楷体" w:hAnsi="楷体" w:eastAsia="楷体" w:cs="楷体"/>
          <w:sz w:val="32"/>
          <w:szCs w:val="32"/>
        </w:rPr>
        <w:t>万元，占国有资本经营预算项目支出总额的</w:t>
      </w:r>
      <w:r>
        <w:rPr>
          <w:rFonts w:hint="eastAsia" w:ascii="楷体" w:hAnsi="楷体" w:eastAsia="楷体" w:cs="楷体"/>
          <w:sz w:val="32"/>
          <w:szCs w:val="32"/>
          <w:lang w:val="en-US" w:eastAsia="zh-CN"/>
        </w:rPr>
        <w:t>0</w:t>
      </w:r>
      <w:r>
        <w:rPr>
          <w:rFonts w:hint="eastAsia" w:ascii="楷体" w:hAnsi="楷体" w:eastAsia="楷体" w:cs="楷体"/>
          <w:sz w:val="32"/>
          <w:szCs w:val="32"/>
        </w:rPr>
        <w:t>%。</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组织对</w:t>
      </w:r>
      <w:r>
        <w:rPr>
          <w:rFonts w:hint="eastAsia" w:ascii="楷体" w:hAnsi="楷体" w:eastAsia="楷体" w:cs="楷体"/>
          <w:sz w:val="32"/>
          <w:szCs w:val="32"/>
          <w:lang w:eastAsia="zh-CN"/>
        </w:rPr>
        <w:t>环境保护管理事务、污染防治、自然生态保护</w:t>
      </w:r>
      <w:r>
        <w:rPr>
          <w:rFonts w:hint="eastAsia" w:ascii="楷体" w:hAnsi="楷体" w:eastAsia="楷体" w:cs="楷体"/>
          <w:sz w:val="32"/>
          <w:szCs w:val="32"/>
        </w:rPr>
        <w:t>等</w:t>
      </w:r>
      <w:r>
        <w:rPr>
          <w:rFonts w:hint="eastAsia" w:ascii="楷体" w:hAnsi="楷体" w:eastAsia="楷体" w:cs="楷体"/>
          <w:sz w:val="32"/>
          <w:szCs w:val="32"/>
          <w:lang w:val="en-US" w:eastAsia="zh-CN"/>
        </w:rPr>
        <w:t>3</w:t>
      </w:r>
      <w:r>
        <w:rPr>
          <w:rFonts w:hint="eastAsia" w:ascii="楷体" w:hAnsi="楷体" w:eastAsia="楷体" w:cs="楷体"/>
          <w:sz w:val="32"/>
          <w:szCs w:val="32"/>
        </w:rPr>
        <w:t>个项目开展了部门评价，涉及一般公共预算支出</w:t>
      </w:r>
      <w:r>
        <w:rPr>
          <w:rFonts w:hint="eastAsia" w:ascii="楷体" w:hAnsi="楷体" w:eastAsia="楷体" w:cs="楷体"/>
          <w:sz w:val="32"/>
          <w:szCs w:val="32"/>
          <w:lang w:val="en-US" w:eastAsia="zh-CN"/>
        </w:rPr>
        <w:t>212.49</w:t>
      </w:r>
      <w:r>
        <w:rPr>
          <w:rFonts w:hint="eastAsia" w:ascii="楷体" w:hAnsi="楷体" w:eastAsia="楷体" w:cs="楷体"/>
          <w:sz w:val="32"/>
          <w:szCs w:val="32"/>
        </w:rPr>
        <w:t xml:space="preserve"> 万元，政府性基金预算支出</w:t>
      </w:r>
      <w:r>
        <w:rPr>
          <w:rFonts w:hint="eastAsia" w:ascii="楷体" w:hAnsi="楷体" w:eastAsia="楷体" w:cs="楷体"/>
          <w:sz w:val="32"/>
          <w:szCs w:val="32"/>
          <w:lang w:val="en-US" w:eastAsia="zh-CN"/>
        </w:rPr>
        <w:t>0</w:t>
      </w:r>
      <w:r>
        <w:rPr>
          <w:rFonts w:hint="eastAsia" w:ascii="楷体" w:hAnsi="楷体" w:eastAsia="楷体" w:cs="楷体"/>
          <w:sz w:val="32"/>
          <w:szCs w:val="32"/>
        </w:rPr>
        <w:t>万元，国有资本经营预算支出</w:t>
      </w:r>
      <w:r>
        <w:rPr>
          <w:rFonts w:hint="eastAsia" w:ascii="楷体" w:hAnsi="楷体" w:eastAsia="楷体" w:cs="楷体"/>
          <w:sz w:val="32"/>
          <w:szCs w:val="32"/>
          <w:lang w:val="en-US" w:eastAsia="zh-CN"/>
        </w:rPr>
        <w:t>0</w:t>
      </w:r>
      <w:r>
        <w:rPr>
          <w:rFonts w:hint="eastAsia" w:ascii="楷体" w:hAnsi="楷体" w:eastAsia="楷体" w:cs="楷体"/>
          <w:sz w:val="32"/>
          <w:szCs w:val="32"/>
        </w:rPr>
        <w:t>万元。从评价情况来看，实施大气污染防治项目，加快污水处理厂及配套管网建设，和乡镇千吨万人以上集中式饮用水源保护区建设。二氧化硫、氮氧化物、化学需氧量、氨氮排放量年度减排任务全部完成，保障珠晖区空气质量水平，提高人民生活居住环境，符合国家发展需求</w:t>
      </w:r>
      <w:r>
        <w:rPr>
          <w:rFonts w:hint="eastAsia" w:ascii="楷体" w:hAnsi="楷体" w:eastAsia="楷体" w:cs="楷体"/>
          <w:sz w:val="18"/>
          <w:szCs w:val="18"/>
        </w:rPr>
        <w:t>。</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组织对</w:t>
      </w:r>
      <w:r>
        <w:rPr>
          <w:rFonts w:hint="eastAsia" w:ascii="楷体" w:hAnsi="楷体" w:eastAsia="楷体" w:cs="楷体"/>
          <w:sz w:val="32"/>
          <w:szCs w:val="32"/>
          <w:lang w:eastAsia="zh-CN"/>
        </w:rPr>
        <w:t>环境保护管理事务、污染防治、自然生态保护</w:t>
      </w:r>
      <w:r>
        <w:rPr>
          <w:rFonts w:hint="eastAsia" w:ascii="楷体" w:hAnsi="楷体" w:eastAsia="楷体" w:cs="楷体"/>
          <w:sz w:val="32"/>
          <w:szCs w:val="32"/>
        </w:rPr>
        <w:t>等</w:t>
      </w:r>
      <w:r>
        <w:rPr>
          <w:rFonts w:hint="eastAsia" w:ascii="楷体" w:hAnsi="楷体" w:eastAsia="楷体" w:cs="楷体"/>
          <w:sz w:val="32"/>
          <w:szCs w:val="32"/>
          <w:lang w:val="en-US" w:eastAsia="zh-CN"/>
        </w:rPr>
        <w:t>3</w:t>
      </w:r>
      <w:r>
        <w:rPr>
          <w:rFonts w:hint="eastAsia" w:ascii="楷体" w:hAnsi="楷体" w:eastAsia="楷体" w:cs="楷体"/>
          <w:sz w:val="32"/>
          <w:szCs w:val="32"/>
        </w:rPr>
        <w:t xml:space="preserve"> 个单位开展整体支出绩效评价，涉及一般公共预算支出</w:t>
      </w:r>
      <w:r>
        <w:rPr>
          <w:rFonts w:hint="eastAsia" w:ascii="楷体" w:hAnsi="楷体" w:eastAsia="楷体" w:cs="楷体"/>
          <w:sz w:val="32"/>
          <w:szCs w:val="32"/>
          <w:lang w:val="en-US" w:eastAsia="zh-CN"/>
        </w:rPr>
        <w:t>212.49</w:t>
      </w:r>
      <w:r>
        <w:rPr>
          <w:rFonts w:hint="eastAsia" w:ascii="楷体" w:hAnsi="楷体" w:eastAsia="楷体" w:cs="楷体"/>
          <w:sz w:val="32"/>
          <w:szCs w:val="32"/>
        </w:rPr>
        <w:t>万元，政府性基金预算支出</w:t>
      </w:r>
      <w:r>
        <w:rPr>
          <w:rFonts w:hint="eastAsia" w:ascii="楷体" w:hAnsi="楷体" w:eastAsia="楷体" w:cs="楷体"/>
          <w:sz w:val="32"/>
          <w:szCs w:val="32"/>
          <w:lang w:val="en-US" w:eastAsia="zh-CN"/>
        </w:rPr>
        <w:t>0</w:t>
      </w:r>
      <w:r>
        <w:rPr>
          <w:rFonts w:hint="eastAsia" w:ascii="楷体" w:hAnsi="楷体" w:eastAsia="楷体" w:cs="楷体"/>
          <w:sz w:val="32"/>
          <w:szCs w:val="32"/>
        </w:rPr>
        <w:t>万元。从评价情况来看，实施大气污染防治项目，加快污水处理厂及配套管网建设，和乡镇千吨万人以上集中式饮用水源保护区建设。二氧化硫、氮氧化物、化学需氧量、氨氮排放量年度减排任务全部完成，保障珠晖区空气质量水平，提高人民生活居住环境，符合国家发展需求。</w:t>
      </w:r>
    </w:p>
    <w:p>
      <w:pPr>
        <w:rPr>
          <w:rFonts w:hint="eastAsia" w:ascii="楷体" w:hAnsi="楷体" w:eastAsia="楷体" w:cs="楷体"/>
          <w:sz w:val="32"/>
          <w:szCs w:val="32"/>
        </w:rPr>
      </w:pPr>
      <w:r>
        <w:rPr>
          <w:rFonts w:hint="eastAsia" w:ascii="楷体" w:hAnsi="楷体" w:eastAsia="楷体" w:cs="楷体"/>
          <w:sz w:val="32"/>
          <w:szCs w:val="32"/>
        </w:rPr>
        <w:t>（2）部门决算中项目绩效自评结果。</w:t>
      </w:r>
    </w:p>
    <w:p>
      <w:pPr>
        <w:rPr>
          <w:rFonts w:hint="eastAsia" w:ascii="楷体" w:hAnsi="楷体" w:eastAsia="楷体" w:cs="楷体"/>
          <w:sz w:val="32"/>
          <w:szCs w:val="32"/>
        </w:rPr>
      </w:pPr>
      <w:r>
        <w:rPr>
          <w:rFonts w:hint="eastAsia" w:ascii="楷体" w:hAnsi="楷体" w:eastAsia="楷体" w:cs="楷体"/>
          <w:sz w:val="32"/>
          <w:szCs w:val="32"/>
          <w:lang w:eastAsia="zh-CN"/>
        </w:rPr>
        <w:t>环境保护管理事务、污染防治、自然生态保护</w:t>
      </w:r>
      <w:r>
        <w:rPr>
          <w:rFonts w:hint="eastAsia" w:ascii="楷体" w:hAnsi="楷体" w:eastAsia="楷体" w:cs="楷体"/>
          <w:sz w:val="32"/>
          <w:szCs w:val="32"/>
        </w:rPr>
        <w:t>项目绩效自评综述：根据年初设定的绩效目标，项目绩效自评得分为</w:t>
      </w:r>
      <w:r>
        <w:rPr>
          <w:rFonts w:hint="eastAsia" w:ascii="楷体" w:hAnsi="楷体" w:eastAsia="楷体" w:cs="楷体"/>
          <w:sz w:val="32"/>
          <w:szCs w:val="32"/>
          <w:lang w:val="en-US" w:eastAsia="zh-CN"/>
        </w:rPr>
        <w:t>98</w:t>
      </w:r>
      <w:r>
        <w:rPr>
          <w:rFonts w:hint="eastAsia" w:ascii="楷体" w:hAnsi="楷体" w:eastAsia="楷体" w:cs="楷体"/>
          <w:sz w:val="32"/>
          <w:szCs w:val="32"/>
        </w:rPr>
        <w:t xml:space="preserve"> 分。项目全年预算数为</w:t>
      </w:r>
      <w:r>
        <w:rPr>
          <w:rFonts w:hint="eastAsia" w:ascii="楷体" w:hAnsi="楷体" w:eastAsia="楷体" w:cs="楷体"/>
          <w:sz w:val="32"/>
          <w:szCs w:val="32"/>
          <w:lang w:val="en-US" w:eastAsia="zh-CN"/>
        </w:rPr>
        <w:t>212.49</w:t>
      </w:r>
      <w:r>
        <w:rPr>
          <w:rFonts w:hint="eastAsia" w:ascii="楷体" w:hAnsi="楷体" w:eastAsia="楷体" w:cs="楷体"/>
          <w:sz w:val="32"/>
          <w:szCs w:val="32"/>
        </w:rPr>
        <w:t>万元，执行数为</w:t>
      </w:r>
      <w:r>
        <w:rPr>
          <w:rFonts w:hint="eastAsia" w:ascii="楷体" w:hAnsi="楷体" w:eastAsia="楷体" w:cs="楷体"/>
          <w:sz w:val="32"/>
          <w:szCs w:val="32"/>
          <w:lang w:val="en-US" w:eastAsia="zh-CN"/>
        </w:rPr>
        <w:t>212.49</w:t>
      </w:r>
      <w:r>
        <w:rPr>
          <w:rFonts w:hint="eastAsia" w:ascii="楷体" w:hAnsi="楷体" w:eastAsia="楷体" w:cs="楷体"/>
          <w:sz w:val="32"/>
          <w:szCs w:val="32"/>
        </w:rPr>
        <w:t>万元，完成预算的</w:t>
      </w:r>
      <w:r>
        <w:rPr>
          <w:rFonts w:hint="eastAsia" w:ascii="楷体" w:hAnsi="楷体" w:eastAsia="楷体" w:cs="楷体"/>
          <w:sz w:val="32"/>
          <w:szCs w:val="32"/>
          <w:lang w:val="en-US" w:eastAsia="zh-CN"/>
        </w:rPr>
        <w:t>100</w:t>
      </w:r>
      <w:r>
        <w:rPr>
          <w:rFonts w:hint="eastAsia" w:ascii="楷体" w:hAnsi="楷体" w:eastAsia="楷体" w:cs="楷体"/>
          <w:sz w:val="32"/>
          <w:szCs w:val="32"/>
        </w:rPr>
        <w:t>%。项目绩效目标完成情况：一是</w:t>
      </w:r>
      <w:r>
        <w:rPr>
          <w:rFonts w:hint="eastAsia" w:ascii="楷体" w:hAnsi="楷体" w:eastAsia="楷体" w:cs="楷体"/>
          <w:color w:val="000000"/>
          <w:kern w:val="0"/>
          <w:sz w:val="32"/>
          <w:szCs w:val="32"/>
        </w:rPr>
        <w:t>数量指标155个排污口</w:t>
      </w:r>
      <w:r>
        <w:rPr>
          <w:rFonts w:hint="eastAsia" w:ascii="楷体" w:hAnsi="楷体" w:eastAsia="楷体" w:cs="楷体"/>
          <w:sz w:val="32"/>
          <w:szCs w:val="32"/>
        </w:rPr>
        <w:t>；二是</w:t>
      </w:r>
      <w:r>
        <w:rPr>
          <w:rFonts w:hint="eastAsia" w:ascii="楷体" w:hAnsi="楷体" w:eastAsia="楷体" w:cs="楷体"/>
          <w:color w:val="000000"/>
          <w:kern w:val="0"/>
          <w:sz w:val="32"/>
          <w:szCs w:val="32"/>
        </w:rPr>
        <w:t>质量指标珠晖区环境空气质量优良率比去年提升</w:t>
      </w:r>
      <w:r>
        <w:rPr>
          <w:rFonts w:hint="eastAsia" w:ascii="楷体" w:hAnsi="楷体" w:eastAsia="楷体" w:cs="楷体"/>
          <w:color w:val="000000"/>
          <w:kern w:val="0"/>
          <w:sz w:val="32"/>
          <w:szCs w:val="32"/>
          <w:lang w:eastAsia="zh-CN"/>
        </w:rPr>
        <w:t>；</w:t>
      </w:r>
      <w:r>
        <w:rPr>
          <w:rFonts w:hint="eastAsia" w:ascii="楷体" w:hAnsi="楷体" w:eastAsia="楷体" w:cs="楷体"/>
          <w:sz w:val="32"/>
          <w:szCs w:val="32"/>
          <w:lang w:eastAsia="zh-CN"/>
        </w:rPr>
        <w:t>三是时效指标</w:t>
      </w:r>
      <w:r>
        <w:rPr>
          <w:rFonts w:hint="eastAsia" w:ascii="楷体" w:hAnsi="楷体" w:eastAsia="楷体" w:cs="楷体"/>
          <w:color w:val="000000"/>
          <w:kern w:val="0"/>
          <w:sz w:val="32"/>
          <w:szCs w:val="32"/>
        </w:rPr>
        <w:t>水、土、气等各项治理项目执照计划进行</w:t>
      </w:r>
      <w:r>
        <w:rPr>
          <w:rFonts w:hint="eastAsia" w:ascii="楷体" w:hAnsi="楷体" w:eastAsia="楷体" w:cs="楷体"/>
          <w:sz w:val="32"/>
          <w:szCs w:val="32"/>
        </w:rPr>
        <w:t>。</w:t>
      </w:r>
    </w:p>
    <w:p>
      <w:pPr>
        <w:rPr>
          <w:rFonts w:hint="eastAsia" w:ascii="楷体" w:hAnsi="楷体" w:eastAsia="楷体" w:cs="楷体"/>
          <w:sz w:val="32"/>
          <w:szCs w:val="32"/>
        </w:rPr>
      </w:pPr>
      <w:r>
        <w:rPr>
          <w:rFonts w:hint="eastAsia" w:ascii="楷体" w:hAnsi="楷体" w:eastAsia="楷体" w:cs="楷体"/>
          <w:sz w:val="32"/>
          <w:szCs w:val="32"/>
        </w:rPr>
        <w:t>项目绩效自评综述：</w:t>
      </w:r>
      <w:r>
        <w:rPr>
          <w:rFonts w:hint="eastAsia" w:ascii="楷体" w:hAnsi="楷体" w:eastAsia="楷体" w:cs="楷体"/>
          <w:color w:val="000000"/>
          <w:kern w:val="0"/>
          <w:sz w:val="32"/>
          <w:szCs w:val="32"/>
        </w:rPr>
        <w:t>珠晖区水体、大气、土壤、噪声、光、恶臭、固体废物、化学品、机动车、辐射放射等各类污染源得到了控制</w:t>
      </w:r>
      <w:r>
        <w:rPr>
          <w:rFonts w:hint="eastAsia" w:ascii="楷体" w:hAnsi="楷体" w:eastAsia="楷体" w:cs="楷体"/>
          <w:sz w:val="32"/>
          <w:szCs w:val="32"/>
        </w:rPr>
        <w:t>。</w:t>
      </w:r>
    </w:p>
    <w:p>
      <w:pPr>
        <w:pStyle w:val="16"/>
        <w:widowControl/>
        <w:spacing w:line="560" w:lineRule="exact"/>
        <w:ind w:left="0" w:leftChars="0" w:firstLine="640" w:firstLineChars="200"/>
        <w:rPr>
          <w:rFonts w:eastAsia="黑体"/>
          <w:sz w:val="32"/>
          <w:szCs w:val="32"/>
        </w:rPr>
      </w:pPr>
      <w:bookmarkStart w:id="0" w:name="_GoBack"/>
      <w:bookmarkEnd w:id="0"/>
      <w:r>
        <w:rPr>
          <w:rFonts w:hint="eastAsia" w:eastAsia="黑体"/>
          <w:sz w:val="32"/>
          <w:szCs w:val="32"/>
        </w:rPr>
        <w:t>三、政府性基金预算支出情况</w:t>
      </w:r>
    </w:p>
    <w:p>
      <w:pPr>
        <w:pStyle w:val="16"/>
        <w:widowControl/>
        <w:spacing w:line="560" w:lineRule="exact"/>
        <w:ind w:firstLine="640"/>
        <w:rPr>
          <w:rFonts w:eastAsia="黑体"/>
          <w:sz w:val="32"/>
          <w:szCs w:val="32"/>
        </w:rPr>
      </w:pPr>
      <w:r>
        <w:rPr>
          <w:rFonts w:hint="eastAsia" w:eastAsia="黑体"/>
          <w:sz w:val="32"/>
          <w:szCs w:val="32"/>
        </w:rPr>
        <w:t>政府性基金预算支出情况无</w:t>
      </w:r>
    </w:p>
    <w:p>
      <w:pPr>
        <w:pStyle w:val="16"/>
        <w:widowControl/>
        <w:spacing w:line="560" w:lineRule="exact"/>
        <w:ind w:firstLine="640"/>
        <w:rPr>
          <w:rFonts w:eastAsia="黑体"/>
          <w:sz w:val="32"/>
          <w:szCs w:val="32"/>
        </w:rPr>
      </w:pPr>
      <w:r>
        <w:rPr>
          <w:rFonts w:hint="eastAsia" w:eastAsia="黑体"/>
          <w:sz w:val="32"/>
          <w:szCs w:val="32"/>
        </w:rPr>
        <w:t>四、国有资本经营预算支出情况</w:t>
      </w:r>
    </w:p>
    <w:p>
      <w:pPr>
        <w:pStyle w:val="16"/>
        <w:widowControl/>
        <w:spacing w:line="560" w:lineRule="exact"/>
        <w:ind w:firstLine="640"/>
        <w:rPr>
          <w:rFonts w:eastAsia="黑体"/>
          <w:sz w:val="32"/>
          <w:szCs w:val="32"/>
        </w:rPr>
      </w:pPr>
      <w:r>
        <w:rPr>
          <w:rFonts w:hint="eastAsia" w:eastAsia="黑体"/>
          <w:sz w:val="32"/>
          <w:szCs w:val="32"/>
        </w:rPr>
        <w:t>国有资本经营预算支出情况无</w:t>
      </w:r>
    </w:p>
    <w:p>
      <w:pPr>
        <w:pStyle w:val="16"/>
        <w:widowControl/>
        <w:spacing w:line="560" w:lineRule="exact"/>
        <w:ind w:firstLine="640"/>
        <w:rPr>
          <w:rFonts w:eastAsia="黑体"/>
          <w:sz w:val="32"/>
          <w:szCs w:val="32"/>
        </w:rPr>
      </w:pPr>
      <w:r>
        <w:rPr>
          <w:rFonts w:hint="eastAsia" w:eastAsia="黑体"/>
          <w:sz w:val="32"/>
          <w:szCs w:val="32"/>
        </w:rPr>
        <w:t>五、社会保险基金预算支出情况</w:t>
      </w:r>
    </w:p>
    <w:p>
      <w:pPr>
        <w:pStyle w:val="16"/>
        <w:widowControl/>
        <w:spacing w:line="560" w:lineRule="exact"/>
        <w:ind w:firstLine="640"/>
        <w:rPr>
          <w:rFonts w:eastAsia="黑体"/>
          <w:sz w:val="32"/>
          <w:szCs w:val="32"/>
        </w:rPr>
      </w:pPr>
      <w:r>
        <w:rPr>
          <w:rFonts w:hint="eastAsia" w:eastAsia="黑体"/>
          <w:sz w:val="32"/>
          <w:szCs w:val="32"/>
        </w:rPr>
        <w:t>社会保险基金预算支出情况无</w:t>
      </w:r>
    </w:p>
    <w:p>
      <w:pPr>
        <w:widowControl/>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六、部门整体支出绩效情况</w:t>
      </w:r>
    </w:p>
    <w:p>
      <w:pPr>
        <w:pStyle w:val="16"/>
        <w:widowControl/>
        <w:spacing w:line="560" w:lineRule="exact"/>
        <w:ind w:firstLine="640"/>
        <w:rPr>
          <w:rFonts w:eastAsia="楷体"/>
          <w:sz w:val="32"/>
          <w:szCs w:val="32"/>
        </w:rPr>
      </w:pPr>
      <w:r>
        <w:rPr>
          <w:rFonts w:hint="eastAsia" w:eastAsia="楷体"/>
          <w:sz w:val="32"/>
          <w:szCs w:val="32"/>
        </w:rPr>
        <w:t>认真抓好内部审计工作，认真部署，扎扎实实地开展内部审计工作。明确了全年的工作任务和要求，使全年的审计工作做到了有计划、有部署。</w:t>
      </w:r>
    </w:p>
    <w:p>
      <w:pPr>
        <w:pStyle w:val="16"/>
        <w:widowControl/>
        <w:spacing w:line="560" w:lineRule="exact"/>
        <w:ind w:firstLine="640"/>
        <w:rPr>
          <w:rFonts w:eastAsia="黑体"/>
          <w:sz w:val="32"/>
          <w:szCs w:val="32"/>
        </w:rPr>
      </w:pPr>
      <w:r>
        <w:rPr>
          <w:rFonts w:hint="eastAsia" w:eastAsia="黑体"/>
          <w:sz w:val="32"/>
          <w:szCs w:val="32"/>
        </w:rPr>
        <w:t>七、存在的问题及原因分析</w:t>
      </w:r>
    </w:p>
    <w:p>
      <w:pPr>
        <w:pStyle w:val="16"/>
        <w:widowControl/>
        <w:spacing w:line="560" w:lineRule="exact"/>
        <w:ind w:firstLine="640"/>
        <w:rPr>
          <w:rFonts w:hint="eastAsia" w:eastAsia="楷体"/>
          <w:sz w:val="32"/>
          <w:szCs w:val="32"/>
          <w:lang w:val="en-US" w:eastAsia="zh-CN"/>
        </w:rPr>
      </w:pPr>
      <w:r>
        <w:rPr>
          <w:rFonts w:hint="eastAsia" w:eastAsia="楷体"/>
          <w:sz w:val="32"/>
          <w:szCs w:val="32"/>
        </w:rPr>
        <w:t>2021年我局财政预算资金收入为</w:t>
      </w:r>
      <w:r>
        <w:rPr>
          <w:rFonts w:hint="eastAsia" w:eastAsia="楷体"/>
          <w:sz w:val="32"/>
          <w:szCs w:val="32"/>
          <w:lang w:val="en-US" w:eastAsia="zh-CN"/>
        </w:rPr>
        <w:t>4277500</w:t>
      </w:r>
      <w:r>
        <w:rPr>
          <w:rFonts w:hint="eastAsia" w:eastAsia="楷体"/>
          <w:sz w:val="32"/>
          <w:szCs w:val="32"/>
        </w:rPr>
        <w:t>元，其他收入</w:t>
      </w:r>
      <w:r>
        <w:rPr>
          <w:rFonts w:hint="eastAsia" w:eastAsia="楷体"/>
          <w:sz w:val="32"/>
          <w:szCs w:val="32"/>
          <w:lang w:val="en-US" w:eastAsia="zh-CN"/>
        </w:rPr>
        <w:t>98547</w:t>
      </w:r>
      <w:r>
        <w:rPr>
          <w:rFonts w:hint="eastAsia" w:eastAsia="楷体"/>
          <w:sz w:val="32"/>
          <w:szCs w:val="32"/>
        </w:rPr>
        <w:t>元；实际支出</w:t>
      </w:r>
      <w:r>
        <w:rPr>
          <w:rFonts w:hint="eastAsia" w:eastAsia="楷体"/>
          <w:sz w:val="32"/>
          <w:szCs w:val="32"/>
          <w:lang w:val="en-US" w:eastAsia="zh-CN"/>
        </w:rPr>
        <w:t>7385082.88</w:t>
      </w:r>
      <w:r>
        <w:rPr>
          <w:rFonts w:hint="eastAsia" w:eastAsia="楷体"/>
          <w:sz w:val="32"/>
          <w:szCs w:val="32"/>
        </w:rPr>
        <w:t>元，</w:t>
      </w:r>
      <w:r>
        <w:rPr>
          <w:rFonts w:hint="eastAsia" w:eastAsia="楷体"/>
          <w:sz w:val="32"/>
          <w:szCs w:val="32"/>
          <w:lang w:eastAsia="zh-CN"/>
        </w:rPr>
        <w:t>除去项目支出</w:t>
      </w:r>
      <w:r>
        <w:rPr>
          <w:rFonts w:hint="eastAsia" w:eastAsia="楷体"/>
          <w:sz w:val="32"/>
          <w:szCs w:val="32"/>
          <w:lang w:val="en-US" w:eastAsia="zh-CN"/>
        </w:rPr>
        <w:t>2124946.14外，</w:t>
      </w:r>
      <w:r>
        <w:rPr>
          <w:rFonts w:hint="eastAsia" w:eastAsia="楷体"/>
          <w:sz w:val="32"/>
          <w:szCs w:val="32"/>
        </w:rPr>
        <w:t>经费缺口</w:t>
      </w:r>
      <w:r>
        <w:rPr>
          <w:rFonts w:hint="eastAsia" w:eastAsia="楷体"/>
          <w:sz w:val="32"/>
          <w:szCs w:val="32"/>
          <w:lang w:val="en-US" w:eastAsia="zh-CN"/>
        </w:rPr>
        <w:t>982636.74</w:t>
      </w:r>
      <w:r>
        <w:rPr>
          <w:rFonts w:hint="eastAsia" w:eastAsia="楷体"/>
          <w:sz w:val="32"/>
          <w:szCs w:val="32"/>
        </w:rPr>
        <w:t>元</w:t>
      </w:r>
      <w:r>
        <w:rPr>
          <w:rFonts w:hint="eastAsia" w:eastAsia="楷体"/>
          <w:sz w:val="32"/>
          <w:szCs w:val="32"/>
          <w:lang w:eastAsia="zh-CN"/>
        </w:rPr>
        <w:t>。</w:t>
      </w:r>
    </w:p>
    <w:p>
      <w:pPr>
        <w:pStyle w:val="16"/>
        <w:widowControl/>
        <w:spacing w:line="560" w:lineRule="exact"/>
        <w:ind w:firstLine="640"/>
        <w:rPr>
          <w:rFonts w:eastAsia="楷体"/>
          <w:sz w:val="32"/>
          <w:szCs w:val="32"/>
        </w:rPr>
      </w:pPr>
      <w:r>
        <w:rPr>
          <w:rFonts w:hint="eastAsia" w:eastAsia="楷体"/>
          <w:sz w:val="32"/>
          <w:szCs w:val="32"/>
        </w:rPr>
        <w:t>经费缺口无保障主要原因：1、衡阳市环境保护局</w:t>
      </w:r>
      <w:r>
        <w:rPr>
          <w:rFonts w:hint="eastAsia" w:eastAsia="楷体"/>
          <w:sz w:val="32"/>
          <w:szCs w:val="32"/>
          <w:lang w:eastAsia="zh-CN"/>
        </w:rPr>
        <w:t>珠晖</w:t>
      </w:r>
      <w:r>
        <w:rPr>
          <w:rFonts w:hint="eastAsia" w:eastAsia="楷体"/>
          <w:sz w:val="32"/>
          <w:szCs w:val="32"/>
        </w:rPr>
        <w:t>分局所隶属于衡阳市生态环境局二级机构，属于全额拔款单位，全年预算单位运行经费存在缺口。</w:t>
      </w:r>
    </w:p>
    <w:p>
      <w:pPr>
        <w:pStyle w:val="16"/>
        <w:widowControl/>
        <w:spacing w:line="560" w:lineRule="exact"/>
        <w:ind w:firstLine="640"/>
        <w:rPr>
          <w:rFonts w:eastAsia="楷体"/>
          <w:sz w:val="32"/>
          <w:szCs w:val="32"/>
        </w:rPr>
      </w:pPr>
      <w:r>
        <w:rPr>
          <w:rFonts w:hint="eastAsia" w:eastAsia="楷体"/>
          <w:sz w:val="32"/>
          <w:szCs w:val="32"/>
        </w:rPr>
        <w:t xml:space="preserve"> 2、衡阳市环境保护局</w:t>
      </w:r>
      <w:r>
        <w:rPr>
          <w:rFonts w:hint="eastAsia" w:eastAsia="楷体"/>
          <w:sz w:val="32"/>
          <w:szCs w:val="32"/>
          <w:lang w:eastAsia="zh-CN"/>
        </w:rPr>
        <w:t>珠晖</w:t>
      </w:r>
      <w:r>
        <w:rPr>
          <w:rFonts w:hint="eastAsia" w:eastAsia="楷体"/>
          <w:sz w:val="32"/>
          <w:szCs w:val="32"/>
        </w:rPr>
        <w:t>分局自2018年取消了排污费收费业务后，收入来源严重短缺。</w:t>
      </w:r>
    </w:p>
    <w:p>
      <w:pPr>
        <w:pStyle w:val="16"/>
        <w:widowControl/>
        <w:spacing w:line="560" w:lineRule="exact"/>
        <w:ind w:firstLine="640"/>
        <w:rPr>
          <w:rFonts w:eastAsia="楷体"/>
          <w:sz w:val="32"/>
          <w:szCs w:val="32"/>
        </w:rPr>
      </w:pPr>
      <w:r>
        <w:rPr>
          <w:rFonts w:hint="eastAsia" w:eastAsia="楷体"/>
          <w:sz w:val="32"/>
          <w:szCs w:val="32"/>
        </w:rPr>
        <w:t>采取的措施：响应财政局“以事养人”的原则，积极承担辖区内</w:t>
      </w:r>
      <w:r>
        <w:rPr>
          <w:rFonts w:hint="eastAsia" w:ascii="楷体" w:hAnsi="楷体" w:eastAsia="楷体" w:cs="楷体"/>
          <w:sz w:val="32"/>
          <w:szCs w:val="32"/>
        </w:rPr>
        <w:t>环境保护提供监管保障，环境违法行为的查处</w:t>
      </w:r>
      <w:r>
        <w:rPr>
          <w:rFonts w:hint="eastAsia" w:eastAsia="楷体"/>
          <w:sz w:val="32"/>
          <w:szCs w:val="32"/>
        </w:rPr>
        <w:t>工作。</w:t>
      </w:r>
    </w:p>
    <w:p>
      <w:pPr>
        <w:widowControl/>
        <w:spacing w:line="560" w:lineRule="exact"/>
        <w:ind w:firstLine="640" w:firstLineChars="200"/>
        <w:rPr>
          <w:rFonts w:eastAsia="黑体"/>
          <w:sz w:val="32"/>
          <w:szCs w:val="32"/>
        </w:rPr>
      </w:pPr>
      <w:r>
        <w:rPr>
          <w:rFonts w:hint="eastAsia" w:eastAsia="黑体"/>
          <w:sz w:val="32"/>
          <w:szCs w:val="32"/>
        </w:rPr>
        <w:t>八、改进措施和有关建议</w:t>
      </w:r>
    </w:p>
    <w:p>
      <w:pPr>
        <w:pStyle w:val="16"/>
        <w:widowControl/>
        <w:spacing w:line="560" w:lineRule="exact"/>
        <w:ind w:firstLine="640"/>
        <w:rPr>
          <w:rFonts w:eastAsia="楷体"/>
          <w:sz w:val="32"/>
          <w:szCs w:val="32"/>
        </w:rPr>
      </w:pPr>
      <w:r>
        <w:rPr>
          <w:rFonts w:hint="eastAsia" w:eastAsia="楷体"/>
          <w:sz w:val="32"/>
          <w:szCs w:val="32"/>
        </w:rPr>
        <w:t>1.科学合理编制预算，严格执行预算。</w:t>
      </w:r>
    </w:p>
    <w:p>
      <w:pPr>
        <w:pStyle w:val="16"/>
        <w:widowControl/>
        <w:spacing w:line="560" w:lineRule="exact"/>
        <w:ind w:firstLine="640"/>
        <w:rPr>
          <w:rFonts w:eastAsia="楷体"/>
          <w:sz w:val="32"/>
          <w:szCs w:val="32"/>
        </w:rPr>
      </w:pPr>
      <w:r>
        <w:rPr>
          <w:rFonts w:hint="eastAsia" w:eastAsia="楷体"/>
          <w:sz w:val="32"/>
          <w:szCs w:val="32"/>
        </w:rPr>
        <w:t>加强预算编制的前瞻性，按照新《预算法》及其实施条例的相关规定，按政策规定及本部门的发展规划，结合上一年度预算执行情况和本年度预算收支变化因素，科学、合理地编制本年预算草案，避免项目支出与基本支出划分不准或预算支出与实际执行出现较大偏差的情况，执行中确需调剂预算的，按规定程序报经批准。</w:t>
      </w:r>
    </w:p>
    <w:p>
      <w:pPr>
        <w:pStyle w:val="16"/>
        <w:widowControl/>
        <w:spacing w:line="560" w:lineRule="exact"/>
        <w:ind w:firstLine="640"/>
        <w:rPr>
          <w:rFonts w:eastAsia="楷体"/>
          <w:sz w:val="32"/>
          <w:szCs w:val="32"/>
        </w:rPr>
      </w:pPr>
      <w:r>
        <w:rPr>
          <w:rFonts w:hint="eastAsia" w:eastAsia="楷体"/>
          <w:sz w:val="32"/>
          <w:szCs w:val="32"/>
        </w:rPr>
        <w:t>2.完善管理制度，进一步加强资产管理。</w:t>
      </w:r>
    </w:p>
    <w:p>
      <w:pPr>
        <w:pStyle w:val="16"/>
        <w:widowControl/>
        <w:spacing w:line="560" w:lineRule="exact"/>
        <w:ind w:firstLine="640"/>
        <w:rPr>
          <w:rFonts w:eastAsia="楷体"/>
          <w:sz w:val="32"/>
          <w:szCs w:val="32"/>
        </w:rPr>
      </w:pPr>
      <w:r>
        <w:rPr>
          <w:rFonts w:hint="eastAsia" w:eastAsia="楷体"/>
          <w:sz w:val="32"/>
          <w:szCs w:val="32"/>
        </w:rPr>
        <w:t>进一步贯彻落实中央“八项规定”和湖南省委“九条规定”，建立本部门“三公经费”等公务支出管理制度及厉行节约制度，加强经费审批和控制，规范支出标准与范围，并严格执行。严格按照《固定资产管理办法》的规定加强固定资产管理，及时登记、更新台账，加强资产卡片管理，年终前对各类实物资产进行全面盘点，确保账账、账实相符。</w:t>
      </w:r>
    </w:p>
    <w:p>
      <w:pPr>
        <w:pStyle w:val="16"/>
        <w:widowControl/>
        <w:spacing w:line="560" w:lineRule="exact"/>
        <w:ind w:firstLine="640"/>
        <w:rPr>
          <w:rFonts w:eastAsia="楷体"/>
          <w:sz w:val="32"/>
          <w:szCs w:val="32"/>
        </w:rPr>
      </w:pPr>
      <w:r>
        <w:rPr>
          <w:rFonts w:hint="eastAsia" w:eastAsia="楷体"/>
          <w:sz w:val="32"/>
          <w:szCs w:val="32"/>
        </w:rPr>
        <w:t>3.加强新行政单位会计制度和新预算法学习培训。</w:t>
      </w:r>
    </w:p>
    <w:p>
      <w:pPr>
        <w:pStyle w:val="16"/>
        <w:widowControl/>
        <w:spacing w:line="560" w:lineRule="exact"/>
        <w:ind w:firstLine="640"/>
        <w:rPr>
          <w:rFonts w:eastAsia="黑体"/>
          <w:sz w:val="32"/>
          <w:szCs w:val="32"/>
        </w:rPr>
      </w:pPr>
      <w:r>
        <w:rPr>
          <w:rFonts w:hint="eastAsia" w:eastAsia="楷体"/>
          <w:sz w:val="32"/>
          <w:szCs w:val="32"/>
        </w:rPr>
        <w:t xml:space="preserve">加强新《预算法》、《行政单位会计制度》等学习培训，规范部门预算收支核算，一是制定和完善基本支出、项目支出等各项支出标准，严格按项目和进度执行预算，增强预算的约束力和严肃性；二是落实预算执行分析，及时了解预算执行差异，合理调整、纠正预算执行偏差，切实提高部门预算收支管理水平。     </w:t>
      </w:r>
    </w:p>
    <w:p>
      <w:pPr>
        <w:widowControl/>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九、其他需要说明的情况</w:t>
      </w:r>
    </w:p>
    <w:p>
      <w:pPr>
        <w:widowControl/>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报告应包括以下附件：</w:t>
      </w:r>
    </w:p>
    <w:p>
      <w:pPr>
        <w:widowControl/>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1.</w:t>
      </w:r>
      <w:r>
        <w:rPr>
          <w:rFonts w:hint="eastAsia" w:ascii="Times New Roman" w:hAnsi="Times New Roman" w:eastAsia="仿宋"/>
          <w:sz w:val="32"/>
          <w:szCs w:val="32"/>
        </w:rPr>
        <w:t>部门整体支出绩效评价指标评分表</w:t>
      </w:r>
    </w:p>
    <w:p>
      <w:pPr>
        <w:widowControl/>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2.</w:t>
      </w:r>
      <w:r>
        <w:rPr>
          <w:rFonts w:hint="eastAsia" w:ascii="Times New Roman" w:hAnsi="Times New Roman" w:eastAsia="仿宋"/>
          <w:sz w:val="32"/>
          <w:szCs w:val="32"/>
        </w:rPr>
        <w:t>部门整体支出绩效评价基础表</w:t>
      </w:r>
    </w:p>
    <w:p>
      <w:pPr>
        <w:widowControl/>
        <w:spacing w:line="560" w:lineRule="exact"/>
        <w:ind w:firstLine="640" w:firstLineChars="200"/>
        <w:rPr>
          <w:rFonts w:ascii="Times New Roman" w:hAnsi="Times New Roman" w:eastAsia="仿宋"/>
        </w:rPr>
      </w:pPr>
      <w:r>
        <w:rPr>
          <w:rFonts w:ascii="Times New Roman" w:hAnsi="Times New Roman" w:eastAsia="仿宋"/>
          <w:sz w:val="32"/>
          <w:szCs w:val="32"/>
        </w:rPr>
        <w:t>3.</w:t>
      </w:r>
      <w:r>
        <w:rPr>
          <w:rFonts w:hint="eastAsia" w:ascii="Times New Roman" w:hAnsi="Times New Roman" w:eastAsia="仿宋"/>
          <w:sz w:val="32"/>
          <w:szCs w:val="32"/>
        </w:rPr>
        <w:t>项目支出绩效自评表（一个项目支出一张表）</w:t>
      </w:r>
    </w:p>
    <w:p>
      <w:pPr>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p>
    <w:p>
      <w:pPr>
        <w:rPr>
          <w:rFonts w:ascii="Times New Roman" w:hAnsi="Times New Roman" w:eastAsia="黑体"/>
          <w:sz w:val="32"/>
          <w:szCs w:val="32"/>
        </w:rPr>
      </w:pPr>
    </w:p>
    <w:p>
      <w:pPr>
        <w:rPr>
          <w:rFonts w:ascii="Times New Roman" w:hAnsi="Times New Roman" w:eastAsia="黑体"/>
        </w:rPr>
      </w:pPr>
      <w:r>
        <w:rPr>
          <w:rFonts w:ascii="Times New Roman" w:hAnsi="Times New Roman" w:eastAsia="黑体"/>
          <w:sz w:val="32"/>
          <w:szCs w:val="32"/>
        </w:rPr>
        <w:t>附件</w:t>
      </w:r>
      <w:r>
        <w:rPr>
          <w:rFonts w:hint="eastAsia" w:ascii="Times New Roman" w:hAnsi="Times New Roman" w:eastAsia="黑体"/>
          <w:sz w:val="32"/>
          <w:szCs w:val="32"/>
        </w:rPr>
        <w:t>2</w:t>
      </w:r>
    </w:p>
    <w:tbl>
      <w:tblPr>
        <w:tblStyle w:val="7"/>
        <w:tblW w:w="10337" w:type="dxa"/>
        <w:jc w:val="center"/>
        <w:tblLayout w:type="fixed"/>
        <w:tblCellMar>
          <w:top w:w="0" w:type="dxa"/>
          <w:left w:w="108" w:type="dxa"/>
          <w:bottom w:w="0" w:type="dxa"/>
          <w:right w:w="108" w:type="dxa"/>
        </w:tblCellMar>
      </w:tblPr>
      <w:tblGrid>
        <w:gridCol w:w="1202"/>
        <w:gridCol w:w="840"/>
        <w:gridCol w:w="1185"/>
        <w:gridCol w:w="1665"/>
        <w:gridCol w:w="1091"/>
        <w:gridCol w:w="184"/>
        <w:gridCol w:w="836"/>
        <w:gridCol w:w="409"/>
        <w:gridCol w:w="765"/>
        <w:gridCol w:w="705"/>
        <w:gridCol w:w="225"/>
        <w:gridCol w:w="1230"/>
      </w:tblGrid>
      <w:tr>
        <w:tblPrEx>
          <w:tblCellMar>
            <w:top w:w="0" w:type="dxa"/>
            <w:left w:w="108" w:type="dxa"/>
            <w:bottom w:w="0" w:type="dxa"/>
            <w:right w:w="108" w:type="dxa"/>
          </w:tblCellMar>
        </w:tblPrEx>
        <w:trPr>
          <w:trHeight w:val="549" w:hRule="atLeast"/>
          <w:jc w:val="center"/>
        </w:trPr>
        <w:tc>
          <w:tcPr>
            <w:tcW w:w="10337" w:type="dxa"/>
            <w:gridSpan w:val="12"/>
            <w:tcBorders>
              <w:top w:val="nil"/>
              <w:left w:val="nil"/>
              <w:bottom w:val="nil"/>
              <w:right w:val="nil"/>
            </w:tcBorders>
            <w:shd w:val="clear" w:color="auto" w:fill="auto"/>
            <w:noWrap/>
            <w:vAlign w:val="center"/>
          </w:tcPr>
          <w:p>
            <w:pPr>
              <w:ind w:firstLine="2880" w:firstLineChars="800"/>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部门整体支出绩效自评表</w:t>
            </w:r>
          </w:p>
        </w:tc>
      </w:tr>
      <w:tr>
        <w:tblPrEx>
          <w:tblCellMar>
            <w:top w:w="0" w:type="dxa"/>
            <w:left w:w="108" w:type="dxa"/>
            <w:bottom w:w="0" w:type="dxa"/>
            <w:right w:w="108" w:type="dxa"/>
          </w:tblCellMar>
        </w:tblPrEx>
        <w:trPr>
          <w:trHeight w:val="270" w:hRule="atLeast"/>
          <w:jc w:val="center"/>
        </w:trPr>
        <w:tc>
          <w:tcPr>
            <w:tcW w:w="10337" w:type="dxa"/>
            <w:gridSpan w:val="12"/>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填报单位： （盖章）</w:t>
            </w:r>
            <w:r>
              <w:rPr>
                <w:rFonts w:hint="eastAsia" w:ascii="Times New Roman" w:hAnsi="Times New Roman"/>
                <w:color w:val="000000"/>
                <w:kern w:val="0"/>
                <w:sz w:val="22"/>
              </w:rPr>
              <w:t xml:space="preserve">                 （2021年度）</w:t>
            </w:r>
          </w:p>
        </w:tc>
      </w:tr>
      <w:tr>
        <w:tblPrEx>
          <w:tblCellMar>
            <w:top w:w="0" w:type="dxa"/>
            <w:left w:w="108" w:type="dxa"/>
            <w:bottom w:w="0" w:type="dxa"/>
            <w:right w:w="108" w:type="dxa"/>
          </w:tblCellMar>
        </w:tblPrEx>
        <w:trPr>
          <w:trHeight w:val="480" w:hRule="atLeast"/>
          <w:jc w:val="center"/>
        </w:trPr>
        <w:tc>
          <w:tcPr>
            <w:tcW w:w="1202"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部门名称</w:t>
            </w:r>
          </w:p>
        </w:tc>
        <w:tc>
          <w:tcPr>
            <w:tcW w:w="4781"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衡阳市环境保护局</w:t>
            </w:r>
            <w:r>
              <w:rPr>
                <w:rFonts w:hint="eastAsia" w:ascii="Times New Roman" w:hAnsi="Times New Roman" w:eastAsia="仿宋_GB2312"/>
                <w:color w:val="000000"/>
                <w:kern w:val="0"/>
                <w:szCs w:val="21"/>
                <w:lang w:eastAsia="zh-CN"/>
              </w:rPr>
              <w:t>珠晖</w:t>
            </w:r>
            <w:r>
              <w:rPr>
                <w:rFonts w:hint="eastAsia" w:ascii="Times New Roman" w:hAnsi="Times New Roman" w:eastAsia="仿宋_GB2312"/>
                <w:color w:val="000000"/>
                <w:kern w:val="0"/>
                <w:szCs w:val="21"/>
              </w:rPr>
              <w:t>分局</w:t>
            </w:r>
            <w:r>
              <w:rPr>
                <w:rFonts w:ascii="Times New Roman" w:hAnsi="Times New Roman" w:eastAsia="仿宋_GB2312"/>
                <w:color w:val="000000"/>
                <w:kern w:val="0"/>
                <w:szCs w:val="21"/>
              </w:rPr>
              <w:t>　</w:t>
            </w:r>
          </w:p>
        </w:tc>
        <w:tc>
          <w:tcPr>
            <w:tcW w:w="102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执行数</w:t>
            </w:r>
          </w:p>
        </w:tc>
        <w:tc>
          <w:tcPr>
            <w:tcW w:w="1174" w:type="dxa"/>
            <w:gridSpan w:val="2"/>
            <w:tcBorders>
              <w:top w:val="single" w:color="auto" w:sz="4" w:space="0"/>
              <w:left w:val="nil"/>
              <w:bottom w:val="single" w:color="auto" w:sz="4" w:space="0"/>
              <w:right w:val="single" w:color="000000" w:sz="4" w:space="0"/>
            </w:tcBorders>
            <w:shd w:val="clear" w:color="auto" w:fill="auto"/>
            <w:noWrap/>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资金执行率</w:t>
            </w:r>
          </w:p>
        </w:tc>
        <w:tc>
          <w:tcPr>
            <w:tcW w:w="93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分值</w:t>
            </w:r>
          </w:p>
        </w:tc>
        <w:tc>
          <w:tcPr>
            <w:tcW w:w="1230"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得分</w:t>
            </w:r>
          </w:p>
        </w:tc>
      </w:tr>
      <w:tr>
        <w:tblPrEx>
          <w:tblCellMar>
            <w:top w:w="0" w:type="dxa"/>
            <w:left w:w="108" w:type="dxa"/>
            <w:bottom w:w="0" w:type="dxa"/>
            <w:right w:w="108" w:type="dxa"/>
          </w:tblCellMar>
        </w:tblPrEx>
        <w:trPr>
          <w:trHeight w:val="395" w:hRule="atLeast"/>
          <w:jc w:val="center"/>
        </w:trPr>
        <w:tc>
          <w:tcPr>
            <w:tcW w:w="1202" w:type="dxa"/>
            <w:vMerge w:val="restart"/>
            <w:tcBorders>
              <w:top w:val="nil"/>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年度预算</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申请（万元）</w:t>
            </w:r>
          </w:p>
        </w:tc>
        <w:tc>
          <w:tcPr>
            <w:tcW w:w="4781"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资金总额：</w:t>
            </w:r>
            <w:r>
              <w:rPr>
                <w:rFonts w:hint="eastAsia" w:ascii="Times New Roman" w:hAnsi="Times New Roman" w:eastAsia="仿宋_GB2312"/>
                <w:color w:val="000000" w:themeColor="text1"/>
                <w:kern w:val="0"/>
                <w:szCs w:val="21"/>
                <w:lang w:val="en-US" w:eastAsia="zh-CN"/>
              </w:rPr>
              <w:t>427.75</w:t>
            </w:r>
          </w:p>
        </w:tc>
        <w:tc>
          <w:tcPr>
            <w:tcW w:w="102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themeColor="text1"/>
                <w:kern w:val="0"/>
                <w:szCs w:val="21"/>
                <w:lang w:val="en-US" w:eastAsia="zh-CN"/>
              </w:rPr>
            </w:pPr>
            <w:r>
              <w:rPr>
                <w:rFonts w:hint="eastAsia" w:ascii="Times New Roman" w:hAnsi="Times New Roman" w:eastAsia="仿宋_GB2312"/>
                <w:color w:val="000000" w:themeColor="text1"/>
                <w:kern w:val="0"/>
                <w:szCs w:val="21"/>
                <w:lang w:val="en-US" w:eastAsia="zh-CN"/>
              </w:rPr>
              <w:t>427.75</w:t>
            </w:r>
          </w:p>
        </w:tc>
        <w:tc>
          <w:tcPr>
            <w:tcW w:w="1174"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themeColor="text1"/>
                <w:kern w:val="0"/>
                <w:szCs w:val="21"/>
              </w:rPr>
            </w:pPr>
            <w:r>
              <w:rPr>
                <w:rFonts w:hint="eastAsia" w:ascii="Times New Roman" w:hAnsi="Times New Roman" w:eastAsia="仿宋_GB2312"/>
                <w:color w:val="000000" w:themeColor="text1"/>
                <w:kern w:val="0"/>
                <w:szCs w:val="21"/>
              </w:rPr>
              <w:t>100</w:t>
            </w:r>
          </w:p>
        </w:tc>
        <w:tc>
          <w:tcPr>
            <w:tcW w:w="93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ind w:firstLine="420" w:firstLineChars="200"/>
              <w:rPr>
                <w:rFonts w:hint="eastAsia" w:ascii="Times New Roman" w:hAnsi="Times New Roman" w:eastAsia="仿宋_GB2312"/>
                <w:color w:val="000000" w:themeColor="text1"/>
                <w:kern w:val="0"/>
                <w:szCs w:val="21"/>
                <w:lang w:val="en-US" w:eastAsia="zh-CN"/>
              </w:rPr>
            </w:pPr>
            <w:r>
              <w:rPr>
                <w:rFonts w:hint="eastAsia" w:ascii="Times New Roman" w:hAnsi="Times New Roman" w:eastAsia="仿宋_GB2312"/>
                <w:color w:val="000000" w:themeColor="text1"/>
                <w:kern w:val="0"/>
                <w:szCs w:val="21"/>
              </w:rPr>
              <w:t>1</w:t>
            </w:r>
            <w:r>
              <w:rPr>
                <w:rFonts w:hint="eastAsia" w:ascii="Times New Roman" w:hAnsi="Times New Roman" w:eastAsia="仿宋_GB2312"/>
                <w:color w:val="000000" w:themeColor="text1"/>
                <w:kern w:val="0"/>
                <w:szCs w:val="21"/>
                <w:lang w:val="en-US" w:eastAsia="zh-CN"/>
              </w:rPr>
              <w:t>0</w:t>
            </w:r>
          </w:p>
        </w:tc>
        <w:tc>
          <w:tcPr>
            <w:tcW w:w="1230" w:type="dxa"/>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themeColor="text1"/>
                <w:kern w:val="0"/>
                <w:szCs w:val="21"/>
              </w:rPr>
            </w:pPr>
            <w:r>
              <w:rPr>
                <w:rFonts w:hint="eastAsia" w:ascii="Times New Roman" w:hAnsi="Times New Roman" w:eastAsia="仿宋_GB2312"/>
                <w:color w:val="000000" w:themeColor="text1"/>
                <w:kern w:val="0"/>
                <w:szCs w:val="21"/>
              </w:rPr>
              <w:t>10</w:t>
            </w:r>
          </w:p>
        </w:tc>
      </w:tr>
      <w:tr>
        <w:tblPrEx>
          <w:tblCellMar>
            <w:top w:w="0" w:type="dxa"/>
            <w:left w:w="108" w:type="dxa"/>
            <w:bottom w:w="0" w:type="dxa"/>
            <w:right w:w="108" w:type="dxa"/>
          </w:tblCellMar>
        </w:tblPrEx>
        <w:trPr>
          <w:trHeight w:val="370" w:hRule="atLeast"/>
          <w:jc w:val="center"/>
        </w:trPr>
        <w:tc>
          <w:tcPr>
            <w:tcW w:w="1202"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781"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按收入性质分：</w:t>
            </w:r>
            <w:r>
              <w:rPr>
                <w:rFonts w:hint="eastAsia"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lang w:val="en-US" w:eastAsia="zh-CN"/>
              </w:rPr>
              <w:t>427.75</w:t>
            </w:r>
          </w:p>
        </w:tc>
        <w:tc>
          <w:tcPr>
            <w:tcW w:w="4354" w:type="dxa"/>
            <w:gridSpan w:val="7"/>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按指出性质分：</w:t>
            </w:r>
            <w:r>
              <w:rPr>
                <w:rFonts w:hint="eastAsia" w:ascii="Times New Roman" w:hAnsi="Times New Roman" w:eastAsia="仿宋_GB2312"/>
                <w:color w:val="000000" w:themeColor="text1"/>
                <w:kern w:val="0"/>
                <w:szCs w:val="21"/>
                <w:lang w:val="en-US" w:eastAsia="zh-CN"/>
              </w:rPr>
              <w:t>427.75</w:t>
            </w:r>
          </w:p>
        </w:tc>
      </w:tr>
      <w:tr>
        <w:tblPrEx>
          <w:tblCellMar>
            <w:top w:w="0" w:type="dxa"/>
            <w:left w:w="108" w:type="dxa"/>
            <w:bottom w:w="0" w:type="dxa"/>
            <w:right w:w="108" w:type="dxa"/>
          </w:tblCellMar>
        </w:tblPrEx>
        <w:trPr>
          <w:trHeight w:val="355" w:hRule="atLeast"/>
          <w:jc w:val="center"/>
        </w:trPr>
        <w:tc>
          <w:tcPr>
            <w:tcW w:w="1202"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781"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其中： 一般公共预算收入：</w:t>
            </w:r>
            <w:r>
              <w:rPr>
                <w:rFonts w:hint="eastAsia" w:ascii="Times New Roman" w:hAnsi="Times New Roman" w:eastAsia="仿宋_GB2312"/>
                <w:color w:val="000000" w:themeColor="text1"/>
                <w:kern w:val="0"/>
                <w:szCs w:val="21"/>
                <w:lang w:val="en-US" w:eastAsia="zh-CN"/>
              </w:rPr>
              <w:t>427.75</w:t>
            </w:r>
          </w:p>
        </w:tc>
        <w:tc>
          <w:tcPr>
            <w:tcW w:w="4354" w:type="dxa"/>
            <w:gridSpan w:val="7"/>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 xml:space="preserve"> 其中：基本支出：</w:t>
            </w:r>
            <w:r>
              <w:rPr>
                <w:rFonts w:hint="eastAsia" w:ascii="Times New Roman" w:hAnsi="Times New Roman" w:eastAsia="仿宋_GB2312"/>
                <w:color w:val="000000" w:themeColor="text1"/>
                <w:kern w:val="0"/>
                <w:szCs w:val="21"/>
                <w:lang w:val="en-US" w:eastAsia="zh-CN"/>
              </w:rPr>
              <w:t>427.75</w:t>
            </w:r>
          </w:p>
        </w:tc>
      </w:tr>
      <w:tr>
        <w:tblPrEx>
          <w:tblCellMar>
            <w:top w:w="0" w:type="dxa"/>
            <w:left w:w="108" w:type="dxa"/>
            <w:bottom w:w="0" w:type="dxa"/>
            <w:right w:w="108" w:type="dxa"/>
          </w:tblCellMar>
        </w:tblPrEx>
        <w:trPr>
          <w:trHeight w:val="385" w:hRule="atLeast"/>
          <w:jc w:val="center"/>
        </w:trPr>
        <w:tc>
          <w:tcPr>
            <w:tcW w:w="1202"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781"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ind w:firstLine="840" w:firstLineChars="400"/>
              <w:rPr>
                <w:rFonts w:ascii="Times New Roman" w:hAnsi="Times New Roman" w:eastAsia="仿宋_GB2312"/>
                <w:color w:val="000000"/>
                <w:kern w:val="0"/>
                <w:szCs w:val="21"/>
              </w:rPr>
            </w:pPr>
            <w:r>
              <w:rPr>
                <w:rFonts w:ascii="Times New Roman" w:hAnsi="Times New Roman" w:eastAsia="仿宋_GB2312"/>
                <w:color w:val="000000"/>
                <w:kern w:val="0"/>
                <w:szCs w:val="21"/>
              </w:rPr>
              <w:t>政府性基金拨款：</w:t>
            </w:r>
          </w:p>
        </w:tc>
        <w:tc>
          <w:tcPr>
            <w:tcW w:w="4354" w:type="dxa"/>
            <w:gridSpan w:val="7"/>
            <w:tcBorders>
              <w:top w:val="single" w:color="auto" w:sz="4" w:space="0"/>
              <w:left w:val="nil"/>
              <w:bottom w:val="single" w:color="auto" w:sz="4" w:space="0"/>
              <w:right w:val="single" w:color="000000" w:sz="4" w:space="0"/>
            </w:tcBorders>
            <w:shd w:val="clear" w:color="auto" w:fill="auto"/>
            <w:noWrap/>
            <w:vAlign w:val="center"/>
          </w:tcPr>
          <w:p>
            <w:pPr>
              <w:widowControl/>
              <w:ind w:firstLine="840" w:firstLineChars="400"/>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rPr>
              <w:t>项目支出：</w:t>
            </w:r>
            <w:r>
              <w:rPr>
                <w:rFonts w:hint="eastAsia" w:ascii="Times New Roman" w:hAnsi="Times New Roman" w:eastAsia="仿宋_GB2312"/>
                <w:color w:val="000000" w:themeColor="text1"/>
                <w:kern w:val="0"/>
                <w:szCs w:val="21"/>
                <w:lang w:val="en-US" w:eastAsia="zh-CN"/>
              </w:rPr>
              <w:t>0</w:t>
            </w:r>
          </w:p>
        </w:tc>
      </w:tr>
      <w:tr>
        <w:tblPrEx>
          <w:tblCellMar>
            <w:top w:w="0" w:type="dxa"/>
            <w:left w:w="108" w:type="dxa"/>
            <w:bottom w:w="0" w:type="dxa"/>
            <w:right w:w="108" w:type="dxa"/>
          </w:tblCellMar>
        </w:tblPrEx>
        <w:trPr>
          <w:trHeight w:val="385" w:hRule="atLeast"/>
          <w:jc w:val="center"/>
        </w:trPr>
        <w:tc>
          <w:tcPr>
            <w:tcW w:w="1202"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781"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纳入专户管理的非税收入拨款：</w:t>
            </w:r>
          </w:p>
        </w:tc>
        <w:tc>
          <w:tcPr>
            <w:tcW w:w="4354" w:type="dxa"/>
            <w:gridSpan w:val="7"/>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75" w:hRule="atLeast"/>
          <w:jc w:val="center"/>
        </w:trPr>
        <w:tc>
          <w:tcPr>
            <w:tcW w:w="1202"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781"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ind w:firstLine="1680" w:firstLineChars="800"/>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其他资金：</w:t>
            </w:r>
            <w:r>
              <w:rPr>
                <w:rFonts w:hint="eastAsia" w:ascii="Times New Roman" w:hAnsi="Times New Roman" w:eastAsia="仿宋_GB2312"/>
                <w:color w:val="000000" w:themeColor="text1"/>
                <w:kern w:val="0"/>
                <w:szCs w:val="21"/>
                <w:lang w:val="en-US" w:eastAsia="zh-CN"/>
              </w:rPr>
              <w:t>0</w:t>
            </w:r>
          </w:p>
        </w:tc>
        <w:tc>
          <w:tcPr>
            <w:tcW w:w="4354" w:type="dxa"/>
            <w:gridSpan w:val="7"/>
            <w:tcBorders>
              <w:top w:val="single" w:color="auto" w:sz="4" w:space="0"/>
              <w:left w:val="nil"/>
              <w:bottom w:val="single" w:color="auto" w:sz="4" w:space="0"/>
              <w:right w:val="single" w:color="000000" w:sz="4" w:space="0"/>
            </w:tcBorders>
            <w:shd w:val="clear" w:color="auto" w:fill="auto"/>
            <w:noWrap/>
            <w:vAlign w:val="center"/>
          </w:tcPr>
          <w:p>
            <w:pPr>
              <w:widowControl/>
              <w:ind w:firstLine="1680" w:firstLineChars="800"/>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672" w:hRule="atLeast"/>
          <w:jc w:val="center"/>
        </w:trPr>
        <w:tc>
          <w:tcPr>
            <w:tcW w:w="1202"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部门职能职责概述</w:t>
            </w:r>
          </w:p>
        </w:tc>
        <w:tc>
          <w:tcPr>
            <w:tcW w:w="9135" w:type="dxa"/>
            <w:gridSpan w:val="11"/>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从事为环境保护提供监管保障。环境违法行为的查处，水体、大气、土壤、噪音、光、恶臭、机动车等污染和防治及监管，主要污染物排放的总量控制，固体废物的监管。</w:t>
            </w:r>
          </w:p>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609" w:hRule="atLeast"/>
          <w:jc w:val="center"/>
        </w:trPr>
        <w:tc>
          <w:tcPr>
            <w:tcW w:w="1202"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整体绩效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目标</w:t>
            </w:r>
          </w:p>
        </w:tc>
        <w:tc>
          <w:tcPr>
            <w:tcW w:w="9135" w:type="dxa"/>
            <w:gridSpan w:val="11"/>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通过预算执行,强力推动水、气、土三大攻坚战，完成湘江保护和治理“一号重点工程”，实施大气污染防治项目，加快污水处理厂及配套管网建设，和乡镇千吨万人以上集中式饮用水源保护区建设。二氧化硫、氮氧化物、化学需氧量、氨氮排放量年度减排任务全部完成，保障珠晖区空气质量水平，提高人民生活居住环境，符合国家发展需求。</w:t>
            </w:r>
          </w:p>
        </w:tc>
      </w:tr>
      <w:tr>
        <w:tblPrEx>
          <w:tblCellMar>
            <w:top w:w="0" w:type="dxa"/>
            <w:left w:w="108" w:type="dxa"/>
            <w:bottom w:w="0" w:type="dxa"/>
            <w:right w:w="108" w:type="dxa"/>
          </w:tblCellMar>
        </w:tblPrEx>
        <w:trPr>
          <w:trHeight w:val="495" w:hRule="atLeast"/>
          <w:jc w:val="center"/>
        </w:trPr>
        <w:tc>
          <w:tcPr>
            <w:tcW w:w="1202"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部门整体支出年度绩效指标</w:t>
            </w:r>
          </w:p>
        </w:tc>
        <w:tc>
          <w:tcPr>
            <w:tcW w:w="84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18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66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7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24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70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45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974" w:hRule="atLeast"/>
          <w:jc w:val="center"/>
        </w:trPr>
        <w:tc>
          <w:tcPr>
            <w:tcW w:w="1202"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840"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50</w:t>
            </w:r>
            <w:r>
              <w:rPr>
                <w:rFonts w:ascii="Times New Roman" w:hAnsi="Times New Roman" w:eastAsia="仿宋_GB2312"/>
                <w:color w:val="000000"/>
                <w:kern w:val="0"/>
                <w:szCs w:val="21"/>
              </w:rPr>
              <w:t>分)</w:t>
            </w:r>
          </w:p>
        </w:tc>
        <w:tc>
          <w:tcPr>
            <w:tcW w:w="11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665"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155个排污口</w:t>
            </w:r>
          </w:p>
        </w:tc>
        <w:tc>
          <w:tcPr>
            <w:tcW w:w="1275" w:type="dxa"/>
            <w:gridSpan w:val="2"/>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155个排污口</w:t>
            </w:r>
          </w:p>
        </w:tc>
        <w:tc>
          <w:tcPr>
            <w:tcW w:w="1245" w:type="dxa"/>
            <w:gridSpan w:val="2"/>
            <w:tcBorders>
              <w:top w:val="single" w:color="auto" w:sz="4" w:space="0"/>
              <w:left w:val="nil"/>
              <w:right w:val="single" w:color="auto" w:sz="4" w:space="0"/>
            </w:tcBorders>
            <w:shd w:val="clear" w:color="auto" w:fill="auto"/>
            <w:noWrap/>
            <w:vAlign w:val="center"/>
          </w:tcPr>
          <w:p>
            <w:pPr>
              <w:widowControl/>
              <w:jc w:val="center"/>
              <w:rPr>
                <w:rFonts w:hint="default" w:eastAsia="宋体"/>
                <w:color w:val="000000"/>
                <w:kern w:val="0"/>
                <w:sz w:val="18"/>
                <w:szCs w:val="18"/>
                <w:lang w:val="en-US" w:eastAsia="zh-CN"/>
              </w:rPr>
            </w:pPr>
            <w:r>
              <w:rPr>
                <w:rFonts w:hint="eastAsia"/>
                <w:color w:val="000000"/>
                <w:kern w:val="0"/>
                <w:sz w:val="18"/>
                <w:szCs w:val="18"/>
                <w:lang w:val="en-US" w:eastAsia="zh-CN"/>
              </w:rPr>
              <w:t>155</w:t>
            </w:r>
          </w:p>
        </w:tc>
        <w:tc>
          <w:tcPr>
            <w:tcW w:w="765" w:type="dxa"/>
            <w:tcBorders>
              <w:top w:val="single" w:color="auto" w:sz="4" w:space="0"/>
              <w:left w:val="nil"/>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10</w:t>
            </w:r>
          </w:p>
        </w:tc>
        <w:tc>
          <w:tcPr>
            <w:tcW w:w="705" w:type="dxa"/>
            <w:tcBorders>
              <w:top w:val="single" w:color="auto" w:sz="4" w:space="0"/>
              <w:left w:val="nil"/>
              <w:right w:val="single" w:color="auto" w:sz="4" w:space="0"/>
            </w:tcBorders>
            <w:shd w:val="clear" w:color="auto" w:fill="auto"/>
            <w:noWrap/>
            <w:vAlign w:val="center"/>
          </w:tcPr>
          <w:p>
            <w:pPr>
              <w:widowControl/>
              <w:jc w:val="center"/>
              <w:rPr>
                <w:rFonts w:hint="default" w:eastAsia="宋体"/>
                <w:color w:val="000000"/>
                <w:kern w:val="0"/>
                <w:sz w:val="18"/>
                <w:szCs w:val="18"/>
                <w:lang w:val="en-US" w:eastAsia="zh-CN"/>
              </w:rPr>
            </w:pPr>
            <w:r>
              <w:rPr>
                <w:rFonts w:hint="eastAsia"/>
                <w:color w:val="000000"/>
                <w:kern w:val="0"/>
                <w:sz w:val="18"/>
                <w:szCs w:val="18"/>
                <w:lang w:val="en-US" w:eastAsia="zh-CN"/>
              </w:rPr>
              <w:t>10</w:t>
            </w:r>
          </w:p>
        </w:tc>
        <w:tc>
          <w:tcPr>
            <w:tcW w:w="1455" w:type="dxa"/>
            <w:gridSpan w:val="2"/>
            <w:tcBorders>
              <w:top w:val="single" w:color="auto" w:sz="4" w:space="0"/>
              <w:left w:val="nil"/>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lang w:eastAsia="zh-CN"/>
              </w:rPr>
              <w:t>无偏差</w:t>
            </w:r>
          </w:p>
        </w:tc>
      </w:tr>
      <w:tr>
        <w:tblPrEx>
          <w:tblCellMar>
            <w:top w:w="0" w:type="dxa"/>
            <w:left w:w="108" w:type="dxa"/>
            <w:bottom w:w="0" w:type="dxa"/>
            <w:right w:w="108" w:type="dxa"/>
          </w:tblCellMar>
        </w:tblPrEx>
        <w:trPr>
          <w:trHeight w:val="744" w:hRule="atLeast"/>
          <w:jc w:val="center"/>
        </w:trPr>
        <w:tc>
          <w:tcPr>
            <w:tcW w:w="1202"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84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665"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珠晖区空气质量比上年提升</w:t>
            </w:r>
          </w:p>
        </w:tc>
        <w:tc>
          <w:tcPr>
            <w:tcW w:w="1275" w:type="dxa"/>
            <w:gridSpan w:val="2"/>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珠晖区空气质量比上年提升</w:t>
            </w:r>
          </w:p>
        </w:tc>
        <w:tc>
          <w:tcPr>
            <w:tcW w:w="1245" w:type="dxa"/>
            <w:gridSpan w:val="2"/>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珠晖区空气质量比上年提升</w:t>
            </w:r>
          </w:p>
        </w:tc>
        <w:tc>
          <w:tcPr>
            <w:tcW w:w="765"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705" w:type="dxa"/>
            <w:tcBorders>
              <w:top w:val="single" w:color="auto" w:sz="4" w:space="0"/>
              <w:left w:val="nil"/>
              <w:right w:val="single" w:color="auto" w:sz="4" w:space="0"/>
            </w:tcBorders>
            <w:shd w:val="clear" w:color="auto" w:fill="auto"/>
            <w:noWrap/>
            <w:vAlign w:val="center"/>
          </w:tcPr>
          <w:p>
            <w:pPr>
              <w:widowControl/>
              <w:jc w:val="center"/>
              <w:rPr>
                <w:rFonts w:hint="eastAsia" w:eastAsia="宋体"/>
                <w:color w:val="000000"/>
                <w:kern w:val="0"/>
                <w:sz w:val="18"/>
                <w:szCs w:val="18"/>
                <w:lang w:eastAsia="zh-CN"/>
              </w:rPr>
            </w:pPr>
            <w:r>
              <w:rPr>
                <w:rFonts w:hint="eastAsia"/>
                <w:color w:val="000000"/>
                <w:kern w:val="0"/>
                <w:sz w:val="18"/>
                <w:szCs w:val="18"/>
                <w:lang w:val="en-US" w:eastAsia="zh-CN"/>
              </w:rPr>
              <w:t>9</w:t>
            </w:r>
          </w:p>
        </w:tc>
        <w:tc>
          <w:tcPr>
            <w:tcW w:w="1455" w:type="dxa"/>
            <w:gridSpan w:val="2"/>
            <w:tcBorders>
              <w:top w:val="single" w:color="auto" w:sz="4" w:space="0"/>
              <w:left w:val="nil"/>
              <w:right w:val="single" w:color="auto" w:sz="4" w:space="0"/>
            </w:tcBorders>
            <w:shd w:val="clear" w:color="auto" w:fill="auto"/>
            <w:noWrap/>
            <w:vAlign w:val="center"/>
          </w:tcPr>
          <w:p>
            <w:pPr>
              <w:widowControl/>
              <w:jc w:val="center"/>
              <w:rPr>
                <w:color w:val="000000"/>
                <w:kern w:val="0"/>
                <w:sz w:val="18"/>
                <w:szCs w:val="18"/>
              </w:rPr>
            </w:pPr>
          </w:p>
        </w:tc>
      </w:tr>
      <w:tr>
        <w:tblPrEx>
          <w:tblCellMar>
            <w:top w:w="0" w:type="dxa"/>
            <w:left w:w="108" w:type="dxa"/>
            <w:bottom w:w="0" w:type="dxa"/>
            <w:right w:w="108" w:type="dxa"/>
          </w:tblCellMar>
        </w:tblPrEx>
        <w:trPr>
          <w:trHeight w:val="669" w:hRule="atLeast"/>
          <w:jc w:val="center"/>
        </w:trPr>
        <w:tc>
          <w:tcPr>
            <w:tcW w:w="1202"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84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665"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水土气各项都按时计划完成</w:t>
            </w:r>
          </w:p>
        </w:tc>
        <w:tc>
          <w:tcPr>
            <w:tcW w:w="1275" w:type="dxa"/>
            <w:gridSpan w:val="2"/>
            <w:tcBorders>
              <w:top w:val="single" w:color="auto" w:sz="4" w:space="0"/>
              <w:left w:val="nil"/>
              <w:right w:val="single" w:color="auto" w:sz="4" w:space="0"/>
            </w:tcBorders>
            <w:shd w:val="clear" w:color="auto" w:fill="auto"/>
            <w:noWrap/>
            <w:vAlign w:val="center"/>
          </w:tcPr>
          <w:p>
            <w:pPr>
              <w:widowControl/>
              <w:spacing w:line="240" w:lineRule="exact"/>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水土气各项都按时计划完成</w:t>
            </w:r>
          </w:p>
        </w:tc>
        <w:tc>
          <w:tcPr>
            <w:tcW w:w="1245" w:type="dxa"/>
            <w:gridSpan w:val="2"/>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水土气各项都按时计划完成</w:t>
            </w:r>
          </w:p>
        </w:tc>
        <w:tc>
          <w:tcPr>
            <w:tcW w:w="765"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15</w:t>
            </w:r>
          </w:p>
        </w:tc>
        <w:tc>
          <w:tcPr>
            <w:tcW w:w="705" w:type="dxa"/>
            <w:tcBorders>
              <w:top w:val="single" w:color="auto" w:sz="4" w:space="0"/>
              <w:left w:val="nil"/>
              <w:right w:val="single" w:color="auto" w:sz="4" w:space="0"/>
            </w:tcBorders>
            <w:shd w:val="clear" w:color="auto" w:fill="auto"/>
            <w:noWrap/>
            <w:vAlign w:val="center"/>
          </w:tcPr>
          <w:p>
            <w:pPr>
              <w:widowControl/>
              <w:jc w:val="center"/>
              <w:rPr>
                <w:rFonts w:hint="default" w:eastAsia="宋体"/>
                <w:color w:val="000000"/>
                <w:kern w:val="0"/>
                <w:sz w:val="18"/>
                <w:szCs w:val="18"/>
                <w:lang w:val="en-US" w:eastAsia="zh-CN"/>
              </w:rPr>
            </w:pPr>
            <w:r>
              <w:rPr>
                <w:rFonts w:hint="eastAsia"/>
                <w:color w:val="000000"/>
                <w:kern w:val="0"/>
                <w:sz w:val="18"/>
                <w:szCs w:val="18"/>
                <w:lang w:val="en-US" w:eastAsia="zh-CN"/>
              </w:rPr>
              <w:t>14</w:t>
            </w:r>
          </w:p>
        </w:tc>
        <w:tc>
          <w:tcPr>
            <w:tcW w:w="1455" w:type="dxa"/>
            <w:gridSpan w:val="2"/>
            <w:tcBorders>
              <w:top w:val="single" w:color="auto" w:sz="4" w:space="0"/>
              <w:left w:val="nil"/>
              <w:right w:val="single" w:color="auto" w:sz="4" w:space="0"/>
            </w:tcBorders>
            <w:shd w:val="clear" w:color="auto" w:fill="auto"/>
            <w:noWrap/>
            <w:vAlign w:val="center"/>
          </w:tcPr>
          <w:p>
            <w:pPr>
              <w:widowControl/>
              <w:jc w:val="center"/>
              <w:rPr>
                <w:color w:val="000000"/>
                <w:kern w:val="0"/>
                <w:sz w:val="18"/>
                <w:szCs w:val="18"/>
              </w:rPr>
            </w:pPr>
          </w:p>
        </w:tc>
      </w:tr>
      <w:tr>
        <w:tblPrEx>
          <w:tblCellMar>
            <w:top w:w="0" w:type="dxa"/>
            <w:left w:w="108" w:type="dxa"/>
            <w:bottom w:w="0" w:type="dxa"/>
            <w:right w:w="108" w:type="dxa"/>
          </w:tblCellMar>
        </w:tblPrEx>
        <w:trPr>
          <w:trHeight w:val="148" w:hRule="atLeast"/>
          <w:jc w:val="center"/>
        </w:trPr>
        <w:tc>
          <w:tcPr>
            <w:tcW w:w="1202"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84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665" w:type="dxa"/>
            <w:tcBorders>
              <w:top w:val="single" w:color="auto" w:sz="4" w:space="0"/>
              <w:left w:val="nil"/>
              <w:right w:val="single" w:color="auto" w:sz="4" w:space="0"/>
            </w:tcBorders>
            <w:shd w:val="clear" w:color="auto" w:fill="auto"/>
            <w:noWrap/>
            <w:vAlign w:val="center"/>
          </w:tcPr>
          <w:p>
            <w:pPr>
              <w:widowControl/>
              <w:jc w:val="left"/>
              <w:rPr>
                <w:rFonts w:hint="default" w:hAnsi="宋体" w:eastAsia="宋体"/>
                <w:color w:val="000000"/>
                <w:kern w:val="0"/>
                <w:sz w:val="18"/>
                <w:szCs w:val="18"/>
                <w:lang w:val="en-US" w:eastAsia="zh-CN"/>
              </w:rPr>
            </w:pPr>
            <w:r>
              <w:rPr>
                <w:rFonts w:hint="eastAsia" w:hAnsi="宋体"/>
                <w:color w:val="000000"/>
                <w:kern w:val="0"/>
                <w:sz w:val="18"/>
                <w:szCs w:val="18"/>
                <w:lang w:val="en-US" w:eastAsia="zh-CN"/>
              </w:rPr>
              <w:t>427.75</w:t>
            </w:r>
          </w:p>
        </w:tc>
        <w:tc>
          <w:tcPr>
            <w:tcW w:w="1275" w:type="dxa"/>
            <w:gridSpan w:val="2"/>
            <w:tcBorders>
              <w:top w:val="single" w:color="auto" w:sz="4" w:space="0"/>
              <w:left w:val="nil"/>
              <w:right w:val="single" w:color="auto" w:sz="4" w:space="0"/>
            </w:tcBorders>
            <w:shd w:val="clear" w:color="auto" w:fill="auto"/>
            <w:noWrap/>
            <w:vAlign w:val="center"/>
          </w:tcPr>
          <w:p>
            <w:pPr>
              <w:widowControl/>
              <w:jc w:val="both"/>
              <w:rPr>
                <w:rFonts w:hint="default" w:hAnsi="宋体" w:eastAsia="宋体"/>
                <w:color w:val="000000"/>
                <w:kern w:val="0"/>
                <w:sz w:val="18"/>
                <w:szCs w:val="18"/>
                <w:lang w:val="en-US" w:eastAsia="zh-CN"/>
              </w:rPr>
            </w:pPr>
            <w:r>
              <w:rPr>
                <w:rFonts w:hint="eastAsia" w:hAnsi="宋体"/>
                <w:color w:val="000000"/>
                <w:kern w:val="0"/>
                <w:sz w:val="18"/>
                <w:szCs w:val="18"/>
                <w:lang w:val="en-US" w:eastAsia="zh-CN"/>
              </w:rPr>
              <w:t>427.75</w:t>
            </w:r>
          </w:p>
        </w:tc>
        <w:tc>
          <w:tcPr>
            <w:tcW w:w="1245" w:type="dxa"/>
            <w:gridSpan w:val="2"/>
            <w:tcBorders>
              <w:top w:val="single" w:color="auto" w:sz="4" w:space="0"/>
              <w:left w:val="nil"/>
              <w:right w:val="single" w:color="auto" w:sz="4" w:space="0"/>
            </w:tcBorders>
            <w:shd w:val="clear" w:color="auto" w:fill="auto"/>
            <w:noWrap/>
            <w:vAlign w:val="center"/>
          </w:tcPr>
          <w:p>
            <w:pPr>
              <w:widowControl/>
              <w:jc w:val="both"/>
              <w:rPr>
                <w:rFonts w:hint="default" w:hAnsi="宋体" w:eastAsia="宋体"/>
                <w:color w:val="000000"/>
                <w:kern w:val="0"/>
                <w:sz w:val="18"/>
                <w:szCs w:val="18"/>
                <w:lang w:val="en-US" w:eastAsia="zh-CN"/>
              </w:rPr>
            </w:pPr>
            <w:r>
              <w:rPr>
                <w:rFonts w:hint="eastAsia" w:hAnsi="宋体"/>
                <w:color w:val="000000"/>
                <w:kern w:val="0"/>
                <w:sz w:val="18"/>
                <w:szCs w:val="18"/>
                <w:lang w:val="en-US" w:eastAsia="zh-CN"/>
              </w:rPr>
              <w:t>427.75</w:t>
            </w:r>
          </w:p>
        </w:tc>
        <w:tc>
          <w:tcPr>
            <w:tcW w:w="765" w:type="dxa"/>
            <w:tcBorders>
              <w:top w:val="single" w:color="auto" w:sz="4" w:space="0"/>
              <w:left w:val="nil"/>
              <w:right w:val="single" w:color="auto" w:sz="4" w:space="0"/>
            </w:tcBorders>
            <w:shd w:val="clear" w:color="auto" w:fill="auto"/>
            <w:noWrap/>
            <w:vAlign w:val="center"/>
          </w:tcPr>
          <w:p>
            <w:pPr>
              <w:widowControl/>
              <w:jc w:val="both"/>
              <w:rPr>
                <w:rFonts w:hint="default" w:eastAsia="宋体"/>
                <w:color w:val="000000"/>
                <w:kern w:val="0"/>
                <w:sz w:val="18"/>
                <w:szCs w:val="18"/>
                <w:lang w:val="en-US" w:eastAsia="zh-CN"/>
              </w:rPr>
            </w:pPr>
            <w:r>
              <w:rPr>
                <w:rFonts w:hint="eastAsia"/>
                <w:color w:val="000000"/>
                <w:kern w:val="0"/>
                <w:sz w:val="18"/>
                <w:szCs w:val="18"/>
                <w:lang w:val="en-US" w:eastAsia="zh-CN"/>
              </w:rPr>
              <w:t>15</w:t>
            </w:r>
          </w:p>
        </w:tc>
        <w:tc>
          <w:tcPr>
            <w:tcW w:w="705" w:type="dxa"/>
            <w:tcBorders>
              <w:top w:val="single" w:color="auto" w:sz="4" w:space="0"/>
              <w:left w:val="nil"/>
              <w:right w:val="single" w:color="auto" w:sz="4" w:space="0"/>
            </w:tcBorders>
            <w:shd w:val="clear" w:color="auto" w:fill="auto"/>
            <w:noWrap/>
            <w:vAlign w:val="center"/>
          </w:tcPr>
          <w:p>
            <w:pPr>
              <w:widowControl/>
              <w:jc w:val="center"/>
              <w:rPr>
                <w:rFonts w:hint="default" w:eastAsia="宋体"/>
                <w:color w:val="000000"/>
                <w:kern w:val="0"/>
                <w:sz w:val="18"/>
                <w:szCs w:val="18"/>
                <w:lang w:val="en-US" w:eastAsia="zh-CN"/>
              </w:rPr>
            </w:pPr>
            <w:r>
              <w:rPr>
                <w:rFonts w:hint="eastAsia"/>
                <w:color w:val="000000"/>
                <w:kern w:val="0"/>
                <w:sz w:val="18"/>
                <w:szCs w:val="18"/>
                <w:lang w:val="en-US" w:eastAsia="zh-CN"/>
              </w:rPr>
              <w:t>15</w:t>
            </w:r>
          </w:p>
        </w:tc>
        <w:tc>
          <w:tcPr>
            <w:tcW w:w="1455" w:type="dxa"/>
            <w:gridSpan w:val="2"/>
            <w:tcBorders>
              <w:top w:val="single" w:color="auto" w:sz="4" w:space="0"/>
              <w:left w:val="nil"/>
              <w:right w:val="single" w:color="auto" w:sz="4" w:space="0"/>
            </w:tcBorders>
            <w:shd w:val="clear" w:color="auto" w:fill="auto"/>
            <w:noWrap/>
            <w:vAlign w:val="center"/>
          </w:tcPr>
          <w:p>
            <w:pPr>
              <w:widowControl/>
              <w:jc w:val="both"/>
              <w:rPr>
                <w:rFonts w:hint="eastAsia" w:eastAsia="宋体"/>
                <w:color w:val="000000"/>
                <w:kern w:val="0"/>
                <w:sz w:val="18"/>
                <w:szCs w:val="18"/>
                <w:lang w:eastAsia="zh-CN"/>
              </w:rPr>
            </w:pPr>
            <w:r>
              <w:rPr>
                <w:rFonts w:hint="eastAsia"/>
                <w:color w:val="000000"/>
                <w:kern w:val="0"/>
                <w:sz w:val="18"/>
                <w:szCs w:val="18"/>
                <w:lang w:eastAsia="zh-CN"/>
              </w:rPr>
              <w:t>无偏差</w:t>
            </w:r>
          </w:p>
        </w:tc>
      </w:tr>
      <w:tr>
        <w:tblPrEx>
          <w:tblCellMar>
            <w:top w:w="0" w:type="dxa"/>
            <w:left w:w="108" w:type="dxa"/>
            <w:bottom w:w="0" w:type="dxa"/>
            <w:right w:w="108" w:type="dxa"/>
          </w:tblCellMar>
        </w:tblPrEx>
        <w:trPr>
          <w:trHeight w:val="340" w:hRule="atLeast"/>
          <w:jc w:val="center"/>
        </w:trPr>
        <w:tc>
          <w:tcPr>
            <w:tcW w:w="1202"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840"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40</w:t>
            </w:r>
            <w:r>
              <w:rPr>
                <w:rFonts w:ascii="Times New Roman" w:hAnsi="Times New Roman" w:eastAsia="仿宋_GB2312"/>
                <w:color w:val="000000"/>
                <w:kern w:val="0"/>
                <w:szCs w:val="21"/>
              </w:rPr>
              <w:t>分）</w:t>
            </w:r>
          </w:p>
          <w:p>
            <w:pPr>
              <w:jc w:val="left"/>
              <w:rPr>
                <w:rFonts w:ascii="Times New Roman" w:hAnsi="Times New Roman" w:eastAsia="仿宋_GB2312"/>
                <w:color w:val="000000"/>
                <w:kern w:val="0"/>
                <w:szCs w:val="21"/>
              </w:rPr>
            </w:pPr>
          </w:p>
          <w:p>
            <w:pPr>
              <w:widowControl/>
              <w:rPr>
                <w:rFonts w:ascii="Times New Roman" w:hAnsi="Times New Roman" w:eastAsia="仿宋_GB2312"/>
                <w:color w:val="000000"/>
                <w:kern w:val="0"/>
                <w:szCs w:val="21"/>
              </w:rPr>
            </w:pPr>
          </w:p>
        </w:tc>
        <w:tc>
          <w:tcPr>
            <w:tcW w:w="1185"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6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7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4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70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45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202"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840"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85"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p>
        </w:tc>
        <w:tc>
          <w:tcPr>
            <w:tcW w:w="16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7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4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70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45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1120" w:hRule="atLeast"/>
          <w:jc w:val="center"/>
        </w:trPr>
        <w:tc>
          <w:tcPr>
            <w:tcW w:w="1202"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840"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8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665"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协助市局推进环评与排污许可“放管服”改革</w:t>
            </w:r>
            <w:r>
              <w:rPr>
                <w:rFonts w:ascii="Times New Roman" w:hAnsi="Times New Roman" w:eastAsia="仿宋_GB2312"/>
                <w:color w:val="000000"/>
                <w:kern w:val="0"/>
                <w:szCs w:val="21"/>
              </w:rPr>
              <w:t>……</w:t>
            </w:r>
          </w:p>
        </w:tc>
        <w:tc>
          <w:tcPr>
            <w:tcW w:w="1275" w:type="dxa"/>
            <w:gridSpan w:val="2"/>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提高企业手续办理时效</w:t>
            </w:r>
          </w:p>
        </w:tc>
        <w:tc>
          <w:tcPr>
            <w:tcW w:w="1245" w:type="dxa"/>
            <w:gridSpan w:val="2"/>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按要求按时完成技术审核</w:t>
            </w:r>
          </w:p>
        </w:tc>
        <w:tc>
          <w:tcPr>
            <w:tcW w:w="765"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20</w:t>
            </w:r>
          </w:p>
        </w:tc>
        <w:tc>
          <w:tcPr>
            <w:tcW w:w="705"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w:t>
            </w:r>
          </w:p>
        </w:tc>
        <w:tc>
          <w:tcPr>
            <w:tcW w:w="1455" w:type="dxa"/>
            <w:gridSpan w:val="2"/>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无偏差</w:t>
            </w: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541" w:hRule="atLeast"/>
          <w:jc w:val="center"/>
        </w:trPr>
        <w:tc>
          <w:tcPr>
            <w:tcW w:w="1202"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840"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665" w:type="dxa"/>
            <w:tcBorders>
              <w:top w:val="single" w:color="auto" w:sz="4" w:space="0"/>
              <w:left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强化环评与排污许可事中事后监管</w:t>
            </w:r>
          </w:p>
        </w:tc>
        <w:tc>
          <w:tcPr>
            <w:tcW w:w="1275" w:type="dxa"/>
            <w:gridSpan w:val="2"/>
            <w:tcBorders>
              <w:top w:val="single" w:color="auto" w:sz="4" w:space="0"/>
              <w:left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筑牢绿水青山第一道防线</w:t>
            </w:r>
          </w:p>
        </w:tc>
        <w:tc>
          <w:tcPr>
            <w:tcW w:w="1245" w:type="dxa"/>
            <w:gridSpan w:val="2"/>
            <w:tcBorders>
              <w:top w:val="single" w:color="auto" w:sz="4" w:space="0"/>
              <w:left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765" w:type="dxa"/>
            <w:tcBorders>
              <w:top w:val="single" w:color="auto" w:sz="4" w:space="0"/>
              <w:left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705"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455" w:type="dxa"/>
            <w:gridSpan w:val="2"/>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无偏差</w:t>
            </w:r>
          </w:p>
        </w:tc>
      </w:tr>
      <w:tr>
        <w:tblPrEx>
          <w:tblCellMar>
            <w:top w:w="0" w:type="dxa"/>
            <w:left w:w="108" w:type="dxa"/>
            <w:bottom w:w="0" w:type="dxa"/>
            <w:right w:w="108" w:type="dxa"/>
          </w:tblCellMar>
        </w:tblPrEx>
        <w:trPr>
          <w:trHeight w:val="307" w:hRule="atLeast"/>
          <w:jc w:val="center"/>
        </w:trPr>
        <w:tc>
          <w:tcPr>
            <w:tcW w:w="1202"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840" w:type="dxa"/>
            <w:vMerge w:val="continue"/>
            <w:tcBorders>
              <w:left w:val="nil"/>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85"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66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w:t>
            </w:r>
          </w:p>
        </w:tc>
        <w:tc>
          <w:tcPr>
            <w:tcW w:w="12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无</w:t>
            </w:r>
          </w:p>
        </w:tc>
        <w:tc>
          <w:tcPr>
            <w:tcW w:w="124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无</w:t>
            </w:r>
          </w:p>
        </w:tc>
        <w:tc>
          <w:tcPr>
            <w:tcW w:w="76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p>
        </w:tc>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p>
        </w:tc>
        <w:tc>
          <w:tcPr>
            <w:tcW w:w="145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p>
        </w:tc>
      </w:tr>
      <w:tr>
        <w:tblPrEx>
          <w:tblCellMar>
            <w:top w:w="0" w:type="dxa"/>
            <w:left w:w="108" w:type="dxa"/>
            <w:bottom w:w="0" w:type="dxa"/>
            <w:right w:w="108" w:type="dxa"/>
          </w:tblCellMar>
        </w:tblPrEx>
        <w:trPr>
          <w:trHeight w:val="105" w:hRule="atLeast"/>
          <w:jc w:val="center"/>
        </w:trPr>
        <w:tc>
          <w:tcPr>
            <w:tcW w:w="1202"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840" w:type="dxa"/>
            <w:vMerge w:val="continue"/>
            <w:tcBorders>
              <w:left w:val="nil"/>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85"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p>
        </w:tc>
        <w:tc>
          <w:tcPr>
            <w:tcW w:w="16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r>
              <w:rPr>
                <w:rFonts w:ascii="Times New Roman" w:hAnsi="Times New Roman" w:eastAsia="仿宋_GB2312"/>
                <w:color w:val="000000"/>
                <w:kern w:val="0"/>
                <w:szCs w:val="21"/>
              </w:rPr>
              <w:t>2</w:t>
            </w:r>
            <w:r>
              <w:rPr>
                <w:rFonts w:hint="eastAsia" w:ascii="Times New Roman" w:hAnsi="Times New Roman" w:eastAsia="仿宋_GB2312"/>
                <w:color w:val="000000"/>
                <w:kern w:val="0"/>
                <w:szCs w:val="21"/>
              </w:rPr>
              <w:t>：</w:t>
            </w:r>
          </w:p>
        </w:tc>
        <w:tc>
          <w:tcPr>
            <w:tcW w:w="1275"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无</w:t>
            </w:r>
          </w:p>
        </w:tc>
        <w:tc>
          <w:tcPr>
            <w:tcW w:w="1245"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无</w:t>
            </w:r>
          </w:p>
        </w:tc>
        <w:tc>
          <w:tcPr>
            <w:tcW w:w="7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p>
        </w:tc>
        <w:tc>
          <w:tcPr>
            <w:tcW w:w="70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p>
        </w:tc>
        <w:tc>
          <w:tcPr>
            <w:tcW w:w="1455" w:type="dxa"/>
            <w:gridSpan w:val="2"/>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p>
        </w:tc>
      </w:tr>
      <w:tr>
        <w:tblPrEx>
          <w:tblCellMar>
            <w:top w:w="0" w:type="dxa"/>
            <w:left w:w="108" w:type="dxa"/>
            <w:bottom w:w="0" w:type="dxa"/>
            <w:right w:w="108" w:type="dxa"/>
          </w:tblCellMar>
        </w:tblPrEx>
        <w:trPr>
          <w:trHeight w:val="202" w:hRule="atLeast"/>
          <w:jc w:val="center"/>
        </w:trPr>
        <w:tc>
          <w:tcPr>
            <w:tcW w:w="1202"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840" w:type="dxa"/>
            <w:vMerge w:val="continue"/>
            <w:tcBorders>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85" w:type="dxa"/>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社会公众或服务对象满意度</w:t>
            </w:r>
          </w:p>
        </w:tc>
        <w:tc>
          <w:tcPr>
            <w:tcW w:w="1665" w:type="dxa"/>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企业满意度</w:t>
            </w:r>
          </w:p>
        </w:tc>
        <w:tc>
          <w:tcPr>
            <w:tcW w:w="1275" w:type="dxa"/>
            <w:gridSpan w:val="2"/>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95%</w:t>
            </w:r>
            <w:r>
              <w:rPr>
                <w:rFonts w:ascii="Times New Roman" w:hAnsi="Times New Roman" w:eastAsia="仿宋_GB2312"/>
                <w:color w:val="000000"/>
                <w:kern w:val="0"/>
                <w:szCs w:val="21"/>
              </w:rPr>
              <w:t>　</w:t>
            </w:r>
          </w:p>
        </w:tc>
        <w:tc>
          <w:tcPr>
            <w:tcW w:w="1245" w:type="dxa"/>
            <w:gridSpan w:val="2"/>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无企业不满意产生投诉</w:t>
            </w:r>
            <w:r>
              <w:rPr>
                <w:rFonts w:ascii="Times New Roman" w:hAnsi="Times New Roman" w:eastAsia="仿宋_GB2312"/>
                <w:color w:val="000000"/>
                <w:kern w:val="0"/>
                <w:szCs w:val="21"/>
              </w:rPr>
              <w:t>　</w:t>
            </w:r>
          </w:p>
        </w:tc>
        <w:tc>
          <w:tcPr>
            <w:tcW w:w="765" w:type="dxa"/>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r>
              <w:rPr>
                <w:rFonts w:ascii="Times New Roman" w:hAnsi="Times New Roman" w:eastAsia="仿宋_GB2312"/>
                <w:color w:val="000000"/>
                <w:kern w:val="0"/>
                <w:szCs w:val="21"/>
              </w:rPr>
              <w:t>　</w:t>
            </w:r>
          </w:p>
        </w:tc>
        <w:tc>
          <w:tcPr>
            <w:tcW w:w="705" w:type="dxa"/>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r>
              <w:rPr>
                <w:rFonts w:ascii="Times New Roman" w:hAnsi="Times New Roman" w:eastAsia="仿宋_GB2312"/>
                <w:color w:val="000000"/>
                <w:kern w:val="0"/>
                <w:szCs w:val="21"/>
              </w:rPr>
              <w:t>　</w:t>
            </w:r>
          </w:p>
        </w:tc>
        <w:tc>
          <w:tcPr>
            <w:tcW w:w="1455" w:type="dxa"/>
            <w:gridSpan w:val="2"/>
            <w:tcBorders>
              <w:top w:val="nil"/>
              <w:left w:val="nil"/>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w:t>
            </w:r>
          </w:p>
        </w:tc>
      </w:tr>
      <w:tr>
        <w:tblPrEx>
          <w:tblCellMar>
            <w:top w:w="0" w:type="dxa"/>
            <w:left w:w="108" w:type="dxa"/>
            <w:bottom w:w="0" w:type="dxa"/>
            <w:right w:w="108" w:type="dxa"/>
          </w:tblCellMar>
        </w:tblPrEx>
        <w:trPr>
          <w:trHeight w:val="609" w:hRule="atLeast"/>
          <w:jc w:val="center"/>
        </w:trPr>
        <w:tc>
          <w:tcPr>
            <w:tcW w:w="7412"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总分</w:t>
            </w:r>
          </w:p>
        </w:tc>
        <w:tc>
          <w:tcPr>
            <w:tcW w:w="76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210" w:firstLineChars="1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9</w:t>
            </w:r>
            <w:r>
              <w:rPr>
                <w:rFonts w:hint="eastAsia" w:ascii="Times New Roman" w:hAnsi="Times New Roman" w:eastAsia="仿宋_GB2312"/>
                <w:color w:val="000000"/>
                <w:kern w:val="0"/>
                <w:szCs w:val="21"/>
                <w:lang w:val="en-US" w:eastAsia="zh-CN"/>
              </w:rPr>
              <w:t>8</w:t>
            </w:r>
          </w:p>
        </w:tc>
        <w:tc>
          <w:tcPr>
            <w:tcW w:w="145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p>
        </w:tc>
      </w:tr>
    </w:tbl>
    <w:p>
      <w:pPr>
        <w:spacing w:beforeLines="50"/>
        <w:rPr>
          <w:rFonts w:hint="eastAsia" w:ascii="Times New Roman" w:hAnsi="Times New Roman" w:eastAsia="仿宋_GB2312"/>
          <w:sz w:val="32"/>
          <w:szCs w:val="32"/>
          <w:lang w:eastAsia="zh-CN"/>
        </w:rPr>
      </w:pPr>
      <w:r>
        <w:rPr>
          <w:rFonts w:ascii="Times New Roman" w:hAnsi="Times New Roman" w:eastAsia="仿宋_GB2312"/>
          <w:sz w:val="24"/>
        </w:rPr>
        <w:t>填表人：</w:t>
      </w:r>
      <w:r>
        <w:rPr>
          <w:rFonts w:hint="eastAsia" w:ascii="Times New Roman" w:hAnsi="Times New Roman" w:eastAsia="仿宋_GB2312"/>
          <w:sz w:val="24"/>
          <w:lang w:eastAsia="zh-CN"/>
        </w:rPr>
        <w:t>邹芙蓉</w:t>
      </w:r>
      <w:r>
        <w:rPr>
          <w:rFonts w:ascii="Times New Roman" w:hAnsi="Times New Roman" w:eastAsia="仿宋_GB2312"/>
          <w:sz w:val="24"/>
        </w:rPr>
        <w:t xml:space="preserve">       填报日期：</w:t>
      </w:r>
      <w:r>
        <w:rPr>
          <w:rFonts w:hint="eastAsia" w:ascii="Times New Roman" w:hAnsi="Times New Roman" w:eastAsia="仿宋_GB2312"/>
          <w:sz w:val="24"/>
          <w:lang w:val="en-US" w:eastAsia="zh-CN"/>
        </w:rPr>
        <w:t>2022.3.9</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2892746</w:t>
      </w:r>
      <w:r>
        <w:rPr>
          <w:rFonts w:ascii="Times New Roman" w:hAnsi="Times New Roman" w:eastAsia="仿宋_GB2312"/>
          <w:sz w:val="24"/>
        </w:rPr>
        <w:t xml:space="preserve">       单位负责人签字：</w:t>
      </w:r>
      <w:r>
        <w:rPr>
          <w:rFonts w:hint="eastAsia" w:ascii="Times New Roman" w:hAnsi="Times New Roman" w:eastAsia="仿宋_GB2312"/>
          <w:sz w:val="24"/>
          <w:lang w:eastAsia="zh-CN"/>
        </w:rPr>
        <w:t>周平扬</w:t>
      </w: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ascii="Times New Roman" w:hAnsi="Times New Roman" w:eastAsia="仿宋"/>
          <w:color w:val="000000"/>
          <w:kern w:val="0"/>
          <w:sz w:val="32"/>
          <w:szCs w:val="32"/>
        </w:rPr>
      </w:pPr>
    </w:p>
    <w:p>
      <w:pPr>
        <w:spacing w:line="560" w:lineRule="exact"/>
        <w:ind w:firstLine="640" w:firstLineChars="200"/>
        <w:rPr>
          <w:rFonts w:ascii="Times New Roman" w:hAnsi="Times New Roman" w:eastAsia="仿宋"/>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ascii="Times New Roman" w:hAnsi="Times New Roman" w:eastAsia="仿宋"/>
          <w:color w:val="000000"/>
          <w:kern w:val="0"/>
          <w:sz w:val="32"/>
          <w:szCs w:val="32"/>
        </w:rPr>
      </w:pPr>
      <w:r>
        <w:rPr>
          <w:rFonts w:hint="eastAsia" w:ascii="Times New Roman" w:hAnsi="Times New Roman" w:eastAsia="仿宋"/>
          <w:color w:val="000000"/>
          <w:kern w:val="0"/>
          <w:sz w:val="32"/>
          <w:szCs w:val="32"/>
        </w:rPr>
        <w:t>附件</w:t>
      </w:r>
      <w:r>
        <w:rPr>
          <w:rFonts w:ascii="Times New Roman" w:hAnsi="Times New Roman" w:eastAsia="仿宋"/>
          <w:color w:val="000000"/>
          <w:kern w:val="0"/>
          <w:sz w:val="32"/>
          <w:szCs w:val="32"/>
        </w:rPr>
        <w:t xml:space="preserve">3   </w:t>
      </w:r>
    </w:p>
    <w:p>
      <w:pPr>
        <w:widowControl/>
        <w:rPr>
          <w:rFonts w:hint="eastAsia" w:ascii="Times New Roman" w:hAnsi="Times New Roman" w:eastAsia="仿宋"/>
          <w:color w:val="000000"/>
          <w:kern w:val="0"/>
          <w:sz w:val="32"/>
          <w:szCs w:val="32"/>
        </w:rPr>
      </w:pPr>
    </w:p>
    <w:p>
      <w:pPr>
        <w:widowControl/>
        <w:rPr>
          <w:rFonts w:ascii="Times New Roman" w:hAnsi="Times New Roman" w:eastAsia="仿宋"/>
          <w:color w:val="000000"/>
          <w:kern w:val="0"/>
          <w:sz w:val="32"/>
          <w:szCs w:val="32"/>
        </w:rPr>
      </w:pPr>
      <w:r>
        <w:rPr>
          <w:rFonts w:ascii="Times New Roman" w:hAnsi="Times New Roman" w:eastAsia="仿宋"/>
          <w:color w:val="000000"/>
          <w:kern w:val="0"/>
          <w:sz w:val="32"/>
          <w:szCs w:val="32"/>
        </w:rPr>
        <w:t xml:space="preserve">    </w:t>
      </w:r>
      <w:r>
        <w:rPr>
          <w:rFonts w:hint="eastAsia" w:ascii="Times New Roman" w:hAnsi="Times New Roman" w:eastAsia="仿宋"/>
          <w:color w:val="000000"/>
          <w:kern w:val="0"/>
          <w:sz w:val="32"/>
          <w:szCs w:val="32"/>
        </w:rPr>
        <w:t xml:space="preserve">      </w:t>
      </w:r>
      <w:r>
        <w:rPr>
          <w:rFonts w:ascii="Times New Roman" w:hAnsi="Times New Roman" w:eastAsia="仿宋"/>
          <w:color w:val="000000"/>
          <w:kern w:val="0"/>
          <w:sz w:val="32"/>
          <w:szCs w:val="32"/>
        </w:rPr>
        <w:t xml:space="preserve"> </w:t>
      </w:r>
      <w:r>
        <w:rPr>
          <w:rFonts w:hint="eastAsia" w:ascii="Times New Roman" w:hAnsi="Times New Roman"/>
          <w:kern w:val="0"/>
          <w:sz w:val="36"/>
          <w:szCs w:val="36"/>
        </w:rPr>
        <w:t>部门整体支出绩效评价基础表</w:t>
      </w:r>
    </w:p>
    <w:p>
      <w:pPr>
        <w:widowControl/>
        <w:tabs>
          <w:tab w:val="left" w:pos="3611"/>
          <w:tab w:val="left" w:pos="4791"/>
          <w:tab w:val="left" w:pos="5951"/>
          <w:tab w:val="left" w:pos="7071"/>
          <w:tab w:val="left" w:pos="8191"/>
          <w:tab w:val="left" w:pos="9311"/>
        </w:tabs>
        <w:ind w:left="91"/>
        <w:jc w:val="left"/>
        <w:rPr>
          <w:rFonts w:ascii="Times New Roman" w:hAnsi="Times New Roman" w:eastAsia="Times New Roman"/>
          <w:kern w:val="0"/>
          <w:sz w:val="24"/>
        </w:rPr>
      </w:pPr>
      <w:r>
        <w:rPr>
          <w:rFonts w:hint="eastAsia" w:ascii="Times New Roman" w:hAnsi="Times New Roman"/>
          <w:kern w:val="0"/>
          <w:sz w:val="24"/>
        </w:rPr>
        <w:t>填报单位：</w:t>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p>
    <w:tbl>
      <w:tblPr>
        <w:tblStyle w:val="7"/>
        <w:tblW w:w="9479" w:type="dxa"/>
        <w:jc w:val="center"/>
        <w:tblLayout w:type="fixed"/>
        <w:tblCellMar>
          <w:top w:w="0" w:type="dxa"/>
          <w:left w:w="108" w:type="dxa"/>
          <w:bottom w:w="0" w:type="dxa"/>
          <w:right w:w="108" w:type="dxa"/>
        </w:tblCellMar>
      </w:tblPr>
      <w:tblGrid>
        <w:gridCol w:w="3359"/>
        <w:gridCol w:w="2041"/>
        <w:gridCol w:w="2244"/>
        <w:gridCol w:w="1835"/>
      </w:tblGrid>
      <w:tr>
        <w:tblPrEx>
          <w:tblCellMar>
            <w:top w:w="0" w:type="dxa"/>
            <w:left w:w="108" w:type="dxa"/>
            <w:bottom w:w="0" w:type="dxa"/>
            <w:right w:w="108" w:type="dxa"/>
          </w:tblCellMar>
        </w:tblPrEx>
        <w:trPr>
          <w:trHeight w:val="246" w:hRule="atLeast"/>
          <w:jc w:val="center"/>
        </w:trPr>
        <w:tc>
          <w:tcPr>
            <w:tcW w:w="335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财政供养人员情况</w:t>
            </w:r>
          </w:p>
        </w:tc>
        <w:tc>
          <w:tcPr>
            <w:tcW w:w="204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hint="eastAsia" w:ascii="Times New Roman" w:hAnsi="Times New Roman"/>
                <w:b/>
                <w:bCs/>
                <w:kern w:val="0"/>
                <w:szCs w:val="21"/>
              </w:rPr>
              <w:t>编制数</w:t>
            </w:r>
          </w:p>
        </w:tc>
        <w:tc>
          <w:tcPr>
            <w:tcW w:w="224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w:t>
            </w:r>
            <w:r>
              <w:rPr>
                <w:rFonts w:hint="eastAsia" w:ascii="Times New Roman" w:hAnsi="Times New Roman"/>
                <w:b/>
                <w:bCs/>
                <w:kern w:val="0"/>
                <w:szCs w:val="21"/>
              </w:rPr>
              <w:t>21年实际在职人数</w:t>
            </w:r>
          </w:p>
        </w:tc>
        <w:tc>
          <w:tcPr>
            <w:tcW w:w="183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hint="eastAsia" w:ascii="Times New Roman" w:hAnsi="Times New Roman"/>
                <w:b/>
                <w:bCs/>
                <w:kern w:val="0"/>
                <w:szCs w:val="21"/>
              </w:rPr>
              <w:t>控制率</w:t>
            </w:r>
          </w:p>
        </w:tc>
      </w:tr>
      <w:tr>
        <w:tblPrEx>
          <w:tblCellMar>
            <w:top w:w="0" w:type="dxa"/>
            <w:left w:w="108" w:type="dxa"/>
            <w:bottom w:w="0" w:type="dxa"/>
            <w:right w:w="108" w:type="dxa"/>
          </w:tblCellMar>
        </w:tblPrEx>
        <w:trPr>
          <w:trHeight w:val="197" w:hRule="atLeast"/>
          <w:jc w:val="center"/>
        </w:trPr>
        <w:tc>
          <w:tcPr>
            <w:tcW w:w="33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p>
        </w:tc>
        <w:tc>
          <w:tcPr>
            <w:tcW w:w="2041"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kern w:val="0"/>
                <w:szCs w:val="21"/>
                <w:lang w:val="en-US" w:eastAsia="zh-CN"/>
              </w:rPr>
            </w:pPr>
            <w:r>
              <w:rPr>
                <w:rFonts w:hint="eastAsia" w:ascii="Times New Roman" w:hAnsi="Times New Roman"/>
                <w:kern w:val="0"/>
                <w:szCs w:val="21"/>
              </w:rPr>
              <w:t>3</w:t>
            </w:r>
            <w:r>
              <w:rPr>
                <w:rFonts w:hint="eastAsia" w:ascii="Times New Roman" w:hAnsi="Times New Roman"/>
                <w:kern w:val="0"/>
                <w:szCs w:val="21"/>
                <w:lang w:val="en-US" w:eastAsia="zh-CN"/>
              </w:rPr>
              <w:t>1</w:t>
            </w:r>
          </w:p>
        </w:tc>
        <w:tc>
          <w:tcPr>
            <w:tcW w:w="224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25</w:t>
            </w:r>
          </w:p>
        </w:tc>
        <w:tc>
          <w:tcPr>
            <w:tcW w:w="183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　80%</w:t>
            </w:r>
          </w:p>
        </w:tc>
      </w:tr>
      <w:tr>
        <w:tblPrEx>
          <w:tblCellMar>
            <w:top w:w="0" w:type="dxa"/>
            <w:left w:w="108" w:type="dxa"/>
            <w:bottom w:w="0" w:type="dxa"/>
            <w:right w:w="108" w:type="dxa"/>
          </w:tblCellMar>
        </w:tblPrEx>
        <w:trPr>
          <w:trHeight w:val="445" w:hRule="atLeast"/>
          <w:jc w:val="center"/>
        </w:trPr>
        <w:tc>
          <w:tcPr>
            <w:tcW w:w="3359"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经费控制情况</w:t>
            </w:r>
          </w:p>
        </w:tc>
        <w:tc>
          <w:tcPr>
            <w:tcW w:w="204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w:t>
            </w:r>
            <w:r>
              <w:rPr>
                <w:rFonts w:hint="eastAsia" w:ascii="Times New Roman" w:hAnsi="Times New Roman"/>
                <w:b/>
                <w:bCs/>
                <w:kern w:val="0"/>
                <w:szCs w:val="21"/>
              </w:rPr>
              <w:t>20年决算数</w:t>
            </w:r>
          </w:p>
        </w:tc>
        <w:tc>
          <w:tcPr>
            <w:tcW w:w="2244"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w:t>
            </w:r>
            <w:r>
              <w:rPr>
                <w:rFonts w:hint="eastAsia" w:ascii="Times New Roman" w:hAnsi="Times New Roman"/>
                <w:b/>
                <w:bCs/>
                <w:kern w:val="0"/>
                <w:szCs w:val="21"/>
              </w:rPr>
              <w:t>21年预算数</w:t>
            </w:r>
          </w:p>
        </w:tc>
        <w:tc>
          <w:tcPr>
            <w:tcW w:w="1835"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w:t>
            </w:r>
            <w:r>
              <w:rPr>
                <w:rFonts w:hint="eastAsia" w:ascii="Times New Roman" w:hAnsi="Times New Roman"/>
                <w:b/>
                <w:bCs/>
                <w:kern w:val="0"/>
                <w:szCs w:val="21"/>
              </w:rPr>
              <w:t>21年决算数</w:t>
            </w:r>
          </w:p>
        </w:tc>
      </w:tr>
      <w:tr>
        <w:tblPrEx>
          <w:tblCellMar>
            <w:top w:w="0" w:type="dxa"/>
            <w:left w:w="108" w:type="dxa"/>
            <w:bottom w:w="0" w:type="dxa"/>
            <w:right w:w="108" w:type="dxa"/>
          </w:tblCellMar>
        </w:tblPrEx>
        <w:trPr>
          <w:trHeight w:val="383" w:hRule="atLeast"/>
          <w:jc w:val="center"/>
        </w:trPr>
        <w:tc>
          <w:tcPr>
            <w:tcW w:w="3359"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rPr>
              <w:t>一、部门基本支出</w:t>
            </w:r>
          </w:p>
        </w:tc>
        <w:tc>
          <w:tcPr>
            <w:tcW w:w="2041"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heme="minorEastAsia"/>
                <w:color w:val="000000" w:themeColor="text1"/>
                <w:kern w:val="0"/>
                <w:szCs w:val="21"/>
                <w:lang w:val="en-US" w:eastAsia="zh-CN"/>
              </w:rPr>
            </w:pPr>
            <w:r>
              <w:rPr>
                <w:rFonts w:hint="eastAsia" w:ascii="Times New Roman" w:hAnsi="Times New Roman" w:eastAsiaTheme="minorEastAsia"/>
                <w:color w:val="000000" w:themeColor="text1"/>
                <w:kern w:val="0"/>
                <w:szCs w:val="21"/>
                <w:lang w:val="en-US" w:eastAsia="zh-CN"/>
              </w:rPr>
              <w:t>470.89</w:t>
            </w:r>
          </w:p>
        </w:tc>
        <w:tc>
          <w:tcPr>
            <w:tcW w:w="2244" w:type="dxa"/>
            <w:tcBorders>
              <w:top w:val="single" w:color="auto" w:sz="4" w:space="0"/>
              <w:left w:val="nil"/>
              <w:bottom w:val="single" w:color="auto" w:sz="4" w:space="0"/>
              <w:right w:val="single" w:color="000000" w:sz="4" w:space="0"/>
            </w:tcBorders>
            <w:vAlign w:val="center"/>
          </w:tcPr>
          <w:p>
            <w:pPr>
              <w:jc w:val="center"/>
              <w:rPr>
                <w:rFonts w:hint="default" w:ascii="宋体" w:hAnsi="宋体" w:eastAsia="宋体" w:cs="宋体"/>
                <w:color w:val="000000" w:themeColor="text1"/>
                <w:sz w:val="20"/>
                <w:szCs w:val="20"/>
                <w:lang w:val="en-US" w:eastAsia="zh-CN"/>
              </w:rPr>
            </w:pPr>
            <w:r>
              <w:rPr>
                <w:rFonts w:hint="eastAsia" w:ascii="宋体" w:hAnsi="宋体" w:cs="宋体"/>
                <w:color w:val="000000" w:themeColor="text1"/>
                <w:sz w:val="20"/>
                <w:szCs w:val="20"/>
                <w:lang w:val="en-US" w:eastAsia="zh-CN"/>
              </w:rPr>
              <w:t>440.02</w:t>
            </w:r>
          </w:p>
        </w:tc>
        <w:tc>
          <w:tcPr>
            <w:tcW w:w="1835"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heme="minorEastAsia"/>
                <w:color w:val="000000" w:themeColor="text1"/>
                <w:kern w:val="0"/>
                <w:szCs w:val="21"/>
                <w:lang w:val="en-US" w:eastAsia="zh-CN"/>
              </w:rPr>
            </w:pPr>
            <w:r>
              <w:rPr>
                <w:rFonts w:hint="eastAsia" w:ascii="Times New Roman" w:hAnsi="Times New Roman" w:eastAsiaTheme="minorEastAsia"/>
                <w:color w:val="000000" w:themeColor="text1"/>
                <w:kern w:val="0"/>
                <w:szCs w:val="21"/>
                <w:lang w:val="en-US" w:eastAsia="zh-CN"/>
              </w:rPr>
              <w:t>526.13</w:t>
            </w:r>
          </w:p>
        </w:tc>
      </w:tr>
      <w:tr>
        <w:tblPrEx>
          <w:tblCellMar>
            <w:top w:w="0" w:type="dxa"/>
            <w:left w:w="108" w:type="dxa"/>
            <w:bottom w:w="0" w:type="dxa"/>
            <w:right w:w="108" w:type="dxa"/>
          </w:tblCellMar>
        </w:tblPrEx>
        <w:trPr>
          <w:trHeight w:val="383" w:hRule="atLeast"/>
          <w:jc w:val="center"/>
        </w:trPr>
        <w:tc>
          <w:tcPr>
            <w:tcW w:w="3359"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rPr>
              <w:t>其中：公用经费</w:t>
            </w:r>
          </w:p>
        </w:tc>
        <w:tc>
          <w:tcPr>
            <w:tcW w:w="2041"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heme="minorEastAsia"/>
                <w:color w:val="000000" w:themeColor="text1"/>
                <w:kern w:val="0"/>
                <w:szCs w:val="21"/>
                <w:lang w:val="en-US" w:eastAsia="zh-CN"/>
              </w:rPr>
            </w:pPr>
            <w:r>
              <w:rPr>
                <w:rFonts w:hint="eastAsia" w:ascii="Times New Roman" w:hAnsi="Times New Roman" w:eastAsiaTheme="minorEastAsia"/>
                <w:color w:val="000000" w:themeColor="text1"/>
                <w:kern w:val="0"/>
                <w:szCs w:val="21"/>
                <w:lang w:val="en-US" w:eastAsia="zh-CN"/>
              </w:rPr>
              <w:t>46.56</w:t>
            </w:r>
          </w:p>
        </w:tc>
        <w:tc>
          <w:tcPr>
            <w:tcW w:w="2244" w:type="dxa"/>
            <w:tcBorders>
              <w:top w:val="single" w:color="auto" w:sz="4" w:space="0"/>
              <w:left w:val="nil"/>
              <w:bottom w:val="single" w:color="auto" w:sz="4" w:space="0"/>
              <w:right w:val="single" w:color="000000" w:sz="4" w:space="0"/>
            </w:tcBorders>
            <w:vAlign w:val="center"/>
          </w:tcPr>
          <w:p>
            <w:pPr>
              <w:jc w:val="center"/>
              <w:rPr>
                <w:rFonts w:hint="default" w:ascii="宋体" w:hAnsi="宋体" w:eastAsia="宋体" w:cs="宋体"/>
                <w:color w:val="000000" w:themeColor="text1"/>
                <w:sz w:val="20"/>
                <w:szCs w:val="20"/>
                <w:lang w:val="en-US" w:eastAsia="zh-CN"/>
              </w:rPr>
            </w:pPr>
            <w:r>
              <w:rPr>
                <w:rFonts w:hint="eastAsia" w:ascii="宋体" w:hAnsi="宋体" w:cs="宋体"/>
                <w:color w:val="000000" w:themeColor="text1"/>
                <w:sz w:val="20"/>
                <w:szCs w:val="20"/>
                <w:lang w:val="en-US" w:eastAsia="zh-CN"/>
              </w:rPr>
              <w:t>37.5</w:t>
            </w:r>
          </w:p>
        </w:tc>
        <w:tc>
          <w:tcPr>
            <w:tcW w:w="1835"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heme="minorEastAsia"/>
                <w:color w:val="000000" w:themeColor="text1"/>
                <w:kern w:val="0"/>
                <w:szCs w:val="21"/>
                <w:lang w:val="en-US" w:eastAsia="zh-CN"/>
              </w:rPr>
            </w:pPr>
            <w:r>
              <w:rPr>
                <w:rFonts w:hint="eastAsia" w:ascii="Times New Roman" w:hAnsi="Times New Roman" w:eastAsiaTheme="minorEastAsia"/>
                <w:color w:val="000000" w:themeColor="text1"/>
                <w:kern w:val="0"/>
                <w:szCs w:val="21"/>
                <w:lang w:val="en-US" w:eastAsia="zh-CN"/>
              </w:rPr>
              <w:t>81.22</w:t>
            </w:r>
          </w:p>
        </w:tc>
      </w:tr>
      <w:tr>
        <w:tblPrEx>
          <w:tblCellMar>
            <w:top w:w="0" w:type="dxa"/>
            <w:left w:w="108" w:type="dxa"/>
            <w:bottom w:w="0" w:type="dxa"/>
            <w:right w:w="108" w:type="dxa"/>
          </w:tblCellMar>
        </w:tblPrEx>
        <w:trPr>
          <w:trHeight w:val="383" w:hRule="atLeast"/>
          <w:jc w:val="center"/>
        </w:trPr>
        <w:tc>
          <w:tcPr>
            <w:tcW w:w="3359"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rPr>
              <w:t>其中：办公经费</w:t>
            </w:r>
          </w:p>
        </w:tc>
        <w:tc>
          <w:tcPr>
            <w:tcW w:w="2041"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heme="minorEastAsia"/>
                <w:color w:val="000000" w:themeColor="text1"/>
                <w:kern w:val="0"/>
                <w:szCs w:val="21"/>
                <w:lang w:val="en-US" w:eastAsia="zh-CN"/>
              </w:rPr>
            </w:pPr>
            <w:r>
              <w:rPr>
                <w:rFonts w:hint="eastAsia" w:ascii="Times New Roman" w:hAnsi="Times New Roman" w:eastAsiaTheme="minorEastAsia"/>
                <w:color w:val="000000" w:themeColor="text1"/>
                <w:kern w:val="0"/>
                <w:szCs w:val="21"/>
                <w:lang w:val="en-US" w:eastAsia="zh-CN"/>
              </w:rPr>
              <w:t>6.63</w:t>
            </w:r>
          </w:p>
        </w:tc>
        <w:tc>
          <w:tcPr>
            <w:tcW w:w="2244"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heme="minorEastAsia"/>
                <w:color w:val="000000" w:themeColor="text1"/>
                <w:kern w:val="0"/>
                <w:szCs w:val="21"/>
                <w:lang w:val="en-US" w:eastAsia="zh-CN"/>
              </w:rPr>
            </w:pPr>
            <w:r>
              <w:rPr>
                <w:rFonts w:hint="eastAsia" w:ascii="Times New Roman" w:hAnsi="Times New Roman" w:eastAsiaTheme="minorEastAsia"/>
                <w:color w:val="000000" w:themeColor="text1"/>
                <w:kern w:val="0"/>
                <w:szCs w:val="21"/>
                <w:lang w:val="en-US" w:eastAsia="zh-CN"/>
              </w:rPr>
              <w:t>6.5</w:t>
            </w:r>
          </w:p>
        </w:tc>
        <w:tc>
          <w:tcPr>
            <w:tcW w:w="1835"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heme="minorEastAsia"/>
                <w:color w:val="000000" w:themeColor="text1"/>
                <w:kern w:val="0"/>
                <w:szCs w:val="21"/>
                <w:lang w:val="en-US" w:eastAsia="zh-CN"/>
              </w:rPr>
            </w:pPr>
            <w:r>
              <w:rPr>
                <w:rFonts w:hint="eastAsia" w:ascii="Times New Roman" w:hAnsi="Times New Roman" w:eastAsiaTheme="minorEastAsia"/>
                <w:color w:val="000000" w:themeColor="text1"/>
                <w:kern w:val="0"/>
                <w:szCs w:val="21"/>
                <w:lang w:val="en-US" w:eastAsia="zh-CN"/>
              </w:rPr>
              <w:t>10.57</w:t>
            </w:r>
          </w:p>
        </w:tc>
      </w:tr>
      <w:tr>
        <w:tblPrEx>
          <w:tblCellMar>
            <w:top w:w="0" w:type="dxa"/>
            <w:left w:w="108" w:type="dxa"/>
            <w:bottom w:w="0" w:type="dxa"/>
            <w:right w:w="108" w:type="dxa"/>
          </w:tblCellMar>
        </w:tblPrEx>
        <w:trPr>
          <w:trHeight w:val="383" w:hRule="atLeast"/>
          <w:jc w:val="center"/>
        </w:trPr>
        <w:tc>
          <w:tcPr>
            <w:tcW w:w="3359"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rPr>
              <w:t>水费、电费、差旅费</w:t>
            </w:r>
          </w:p>
        </w:tc>
        <w:tc>
          <w:tcPr>
            <w:tcW w:w="2041"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heme="minorEastAsia"/>
                <w:color w:val="000000" w:themeColor="text1"/>
                <w:kern w:val="0"/>
                <w:szCs w:val="21"/>
                <w:lang w:val="en-US" w:eastAsia="zh-CN"/>
              </w:rPr>
            </w:pPr>
            <w:r>
              <w:rPr>
                <w:rFonts w:hint="eastAsia" w:ascii="Times New Roman" w:hAnsi="Times New Roman" w:eastAsiaTheme="minorEastAsia"/>
                <w:color w:val="000000" w:themeColor="text1"/>
                <w:kern w:val="0"/>
                <w:szCs w:val="21"/>
                <w:lang w:val="en-US" w:eastAsia="zh-CN"/>
              </w:rPr>
              <w:t>6.03</w:t>
            </w:r>
          </w:p>
        </w:tc>
        <w:tc>
          <w:tcPr>
            <w:tcW w:w="2244"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heme="minorEastAsia"/>
                <w:color w:val="000000" w:themeColor="text1"/>
                <w:kern w:val="0"/>
                <w:szCs w:val="21"/>
                <w:lang w:val="en-US" w:eastAsia="zh-CN"/>
              </w:rPr>
            </w:pPr>
            <w:r>
              <w:rPr>
                <w:rFonts w:hint="eastAsia" w:ascii="Times New Roman" w:hAnsi="Times New Roman" w:eastAsiaTheme="minorEastAsia"/>
                <w:color w:val="000000" w:themeColor="text1"/>
                <w:kern w:val="0"/>
                <w:szCs w:val="21"/>
                <w:lang w:val="en-US" w:eastAsia="zh-CN"/>
              </w:rPr>
              <w:t>5.5</w:t>
            </w:r>
          </w:p>
        </w:tc>
        <w:tc>
          <w:tcPr>
            <w:tcW w:w="1835"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heme="minorEastAsia"/>
                <w:color w:val="000000" w:themeColor="text1"/>
                <w:kern w:val="0"/>
                <w:szCs w:val="21"/>
                <w:lang w:val="en-US" w:eastAsia="zh-CN"/>
              </w:rPr>
            </w:pPr>
            <w:r>
              <w:rPr>
                <w:rFonts w:hint="eastAsia" w:ascii="Times New Roman" w:hAnsi="Times New Roman" w:eastAsiaTheme="minorEastAsia"/>
                <w:color w:val="000000" w:themeColor="text1"/>
                <w:kern w:val="0"/>
                <w:szCs w:val="21"/>
                <w:lang w:val="en-US" w:eastAsia="zh-CN"/>
              </w:rPr>
              <w:t>9.41</w:t>
            </w:r>
          </w:p>
        </w:tc>
      </w:tr>
      <w:tr>
        <w:tblPrEx>
          <w:tblCellMar>
            <w:top w:w="0" w:type="dxa"/>
            <w:left w:w="108" w:type="dxa"/>
            <w:bottom w:w="0" w:type="dxa"/>
            <w:right w:w="108" w:type="dxa"/>
          </w:tblCellMar>
        </w:tblPrEx>
        <w:trPr>
          <w:trHeight w:val="383" w:hRule="atLeast"/>
          <w:jc w:val="center"/>
        </w:trPr>
        <w:tc>
          <w:tcPr>
            <w:tcW w:w="3359"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rPr>
              <w:t>会议费、培训费</w:t>
            </w:r>
          </w:p>
        </w:tc>
        <w:tc>
          <w:tcPr>
            <w:tcW w:w="2041"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heme="minorEastAsia"/>
                <w:color w:val="000000" w:themeColor="text1"/>
                <w:kern w:val="0"/>
                <w:szCs w:val="21"/>
                <w:lang w:val="en-US" w:eastAsia="zh-CN"/>
              </w:rPr>
            </w:pPr>
            <w:r>
              <w:rPr>
                <w:rFonts w:hint="eastAsia" w:ascii="Times New Roman" w:hAnsi="Times New Roman" w:eastAsiaTheme="minorEastAsia"/>
                <w:color w:val="000000" w:themeColor="text1"/>
                <w:kern w:val="0"/>
                <w:szCs w:val="21"/>
                <w:lang w:val="en-US" w:eastAsia="zh-CN"/>
              </w:rPr>
              <w:t>0.2</w:t>
            </w:r>
          </w:p>
        </w:tc>
        <w:tc>
          <w:tcPr>
            <w:tcW w:w="2244"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Theme="minorEastAsia"/>
                <w:color w:val="000000" w:themeColor="text1"/>
                <w:kern w:val="0"/>
                <w:szCs w:val="21"/>
                <w:lang w:eastAsia="zh-CN"/>
              </w:rPr>
            </w:pPr>
            <w:r>
              <w:rPr>
                <w:rFonts w:hint="eastAsia" w:ascii="Times New Roman" w:hAnsi="Times New Roman" w:eastAsiaTheme="minorEastAsia"/>
                <w:color w:val="000000" w:themeColor="text1"/>
                <w:kern w:val="0"/>
                <w:szCs w:val="21"/>
                <w:lang w:val="en-US" w:eastAsia="zh-CN"/>
              </w:rPr>
              <w:t>1</w:t>
            </w:r>
          </w:p>
        </w:tc>
        <w:tc>
          <w:tcPr>
            <w:tcW w:w="1835"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heme="minorEastAsia"/>
                <w:color w:val="000000" w:themeColor="text1"/>
                <w:kern w:val="0"/>
                <w:szCs w:val="21"/>
                <w:lang w:val="en-US" w:eastAsia="zh-CN"/>
              </w:rPr>
            </w:pPr>
            <w:r>
              <w:rPr>
                <w:rFonts w:hint="eastAsia" w:ascii="Times New Roman" w:hAnsi="Times New Roman" w:eastAsiaTheme="minorEastAsia"/>
                <w:color w:val="000000" w:themeColor="text1"/>
                <w:kern w:val="0"/>
                <w:szCs w:val="21"/>
                <w:lang w:val="en-US" w:eastAsia="zh-CN"/>
              </w:rPr>
              <w:t>0.65</w:t>
            </w:r>
          </w:p>
        </w:tc>
      </w:tr>
      <w:tr>
        <w:tblPrEx>
          <w:tblCellMar>
            <w:top w:w="0" w:type="dxa"/>
            <w:left w:w="108" w:type="dxa"/>
            <w:bottom w:w="0" w:type="dxa"/>
            <w:right w:w="108" w:type="dxa"/>
          </w:tblCellMar>
        </w:tblPrEx>
        <w:trPr>
          <w:trHeight w:val="383" w:hRule="atLeast"/>
          <w:jc w:val="center"/>
        </w:trPr>
        <w:tc>
          <w:tcPr>
            <w:tcW w:w="3359" w:type="dxa"/>
            <w:tcBorders>
              <w:top w:val="nil"/>
              <w:left w:val="single" w:color="auto" w:sz="4" w:space="0"/>
              <w:bottom w:val="single" w:color="auto" w:sz="4" w:space="0"/>
              <w:right w:val="single" w:color="auto" w:sz="4" w:space="0"/>
            </w:tcBorders>
            <w:vAlign w:val="center"/>
          </w:tcPr>
          <w:p>
            <w:pPr>
              <w:widowControl/>
              <w:ind w:firstLine="1155" w:firstLineChars="550"/>
              <w:jc w:val="left"/>
              <w:rPr>
                <w:rFonts w:ascii="Times New Roman" w:hAnsi="Times New Roman" w:eastAsia="Times New Roman"/>
                <w:kern w:val="0"/>
                <w:szCs w:val="21"/>
              </w:rPr>
            </w:pPr>
            <w:r>
              <w:rPr>
                <w:rFonts w:ascii="Times New Roman" w:hAnsi="Times New Roman"/>
                <w:kern w:val="0"/>
                <w:szCs w:val="21"/>
              </w:rPr>
              <w:t>……</w:t>
            </w:r>
          </w:p>
        </w:tc>
        <w:tc>
          <w:tcPr>
            <w:tcW w:w="204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000000" w:themeColor="text1"/>
                <w:kern w:val="0"/>
                <w:szCs w:val="21"/>
              </w:rPr>
            </w:pPr>
          </w:p>
        </w:tc>
        <w:tc>
          <w:tcPr>
            <w:tcW w:w="2244"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FF0000"/>
                <w:kern w:val="0"/>
                <w:szCs w:val="21"/>
              </w:rPr>
            </w:pPr>
          </w:p>
        </w:tc>
        <w:tc>
          <w:tcPr>
            <w:tcW w:w="1835"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FF0000"/>
                <w:kern w:val="0"/>
                <w:szCs w:val="21"/>
              </w:rPr>
            </w:pPr>
          </w:p>
        </w:tc>
      </w:tr>
      <w:tr>
        <w:tblPrEx>
          <w:tblCellMar>
            <w:top w:w="0" w:type="dxa"/>
            <w:left w:w="108" w:type="dxa"/>
            <w:bottom w:w="0" w:type="dxa"/>
            <w:right w:w="108" w:type="dxa"/>
          </w:tblCellMar>
        </w:tblPrEx>
        <w:trPr>
          <w:trHeight w:val="383" w:hRule="atLeast"/>
          <w:jc w:val="center"/>
        </w:trPr>
        <w:tc>
          <w:tcPr>
            <w:tcW w:w="3359" w:type="dxa"/>
            <w:tcBorders>
              <w:top w:val="nil"/>
              <w:left w:val="single" w:color="auto" w:sz="4" w:space="0"/>
              <w:bottom w:val="single" w:color="auto" w:sz="4" w:space="0"/>
              <w:right w:val="single" w:color="auto" w:sz="4" w:space="0"/>
            </w:tcBorders>
            <w:vAlign w:val="center"/>
          </w:tcPr>
          <w:p>
            <w:pPr>
              <w:widowControl/>
              <w:ind w:firstLine="945" w:firstLineChars="450"/>
              <w:jc w:val="left"/>
              <w:rPr>
                <w:rFonts w:ascii="Times New Roman" w:hAnsi="Times New Roman" w:eastAsia="Times New Roman"/>
                <w:kern w:val="0"/>
                <w:szCs w:val="21"/>
              </w:rPr>
            </w:pPr>
            <w:r>
              <w:rPr>
                <w:rFonts w:hint="eastAsia" w:ascii="Times New Roman" w:hAnsi="Times New Roman"/>
                <w:kern w:val="0"/>
                <w:szCs w:val="21"/>
              </w:rPr>
              <w:t>三公经费</w:t>
            </w:r>
          </w:p>
        </w:tc>
        <w:tc>
          <w:tcPr>
            <w:tcW w:w="2041"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olor w:val="000000" w:themeColor="text1"/>
                <w:kern w:val="0"/>
                <w:szCs w:val="21"/>
                <w:lang w:val="en-US" w:eastAsia="zh-CN"/>
              </w:rPr>
            </w:pPr>
            <w:r>
              <w:rPr>
                <w:rFonts w:hint="eastAsia" w:ascii="Times New Roman" w:hAnsi="Times New Roman"/>
                <w:color w:val="000000" w:themeColor="text1"/>
                <w:kern w:val="0"/>
                <w:szCs w:val="21"/>
                <w:lang w:val="en-US" w:eastAsia="zh-CN"/>
              </w:rPr>
              <w:t>18.86</w:t>
            </w:r>
          </w:p>
        </w:tc>
        <w:tc>
          <w:tcPr>
            <w:tcW w:w="2244"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olor w:val="000000" w:themeColor="text1"/>
                <w:kern w:val="0"/>
                <w:szCs w:val="21"/>
                <w:lang w:val="en-US" w:eastAsia="zh-CN"/>
              </w:rPr>
            </w:pPr>
            <w:r>
              <w:rPr>
                <w:rFonts w:hint="eastAsia" w:ascii="Times New Roman" w:hAnsi="Times New Roman"/>
                <w:color w:val="000000" w:themeColor="text1"/>
                <w:kern w:val="0"/>
                <w:szCs w:val="21"/>
                <w:lang w:val="en-US" w:eastAsia="zh-CN"/>
              </w:rPr>
              <w:t>30.5</w:t>
            </w:r>
          </w:p>
        </w:tc>
        <w:tc>
          <w:tcPr>
            <w:tcW w:w="1835"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olor w:val="000000" w:themeColor="text1"/>
                <w:kern w:val="0"/>
                <w:szCs w:val="21"/>
                <w:lang w:val="en-US" w:eastAsia="zh-CN"/>
              </w:rPr>
            </w:pPr>
            <w:r>
              <w:rPr>
                <w:rFonts w:hint="eastAsia" w:ascii="Times New Roman" w:hAnsi="Times New Roman"/>
                <w:color w:val="000000" w:themeColor="text1"/>
                <w:kern w:val="0"/>
                <w:szCs w:val="21"/>
                <w:lang w:val="en-US" w:eastAsia="zh-CN"/>
              </w:rPr>
              <w:t>18.81</w:t>
            </w:r>
          </w:p>
        </w:tc>
      </w:tr>
      <w:tr>
        <w:tblPrEx>
          <w:tblCellMar>
            <w:top w:w="0" w:type="dxa"/>
            <w:left w:w="108" w:type="dxa"/>
            <w:bottom w:w="0" w:type="dxa"/>
            <w:right w:w="108" w:type="dxa"/>
          </w:tblCellMar>
        </w:tblPrEx>
        <w:trPr>
          <w:trHeight w:val="434" w:hRule="atLeast"/>
          <w:jc w:val="center"/>
        </w:trPr>
        <w:tc>
          <w:tcPr>
            <w:tcW w:w="3359"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1</w:t>
            </w:r>
            <w:r>
              <w:rPr>
                <w:rFonts w:hint="eastAsia" w:ascii="Times New Roman" w:hAnsi="Times New Roman"/>
                <w:kern w:val="0"/>
                <w:szCs w:val="21"/>
              </w:rPr>
              <w:t>、公务用车购置和维护经费</w:t>
            </w:r>
          </w:p>
        </w:tc>
        <w:tc>
          <w:tcPr>
            <w:tcW w:w="2041"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olor w:val="000000" w:themeColor="text1"/>
                <w:kern w:val="0"/>
                <w:szCs w:val="21"/>
                <w:lang w:val="en-US" w:eastAsia="zh-CN"/>
              </w:rPr>
            </w:pPr>
            <w:r>
              <w:rPr>
                <w:rFonts w:hint="eastAsia" w:ascii="Times New Roman" w:hAnsi="Times New Roman"/>
                <w:color w:val="000000" w:themeColor="text1"/>
                <w:kern w:val="0"/>
                <w:szCs w:val="21"/>
                <w:lang w:val="en-US" w:eastAsia="zh-CN"/>
              </w:rPr>
              <w:t>11.89</w:t>
            </w:r>
          </w:p>
        </w:tc>
        <w:tc>
          <w:tcPr>
            <w:tcW w:w="2244"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olor w:val="000000" w:themeColor="text1"/>
                <w:kern w:val="0"/>
                <w:szCs w:val="21"/>
                <w:lang w:val="en-US" w:eastAsia="zh-CN"/>
              </w:rPr>
            </w:pPr>
            <w:r>
              <w:rPr>
                <w:rFonts w:hint="eastAsia" w:ascii="Times New Roman" w:hAnsi="Times New Roman"/>
                <w:color w:val="000000" w:themeColor="text1"/>
                <w:kern w:val="0"/>
                <w:szCs w:val="21"/>
                <w:lang w:val="en-US" w:eastAsia="zh-CN"/>
              </w:rPr>
              <w:t>12</w:t>
            </w:r>
          </w:p>
        </w:tc>
        <w:tc>
          <w:tcPr>
            <w:tcW w:w="1835"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olor w:val="000000" w:themeColor="text1"/>
                <w:kern w:val="0"/>
                <w:szCs w:val="21"/>
                <w:lang w:val="en-US" w:eastAsia="zh-CN"/>
              </w:rPr>
            </w:pPr>
            <w:r>
              <w:rPr>
                <w:rFonts w:hint="eastAsia" w:ascii="Times New Roman" w:hAnsi="Times New Roman"/>
                <w:color w:val="000000" w:themeColor="text1"/>
                <w:kern w:val="0"/>
                <w:szCs w:val="21"/>
              </w:rPr>
              <w:t>11.</w:t>
            </w:r>
            <w:r>
              <w:rPr>
                <w:rFonts w:hint="eastAsia" w:ascii="Times New Roman" w:hAnsi="Times New Roman"/>
                <w:color w:val="000000" w:themeColor="text1"/>
                <w:kern w:val="0"/>
                <w:szCs w:val="21"/>
                <w:lang w:val="en-US" w:eastAsia="zh-CN"/>
              </w:rPr>
              <w:t>86</w:t>
            </w:r>
          </w:p>
        </w:tc>
      </w:tr>
      <w:tr>
        <w:tblPrEx>
          <w:tblCellMar>
            <w:top w:w="0" w:type="dxa"/>
            <w:left w:w="108" w:type="dxa"/>
            <w:bottom w:w="0" w:type="dxa"/>
            <w:right w:w="108" w:type="dxa"/>
          </w:tblCellMar>
        </w:tblPrEx>
        <w:trPr>
          <w:trHeight w:val="434" w:hRule="atLeast"/>
          <w:jc w:val="center"/>
        </w:trPr>
        <w:tc>
          <w:tcPr>
            <w:tcW w:w="3359"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rPr>
              <w:t>其中：公交车购置</w:t>
            </w:r>
          </w:p>
        </w:tc>
        <w:tc>
          <w:tcPr>
            <w:tcW w:w="204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000000" w:themeColor="text1"/>
                <w:kern w:val="0"/>
                <w:szCs w:val="21"/>
              </w:rPr>
            </w:pPr>
            <w:r>
              <w:rPr>
                <w:rFonts w:hint="eastAsia" w:ascii="Times New Roman" w:hAnsi="Times New Roman"/>
                <w:color w:val="000000" w:themeColor="text1"/>
                <w:kern w:val="0"/>
                <w:szCs w:val="21"/>
              </w:rPr>
              <w:t>　</w:t>
            </w:r>
          </w:p>
        </w:tc>
        <w:tc>
          <w:tcPr>
            <w:tcW w:w="2244"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000000" w:themeColor="text1"/>
                <w:kern w:val="0"/>
                <w:szCs w:val="21"/>
              </w:rPr>
            </w:pPr>
            <w:r>
              <w:rPr>
                <w:rFonts w:hint="eastAsia" w:ascii="Times New Roman" w:hAnsi="Times New Roman"/>
                <w:color w:val="000000" w:themeColor="text1"/>
                <w:kern w:val="0"/>
                <w:szCs w:val="21"/>
              </w:rPr>
              <w:t>　</w:t>
            </w:r>
          </w:p>
        </w:tc>
        <w:tc>
          <w:tcPr>
            <w:tcW w:w="1835"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FF0000"/>
                <w:kern w:val="0"/>
                <w:szCs w:val="21"/>
              </w:rPr>
            </w:pPr>
            <w:r>
              <w:rPr>
                <w:rFonts w:hint="eastAsia" w:ascii="Times New Roman" w:hAnsi="Times New Roman"/>
                <w:color w:val="FF0000"/>
                <w:kern w:val="0"/>
                <w:szCs w:val="21"/>
              </w:rPr>
              <w:t>　</w:t>
            </w:r>
          </w:p>
        </w:tc>
      </w:tr>
      <w:tr>
        <w:tblPrEx>
          <w:tblCellMar>
            <w:top w:w="0" w:type="dxa"/>
            <w:left w:w="108" w:type="dxa"/>
            <w:bottom w:w="0" w:type="dxa"/>
            <w:right w:w="108" w:type="dxa"/>
          </w:tblCellMar>
        </w:tblPrEx>
        <w:trPr>
          <w:trHeight w:val="434" w:hRule="atLeast"/>
          <w:jc w:val="center"/>
        </w:trPr>
        <w:tc>
          <w:tcPr>
            <w:tcW w:w="3359"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rPr>
              <w:t>公交车运行维护</w:t>
            </w:r>
          </w:p>
        </w:tc>
        <w:tc>
          <w:tcPr>
            <w:tcW w:w="204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000000" w:themeColor="text1"/>
                <w:kern w:val="0"/>
                <w:szCs w:val="21"/>
              </w:rPr>
            </w:pPr>
            <w:r>
              <w:rPr>
                <w:rFonts w:hint="eastAsia" w:ascii="Times New Roman" w:hAnsi="Times New Roman"/>
                <w:color w:val="000000" w:themeColor="text1"/>
                <w:kern w:val="0"/>
                <w:szCs w:val="21"/>
              </w:rPr>
              <w:t>　</w:t>
            </w:r>
          </w:p>
        </w:tc>
        <w:tc>
          <w:tcPr>
            <w:tcW w:w="2244"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000000" w:themeColor="text1"/>
                <w:kern w:val="0"/>
                <w:szCs w:val="21"/>
              </w:rPr>
            </w:pPr>
            <w:r>
              <w:rPr>
                <w:rFonts w:hint="eastAsia" w:ascii="Times New Roman" w:hAnsi="Times New Roman"/>
                <w:color w:val="000000" w:themeColor="text1"/>
                <w:kern w:val="0"/>
                <w:szCs w:val="21"/>
              </w:rPr>
              <w:t>　</w:t>
            </w:r>
          </w:p>
        </w:tc>
        <w:tc>
          <w:tcPr>
            <w:tcW w:w="1835"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FF0000"/>
                <w:kern w:val="0"/>
                <w:szCs w:val="21"/>
              </w:rPr>
            </w:pPr>
            <w:r>
              <w:rPr>
                <w:rFonts w:hint="eastAsia" w:ascii="Times New Roman" w:hAnsi="Times New Roman"/>
                <w:color w:val="FF0000"/>
                <w:kern w:val="0"/>
                <w:szCs w:val="21"/>
              </w:rPr>
              <w:t>　</w:t>
            </w:r>
          </w:p>
        </w:tc>
      </w:tr>
      <w:tr>
        <w:tblPrEx>
          <w:tblCellMar>
            <w:top w:w="0" w:type="dxa"/>
            <w:left w:w="108" w:type="dxa"/>
            <w:bottom w:w="0" w:type="dxa"/>
            <w:right w:w="108" w:type="dxa"/>
          </w:tblCellMar>
        </w:tblPrEx>
        <w:trPr>
          <w:trHeight w:val="434" w:hRule="atLeast"/>
          <w:jc w:val="center"/>
        </w:trPr>
        <w:tc>
          <w:tcPr>
            <w:tcW w:w="3359"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2</w:t>
            </w:r>
            <w:r>
              <w:rPr>
                <w:rFonts w:hint="eastAsia" w:ascii="Times New Roman" w:hAnsi="Times New Roman"/>
                <w:kern w:val="0"/>
                <w:szCs w:val="21"/>
              </w:rPr>
              <w:t>、出国经费</w:t>
            </w:r>
          </w:p>
        </w:tc>
        <w:tc>
          <w:tcPr>
            <w:tcW w:w="204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000000" w:themeColor="text1"/>
                <w:kern w:val="0"/>
                <w:szCs w:val="21"/>
              </w:rPr>
            </w:pPr>
            <w:r>
              <w:rPr>
                <w:rFonts w:hint="eastAsia" w:ascii="Times New Roman" w:hAnsi="Times New Roman"/>
                <w:color w:val="000000" w:themeColor="text1"/>
                <w:kern w:val="0"/>
                <w:szCs w:val="21"/>
              </w:rPr>
              <w:t>　</w:t>
            </w:r>
          </w:p>
        </w:tc>
        <w:tc>
          <w:tcPr>
            <w:tcW w:w="2244"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000000" w:themeColor="text1"/>
                <w:kern w:val="0"/>
                <w:szCs w:val="21"/>
              </w:rPr>
            </w:pPr>
            <w:r>
              <w:rPr>
                <w:rFonts w:hint="eastAsia" w:ascii="Times New Roman" w:hAnsi="Times New Roman"/>
                <w:color w:val="000000" w:themeColor="text1"/>
                <w:kern w:val="0"/>
                <w:szCs w:val="21"/>
              </w:rPr>
              <w:t>　</w:t>
            </w:r>
          </w:p>
        </w:tc>
        <w:tc>
          <w:tcPr>
            <w:tcW w:w="1835"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FF0000"/>
                <w:kern w:val="0"/>
                <w:szCs w:val="21"/>
              </w:rPr>
            </w:pPr>
            <w:r>
              <w:rPr>
                <w:rFonts w:hint="eastAsia" w:ascii="Times New Roman" w:hAnsi="Times New Roman"/>
                <w:color w:val="FF0000"/>
                <w:kern w:val="0"/>
                <w:szCs w:val="21"/>
              </w:rPr>
              <w:t>　</w:t>
            </w:r>
          </w:p>
        </w:tc>
      </w:tr>
      <w:tr>
        <w:tblPrEx>
          <w:tblCellMar>
            <w:top w:w="0" w:type="dxa"/>
            <w:left w:w="108" w:type="dxa"/>
            <w:bottom w:w="0" w:type="dxa"/>
            <w:right w:w="108" w:type="dxa"/>
          </w:tblCellMar>
        </w:tblPrEx>
        <w:trPr>
          <w:trHeight w:val="434" w:hRule="atLeast"/>
          <w:jc w:val="center"/>
        </w:trPr>
        <w:tc>
          <w:tcPr>
            <w:tcW w:w="3359"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3</w:t>
            </w:r>
            <w:r>
              <w:rPr>
                <w:rFonts w:hint="eastAsia" w:ascii="Times New Roman" w:hAnsi="Times New Roman"/>
                <w:kern w:val="0"/>
                <w:szCs w:val="21"/>
              </w:rPr>
              <w:t>、公务接待</w:t>
            </w:r>
          </w:p>
        </w:tc>
        <w:tc>
          <w:tcPr>
            <w:tcW w:w="2041"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olor w:val="000000" w:themeColor="text1"/>
                <w:kern w:val="0"/>
                <w:szCs w:val="21"/>
                <w:lang w:val="en-US" w:eastAsia="zh-CN"/>
              </w:rPr>
            </w:pPr>
            <w:r>
              <w:rPr>
                <w:rFonts w:hint="eastAsia" w:ascii="Times New Roman" w:hAnsi="Times New Roman"/>
                <w:color w:val="000000" w:themeColor="text1"/>
                <w:kern w:val="0"/>
                <w:szCs w:val="21"/>
                <w:lang w:val="en-US" w:eastAsia="zh-CN"/>
              </w:rPr>
              <w:t>6.97</w:t>
            </w:r>
          </w:p>
        </w:tc>
        <w:tc>
          <w:tcPr>
            <w:tcW w:w="2244"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olor w:val="000000" w:themeColor="text1"/>
                <w:kern w:val="0"/>
                <w:szCs w:val="21"/>
                <w:lang w:val="en-US" w:eastAsia="zh-CN"/>
              </w:rPr>
            </w:pPr>
            <w:r>
              <w:rPr>
                <w:rFonts w:hint="eastAsia" w:ascii="Times New Roman" w:hAnsi="Times New Roman"/>
                <w:color w:val="000000" w:themeColor="text1"/>
                <w:kern w:val="0"/>
                <w:szCs w:val="21"/>
                <w:lang w:val="en-US" w:eastAsia="zh-CN"/>
              </w:rPr>
              <w:t>18.5</w:t>
            </w:r>
          </w:p>
        </w:tc>
        <w:tc>
          <w:tcPr>
            <w:tcW w:w="1835"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olor w:val="000000" w:themeColor="text1"/>
                <w:kern w:val="0"/>
                <w:szCs w:val="21"/>
                <w:lang w:val="en-US" w:eastAsia="zh-CN"/>
              </w:rPr>
            </w:pPr>
            <w:r>
              <w:rPr>
                <w:rFonts w:hint="eastAsia" w:ascii="Times New Roman" w:hAnsi="Times New Roman"/>
                <w:color w:val="000000" w:themeColor="text1"/>
                <w:kern w:val="0"/>
                <w:szCs w:val="21"/>
                <w:lang w:val="en-US" w:eastAsia="zh-CN"/>
              </w:rPr>
              <w:t>6.95</w:t>
            </w:r>
          </w:p>
        </w:tc>
      </w:tr>
      <w:tr>
        <w:tblPrEx>
          <w:tblCellMar>
            <w:top w:w="0" w:type="dxa"/>
            <w:left w:w="108" w:type="dxa"/>
            <w:bottom w:w="0" w:type="dxa"/>
            <w:right w:w="108" w:type="dxa"/>
          </w:tblCellMar>
        </w:tblPrEx>
        <w:trPr>
          <w:trHeight w:val="434" w:hRule="atLeast"/>
          <w:jc w:val="center"/>
        </w:trPr>
        <w:tc>
          <w:tcPr>
            <w:tcW w:w="3359"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rPr>
              <w:t>二、部门项目支出</w:t>
            </w:r>
          </w:p>
        </w:tc>
        <w:tc>
          <w:tcPr>
            <w:tcW w:w="2041"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olor w:val="000000" w:themeColor="text1"/>
                <w:kern w:val="0"/>
                <w:szCs w:val="21"/>
                <w:lang w:val="en-US" w:eastAsia="zh-CN"/>
              </w:rPr>
            </w:pPr>
            <w:r>
              <w:rPr>
                <w:rFonts w:hint="eastAsia" w:ascii="Times New Roman" w:hAnsi="Times New Roman"/>
                <w:color w:val="000000" w:themeColor="text1"/>
                <w:kern w:val="0"/>
                <w:szCs w:val="21"/>
                <w:lang w:val="en-US" w:eastAsia="zh-CN"/>
              </w:rPr>
              <w:t>154.4</w:t>
            </w:r>
          </w:p>
        </w:tc>
        <w:tc>
          <w:tcPr>
            <w:tcW w:w="2244"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FF0000"/>
                <w:kern w:val="0"/>
                <w:szCs w:val="21"/>
              </w:rPr>
            </w:pPr>
            <w:r>
              <w:rPr>
                <w:rFonts w:hint="eastAsia" w:ascii="Times New Roman" w:hAnsi="Times New Roman"/>
                <w:color w:val="FF0000"/>
                <w:kern w:val="0"/>
                <w:szCs w:val="21"/>
              </w:rPr>
              <w:t>　</w:t>
            </w:r>
          </w:p>
        </w:tc>
        <w:tc>
          <w:tcPr>
            <w:tcW w:w="1835"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olor w:val="000000" w:themeColor="text1"/>
                <w:kern w:val="0"/>
                <w:szCs w:val="21"/>
                <w:lang w:val="en-US" w:eastAsia="zh-CN"/>
              </w:rPr>
            </w:pPr>
            <w:r>
              <w:rPr>
                <w:rFonts w:hint="eastAsia" w:ascii="Times New Roman" w:hAnsi="Times New Roman"/>
                <w:color w:val="000000" w:themeColor="text1"/>
                <w:kern w:val="0"/>
                <w:szCs w:val="21"/>
                <w:lang w:val="en-US" w:eastAsia="zh-CN"/>
              </w:rPr>
              <w:t>212.49</w:t>
            </w:r>
          </w:p>
        </w:tc>
      </w:tr>
      <w:tr>
        <w:tblPrEx>
          <w:tblCellMar>
            <w:top w:w="0" w:type="dxa"/>
            <w:left w:w="108" w:type="dxa"/>
            <w:bottom w:w="0" w:type="dxa"/>
            <w:right w:w="108" w:type="dxa"/>
          </w:tblCellMar>
        </w:tblPrEx>
        <w:trPr>
          <w:trHeight w:val="434" w:hRule="atLeast"/>
          <w:jc w:val="center"/>
        </w:trPr>
        <w:tc>
          <w:tcPr>
            <w:tcW w:w="3359"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1</w:t>
            </w:r>
            <w:r>
              <w:rPr>
                <w:rFonts w:hint="eastAsia" w:ascii="Times New Roman" w:hAnsi="Times New Roman"/>
                <w:kern w:val="0"/>
                <w:szCs w:val="21"/>
              </w:rPr>
              <w:t>、业务工作专项</w:t>
            </w:r>
            <w:r>
              <w:rPr>
                <w:rFonts w:ascii="Times New Roman" w:hAnsi="Times New Roman"/>
                <w:kern w:val="0"/>
                <w:szCs w:val="21"/>
              </w:rPr>
              <w:t>(</w:t>
            </w:r>
            <w:r>
              <w:rPr>
                <w:rFonts w:hint="eastAsia" w:ascii="Times New Roman" w:hAnsi="Times New Roman"/>
                <w:kern w:val="0"/>
                <w:szCs w:val="21"/>
              </w:rPr>
              <w:t>一个项目一行</w:t>
            </w:r>
            <w:r>
              <w:rPr>
                <w:rFonts w:ascii="Times New Roman" w:hAnsi="Times New Roman"/>
                <w:kern w:val="0"/>
                <w:szCs w:val="21"/>
              </w:rPr>
              <w:t>)</w:t>
            </w:r>
          </w:p>
        </w:tc>
        <w:tc>
          <w:tcPr>
            <w:tcW w:w="204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FF0000"/>
                <w:kern w:val="0"/>
                <w:szCs w:val="21"/>
              </w:rPr>
            </w:pPr>
            <w:r>
              <w:rPr>
                <w:rFonts w:hint="eastAsia" w:ascii="Times New Roman" w:hAnsi="Times New Roman"/>
                <w:color w:val="FF0000"/>
                <w:kern w:val="0"/>
                <w:szCs w:val="21"/>
              </w:rPr>
              <w:t>　</w:t>
            </w:r>
          </w:p>
        </w:tc>
        <w:tc>
          <w:tcPr>
            <w:tcW w:w="2244"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FF0000"/>
                <w:kern w:val="0"/>
                <w:szCs w:val="21"/>
              </w:rPr>
            </w:pPr>
            <w:r>
              <w:rPr>
                <w:rFonts w:hint="eastAsia" w:ascii="Times New Roman" w:hAnsi="Times New Roman"/>
                <w:color w:val="FF0000"/>
                <w:kern w:val="0"/>
                <w:szCs w:val="21"/>
              </w:rPr>
              <w:t>　</w:t>
            </w:r>
          </w:p>
        </w:tc>
        <w:tc>
          <w:tcPr>
            <w:tcW w:w="1835"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FF0000"/>
                <w:kern w:val="0"/>
                <w:szCs w:val="21"/>
              </w:rPr>
            </w:pPr>
            <w:r>
              <w:rPr>
                <w:rFonts w:hint="eastAsia" w:ascii="Times New Roman" w:hAnsi="Times New Roman"/>
                <w:color w:val="FF0000"/>
                <w:kern w:val="0"/>
                <w:szCs w:val="21"/>
              </w:rPr>
              <w:t>　</w:t>
            </w:r>
          </w:p>
        </w:tc>
      </w:tr>
      <w:tr>
        <w:tblPrEx>
          <w:tblCellMar>
            <w:top w:w="0" w:type="dxa"/>
            <w:left w:w="108" w:type="dxa"/>
            <w:bottom w:w="0" w:type="dxa"/>
            <w:right w:w="108" w:type="dxa"/>
          </w:tblCellMar>
        </w:tblPrEx>
        <w:trPr>
          <w:trHeight w:val="434" w:hRule="atLeast"/>
          <w:jc w:val="center"/>
        </w:trPr>
        <w:tc>
          <w:tcPr>
            <w:tcW w:w="3359"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Cs w:val="21"/>
              </w:rPr>
            </w:pPr>
          </w:p>
        </w:tc>
        <w:tc>
          <w:tcPr>
            <w:tcW w:w="204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color w:val="FF0000"/>
                <w:kern w:val="0"/>
                <w:szCs w:val="21"/>
              </w:rPr>
            </w:pPr>
          </w:p>
        </w:tc>
        <w:tc>
          <w:tcPr>
            <w:tcW w:w="2244" w:type="dxa"/>
            <w:tcBorders>
              <w:top w:val="single" w:color="auto" w:sz="4" w:space="0"/>
              <w:left w:val="nil"/>
              <w:bottom w:val="single" w:color="auto" w:sz="4" w:space="0"/>
              <w:right w:val="single" w:color="000000" w:sz="4" w:space="0"/>
            </w:tcBorders>
            <w:vAlign w:val="center"/>
          </w:tcPr>
          <w:p>
            <w:pPr>
              <w:widowControl/>
              <w:rPr>
                <w:rFonts w:ascii="Times New Roman" w:hAnsi="Times New Roman" w:eastAsiaTheme="minorEastAsia"/>
                <w:color w:val="FF0000"/>
                <w:kern w:val="0"/>
                <w:szCs w:val="21"/>
              </w:rPr>
            </w:pPr>
          </w:p>
        </w:tc>
        <w:tc>
          <w:tcPr>
            <w:tcW w:w="1835"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color w:val="FF0000"/>
                <w:kern w:val="0"/>
                <w:szCs w:val="21"/>
              </w:rPr>
            </w:pPr>
          </w:p>
        </w:tc>
      </w:tr>
      <w:tr>
        <w:tblPrEx>
          <w:tblCellMar>
            <w:top w:w="0" w:type="dxa"/>
            <w:left w:w="108" w:type="dxa"/>
            <w:bottom w:w="0" w:type="dxa"/>
            <w:right w:w="108" w:type="dxa"/>
          </w:tblCellMar>
        </w:tblPrEx>
        <w:trPr>
          <w:trHeight w:val="434" w:hRule="atLeast"/>
          <w:jc w:val="center"/>
        </w:trPr>
        <w:tc>
          <w:tcPr>
            <w:tcW w:w="3359"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2</w:t>
            </w:r>
            <w:r>
              <w:rPr>
                <w:rFonts w:hint="eastAsia" w:ascii="Times New Roman" w:hAnsi="Times New Roman"/>
                <w:kern w:val="0"/>
                <w:szCs w:val="21"/>
              </w:rPr>
              <w:t>、运行维护专项</w:t>
            </w:r>
            <w:r>
              <w:rPr>
                <w:rFonts w:ascii="Times New Roman" w:hAnsi="Times New Roman"/>
                <w:kern w:val="0"/>
                <w:szCs w:val="21"/>
              </w:rPr>
              <w:t>(</w:t>
            </w:r>
            <w:r>
              <w:rPr>
                <w:rFonts w:hint="eastAsia" w:ascii="Times New Roman" w:hAnsi="Times New Roman"/>
                <w:kern w:val="0"/>
                <w:szCs w:val="21"/>
              </w:rPr>
              <w:t>一个项目一行</w:t>
            </w:r>
            <w:r>
              <w:rPr>
                <w:rFonts w:ascii="Times New Roman" w:hAnsi="Times New Roman"/>
                <w:kern w:val="0"/>
                <w:szCs w:val="21"/>
              </w:rPr>
              <w:t>)</w:t>
            </w:r>
          </w:p>
        </w:tc>
        <w:tc>
          <w:tcPr>
            <w:tcW w:w="204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FF0000"/>
                <w:kern w:val="0"/>
                <w:szCs w:val="21"/>
              </w:rPr>
            </w:pPr>
            <w:r>
              <w:rPr>
                <w:rFonts w:hint="eastAsia" w:ascii="Times New Roman" w:hAnsi="Times New Roman"/>
                <w:color w:val="FF0000"/>
                <w:kern w:val="0"/>
                <w:szCs w:val="21"/>
              </w:rPr>
              <w:t>　</w:t>
            </w:r>
          </w:p>
        </w:tc>
        <w:tc>
          <w:tcPr>
            <w:tcW w:w="2244"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FF0000"/>
                <w:kern w:val="0"/>
                <w:szCs w:val="21"/>
              </w:rPr>
            </w:pPr>
            <w:r>
              <w:rPr>
                <w:rFonts w:hint="eastAsia" w:ascii="Times New Roman" w:hAnsi="Times New Roman"/>
                <w:color w:val="FF0000"/>
                <w:kern w:val="0"/>
                <w:szCs w:val="21"/>
              </w:rPr>
              <w:t>　</w:t>
            </w:r>
          </w:p>
        </w:tc>
        <w:tc>
          <w:tcPr>
            <w:tcW w:w="1835"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FF0000"/>
                <w:kern w:val="0"/>
                <w:szCs w:val="21"/>
              </w:rPr>
            </w:pPr>
            <w:r>
              <w:rPr>
                <w:rFonts w:hint="eastAsia" w:ascii="Times New Roman" w:hAnsi="Times New Roman"/>
                <w:color w:val="FF0000"/>
                <w:kern w:val="0"/>
                <w:szCs w:val="21"/>
              </w:rPr>
              <w:t>　</w:t>
            </w:r>
          </w:p>
        </w:tc>
      </w:tr>
      <w:tr>
        <w:tblPrEx>
          <w:tblCellMar>
            <w:top w:w="0" w:type="dxa"/>
            <w:left w:w="108" w:type="dxa"/>
            <w:bottom w:w="0" w:type="dxa"/>
            <w:right w:w="108" w:type="dxa"/>
          </w:tblCellMar>
        </w:tblPrEx>
        <w:trPr>
          <w:trHeight w:val="434" w:hRule="atLeast"/>
          <w:jc w:val="center"/>
        </w:trPr>
        <w:tc>
          <w:tcPr>
            <w:tcW w:w="3359" w:type="dxa"/>
            <w:tcBorders>
              <w:top w:val="nil"/>
              <w:left w:val="single" w:color="auto" w:sz="4" w:space="0"/>
              <w:bottom w:val="single" w:color="auto" w:sz="4" w:space="0"/>
              <w:right w:val="single" w:color="auto" w:sz="4" w:space="0"/>
            </w:tcBorders>
            <w:vAlign w:val="center"/>
          </w:tcPr>
          <w:p>
            <w:pPr>
              <w:widowControl/>
              <w:ind w:firstLine="105" w:firstLineChars="50"/>
              <w:rPr>
                <w:rFonts w:ascii="Times New Roman" w:hAnsi="Times New Roman" w:eastAsia="Times New Roman"/>
                <w:kern w:val="0"/>
                <w:szCs w:val="21"/>
              </w:rPr>
            </w:pPr>
          </w:p>
        </w:tc>
        <w:tc>
          <w:tcPr>
            <w:tcW w:w="204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FF0000"/>
                <w:kern w:val="0"/>
                <w:szCs w:val="21"/>
              </w:rPr>
            </w:pPr>
          </w:p>
        </w:tc>
        <w:tc>
          <w:tcPr>
            <w:tcW w:w="2244"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FF0000"/>
                <w:kern w:val="0"/>
                <w:szCs w:val="21"/>
              </w:rPr>
            </w:pPr>
          </w:p>
        </w:tc>
        <w:tc>
          <w:tcPr>
            <w:tcW w:w="1835"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FF0000"/>
                <w:kern w:val="0"/>
                <w:szCs w:val="21"/>
              </w:rPr>
            </w:pPr>
          </w:p>
        </w:tc>
      </w:tr>
      <w:tr>
        <w:tblPrEx>
          <w:tblCellMar>
            <w:top w:w="0" w:type="dxa"/>
            <w:left w:w="108" w:type="dxa"/>
            <w:bottom w:w="0" w:type="dxa"/>
            <w:right w:w="108" w:type="dxa"/>
          </w:tblCellMar>
        </w:tblPrEx>
        <w:trPr>
          <w:trHeight w:val="434" w:hRule="atLeast"/>
          <w:jc w:val="center"/>
        </w:trPr>
        <w:tc>
          <w:tcPr>
            <w:tcW w:w="3359"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3</w:t>
            </w:r>
            <w:r>
              <w:rPr>
                <w:rFonts w:hint="eastAsia" w:ascii="Times New Roman" w:hAnsi="Times New Roman"/>
                <w:kern w:val="0"/>
                <w:szCs w:val="21"/>
              </w:rPr>
              <w:t>、市级专项资金（一个专项一行</w:t>
            </w:r>
          </w:p>
        </w:tc>
        <w:tc>
          <w:tcPr>
            <w:tcW w:w="204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color w:val="FF0000"/>
                <w:kern w:val="0"/>
                <w:szCs w:val="21"/>
              </w:rPr>
            </w:pPr>
          </w:p>
        </w:tc>
        <w:tc>
          <w:tcPr>
            <w:tcW w:w="2244"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FF0000"/>
                <w:kern w:val="0"/>
                <w:szCs w:val="21"/>
              </w:rPr>
            </w:pPr>
          </w:p>
        </w:tc>
        <w:tc>
          <w:tcPr>
            <w:tcW w:w="1835"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color w:val="FF0000"/>
                <w:kern w:val="0"/>
                <w:szCs w:val="21"/>
              </w:rPr>
            </w:pPr>
          </w:p>
        </w:tc>
      </w:tr>
      <w:tr>
        <w:tblPrEx>
          <w:tblCellMar>
            <w:top w:w="0" w:type="dxa"/>
            <w:left w:w="108" w:type="dxa"/>
            <w:bottom w:w="0" w:type="dxa"/>
            <w:right w:w="108" w:type="dxa"/>
          </w:tblCellMar>
        </w:tblPrEx>
        <w:trPr>
          <w:trHeight w:val="434" w:hRule="atLeast"/>
          <w:jc w:val="center"/>
        </w:trPr>
        <w:tc>
          <w:tcPr>
            <w:tcW w:w="3359"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Cs w:val="21"/>
              </w:rPr>
            </w:pPr>
            <w:r>
              <w:rPr>
                <w:rFonts w:hint="eastAsia" w:ascii="Times New Roman" w:hAnsi="Times New Roman"/>
                <w:kern w:val="0"/>
                <w:szCs w:val="21"/>
              </w:rPr>
              <w:t>节能环保</w:t>
            </w:r>
          </w:p>
        </w:tc>
        <w:tc>
          <w:tcPr>
            <w:tcW w:w="2041"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olor w:val="000000" w:themeColor="text1"/>
                <w:kern w:val="0"/>
                <w:szCs w:val="21"/>
                <w:lang w:val="en-US" w:eastAsia="zh-CN"/>
              </w:rPr>
            </w:pPr>
            <w:r>
              <w:rPr>
                <w:rFonts w:hint="eastAsia" w:ascii="Times New Roman" w:hAnsi="Times New Roman"/>
                <w:color w:val="000000" w:themeColor="text1"/>
                <w:kern w:val="0"/>
                <w:szCs w:val="21"/>
                <w:lang w:val="en-US" w:eastAsia="zh-CN"/>
              </w:rPr>
              <w:t>154.4</w:t>
            </w:r>
          </w:p>
        </w:tc>
        <w:tc>
          <w:tcPr>
            <w:tcW w:w="2244"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FF0000"/>
                <w:kern w:val="0"/>
                <w:szCs w:val="21"/>
              </w:rPr>
            </w:pPr>
            <w:r>
              <w:rPr>
                <w:rFonts w:hint="eastAsia" w:ascii="Times New Roman" w:hAnsi="Times New Roman"/>
                <w:color w:val="FF0000"/>
                <w:kern w:val="0"/>
                <w:szCs w:val="21"/>
              </w:rPr>
              <w:t>　</w:t>
            </w:r>
          </w:p>
        </w:tc>
        <w:tc>
          <w:tcPr>
            <w:tcW w:w="1835"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olor w:val="000000" w:themeColor="text1"/>
                <w:kern w:val="0"/>
                <w:szCs w:val="21"/>
                <w:lang w:val="en-US" w:eastAsia="zh-CN"/>
              </w:rPr>
            </w:pPr>
            <w:r>
              <w:rPr>
                <w:rFonts w:hint="eastAsia" w:ascii="Times New Roman" w:hAnsi="Times New Roman"/>
                <w:color w:val="000000" w:themeColor="text1"/>
                <w:kern w:val="0"/>
                <w:szCs w:val="21"/>
                <w:lang w:val="en-US" w:eastAsia="zh-CN"/>
              </w:rPr>
              <w:t>212.49</w:t>
            </w:r>
          </w:p>
        </w:tc>
      </w:tr>
      <w:tr>
        <w:tblPrEx>
          <w:tblCellMar>
            <w:top w:w="0" w:type="dxa"/>
            <w:left w:w="108" w:type="dxa"/>
            <w:bottom w:w="0" w:type="dxa"/>
            <w:right w:w="108" w:type="dxa"/>
          </w:tblCellMar>
        </w:tblPrEx>
        <w:trPr>
          <w:trHeight w:val="434" w:hRule="atLeast"/>
          <w:jc w:val="center"/>
        </w:trPr>
        <w:tc>
          <w:tcPr>
            <w:tcW w:w="3359"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Cs w:val="21"/>
              </w:rPr>
            </w:pPr>
          </w:p>
        </w:tc>
        <w:tc>
          <w:tcPr>
            <w:tcW w:w="2041" w:type="dxa"/>
            <w:tcBorders>
              <w:top w:val="single" w:color="auto" w:sz="4" w:space="0"/>
              <w:left w:val="nil"/>
              <w:bottom w:val="single" w:color="auto" w:sz="4" w:space="0"/>
              <w:right w:val="single" w:color="000000" w:sz="4" w:space="0"/>
            </w:tcBorders>
            <w:vAlign w:val="center"/>
          </w:tcPr>
          <w:p>
            <w:pPr>
              <w:widowControl/>
              <w:rPr>
                <w:rFonts w:ascii="Times New Roman" w:hAnsi="Times New Roman" w:eastAsiaTheme="minorEastAsia"/>
                <w:kern w:val="0"/>
                <w:szCs w:val="21"/>
              </w:rPr>
            </w:pPr>
          </w:p>
        </w:tc>
        <w:tc>
          <w:tcPr>
            <w:tcW w:w="2244" w:type="dxa"/>
            <w:tcBorders>
              <w:top w:val="single" w:color="auto" w:sz="4" w:space="0"/>
              <w:left w:val="nil"/>
              <w:bottom w:val="single" w:color="auto" w:sz="4" w:space="0"/>
              <w:right w:val="single" w:color="000000" w:sz="4" w:space="0"/>
            </w:tcBorders>
            <w:vAlign w:val="center"/>
          </w:tcPr>
          <w:p>
            <w:pPr>
              <w:widowControl/>
              <w:rPr>
                <w:rFonts w:ascii="Times New Roman" w:hAnsi="Times New Roman" w:eastAsiaTheme="minorEastAsia"/>
                <w:kern w:val="0"/>
                <w:szCs w:val="21"/>
              </w:rPr>
            </w:pPr>
          </w:p>
        </w:tc>
        <w:tc>
          <w:tcPr>
            <w:tcW w:w="1835"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p>
        </w:tc>
      </w:tr>
      <w:tr>
        <w:tblPrEx>
          <w:tblCellMar>
            <w:top w:w="0" w:type="dxa"/>
            <w:left w:w="108" w:type="dxa"/>
            <w:bottom w:w="0" w:type="dxa"/>
            <w:right w:w="108" w:type="dxa"/>
          </w:tblCellMar>
        </w:tblPrEx>
        <w:trPr>
          <w:trHeight w:val="1063" w:hRule="atLeast"/>
          <w:jc w:val="center"/>
        </w:trPr>
        <w:tc>
          <w:tcPr>
            <w:tcW w:w="3359"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厉行节约保障措施</w:t>
            </w:r>
          </w:p>
        </w:tc>
        <w:tc>
          <w:tcPr>
            <w:tcW w:w="6120"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本单位在保障基本运转的前提下，大力提倡厉行节约，全年无公务出国费用，严格控制公务接待费。　</w:t>
            </w:r>
          </w:p>
        </w:tc>
      </w:tr>
    </w:tbl>
    <w:p>
      <w:pPr>
        <w:widowControl/>
        <w:jc w:val="left"/>
        <w:rPr>
          <w:rFonts w:hint="eastAsia" w:ascii="仿宋_GB2312" w:hAnsi="Times New Roman" w:eastAsia="仿宋_GB2312"/>
          <w:sz w:val="32"/>
          <w:szCs w:val="32"/>
        </w:rPr>
      </w:pPr>
      <w:r>
        <w:rPr>
          <w:rFonts w:hint="eastAsia" w:ascii="Times New Roman" w:hAnsi="Times New Roman"/>
          <w:kern w:val="0"/>
          <w:sz w:val="22"/>
        </w:rPr>
        <w:t>说明：</w:t>
      </w:r>
      <w:r>
        <w:rPr>
          <w:rFonts w:ascii="Times New Roman" w:hAnsi="Times New Roman"/>
          <w:kern w:val="0"/>
          <w:sz w:val="22"/>
        </w:rPr>
        <w:t>“</w:t>
      </w:r>
      <w:r>
        <w:rPr>
          <w:rFonts w:hint="eastAsia" w:ascii="Times New Roman" w:hAnsi="Times New Roman"/>
          <w:kern w:val="0"/>
          <w:sz w:val="22"/>
        </w:rPr>
        <w:t>项目支出</w:t>
      </w:r>
      <w:r>
        <w:rPr>
          <w:rFonts w:ascii="Times New Roman" w:hAnsi="Times New Roman"/>
          <w:kern w:val="0"/>
          <w:sz w:val="22"/>
        </w:rPr>
        <w:t>”</w:t>
      </w:r>
      <w:r>
        <w:rPr>
          <w:rFonts w:hint="eastAsia" w:ascii="Times New Roman" w:hAnsi="Times New Roman"/>
          <w:kern w:val="0"/>
          <w:sz w:val="22"/>
        </w:rPr>
        <w:t>需要填报基本支出以外的所有项目支出情况，包括业务工作项目、运行维护项目和市级专项资金等；</w:t>
      </w:r>
      <w:r>
        <w:rPr>
          <w:rFonts w:ascii="Times New Roman" w:hAnsi="Times New Roman"/>
          <w:kern w:val="0"/>
          <w:sz w:val="22"/>
        </w:rPr>
        <w:t>“</w:t>
      </w:r>
      <w:r>
        <w:rPr>
          <w:rFonts w:hint="eastAsia" w:ascii="Times New Roman" w:hAnsi="Times New Roman"/>
          <w:kern w:val="0"/>
          <w:sz w:val="22"/>
        </w:rPr>
        <w:t>公用经费</w:t>
      </w:r>
      <w:r>
        <w:rPr>
          <w:rFonts w:ascii="Times New Roman" w:hAnsi="Times New Roman"/>
          <w:kern w:val="0"/>
          <w:sz w:val="22"/>
        </w:rPr>
        <w:t>”</w:t>
      </w:r>
      <w:r>
        <w:rPr>
          <w:rFonts w:hint="eastAsia" w:ascii="Times New Roman" w:hAnsi="Times New Roman"/>
          <w:kern w:val="0"/>
          <w:sz w:val="22"/>
        </w:rPr>
        <w:t>填报基本支出中的一般商品和服务支出。</w:t>
      </w:r>
      <w:r>
        <w:rPr>
          <w:rFonts w:ascii="Times New Roman" w:hAnsi="Times New Roman" w:eastAsia="Times New Roman"/>
          <w:kern w:val="0"/>
          <w:sz w:val="22"/>
        </w:rPr>
        <w:br w:type="page"/>
      </w:r>
      <w:r>
        <w:rPr>
          <w:rFonts w:hint="eastAsia" w:ascii="Times New Roman" w:hAnsi="Times New Roman" w:eastAsiaTheme="minorEastAsia"/>
          <w:kern w:val="0"/>
          <w:sz w:val="22"/>
        </w:rPr>
        <w:t xml:space="preserve">   </w:t>
      </w:r>
      <w:r>
        <w:rPr>
          <w:rFonts w:hint="eastAsia" w:ascii="仿宋_GB2312" w:hAnsi="Times New Roman" w:eastAsia="仿宋_GB2312"/>
          <w:sz w:val="32"/>
          <w:szCs w:val="32"/>
        </w:rPr>
        <w:t xml:space="preserve">附件4 </w:t>
      </w:r>
    </w:p>
    <w:p>
      <w:pPr>
        <w:widowControl/>
        <w:ind w:firstLine="2520" w:firstLineChars="700"/>
        <w:jc w:val="left"/>
        <w:rPr>
          <w:rFonts w:ascii="Times New Roman" w:hAnsi="Times New Roman" w:eastAsia="Times New Roman"/>
          <w:kern w:val="0"/>
          <w:sz w:val="22"/>
        </w:rPr>
      </w:pPr>
      <w:r>
        <w:rPr>
          <w:rFonts w:hint="eastAsia" w:ascii="Times New Roman" w:hAnsi="Times New Roman"/>
          <w:color w:val="000000"/>
          <w:kern w:val="0"/>
          <w:sz w:val="36"/>
          <w:szCs w:val="36"/>
        </w:rPr>
        <w:t>项目支出绩效自评表</w:t>
      </w:r>
    </w:p>
    <w:tbl>
      <w:tblPr>
        <w:tblStyle w:val="7"/>
        <w:tblW w:w="10065" w:type="dxa"/>
        <w:jc w:val="center"/>
        <w:tblLayout w:type="fixed"/>
        <w:tblCellMar>
          <w:top w:w="0" w:type="dxa"/>
          <w:left w:w="108" w:type="dxa"/>
          <w:bottom w:w="0" w:type="dxa"/>
          <w:right w:w="108" w:type="dxa"/>
        </w:tblCellMar>
      </w:tblPr>
      <w:tblGrid>
        <w:gridCol w:w="769"/>
        <w:gridCol w:w="675"/>
        <w:gridCol w:w="709"/>
        <w:gridCol w:w="1701"/>
        <w:gridCol w:w="1845"/>
        <w:gridCol w:w="1277"/>
        <w:gridCol w:w="1074"/>
        <w:gridCol w:w="31"/>
        <w:gridCol w:w="1984"/>
      </w:tblGrid>
      <w:tr>
        <w:tblPrEx>
          <w:tblCellMar>
            <w:top w:w="0" w:type="dxa"/>
            <w:left w:w="108" w:type="dxa"/>
            <w:bottom w:w="0" w:type="dxa"/>
            <w:right w:w="108" w:type="dxa"/>
          </w:tblCellMar>
        </w:tblPrEx>
        <w:trPr>
          <w:trHeight w:val="270" w:hRule="atLeast"/>
          <w:jc w:val="center"/>
        </w:trPr>
        <w:tc>
          <w:tcPr>
            <w:tcW w:w="10065" w:type="dxa"/>
            <w:gridSpan w:val="9"/>
            <w:tcBorders>
              <w:top w:val="nil"/>
              <w:left w:val="nil"/>
              <w:bottom w:val="single" w:color="auto" w:sz="4" w:space="0"/>
              <w:right w:val="nil"/>
            </w:tcBorders>
            <w:vAlign w:val="center"/>
          </w:tcPr>
          <w:p>
            <w:pPr>
              <w:widowControl/>
              <w:jc w:val="center"/>
              <w:rPr>
                <w:rFonts w:ascii="Times New Roman" w:hAnsi="Times New Roman" w:eastAsia="楷体_GB2312"/>
                <w:b/>
                <w:bCs/>
                <w:color w:val="000000"/>
                <w:kern w:val="0"/>
                <w:sz w:val="22"/>
              </w:rPr>
            </w:pPr>
          </w:p>
        </w:tc>
      </w:tr>
      <w:tr>
        <w:tblPrEx>
          <w:tblCellMar>
            <w:top w:w="0" w:type="dxa"/>
            <w:left w:w="108" w:type="dxa"/>
            <w:bottom w:w="0" w:type="dxa"/>
            <w:right w:w="108" w:type="dxa"/>
          </w:tblCellMar>
        </w:tblPrEx>
        <w:trPr>
          <w:trHeight w:val="425" w:hRule="atLeast"/>
          <w:jc w:val="center"/>
        </w:trPr>
        <w:tc>
          <w:tcPr>
            <w:tcW w:w="215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项目资金名称</w:t>
            </w:r>
          </w:p>
        </w:tc>
        <w:tc>
          <w:tcPr>
            <w:tcW w:w="3546"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节能环保支出</w:t>
            </w:r>
          </w:p>
        </w:tc>
        <w:tc>
          <w:tcPr>
            <w:tcW w:w="12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负责人</w:t>
            </w:r>
          </w:p>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及电话</w:t>
            </w:r>
          </w:p>
        </w:tc>
        <w:tc>
          <w:tcPr>
            <w:tcW w:w="3089" w:type="dxa"/>
            <w:gridSpan w:val="3"/>
            <w:tcBorders>
              <w:top w:val="single" w:color="auto" w:sz="4" w:space="0"/>
              <w:left w:val="single" w:color="auto" w:sz="4" w:space="0"/>
              <w:bottom w:val="single" w:color="auto" w:sz="4" w:space="0"/>
              <w:right w:val="single" w:color="auto" w:sz="4" w:space="0"/>
            </w:tcBorders>
            <w:vAlign w:val="bottom"/>
          </w:tcPr>
          <w:p>
            <w:pPr>
              <w:widowControl/>
              <w:jc w:val="left"/>
              <w:rPr>
                <w:rFonts w:hint="default" w:ascii="Times New Roman" w:hAnsi="Times New Roman" w:eastAsia="宋体"/>
                <w:color w:val="000000"/>
                <w:kern w:val="0"/>
                <w:szCs w:val="21"/>
                <w:lang w:val="en-US" w:eastAsia="zh-CN"/>
              </w:rPr>
            </w:pPr>
            <w:r>
              <w:rPr>
                <w:rFonts w:hint="eastAsia" w:ascii="Times New Roman" w:hAnsi="Times New Roman"/>
                <w:color w:val="000000"/>
                <w:kern w:val="0"/>
                <w:szCs w:val="21"/>
                <w:lang w:eastAsia="zh-CN"/>
              </w:rPr>
              <w:t>周平扬</w:t>
            </w:r>
            <w:r>
              <w:rPr>
                <w:rFonts w:hint="eastAsia" w:ascii="Times New Roman" w:hAnsi="Times New Roman"/>
                <w:color w:val="000000"/>
                <w:kern w:val="0"/>
                <w:szCs w:val="21"/>
                <w:lang w:val="en-US" w:eastAsia="zh-CN"/>
              </w:rPr>
              <w:t>2892746</w:t>
            </w:r>
          </w:p>
        </w:tc>
      </w:tr>
      <w:tr>
        <w:tblPrEx>
          <w:tblCellMar>
            <w:top w:w="0" w:type="dxa"/>
            <w:left w:w="108" w:type="dxa"/>
            <w:bottom w:w="0" w:type="dxa"/>
            <w:right w:w="108" w:type="dxa"/>
          </w:tblCellMar>
        </w:tblPrEx>
        <w:trPr>
          <w:trHeight w:val="425" w:hRule="atLeast"/>
          <w:jc w:val="center"/>
        </w:trPr>
        <w:tc>
          <w:tcPr>
            <w:tcW w:w="2153" w:type="dxa"/>
            <w:gridSpan w:val="3"/>
            <w:tcBorders>
              <w:top w:val="single" w:color="auto" w:sz="4" w:space="0"/>
              <w:left w:val="single" w:color="auto" w:sz="4" w:space="0"/>
              <w:bottom w:val="single" w:color="auto" w:sz="4" w:space="0"/>
              <w:right w:val="nil"/>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市级主管部门</w:t>
            </w:r>
          </w:p>
        </w:tc>
        <w:tc>
          <w:tcPr>
            <w:tcW w:w="7912"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衡阳市生态环境局　</w:t>
            </w:r>
          </w:p>
        </w:tc>
      </w:tr>
      <w:tr>
        <w:tblPrEx>
          <w:tblCellMar>
            <w:top w:w="0" w:type="dxa"/>
            <w:left w:w="108" w:type="dxa"/>
            <w:bottom w:w="0" w:type="dxa"/>
            <w:right w:w="108" w:type="dxa"/>
          </w:tblCellMar>
        </w:tblPrEx>
        <w:trPr>
          <w:trHeight w:val="425" w:hRule="atLeast"/>
          <w:jc w:val="center"/>
        </w:trPr>
        <w:tc>
          <w:tcPr>
            <w:tcW w:w="215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地方主管部门</w:t>
            </w:r>
          </w:p>
        </w:tc>
        <w:tc>
          <w:tcPr>
            <w:tcW w:w="3546"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　</w:t>
            </w:r>
          </w:p>
        </w:tc>
        <w:tc>
          <w:tcPr>
            <w:tcW w:w="12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实施单位</w:t>
            </w:r>
          </w:p>
        </w:tc>
        <w:tc>
          <w:tcPr>
            <w:tcW w:w="3089" w:type="dxa"/>
            <w:gridSpan w:val="3"/>
            <w:tcBorders>
              <w:top w:val="single" w:color="auto" w:sz="4" w:space="0"/>
              <w:left w:val="single" w:color="auto" w:sz="4" w:space="0"/>
              <w:bottom w:val="single" w:color="auto" w:sz="4" w:space="0"/>
              <w:right w:val="single" w:color="auto" w:sz="4" w:space="0"/>
            </w:tcBorders>
            <w:noWrap/>
            <w:vAlign w:val="bottom"/>
          </w:tcPr>
          <w:p>
            <w:pPr>
              <w:widowControl/>
              <w:jc w:val="left"/>
              <w:rPr>
                <w:rFonts w:ascii="Times New Roman" w:hAnsi="Times New Roman"/>
                <w:color w:val="000000"/>
                <w:kern w:val="0"/>
                <w:szCs w:val="21"/>
              </w:rPr>
            </w:pPr>
            <w:r>
              <w:rPr>
                <w:rFonts w:hint="eastAsia" w:ascii="Times New Roman" w:hAnsi="Times New Roman"/>
                <w:color w:val="000000"/>
                <w:kern w:val="0"/>
                <w:szCs w:val="21"/>
              </w:rPr>
              <w:t>　衡阳市环境保护局</w:t>
            </w:r>
            <w:r>
              <w:rPr>
                <w:rFonts w:hint="eastAsia" w:ascii="Times New Roman" w:hAnsi="Times New Roman"/>
                <w:color w:val="000000"/>
                <w:kern w:val="0"/>
                <w:szCs w:val="21"/>
                <w:lang w:eastAsia="zh-CN"/>
              </w:rPr>
              <w:t>珠晖</w:t>
            </w:r>
            <w:r>
              <w:rPr>
                <w:rFonts w:hint="eastAsia" w:ascii="Times New Roman" w:hAnsi="Times New Roman"/>
                <w:color w:val="000000"/>
                <w:kern w:val="0"/>
                <w:szCs w:val="21"/>
              </w:rPr>
              <w:t>分局</w:t>
            </w:r>
          </w:p>
        </w:tc>
      </w:tr>
      <w:tr>
        <w:tblPrEx>
          <w:tblCellMar>
            <w:top w:w="0" w:type="dxa"/>
            <w:left w:w="108" w:type="dxa"/>
            <w:bottom w:w="0" w:type="dxa"/>
            <w:right w:w="108" w:type="dxa"/>
          </w:tblCellMar>
        </w:tblPrEx>
        <w:trPr>
          <w:trHeight w:val="425" w:hRule="atLeast"/>
          <w:jc w:val="center"/>
        </w:trPr>
        <w:tc>
          <w:tcPr>
            <w:tcW w:w="2153"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项目资金（万元）</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　</w:t>
            </w:r>
          </w:p>
        </w:tc>
        <w:tc>
          <w:tcPr>
            <w:tcW w:w="1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全年预算数（</w:t>
            </w:r>
            <w:r>
              <w:rPr>
                <w:rFonts w:ascii="Times New Roman" w:hAnsi="Times New Roman"/>
                <w:color w:val="000000"/>
                <w:kern w:val="0"/>
                <w:szCs w:val="21"/>
              </w:rPr>
              <w:t>A</w:t>
            </w:r>
            <w:r>
              <w:rPr>
                <w:rFonts w:hint="eastAsia" w:ascii="Times New Roman" w:hAnsi="Times New Roman"/>
                <w:color w:val="000000"/>
                <w:kern w:val="0"/>
                <w:szCs w:val="21"/>
              </w:rPr>
              <w:t>）</w:t>
            </w:r>
          </w:p>
        </w:tc>
        <w:tc>
          <w:tcPr>
            <w:tcW w:w="235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全年执行数（</w:t>
            </w:r>
            <w:r>
              <w:rPr>
                <w:rFonts w:ascii="Times New Roman" w:hAnsi="Times New Roman"/>
                <w:color w:val="000000"/>
                <w:kern w:val="0"/>
                <w:szCs w:val="21"/>
              </w:rPr>
              <w:t>B</w:t>
            </w:r>
            <w:r>
              <w:rPr>
                <w:rFonts w:hint="eastAsia" w:ascii="Times New Roman" w:hAnsi="Times New Roman"/>
                <w:color w:val="000000"/>
                <w:kern w:val="0"/>
                <w:szCs w:val="21"/>
              </w:rPr>
              <w:t>）</w:t>
            </w:r>
          </w:p>
        </w:tc>
        <w:tc>
          <w:tcPr>
            <w:tcW w:w="20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执行率（</w:t>
            </w:r>
            <w:r>
              <w:rPr>
                <w:rFonts w:ascii="Times New Roman" w:hAnsi="Times New Roman"/>
                <w:color w:val="000000"/>
                <w:kern w:val="0"/>
                <w:szCs w:val="21"/>
              </w:rPr>
              <w:t>B</w:t>
            </w:r>
            <w:r>
              <w:rPr>
                <w:rFonts w:hint="eastAsia" w:ascii="Times New Roman" w:hAnsi="Times New Roman"/>
                <w:color w:val="000000"/>
                <w:kern w:val="0"/>
                <w:szCs w:val="21"/>
              </w:rPr>
              <w:t>／</w:t>
            </w:r>
            <w:r>
              <w:rPr>
                <w:rFonts w:ascii="Times New Roman" w:hAnsi="Times New Roman"/>
                <w:color w:val="000000"/>
                <w:kern w:val="0"/>
                <w:szCs w:val="21"/>
              </w:rPr>
              <w:t>A</w:t>
            </w:r>
            <w:r>
              <w:rPr>
                <w:rFonts w:hint="eastAsia" w:ascii="Times New Roman" w:hAnsi="Times New Roman"/>
                <w:color w:val="000000"/>
                <w:kern w:val="0"/>
                <w:szCs w:val="21"/>
              </w:rPr>
              <w:t>）</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kern w:val="0"/>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年度资金总额</w:t>
            </w:r>
          </w:p>
        </w:tc>
        <w:tc>
          <w:tcPr>
            <w:tcW w:w="1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0万</w:t>
            </w:r>
          </w:p>
        </w:tc>
        <w:tc>
          <w:tcPr>
            <w:tcW w:w="235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rPr>
            </w:pPr>
            <w:r>
              <w:rPr>
                <w:rFonts w:hint="eastAsia" w:ascii="Times New Roman" w:hAnsi="Times New Roman"/>
                <w:color w:val="000000" w:themeColor="text1"/>
                <w:kern w:val="0"/>
                <w:szCs w:val="21"/>
                <w:lang w:val="en-US" w:eastAsia="zh-CN"/>
              </w:rPr>
              <w:t>212.49</w:t>
            </w:r>
            <w:r>
              <w:rPr>
                <w:rFonts w:hint="eastAsia" w:ascii="Times New Roman" w:hAnsi="Times New Roman"/>
                <w:color w:val="000000" w:themeColor="text1"/>
                <w:kern w:val="0"/>
                <w:szCs w:val="21"/>
              </w:rPr>
              <w:t>万</w:t>
            </w:r>
          </w:p>
        </w:tc>
        <w:tc>
          <w:tcPr>
            <w:tcW w:w="20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FF0000"/>
                <w:kern w:val="0"/>
                <w:szCs w:val="21"/>
              </w:rPr>
            </w:pP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kern w:val="0"/>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其中：中央、省补助</w:t>
            </w:r>
          </w:p>
        </w:tc>
        <w:tc>
          <w:tcPr>
            <w:tcW w:w="1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　</w:t>
            </w:r>
          </w:p>
        </w:tc>
        <w:tc>
          <w:tcPr>
            <w:tcW w:w="235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rPr>
            </w:pPr>
            <w:r>
              <w:rPr>
                <w:rFonts w:hint="eastAsia" w:ascii="Times New Roman" w:hAnsi="Times New Roman"/>
                <w:color w:val="000000" w:themeColor="text1"/>
                <w:kern w:val="0"/>
                <w:szCs w:val="21"/>
              </w:rPr>
              <w:t>　</w:t>
            </w:r>
          </w:p>
        </w:tc>
        <w:tc>
          <w:tcPr>
            <w:tcW w:w="20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FF0000"/>
                <w:kern w:val="0"/>
                <w:szCs w:val="21"/>
              </w:rPr>
            </w:pPr>
            <w:r>
              <w:rPr>
                <w:rFonts w:hint="eastAsia" w:ascii="Times New Roman" w:hAnsi="Times New Roman"/>
                <w:color w:val="FF0000"/>
                <w:kern w:val="0"/>
                <w:szCs w:val="21"/>
              </w:rPr>
              <w:t>　</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kern w:val="0"/>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市级资金</w:t>
            </w:r>
          </w:p>
        </w:tc>
        <w:tc>
          <w:tcPr>
            <w:tcW w:w="1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0万</w:t>
            </w:r>
          </w:p>
        </w:tc>
        <w:tc>
          <w:tcPr>
            <w:tcW w:w="235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rPr>
            </w:pPr>
            <w:r>
              <w:rPr>
                <w:rFonts w:hint="eastAsia" w:ascii="Times New Roman" w:hAnsi="Times New Roman"/>
                <w:color w:val="000000" w:themeColor="text1"/>
                <w:kern w:val="0"/>
                <w:szCs w:val="21"/>
                <w:lang w:val="en-US" w:eastAsia="zh-CN"/>
              </w:rPr>
              <w:t>212.49</w:t>
            </w:r>
            <w:r>
              <w:rPr>
                <w:rFonts w:hint="eastAsia" w:ascii="Times New Roman" w:hAnsi="Times New Roman"/>
                <w:color w:val="000000" w:themeColor="text1"/>
                <w:kern w:val="0"/>
                <w:szCs w:val="21"/>
              </w:rPr>
              <w:t>万</w:t>
            </w:r>
          </w:p>
        </w:tc>
        <w:tc>
          <w:tcPr>
            <w:tcW w:w="20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FF0000"/>
                <w:kern w:val="0"/>
                <w:szCs w:val="21"/>
              </w:rPr>
            </w:pPr>
            <w:r>
              <w:rPr>
                <w:rFonts w:hint="eastAsia" w:ascii="Times New Roman" w:hAnsi="Times New Roman"/>
                <w:color w:val="FF0000"/>
                <w:kern w:val="0"/>
                <w:szCs w:val="21"/>
              </w:rPr>
              <w:t>　</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kern w:val="0"/>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其他资金</w:t>
            </w:r>
          </w:p>
        </w:tc>
        <w:tc>
          <w:tcPr>
            <w:tcW w:w="1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　</w:t>
            </w:r>
          </w:p>
        </w:tc>
        <w:tc>
          <w:tcPr>
            <w:tcW w:w="235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　</w:t>
            </w:r>
          </w:p>
        </w:tc>
        <w:tc>
          <w:tcPr>
            <w:tcW w:w="20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年度总体目标</w:t>
            </w:r>
          </w:p>
        </w:tc>
        <w:tc>
          <w:tcPr>
            <w:tcW w:w="493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hint="eastAsia" w:ascii="Times New Roman" w:hAnsi="Times New Roman"/>
                <w:color w:val="000000"/>
                <w:kern w:val="0"/>
                <w:szCs w:val="21"/>
              </w:rPr>
              <w:t>年初设定目标　</w:t>
            </w:r>
          </w:p>
        </w:tc>
        <w:tc>
          <w:tcPr>
            <w:tcW w:w="4366"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全年实际完成情况</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kern w:val="0"/>
                <w:szCs w:val="21"/>
              </w:rPr>
            </w:pPr>
          </w:p>
        </w:tc>
        <w:tc>
          <w:tcPr>
            <w:tcW w:w="4930"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hint="eastAsia" w:ascii="Times New Roman" w:hAnsi="Times New Roman"/>
                <w:color w:val="000000"/>
                <w:kern w:val="0"/>
                <w:szCs w:val="21"/>
              </w:rPr>
              <w:t>　</w:t>
            </w:r>
          </w:p>
        </w:tc>
        <w:tc>
          <w:tcPr>
            <w:tcW w:w="4366"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hint="eastAsia" w:ascii="Times New Roman" w:hAnsi="Times New Roman"/>
                <w:color w:val="000000"/>
                <w:kern w:val="0"/>
                <w:szCs w:val="21"/>
              </w:rPr>
              <w:t>　</w:t>
            </w:r>
          </w:p>
          <w:p>
            <w:pPr>
              <w:widowControl/>
              <w:jc w:val="center"/>
              <w:rPr>
                <w:rFonts w:ascii="Times New Roman" w:hAnsi="Times New Roman" w:eastAsia="Times New Roman"/>
                <w:color w:val="000000"/>
                <w:kern w:val="0"/>
                <w:szCs w:val="21"/>
              </w:rPr>
            </w:pPr>
          </w:p>
        </w:tc>
      </w:tr>
      <w:tr>
        <w:tblPrEx>
          <w:tblCellMar>
            <w:top w:w="0" w:type="dxa"/>
            <w:left w:w="108" w:type="dxa"/>
            <w:bottom w:w="0" w:type="dxa"/>
            <w:right w:w="108" w:type="dxa"/>
          </w:tblCellMar>
        </w:tblPrEx>
        <w:trPr>
          <w:trHeight w:val="425" w:hRule="atLeast"/>
          <w:jc w:val="center"/>
        </w:trPr>
        <w:tc>
          <w:tcPr>
            <w:tcW w:w="76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绩效指标</w:t>
            </w:r>
          </w:p>
        </w:tc>
        <w:tc>
          <w:tcPr>
            <w:tcW w:w="675" w:type="dxa"/>
            <w:tcBorders>
              <w:top w:val="single" w:color="auto" w:sz="4" w:space="0"/>
              <w:left w:val="nil"/>
              <w:bottom w:val="single" w:color="auto" w:sz="4" w:space="0"/>
              <w:right w:val="nil"/>
            </w:tcBorders>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一级指标</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二级指标</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三级指标</w:t>
            </w:r>
          </w:p>
        </w:tc>
        <w:tc>
          <w:tcPr>
            <w:tcW w:w="1845"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指标值</w:t>
            </w:r>
          </w:p>
        </w:tc>
        <w:tc>
          <w:tcPr>
            <w:tcW w:w="1277"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年度指标值</w:t>
            </w:r>
          </w:p>
        </w:tc>
        <w:tc>
          <w:tcPr>
            <w:tcW w:w="1105" w:type="dxa"/>
            <w:gridSpan w:val="2"/>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全年</w:t>
            </w:r>
          </w:p>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完成值</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未完成原因和</w:t>
            </w:r>
          </w:p>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改进措施</w:t>
            </w:r>
          </w:p>
        </w:tc>
      </w:tr>
      <w:tr>
        <w:tblPrEx>
          <w:tblCellMar>
            <w:top w:w="0" w:type="dxa"/>
            <w:left w:w="108" w:type="dxa"/>
            <w:bottom w:w="0" w:type="dxa"/>
            <w:right w:w="108" w:type="dxa"/>
          </w:tblCellMar>
        </w:tblPrEx>
        <w:trPr>
          <w:trHeight w:val="833"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kern w:val="0"/>
                <w:szCs w:val="21"/>
              </w:rPr>
            </w:pPr>
          </w:p>
        </w:tc>
        <w:tc>
          <w:tcPr>
            <w:tcW w:w="6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产出指标</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数量指标</w:t>
            </w:r>
          </w:p>
        </w:tc>
        <w:tc>
          <w:tcPr>
            <w:tcW w:w="1701"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2个大气污染防治项目、155个排污口</w:t>
            </w:r>
          </w:p>
        </w:tc>
        <w:tc>
          <w:tcPr>
            <w:tcW w:w="1845"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2个大气污染防治项目、155个排污口</w:t>
            </w:r>
          </w:p>
        </w:tc>
        <w:tc>
          <w:tcPr>
            <w:tcW w:w="1277"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完成任务</w:t>
            </w:r>
          </w:p>
        </w:tc>
        <w:tc>
          <w:tcPr>
            <w:tcW w:w="1105" w:type="dxa"/>
            <w:gridSpan w:val="2"/>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100%</w:t>
            </w:r>
          </w:p>
        </w:tc>
        <w:tc>
          <w:tcPr>
            <w:tcW w:w="1984"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无</w:t>
            </w:r>
          </w:p>
        </w:tc>
      </w:tr>
      <w:tr>
        <w:tblPrEx>
          <w:tblCellMar>
            <w:top w:w="0" w:type="dxa"/>
            <w:left w:w="108" w:type="dxa"/>
            <w:bottom w:w="0" w:type="dxa"/>
            <w:right w:w="108" w:type="dxa"/>
          </w:tblCellMar>
        </w:tblPrEx>
        <w:trPr>
          <w:trHeight w:val="247"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质量指针</w:t>
            </w:r>
          </w:p>
        </w:tc>
        <w:tc>
          <w:tcPr>
            <w:tcW w:w="1701" w:type="dxa"/>
            <w:tcBorders>
              <w:top w:val="single" w:color="auto" w:sz="4" w:space="0"/>
              <w:left w:val="nil"/>
              <w:bottom w:val="nil"/>
              <w:right w:val="single" w:color="auto" w:sz="4" w:space="0"/>
            </w:tcBorders>
            <w:noWrap/>
            <w:vAlign w:val="center"/>
          </w:tcPr>
          <w:p>
            <w:pPr>
              <w:widowControl/>
              <w:rPr>
                <w:rFonts w:ascii="宋体" w:hAnsi="宋体" w:cs="宋体"/>
                <w:color w:val="000000"/>
                <w:kern w:val="0"/>
                <w:szCs w:val="21"/>
              </w:rPr>
            </w:pPr>
            <w:r>
              <w:rPr>
                <w:rFonts w:hint="eastAsia" w:ascii="宋体" w:hAnsi="宋体" w:cs="宋体"/>
                <w:color w:val="000000"/>
                <w:kern w:val="0"/>
                <w:szCs w:val="21"/>
                <w:lang w:eastAsia="zh-CN"/>
              </w:rPr>
              <w:t>珠晖区</w:t>
            </w:r>
            <w:r>
              <w:rPr>
                <w:rFonts w:hint="eastAsia" w:ascii="宋体" w:hAnsi="宋体" w:cs="宋体"/>
                <w:color w:val="000000"/>
                <w:kern w:val="0"/>
                <w:szCs w:val="21"/>
              </w:rPr>
              <w:t>空气质量优良率比去年提升</w:t>
            </w:r>
          </w:p>
        </w:tc>
        <w:tc>
          <w:tcPr>
            <w:tcW w:w="1845"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lang w:eastAsia="zh-CN"/>
              </w:rPr>
              <w:t>珠晖区</w:t>
            </w:r>
            <w:r>
              <w:rPr>
                <w:rFonts w:hint="eastAsia" w:ascii="宋体" w:hAnsi="宋体" w:cs="宋体"/>
                <w:color w:val="000000"/>
                <w:kern w:val="0"/>
                <w:szCs w:val="21"/>
              </w:rPr>
              <w:t>空气质量优良率比去年提升</w:t>
            </w:r>
          </w:p>
        </w:tc>
        <w:tc>
          <w:tcPr>
            <w:tcW w:w="1277"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lang w:eastAsia="zh-CN"/>
              </w:rPr>
              <w:t>珠晖区</w:t>
            </w:r>
            <w:r>
              <w:rPr>
                <w:rFonts w:hint="eastAsia" w:ascii="宋体" w:hAnsi="宋体" w:cs="宋体"/>
                <w:color w:val="000000"/>
                <w:kern w:val="0"/>
                <w:szCs w:val="21"/>
              </w:rPr>
              <w:t>空气质量优良率比去年提升</w:t>
            </w:r>
          </w:p>
        </w:tc>
        <w:tc>
          <w:tcPr>
            <w:tcW w:w="1105" w:type="dxa"/>
            <w:gridSpan w:val="2"/>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100%</w:t>
            </w:r>
          </w:p>
        </w:tc>
        <w:tc>
          <w:tcPr>
            <w:tcW w:w="1984"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无</w:t>
            </w:r>
          </w:p>
        </w:tc>
      </w:tr>
      <w:tr>
        <w:tblPrEx>
          <w:tblCellMar>
            <w:top w:w="0" w:type="dxa"/>
            <w:left w:w="108" w:type="dxa"/>
            <w:bottom w:w="0" w:type="dxa"/>
            <w:right w:w="108" w:type="dxa"/>
          </w:tblCellMar>
        </w:tblPrEx>
        <w:trPr>
          <w:trHeight w:val="468"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时效指标</w:t>
            </w:r>
          </w:p>
        </w:tc>
        <w:tc>
          <w:tcPr>
            <w:tcW w:w="1701"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水、土、气等各项治理项目执照计划进行</w:t>
            </w:r>
          </w:p>
        </w:tc>
        <w:tc>
          <w:tcPr>
            <w:tcW w:w="1845"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 w:val="18"/>
                <w:szCs w:val="18"/>
              </w:rPr>
              <w:t>水、土、气等各项治理项目执照计划进行</w:t>
            </w:r>
          </w:p>
        </w:tc>
        <w:tc>
          <w:tcPr>
            <w:tcW w:w="1277"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完成任务</w:t>
            </w:r>
          </w:p>
        </w:tc>
        <w:tc>
          <w:tcPr>
            <w:tcW w:w="1105" w:type="dxa"/>
            <w:gridSpan w:val="2"/>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100%</w:t>
            </w:r>
          </w:p>
        </w:tc>
        <w:tc>
          <w:tcPr>
            <w:tcW w:w="1984"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无</w:t>
            </w:r>
          </w:p>
        </w:tc>
      </w:tr>
      <w:tr>
        <w:tblPrEx>
          <w:tblCellMar>
            <w:top w:w="0" w:type="dxa"/>
            <w:left w:w="108" w:type="dxa"/>
            <w:bottom w:w="0" w:type="dxa"/>
            <w:right w:w="108" w:type="dxa"/>
          </w:tblCellMar>
        </w:tblPrEx>
        <w:trPr>
          <w:trHeight w:val="161"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kern w:val="0"/>
                <w:szCs w:val="21"/>
              </w:rPr>
            </w:pPr>
          </w:p>
        </w:tc>
        <w:tc>
          <w:tcPr>
            <w:tcW w:w="709" w:type="dxa"/>
            <w:tcBorders>
              <w:top w:val="single" w:color="auto" w:sz="4" w:space="0"/>
              <w:left w:val="single" w:color="auto" w:sz="4" w:space="0"/>
              <w:bottom w:val="nil"/>
              <w:right w:val="single" w:color="auto" w:sz="4" w:space="0"/>
            </w:tcBorders>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成本指标</w:t>
            </w:r>
          </w:p>
        </w:tc>
        <w:tc>
          <w:tcPr>
            <w:tcW w:w="1701" w:type="dxa"/>
            <w:tcBorders>
              <w:top w:val="single" w:color="auto" w:sz="4" w:space="0"/>
              <w:left w:val="nil"/>
              <w:bottom w:val="nil"/>
              <w:right w:val="single" w:color="auto" w:sz="4" w:space="0"/>
            </w:tcBorders>
            <w:noWrap/>
            <w:vAlign w:val="center"/>
          </w:tcPr>
          <w:p>
            <w:pPr>
              <w:widowControl/>
              <w:rPr>
                <w:rFonts w:ascii="宋体" w:hAnsi="宋体" w:cs="宋体"/>
                <w:color w:val="000000"/>
                <w:kern w:val="0"/>
                <w:szCs w:val="21"/>
              </w:rPr>
            </w:pPr>
          </w:p>
        </w:tc>
        <w:tc>
          <w:tcPr>
            <w:tcW w:w="1845"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p>
        </w:tc>
        <w:tc>
          <w:tcPr>
            <w:tcW w:w="1277" w:type="dxa"/>
            <w:tcBorders>
              <w:top w:val="single" w:color="auto" w:sz="4" w:space="0"/>
              <w:left w:val="nil"/>
              <w:bottom w:val="nil"/>
              <w:right w:val="single" w:color="auto" w:sz="4" w:space="0"/>
            </w:tcBorders>
            <w:noWrap/>
            <w:vAlign w:val="center"/>
          </w:tcPr>
          <w:p>
            <w:pPr>
              <w:widowControl/>
              <w:rPr>
                <w:rFonts w:hint="default" w:ascii="宋体" w:hAnsi="宋体" w:eastAsia="宋体" w:cs="宋体"/>
                <w:color w:val="000000" w:themeColor="text1"/>
                <w:kern w:val="0"/>
                <w:szCs w:val="21"/>
                <w:lang w:val="en-US" w:eastAsia="zh-CN"/>
              </w:rPr>
            </w:pPr>
            <w:r>
              <w:rPr>
                <w:rFonts w:hint="eastAsia" w:ascii="宋体" w:hAnsi="宋体" w:cs="宋体"/>
                <w:color w:val="000000" w:themeColor="text1"/>
                <w:kern w:val="0"/>
                <w:szCs w:val="21"/>
                <w:lang w:val="en-US" w:eastAsia="zh-CN"/>
              </w:rPr>
              <w:t>212.49</w:t>
            </w:r>
          </w:p>
        </w:tc>
        <w:tc>
          <w:tcPr>
            <w:tcW w:w="1105" w:type="dxa"/>
            <w:gridSpan w:val="2"/>
            <w:tcBorders>
              <w:top w:val="single" w:color="auto" w:sz="4" w:space="0"/>
              <w:left w:val="nil"/>
              <w:bottom w:val="nil"/>
              <w:right w:val="single" w:color="auto" w:sz="4" w:space="0"/>
            </w:tcBorders>
            <w:noWrap/>
            <w:vAlign w:val="center"/>
          </w:tcPr>
          <w:p>
            <w:pPr>
              <w:widowControl/>
              <w:rPr>
                <w:rFonts w:ascii="宋体" w:hAnsi="宋体" w:cs="宋体"/>
                <w:color w:val="000000"/>
                <w:kern w:val="0"/>
                <w:szCs w:val="21"/>
              </w:rPr>
            </w:pPr>
            <w:r>
              <w:rPr>
                <w:rFonts w:hint="eastAsia" w:ascii="宋体" w:hAnsi="宋体" w:cs="宋体"/>
                <w:color w:val="000000"/>
                <w:kern w:val="0"/>
                <w:szCs w:val="21"/>
              </w:rPr>
              <w:t>100%</w:t>
            </w:r>
          </w:p>
        </w:tc>
        <w:tc>
          <w:tcPr>
            <w:tcW w:w="1984" w:type="dxa"/>
            <w:tcBorders>
              <w:top w:val="single" w:color="auto" w:sz="4" w:space="0"/>
              <w:left w:val="nil"/>
              <w:bottom w:val="nil"/>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宋体" w:hAnsi="宋体" w:cs="宋体"/>
                <w:color w:val="000000"/>
                <w:kern w:val="0"/>
                <w:szCs w:val="21"/>
              </w:rPr>
              <w:t>无</w:t>
            </w:r>
          </w:p>
        </w:tc>
      </w:tr>
      <w:tr>
        <w:tblPrEx>
          <w:tblCellMar>
            <w:top w:w="0" w:type="dxa"/>
            <w:left w:w="108" w:type="dxa"/>
            <w:bottom w:w="0" w:type="dxa"/>
            <w:right w:w="108" w:type="dxa"/>
          </w:tblCellMar>
        </w:tblPrEx>
        <w:trPr>
          <w:trHeight w:val="1085"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kern w:val="0"/>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效益指标</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经济效益指标</w:t>
            </w:r>
          </w:p>
        </w:tc>
        <w:tc>
          <w:tcPr>
            <w:tcW w:w="1701"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减少环境污染</w:t>
            </w:r>
          </w:p>
        </w:tc>
        <w:tc>
          <w:tcPr>
            <w:tcW w:w="1845"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达到预期目标</w:t>
            </w:r>
          </w:p>
        </w:tc>
        <w:tc>
          <w:tcPr>
            <w:tcW w:w="1277"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减少环境污染</w:t>
            </w:r>
          </w:p>
        </w:tc>
        <w:tc>
          <w:tcPr>
            <w:tcW w:w="1105" w:type="dxa"/>
            <w:gridSpan w:val="2"/>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达到预期目标</w:t>
            </w:r>
          </w:p>
        </w:tc>
        <w:tc>
          <w:tcPr>
            <w:tcW w:w="1984"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无</w:t>
            </w:r>
          </w:p>
        </w:tc>
      </w:tr>
      <w:tr>
        <w:tblPrEx>
          <w:tblCellMar>
            <w:top w:w="0" w:type="dxa"/>
            <w:left w:w="108" w:type="dxa"/>
            <w:bottom w:w="0" w:type="dxa"/>
            <w:right w:w="108" w:type="dxa"/>
          </w:tblCellMar>
        </w:tblPrEx>
        <w:trPr>
          <w:trHeight w:val="1343" w:hRule="atLeast"/>
          <w:jc w:val="center"/>
        </w:trPr>
        <w:tc>
          <w:tcPr>
            <w:tcW w:w="769"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imes New Roman"/>
                <w:color w:val="000000"/>
                <w:kern w:val="0"/>
                <w:szCs w:val="21"/>
              </w:rPr>
            </w:pPr>
            <w:r>
              <w:rPr>
                <w:rFonts w:hint="eastAsia" w:ascii="Times New Roman" w:hAnsi="Times New Roman"/>
                <w:color w:val="000000"/>
                <w:kern w:val="0"/>
                <w:szCs w:val="21"/>
              </w:rPr>
              <w:t>绩效指标</w:t>
            </w:r>
          </w:p>
        </w:tc>
        <w:tc>
          <w:tcPr>
            <w:tcW w:w="675" w:type="dxa"/>
            <w:vMerge w:val="restart"/>
            <w:tcBorders>
              <w:top w:val="single" w:color="auto" w:sz="4" w:space="0"/>
              <w:left w:val="single" w:color="auto" w:sz="4" w:space="0"/>
              <w:right w:val="single" w:color="auto" w:sz="4" w:space="0"/>
            </w:tcBorders>
            <w:vAlign w:val="center"/>
          </w:tcPr>
          <w:p>
            <w:pPr>
              <w:jc w:val="left"/>
              <w:rPr>
                <w:rFonts w:ascii="Times New Roman" w:hAnsi="Times New Roman" w:eastAsia="Times New Roman"/>
                <w:color w:val="000000"/>
                <w:kern w:val="0"/>
                <w:szCs w:val="21"/>
              </w:rPr>
            </w:pPr>
            <w:r>
              <w:rPr>
                <w:rFonts w:hint="eastAsia" w:ascii="Times New Roman" w:hAnsi="Times New Roman"/>
                <w:color w:val="000000"/>
                <w:kern w:val="0"/>
                <w:szCs w:val="21"/>
              </w:rPr>
              <w:t>效益指标</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生态效益指标</w:t>
            </w:r>
          </w:p>
        </w:tc>
        <w:tc>
          <w:tcPr>
            <w:tcW w:w="1701"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Times New Roman"/>
                <w:color w:val="000000"/>
                <w:kern w:val="0"/>
                <w:szCs w:val="21"/>
              </w:rPr>
            </w:pPr>
            <w:r>
              <w:rPr>
                <w:rFonts w:hint="eastAsia" w:ascii="宋体" w:hAnsi="宋体" w:cs="宋体"/>
                <w:color w:val="000000"/>
                <w:kern w:val="0"/>
                <w:szCs w:val="21"/>
              </w:rPr>
              <w:t>污染物减排措施实施取得明显成效</w:t>
            </w:r>
          </w:p>
        </w:tc>
        <w:tc>
          <w:tcPr>
            <w:tcW w:w="1845"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宋体" w:hAnsi="宋体" w:cs="宋体"/>
                <w:color w:val="000000"/>
                <w:kern w:val="0"/>
                <w:szCs w:val="21"/>
              </w:rPr>
              <w:t>达到预期目标</w:t>
            </w:r>
          </w:p>
        </w:tc>
        <w:tc>
          <w:tcPr>
            <w:tcW w:w="1277"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Times New Roman"/>
                <w:color w:val="000000"/>
                <w:kern w:val="0"/>
                <w:szCs w:val="21"/>
              </w:rPr>
            </w:pPr>
            <w:r>
              <w:rPr>
                <w:rFonts w:hint="eastAsia" w:ascii="宋体" w:hAnsi="宋体" w:cs="宋体"/>
                <w:color w:val="000000"/>
                <w:kern w:val="0"/>
                <w:szCs w:val="21"/>
              </w:rPr>
              <w:t>污染物减排措施实施取得明显成效</w:t>
            </w:r>
          </w:p>
        </w:tc>
        <w:tc>
          <w:tcPr>
            <w:tcW w:w="1105" w:type="dxa"/>
            <w:gridSpan w:val="2"/>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宋体" w:hAnsi="宋体" w:cs="宋体"/>
                <w:color w:val="000000"/>
                <w:kern w:val="0"/>
                <w:szCs w:val="21"/>
              </w:rPr>
              <w:t>达到预期目标</w:t>
            </w:r>
          </w:p>
        </w:tc>
        <w:tc>
          <w:tcPr>
            <w:tcW w:w="1984"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宋体" w:hAnsi="宋体" w:cs="宋体"/>
                <w:color w:val="000000"/>
                <w:kern w:val="0"/>
                <w:szCs w:val="21"/>
              </w:rPr>
              <w:t>无</w:t>
            </w:r>
          </w:p>
        </w:tc>
      </w:tr>
      <w:tr>
        <w:tblPrEx>
          <w:tblCellMar>
            <w:top w:w="0" w:type="dxa"/>
            <w:left w:w="108" w:type="dxa"/>
            <w:bottom w:w="0" w:type="dxa"/>
            <w:right w:w="108" w:type="dxa"/>
          </w:tblCellMar>
        </w:tblPrEx>
        <w:trPr>
          <w:trHeight w:val="1365"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kern w:val="0"/>
                <w:szCs w:val="21"/>
              </w:rPr>
            </w:pPr>
          </w:p>
        </w:tc>
        <w:tc>
          <w:tcPr>
            <w:tcW w:w="675"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可持续影响指标</w:t>
            </w:r>
          </w:p>
        </w:tc>
        <w:tc>
          <w:tcPr>
            <w:tcW w:w="1701" w:type="dxa"/>
            <w:tcBorders>
              <w:top w:val="single" w:color="auto" w:sz="4" w:space="0"/>
              <w:left w:val="nil"/>
              <w:bottom w:val="single" w:color="auto" w:sz="4" w:space="0"/>
              <w:right w:val="single" w:color="auto" w:sz="4" w:space="0"/>
            </w:tcBorders>
            <w:noWrap/>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保持环境持续应急响应</w:t>
            </w:r>
          </w:p>
        </w:tc>
        <w:tc>
          <w:tcPr>
            <w:tcW w:w="1845" w:type="dxa"/>
            <w:tcBorders>
              <w:top w:val="single" w:color="auto" w:sz="4" w:space="0"/>
              <w:left w:val="nil"/>
              <w:bottom w:val="single" w:color="auto" w:sz="4" w:space="0"/>
              <w:right w:val="single" w:color="auto" w:sz="4" w:space="0"/>
            </w:tcBorders>
            <w:noWrap/>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良好</w:t>
            </w:r>
          </w:p>
        </w:tc>
        <w:tc>
          <w:tcPr>
            <w:tcW w:w="1277" w:type="dxa"/>
            <w:tcBorders>
              <w:top w:val="single" w:color="auto" w:sz="4" w:space="0"/>
              <w:left w:val="nil"/>
              <w:bottom w:val="single" w:color="auto" w:sz="4" w:space="0"/>
              <w:right w:val="single" w:color="auto" w:sz="4" w:space="0"/>
            </w:tcBorders>
            <w:noWrap/>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保持环境持续应急响应</w:t>
            </w:r>
          </w:p>
        </w:tc>
        <w:tc>
          <w:tcPr>
            <w:tcW w:w="1105" w:type="dxa"/>
            <w:gridSpan w:val="2"/>
            <w:tcBorders>
              <w:top w:val="single" w:color="auto" w:sz="4" w:space="0"/>
              <w:left w:val="nil"/>
              <w:bottom w:val="single" w:color="auto" w:sz="4" w:space="0"/>
              <w:right w:val="single" w:color="auto" w:sz="4" w:space="0"/>
            </w:tcBorders>
            <w:noWrap/>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良好</w:t>
            </w:r>
          </w:p>
        </w:tc>
        <w:tc>
          <w:tcPr>
            <w:tcW w:w="1984" w:type="dxa"/>
            <w:tcBorders>
              <w:top w:val="single" w:color="auto" w:sz="4" w:space="0"/>
              <w:left w:val="nil"/>
              <w:bottom w:val="single" w:color="auto" w:sz="4" w:space="0"/>
              <w:right w:val="single" w:color="auto" w:sz="4" w:space="0"/>
            </w:tcBorders>
            <w:noWrap/>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无</w:t>
            </w:r>
          </w:p>
        </w:tc>
      </w:tr>
      <w:tr>
        <w:tblPrEx>
          <w:tblCellMar>
            <w:top w:w="0" w:type="dxa"/>
            <w:left w:w="108" w:type="dxa"/>
            <w:bottom w:w="0" w:type="dxa"/>
            <w:right w:w="108" w:type="dxa"/>
          </w:tblCellMar>
        </w:tblPrEx>
        <w:trPr>
          <w:trHeight w:val="1560"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kern w:val="0"/>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满意度指标</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服务对象满意度指针</w:t>
            </w:r>
          </w:p>
        </w:tc>
        <w:tc>
          <w:tcPr>
            <w:tcW w:w="1701" w:type="dxa"/>
            <w:tcBorders>
              <w:top w:val="single" w:color="auto" w:sz="4" w:space="0"/>
              <w:left w:val="nil"/>
              <w:bottom w:val="nil"/>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宋体" w:hAnsi="宋体" w:cs="宋体"/>
                <w:color w:val="000000"/>
                <w:kern w:val="0"/>
                <w:szCs w:val="21"/>
              </w:rPr>
              <w:t>衡阳市生态环境局满意度</w:t>
            </w:r>
          </w:p>
        </w:tc>
        <w:tc>
          <w:tcPr>
            <w:tcW w:w="1845" w:type="dxa"/>
            <w:tcBorders>
              <w:top w:val="single" w:color="auto" w:sz="4" w:space="0"/>
              <w:left w:val="nil"/>
              <w:bottom w:val="nil"/>
              <w:right w:val="single" w:color="auto" w:sz="4" w:space="0"/>
            </w:tcBorders>
            <w:noWrap/>
            <w:vAlign w:val="center"/>
          </w:tcPr>
          <w:p>
            <w:pPr>
              <w:widowControl/>
              <w:jc w:val="center"/>
              <w:rPr>
                <w:rFonts w:ascii="Times New Roman" w:hAnsi="Times New Roman" w:eastAsia="Times New Roman"/>
                <w:color w:val="000000"/>
                <w:kern w:val="0"/>
                <w:szCs w:val="21"/>
              </w:rPr>
            </w:pPr>
            <w:r>
              <w:rPr>
                <w:rFonts w:ascii="Times New Roman" w:hAnsi="Times New Roman" w:eastAsia="Times New Roman"/>
                <w:color w:val="000000"/>
                <w:kern w:val="0"/>
                <w:szCs w:val="21"/>
              </w:rPr>
              <w:t>100</w:t>
            </w:r>
            <w:r>
              <w:rPr>
                <w:rFonts w:hint="eastAsia" w:asciiTheme="minorEastAsia" w:hAnsiTheme="minorEastAsia" w:eastAsiaTheme="minorEastAsia"/>
                <w:color w:val="000000"/>
                <w:kern w:val="0"/>
                <w:szCs w:val="21"/>
              </w:rPr>
              <w:t>%</w:t>
            </w:r>
          </w:p>
        </w:tc>
        <w:tc>
          <w:tcPr>
            <w:tcW w:w="1277" w:type="dxa"/>
            <w:tcBorders>
              <w:top w:val="single" w:color="auto" w:sz="4" w:space="0"/>
              <w:left w:val="nil"/>
              <w:bottom w:val="nil"/>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宋体" w:hAnsi="宋体" w:cs="宋体"/>
                <w:color w:val="000000"/>
                <w:kern w:val="0"/>
                <w:szCs w:val="21"/>
              </w:rPr>
              <w:t>衡阳市生态环境局满意度</w:t>
            </w:r>
          </w:p>
        </w:tc>
        <w:tc>
          <w:tcPr>
            <w:tcW w:w="1105" w:type="dxa"/>
            <w:gridSpan w:val="2"/>
            <w:tcBorders>
              <w:top w:val="single" w:color="auto" w:sz="4" w:space="0"/>
              <w:left w:val="nil"/>
              <w:bottom w:val="nil"/>
              <w:right w:val="single" w:color="auto" w:sz="4" w:space="0"/>
            </w:tcBorders>
            <w:noWrap/>
            <w:vAlign w:val="center"/>
          </w:tcPr>
          <w:p>
            <w:pPr>
              <w:widowControl/>
              <w:jc w:val="center"/>
              <w:rPr>
                <w:rFonts w:ascii="Times New Roman" w:hAnsi="Times New Roman" w:eastAsia="Times New Roman"/>
                <w:color w:val="000000"/>
                <w:kern w:val="0"/>
                <w:szCs w:val="21"/>
              </w:rPr>
            </w:pPr>
            <w:r>
              <w:rPr>
                <w:rFonts w:ascii="Times New Roman" w:hAnsi="Times New Roman" w:eastAsia="Times New Roman"/>
                <w:color w:val="000000"/>
                <w:kern w:val="0"/>
                <w:szCs w:val="21"/>
              </w:rPr>
              <w:t>100</w:t>
            </w:r>
            <w:r>
              <w:rPr>
                <w:rFonts w:hint="eastAsia" w:asciiTheme="minorEastAsia" w:hAnsiTheme="minorEastAsia" w:eastAsiaTheme="minorEastAsia"/>
                <w:color w:val="000000"/>
                <w:kern w:val="0"/>
                <w:szCs w:val="21"/>
              </w:rPr>
              <w:t>%</w:t>
            </w:r>
          </w:p>
        </w:tc>
        <w:tc>
          <w:tcPr>
            <w:tcW w:w="1984" w:type="dxa"/>
            <w:tcBorders>
              <w:top w:val="single" w:color="auto" w:sz="4" w:space="0"/>
              <w:left w:val="nil"/>
              <w:bottom w:val="nil"/>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宋体" w:hAnsi="宋体" w:cs="宋体"/>
                <w:color w:val="000000"/>
                <w:kern w:val="0"/>
                <w:szCs w:val="21"/>
              </w:rPr>
              <w:t>无</w:t>
            </w:r>
          </w:p>
        </w:tc>
      </w:tr>
      <w:tr>
        <w:tblPrEx>
          <w:tblCellMar>
            <w:top w:w="0" w:type="dxa"/>
            <w:left w:w="108" w:type="dxa"/>
            <w:bottom w:w="0" w:type="dxa"/>
            <w:right w:w="108" w:type="dxa"/>
          </w:tblCellMar>
        </w:tblPrEx>
        <w:trPr>
          <w:trHeight w:val="820" w:hRule="atLeast"/>
          <w:jc w:val="center"/>
        </w:trPr>
        <w:tc>
          <w:tcPr>
            <w:tcW w:w="769" w:type="dxa"/>
            <w:tcBorders>
              <w:top w:val="single" w:color="auto" w:sz="4" w:space="0"/>
              <w:left w:val="single" w:color="auto" w:sz="4" w:space="0"/>
              <w:bottom w:val="nil"/>
              <w:right w:val="single" w:color="auto" w:sz="4" w:space="0"/>
            </w:tcBorders>
            <w:noWrap/>
            <w:vAlign w:val="center"/>
          </w:tcPr>
          <w:p>
            <w:pPr>
              <w:widowControl/>
              <w:rPr>
                <w:rFonts w:ascii="Times New Roman" w:hAnsi="Times New Roman" w:eastAsia="Times New Roman"/>
                <w:color w:val="000000"/>
                <w:kern w:val="0"/>
                <w:szCs w:val="21"/>
              </w:rPr>
            </w:pPr>
            <w:r>
              <w:rPr>
                <w:rFonts w:hint="eastAsia" w:ascii="Times New Roman" w:hAnsi="Times New Roman"/>
                <w:color w:val="000000"/>
                <w:kern w:val="0"/>
                <w:szCs w:val="21"/>
              </w:rPr>
              <w:t>说明</w:t>
            </w:r>
          </w:p>
        </w:tc>
        <w:tc>
          <w:tcPr>
            <w:tcW w:w="9296" w:type="dxa"/>
            <w:gridSpan w:val="8"/>
            <w:tcBorders>
              <w:top w:val="single" w:color="auto" w:sz="4" w:space="0"/>
              <w:left w:val="nil"/>
              <w:bottom w:val="nil"/>
              <w:right w:val="single" w:color="000000"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请在此处简要说明各级监督检查中发现的问题及其所涉及的金额，如没有请填无</w:t>
            </w:r>
          </w:p>
        </w:tc>
      </w:tr>
      <w:tr>
        <w:tblPrEx>
          <w:tblCellMar>
            <w:top w:w="0" w:type="dxa"/>
            <w:left w:w="108" w:type="dxa"/>
            <w:bottom w:w="0" w:type="dxa"/>
            <w:right w:w="108" w:type="dxa"/>
          </w:tblCellMar>
        </w:tblPrEx>
        <w:trPr>
          <w:trHeight w:val="1785" w:hRule="atLeast"/>
          <w:jc w:val="center"/>
        </w:trPr>
        <w:tc>
          <w:tcPr>
            <w:tcW w:w="10065" w:type="dxa"/>
            <w:gridSpan w:val="9"/>
            <w:tcBorders>
              <w:top w:val="single" w:color="auto" w:sz="8" w:space="0"/>
              <w:left w:val="nil"/>
              <w:bottom w:val="nil"/>
              <w:right w:val="nil"/>
            </w:tcBorders>
          </w:tcPr>
          <w:p>
            <w:pPr>
              <w:widowControl/>
              <w:spacing w:line="360" w:lineRule="exact"/>
              <w:jc w:val="left"/>
              <w:rPr>
                <w:rFonts w:ascii="Times New Roman" w:hAnsi="Times New Roman" w:eastAsia="Times New Roman"/>
                <w:color w:val="000000"/>
                <w:kern w:val="0"/>
                <w:szCs w:val="21"/>
              </w:rPr>
            </w:pPr>
            <w:r>
              <w:rPr>
                <w:rFonts w:hint="eastAsia" w:ascii="Times New Roman" w:hAnsi="Times New Roman"/>
                <w:color w:val="000000"/>
                <w:kern w:val="0"/>
                <w:szCs w:val="21"/>
              </w:rPr>
              <w:t>注：</w:t>
            </w:r>
            <w:r>
              <w:rPr>
                <w:rFonts w:ascii="Times New Roman" w:hAnsi="Times New Roman"/>
                <w:color w:val="000000"/>
                <w:kern w:val="0"/>
                <w:szCs w:val="21"/>
              </w:rPr>
              <w:t>1</w:t>
            </w:r>
            <w:r>
              <w:rPr>
                <w:rFonts w:hint="eastAsia" w:ascii="Times New Roman" w:hAnsi="Times New Roman"/>
                <w:color w:val="000000"/>
                <w:kern w:val="0"/>
                <w:szCs w:val="21"/>
              </w:rPr>
              <w:t>、其他资金包括和中央、省补助、地方财政资金共同投入到同一项目的自有资金、社会资金，以及以前年度的结转结余资金等。</w:t>
            </w:r>
          </w:p>
          <w:p>
            <w:pPr>
              <w:widowControl/>
              <w:spacing w:line="360" w:lineRule="exact"/>
              <w:ind w:firstLine="420" w:firstLineChars="200"/>
              <w:jc w:val="left"/>
              <w:rPr>
                <w:rFonts w:ascii="Times New Roman" w:hAnsi="Times New Roman" w:eastAsia="Times New Roman"/>
                <w:color w:val="000000"/>
                <w:kern w:val="0"/>
                <w:szCs w:val="21"/>
              </w:rPr>
            </w:pPr>
            <w:r>
              <w:rPr>
                <w:rFonts w:ascii="Times New Roman" w:hAnsi="Times New Roman"/>
                <w:color w:val="000000"/>
                <w:kern w:val="0"/>
                <w:szCs w:val="21"/>
              </w:rPr>
              <w:t>2</w:t>
            </w:r>
            <w:r>
              <w:rPr>
                <w:rFonts w:hint="eastAsia" w:ascii="Times New Roman" w:hAnsi="Times New Roman"/>
                <w:color w:val="000000"/>
                <w:kern w:val="0"/>
                <w:szCs w:val="21"/>
              </w:rPr>
              <w:t>、定量指标，资金使用单位填写本地区实际完成数。市直各部门汇总时，对绝对值直接累加计算，相对值按照资金额度加权平均计算。</w:t>
            </w:r>
          </w:p>
          <w:p>
            <w:pPr>
              <w:widowControl/>
              <w:spacing w:line="360" w:lineRule="exact"/>
              <w:ind w:firstLine="420" w:firstLineChars="200"/>
              <w:jc w:val="left"/>
              <w:rPr>
                <w:rFonts w:ascii="Times New Roman" w:hAnsi="Times New Roman" w:eastAsia="Times New Roman"/>
                <w:color w:val="000000"/>
                <w:kern w:val="0"/>
                <w:szCs w:val="21"/>
              </w:rPr>
            </w:pPr>
            <w:r>
              <w:rPr>
                <w:rFonts w:ascii="Times New Roman" w:hAnsi="Times New Roman"/>
                <w:color w:val="000000"/>
                <w:kern w:val="0"/>
                <w:szCs w:val="21"/>
              </w:rPr>
              <w:t>3</w:t>
            </w:r>
            <w:r>
              <w:rPr>
                <w:rFonts w:hint="eastAsia" w:ascii="Times New Roman" w:hAnsi="Times New Roman"/>
                <w:color w:val="000000"/>
                <w:kern w:val="0"/>
                <w:szCs w:val="21"/>
              </w:rPr>
              <w:t>、定性指标根据指标完成情况分为：全部或基本达成预期指标、部分达成预期指标并具有一定效果、未达成预期指标且效果较差三文件，资金使用单位分别按照</w:t>
            </w:r>
            <w:r>
              <w:rPr>
                <w:rFonts w:ascii="Times New Roman" w:hAnsi="Times New Roman"/>
                <w:color w:val="000000"/>
                <w:kern w:val="0"/>
                <w:szCs w:val="21"/>
              </w:rPr>
              <w:t>100</w:t>
            </w:r>
            <w:r>
              <w:rPr>
                <w:rFonts w:hint="eastAsia" w:ascii="Times New Roman" w:hAnsi="Times New Roman"/>
                <w:color w:val="000000"/>
                <w:kern w:val="0"/>
                <w:szCs w:val="21"/>
              </w:rPr>
              <w:t>％</w:t>
            </w:r>
            <w:r>
              <w:rPr>
                <w:rFonts w:ascii="Times New Roman" w:hAnsi="Times New Roman"/>
                <w:color w:val="000000"/>
                <w:kern w:val="0"/>
                <w:szCs w:val="21"/>
              </w:rPr>
              <w:t>—80</w:t>
            </w:r>
            <w:r>
              <w:rPr>
                <w:rFonts w:hint="eastAsia" w:ascii="Times New Roman" w:hAnsi="Times New Roman"/>
                <w:color w:val="000000"/>
                <w:kern w:val="0"/>
                <w:szCs w:val="21"/>
              </w:rPr>
              <w:t>％（含）、</w:t>
            </w:r>
            <w:r>
              <w:rPr>
                <w:rFonts w:ascii="Times New Roman" w:hAnsi="Times New Roman"/>
                <w:color w:val="000000"/>
                <w:kern w:val="0"/>
                <w:szCs w:val="21"/>
              </w:rPr>
              <w:t>80</w:t>
            </w:r>
            <w:r>
              <w:rPr>
                <w:rFonts w:hint="eastAsia" w:ascii="Times New Roman" w:hAnsi="Times New Roman"/>
                <w:color w:val="000000"/>
                <w:kern w:val="0"/>
                <w:szCs w:val="21"/>
              </w:rPr>
              <w:t>％</w:t>
            </w:r>
            <w:r>
              <w:rPr>
                <w:rFonts w:ascii="Times New Roman" w:hAnsi="Times New Roman"/>
                <w:color w:val="000000"/>
                <w:kern w:val="0"/>
                <w:szCs w:val="21"/>
              </w:rPr>
              <w:t>—60</w:t>
            </w:r>
            <w:r>
              <w:rPr>
                <w:rFonts w:hint="eastAsia" w:ascii="Times New Roman" w:hAnsi="Times New Roman"/>
                <w:color w:val="000000"/>
                <w:kern w:val="0"/>
                <w:szCs w:val="21"/>
              </w:rPr>
              <w:t>％（含）、</w:t>
            </w:r>
            <w:r>
              <w:rPr>
                <w:rFonts w:ascii="Times New Roman" w:hAnsi="Times New Roman"/>
                <w:color w:val="000000"/>
                <w:kern w:val="0"/>
                <w:szCs w:val="21"/>
              </w:rPr>
              <w:t>60</w:t>
            </w:r>
            <w:r>
              <w:rPr>
                <w:rFonts w:hint="eastAsia" w:ascii="Times New Roman" w:hAnsi="Times New Roman"/>
                <w:color w:val="000000"/>
                <w:kern w:val="0"/>
                <w:szCs w:val="21"/>
              </w:rPr>
              <w:t>％</w:t>
            </w:r>
            <w:r>
              <w:rPr>
                <w:rFonts w:ascii="Times New Roman" w:hAnsi="Times New Roman"/>
                <w:color w:val="000000"/>
                <w:kern w:val="0"/>
                <w:szCs w:val="21"/>
              </w:rPr>
              <w:t>—0</w:t>
            </w:r>
            <w:r>
              <w:rPr>
                <w:rFonts w:hint="eastAsia" w:ascii="Times New Roman" w:hAnsi="Times New Roman"/>
                <w:color w:val="000000"/>
                <w:kern w:val="0"/>
                <w:szCs w:val="21"/>
              </w:rPr>
              <w:t>％合理填写完成比例。</w:t>
            </w:r>
          </w:p>
          <w:p>
            <w:pPr>
              <w:widowControl/>
              <w:spacing w:line="360" w:lineRule="exact"/>
              <w:ind w:firstLine="420" w:firstLineChars="200"/>
              <w:jc w:val="left"/>
              <w:rPr>
                <w:rFonts w:ascii="Times New Roman" w:hAnsi="Times New Roman" w:eastAsia="Times New Roman"/>
                <w:color w:val="000000"/>
                <w:kern w:val="0"/>
                <w:szCs w:val="21"/>
              </w:rPr>
            </w:pPr>
            <w:r>
              <w:rPr>
                <w:rFonts w:ascii="Times New Roman" w:hAnsi="Times New Roman"/>
                <w:color w:val="000000"/>
                <w:kern w:val="0"/>
                <w:szCs w:val="21"/>
              </w:rPr>
              <w:t>4</w:t>
            </w:r>
            <w:r>
              <w:rPr>
                <w:rFonts w:hint="eastAsia" w:ascii="Times New Roman" w:hAnsi="Times New Roman"/>
                <w:color w:val="000000"/>
                <w:kern w:val="0"/>
                <w:szCs w:val="21"/>
              </w:rPr>
              <w:t>、市直各部门组织指导各县市区主管部门及资金使用单位填写《自评表》并报送同级财政部门审核后，形成地区专项资金《自评表》，再审核汇总各地区专项资金《自评表》，形成市级专项资金《自评表》。</w:t>
            </w:r>
          </w:p>
        </w:tc>
      </w:tr>
    </w:tbl>
    <w:p>
      <w:pPr>
        <w:rPr>
          <w:rFonts w:ascii="Times New Roman" w:hAnsi="Times New Roman"/>
          <w:sz w:val="32"/>
          <w:szCs w:val="32"/>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sectPr>
      <w:footerReference r:id="rId3" w:type="default"/>
      <w:footerReference r:id="rId4" w:type="even"/>
      <w:pgSz w:w="11906" w:h="16838"/>
      <w:pgMar w:top="1440" w:right="1797" w:bottom="1440" w:left="1797" w:header="851" w:footer="992" w:gutter="0"/>
      <w:pgNumType w:fmt="numberInDash"/>
      <w:cols w:space="425" w:num="1"/>
      <w:titlePg/>
      <w:rtlGutter w:val="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小标宋简体">
    <w:altName w:val="方正兰亭超细黑简体"/>
    <w:panose1 w:val="00000000000000000000"/>
    <w:charset w:val="86"/>
    <w:family w:val="auto"/>
    <w:pitch w:val="default"/>
    <w:sig w:usb0="00000000" w:usb1="00000000" w:usb2="0000001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Times New Roman" w:hAnsi="Times New Roman"/>
        <w:sz w:val="28"/>
        <w:szCs w:val="28"/>
      </w:rPr>
    </w:pPr>
    <w:r>
      <w:rPr>
        <w:rStyle w:val="9"/>
        <w:rFonts w:ascii="Times New Roman" w:hAnsi="Times New Roman"/>
        <w:sz w:val="28"/>
        <w:szCs w:val="28"/>
      </w:rPr>
      <w:fldChar w:fldCharType="begin"/>
    </w:r>
    <w:r>
      <w:rPr>
        <w:rStyle w:val="9"/>
        <w:rFonts w:ascii="Times New Roman" w:hAnsi="Times New Roman"/>
        <w:sz w:val="28"/>
        <w:szCs w:val="28"/>
      </w:rPr>
      <w:instrText xml:space="preserve">PAGE  </w:instrText>
    </w:r>
    <w:r>
      <w:rPr>
        <w:rStyle w:val="9"/>
        <w:rFonts w:ascii="Times New Roman" w:hAnsi="Times New Roman"/>
        <w:sz w:val="28"/>
        <w:szCs w:val="28"/>
      </w:rPr>
      <w:fldChar w:fldCharType="separate"/>
    </w:r>
    <w:r>
      <w:rPr>
        <w:rStyle w:val="9"/>
        <w:rFonts w:ascii="Times New Roman" w:hAnsi="Times New Roman"/>
        <w:sz w:val="28"/>
        <w:szCs w:val="28"/>
      </w:rPr>
      <w:t>- 8 -</w:t>
    </w:r>
    <w:r>
      <w:rPr>
        <w:rStyle w:val="9"/>
        <w:rFonts w:ascii="Times New Roman" w:hAnsi="Times New Roman"/>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cwMTQ1MTA1Y2QyYTYwYTY1Y2RiNjkxMmNjNTljZTMifQ=="/>
  </w:docVars>
  <w:rsids>
    <w:rsidRoot w:val="00C553EF"/>
    <w:rsid w:val="000003CE"/>
    <w:rsid w:val="00005903"/>
    <w:rsid w:val="00012C93"/>
    <w:rsid w:val="00042E0A"/>
    <w:rsid w:val="00047F84"/>
    <w:rsid w:val="000576D3"/>
    <w:rsid w:val="00063C01"/>
    <w:rsid w:val="000734E3"/>
    <w:rsid w:val="00075A0A"/>
    <w:rsid w:val="000773D5"/>
    <w:rsid w:val="00080625"/>
    <w:rsid w:val="00093B9D"/>
    <w:rsid w:val="00094646"/>
    <w:rsid w:val="0009693E"/>
    <w:rsid w:val="000A4F26"/>
    <w:rsid w:val="000B198C"/>
    <w:rsid w:val="000D2C41"/>
    <w:rsid w:val="000D797C"/>
    <w:rsid w:val="000F775C"/>
    <w:rsid w:val="001202E2"/>
    <w:rsid w:val="00125025"/>
    <w:rsid w:val="00135395"/>
    <w:rsid w:val="00156241"/>
    <w:rsid w:val="00184AF2"/>
    <w:rsid w:val="00184FD6"/>
    <w:rsid w:val="00192C8B"/>
    <w:rsid w:val="00193BE4"/>
    <w:rsid w:val="001B56F4"/>
    <w:rsid w:val="001B69B6"/>
    <w:rsid w:val="001B772F"/>
    <w:rsid w:val="001C3152"/>
    <w:rsid w:val="001D51B4"/>
    <w:rsid w:val="001E72C3"/>
    <w:rsid w:val="001F7E2A"/>
    <w:rsid w:val="001F7E8F"/>
    <w:rsid w:val="0020617B"/>
    <w:rsid w:val="002175AB"/>
    <w:rsid w:val="00222171"/>
    <w:rsid w:val="002238BB"/>
    <w:rsid w:val="002320EB"/>
    <w:rsid w:val="00245E69"/>
    <w:rsid w:val="00261A26"/>
    <w:rsid w:val="00264F99"/>
    <w:rsid w:val="0026532B"/>
    <w:rsid w:val="0027341E"/>
    <w:rsid w:val="002734F8"/>
    <w:rsid w:val="00282157"/>
    <w:rsid w:val="002A1848"/>
    <w:rsid w:val="002E75D6"/>
    <w:rsid w:val="002F028F"/>
    <w:rsid w:val="002F05A3"/>
    <w:rsid w:val="002F703C"/>
    <w:rsid w:val="003115C2"/>
    <w:rsid w:val="003126FC"/>
    <w:rsid w:val="0032265F"/>
    <w:rsid w:val="00323CF3"/>
    <w:rsid w:val="0032533F"/>
    <w:rsid w:val="00327792"/>
    <w:rsid w:val="00331CB2"/>
    <w:rsid w:val="00336605"/>
    <w:rsid w:val="00354BCF"/>
    <w:rsid w:val="003655C9"/>
    <w:rsid w:val="00371658"/>
    <w:rsid w:val="003763E1"/>
    <w:rsid w:val="00384BCE"/>
    <w:rsid w:val="00386D93"/>
    <w:rsid w:val="00395AA2"/>
    <w:rsid w:val="003B6814"/>
    <w:rsid w:val="003B7F5C"/>
    <w:rsid w:val="003E1FD6"/>
    <w:rsid w:val="003F7EAF"/>
    <w:rsid w:val="004148E0"/>
    <w:rsid w:val="00417CBA"/>
    <w:rsid w:val="004217FE"/>
    <w:rsid w:val="00422C2A"/>
    <w:rsid w:val="00430997"/>
    <w:rsid w:val="004548A9"/>
    <w:rsid w:val="00455F36"/>
    <w:rsid w:val="00474A27"/>
    <w:rsid w:val="00474AD0"/>
    <w:rsid w:val="00481E94"/>
    <w:rsid w:val="00487AC5"/>
    <w:rsid w:val="00496F05"/>
    <w:rsid w:val="004C0C59"/>
    <w:rsid w:val="004E57B7"/>
    <w:rsid w:val="004F4295"/>
    <w:rsid w:val="005010B5"/>
    <w:rsid w:val="00541A59"/>
    <w:rsid w:val="00551D43"/>
    <w:rsid w:val="005522E1"/>
    <w:rsid w:val="00555FFA"/>
    <w:rsid w:val="00562EEB"/>
    <w:rsid w:val="00564823"/>
    <w:rsid w:val="0056660C"/>
    <w:rsid w:val="005851E9"/>
    <w:rsid w:val="00586559"/>
    <w:rsid w:val="00594AEE"/>
    <w:rsid w:val="005C60D5"/>
    <w:rsid w:val="00637CE2"/>
    <w:rsid w:val="00661738"/>
    <w:rsid w:val="006906AF"/>
    <w:rsid w:val="006964D9"/>
    <w:rsid w:val="00697D4B"/>
    <w:rsid w:val="006B2BDA"/>
    <w:rsid w:val="006F37DA"/>
    <w:rsid w:val="00704941"/>
    <w:rsid w:val="00705365"/>
    <w:rsid w:val="0071000B"/>
    <w:rsid w:val="007119B1"/>
    <w:rsid w:val="007123D7"/>
    <w:rsid w:val="0074205B"/>
    <w:rsid w:val="00751BF0"/>
    <w:rsid w:val="00753AFA"/>
    <w:rsid w:val="00757006"/>
    <w:rsid w:val="0076487F"/>
    <w:rsid w:val="00771B0E"/>
    <w:rsid w:val="007809D2"/>
    <w:rsid w:val="00781959"/>
    <w:rsid w:val="00787BDD"/>
    <w:rsid w:val="0079174B"/>
    <w:rsid w:val="0079586D"/>
    <w:rsid w:val="00795B22"/>
    <w:rsid w:val="007A3E06"/>
    <w:rsid w:val="007A6F2C"/>
    <w:rsid w:val="007C0F8E"/>
    <w:rsid w:val="007E090D"/>
    <w:rsid w:val="007E2C17"/>
    <w:rsid w:val="007E2D1B"/>
    <w:rsid w:val="007E3E71"/>
    <w:rsid w:val="007F1EAF"/>
    <w:rsid w:val="007F2039"/>
    <w:rsid w:val="00820EEF"/>
    <w:rsid w:val="00821009"/>
    <w:rsid w:val="008242F9"/>
    <w:rsid w:val="00847A3C"/>
    <w:rsid w:val="00866148"/>
    <w:rsid w:val="00875CA8"/>
    <w:rsid w:val="00893AEC"/>
    <w:rsid w:val="0089420D"/>
    <w:rsid w:val="008A04C6"/>
    <w:rsid w:val="008B1760"/>
    <w:rsid w:val="008D67F1"/>
    <w:rsid w:val="009377FB"/>
    <w:rsid w:val="009477D1"/>
    <w:rsid w:val="00963B0B"/>
    <w:rsid w:val="00972566"/>
    <w:rsid w:val="0099481A"/>
    <w:rsid w:val="009B2A62"/>
    <w:rsid w:val="009C291F"/>
    <w:rsid w:val="009C4723"/>
    <w:rsid w:val="009D11D2"/>
    <w:rsid w:val="009D4B7E"/>
    <w:rsid w:val="009E418E"/>
    <w:rsid w:val="00A01263"/>
    <w:rsid w:val="00A148B9"/>
    <w:rsid w:val="00A27AB1"/>
    <w:rsid w:val="00A35224"/>
    <w:rsid w:val="00A3605E"/>
    <w:rsid w:val="00A43A8E"/>
    <w:rsid w:val="00A52A9A"/>
    <w:rsid w:val="00A55C61"/>
    <w:rsid w:val="00AB1E7E"/>
    <w:rsid w:val="00AB363C"/>
    <w:rsid w:val="00AB6D50"/>
    <w:rsid w:val="00AC12C1"/>
    <w:rsid w:val="00AD4A25"/>
    <w:rsid w:val="00AD7EFB"/>
    <w:rsid w:val="00AF0245"/>
    <w:rsid w:val="00AF15ED"/>
    <w:rsid w:val="00AF1AD7"/>
    <w:rsid w:val="00B215FA"/>
    <w:rsid w:val="00B304A1"/>
    <w:rsid w:val="00B702EE"/>
    <w:rsid w:val="00B76FF3"/>
    <w:rsid w:val="00B834A3"/>
    <w:rsid w:val="00B8758E"/>
    <w:rsid w:val="00B910F1"/>
    <w:rsid w:val="00BC3C98"/>
    <w:rsid w:val="00BC671F"/>
    <w:rsid w:val="00BD4955"/>
    <w:rsid w:val="00BE3C11"/>
    <w:rsid w:val="00C02A71"/>
    <w:rsid w:val="00C03525"/>
    <w:rsid w:val="00C23636"/>
    <w:rsid w:val="00C338B7"/>
    <w:rsid w:val="00C37587"/>
    <w:rsid w:val="00C553EF"/>
    <w:rsid w:val="00C641BD"/>
    <w:rsid w:val="00C64651"/>
    <w:rsid w:val="00C67D46"/>
    <w:rsid w:val="00C71D0A"/>
    <w:rsid w:val="00C737E3"/>
    <w:rsid w:val="00CB5751"/>
    <w:rsid w:val="00CC4373"/>
    <w:rsid w:val="00CD207D"/>
    <w:rsid w:val="00CD7E4E"/>
    <w:rsid w:val="00CF6D84"/>
    <w:rsid w:val="00CF76A2"/>
    <w:rsid w:val="00D17393"/>
    <w:rsid w:val="00D34C90"/>
    <w:rsid w:val="00D75793"/>
    <w:rsid w:val="00D8620A"/>
    <w:rsid w:val="00D91166"/>
    <w:rsid w:val="00D95FAF"/>
    <w:rsid w:val="00DC38FA"/>
    <w:rsid w:val="00DD4AA2"/>
    <w:rsid w:val="00DD58E9"/>
    <w:rsid w:val="00DD5A15"/>
    <w:rsid w:val="00DD5F47"/>
    <w:rsid w:val="00DF0B7A"/>
    <w:rsid w:val="00DF4839"/>
    <w:rsid w:val="00DF732C"/>
    <w:rsid w:val="00E0326A"/>
    <w:rsid w:val="00E15DDC"/>
    <w:rsid w:val="00E25A7B"/>
    <w:rsid w:val="00E323CD"/>
    <w:rsid w:val="00E4161A"/>
    <w:rsid w:val="00E45456"/>
    <w:rsid w:val="00E567D4"/>
    <w:rsid w:val="00E568EB"/>
    <w:rsid w:val="00E63866"/>
    <w:rsid w:val="00E6499E"/>
    <w:rsid w:val="00E66CFE"/>
    <w:rsid w:val="00E8571A"/>
    <w:rsid w:val="00E94B12"/>
    <w:rsid w:val="00EA6A68"/>
    <w:rsid w:val="00EB2368"/>
    <w:rsid w:val="00EB5376"/>
    <w:rsid w:val="00EE097B"/>
    <w:rsid w:val="00F10B3D"/>
    <w:rsid w:val="00F23A42"/>
    <w:rsid w:val="00F31255"/>
    <w:rsid w:val="00F43730"/>
    <w:rsid w:val="00F43C63"/>
    <w:rsid w:val="00F55DE1"/>
    <w:rsid w:val="00F578D5"/>
    <w:rsid w:val="00F870A7"/>
    <w:rsid w:val="00FA2BB2"/>
    <w:rsid w:val="00FB36C0"/>
    <w:rsid w:val="00FC450D"/>
    <w:rsid w:val="00FD081E"/>
    <w:rsid w:val="00FD3E57"/>
    <w:rsid w:val="00FE4826"/>
    <w:rsid w:val="04E24E94"/>
    <w:rsid w:val="0F09674C"/>
    <w:rsid w:val="0F262ACD"/>
    <w:rsid w:val="10025008"/>
    <w:rsid w:val="10C9691D"/>
    <w:rsid w:val="15DA6FC6"/>
    <w:rsid w:val="1B3B6C75"/>
    <w:rsid w:val="2DE47554"/>
    <w:rsid w:val="2E660FDE"/>
    <w:rsid w:val="333D119F"/>
    <w:rsid w:val="34EF3B8A"/>
    <w:rsid w:val="3C9F4ACC"/>
    <w:rsid w:val="4A377F3D"/>
    <w:rsid w:val="5DC63529"/>
    <w:rsid w:val="5E411A7A"/>
    <w:rsid w:val="655C62D6"/>
    <w:rsid w:val="712D259A"/>
    <w:rsid w:val="72957E10"/>
    <w:rsid w:val="732E7386"/>
    <w:rsid w:val="7C6D161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qFormat/>
    <w:uiPriority w:val="99"/>
    <w:pPr>
      <w:jc w:val="left"/>
    </w:pPr>
    <w:rPr>
      <w:rFonts w:ascii="Times New Roman" w:hAnsi="Times New Roman"/>
      <w:szCs w:val="24"/>
    </w:rPr>
  </w:style>
  <w:style w:type="paragraph" w:styleId="3">
    <w:name w:val="Balloon Text"/>
    <w:basedOn w:val="1"/>
    <w:link w:val="12"/>
    <w:qFormat/>
    <w:uiPriority w:val="99"/>
    <w:rPr>
      <w:rFonts w:ascii="Times New Roman" w:hAnsi="Times New Roman"/>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9">
    <w:name w:val="page number"/>
    <w:basedOn w:val="8"/>
    <w:qFormat/>
    <w:uiPriority w:val="99"/>
    <w:rPr>
      <w:rFonts w:cs="Times New Roman"/>
    </w:rPr>
  </w:style>
  <w:style w:type="character" w:styleId="10">
    <w:name w:val="annotation reference"/>
    <w:basedOn w:val="8"/>
    <w:qFormat/>
    <w:uiPriority w:val="99"/>
    <w:rPr>
      <w:rFonts w:cs="Times New Roman"/>
      <w:sz w:val="21"/>
      <w:szCs w:val="21"/>
    </w:rPr>
  </w:style>
  <w:style w:type="character" w:customStyle="1" w:styleId="11">
    <w:name w:val="批注文字 Char"/>
    <w:basedOn w:val="8"/>
    <w:link w:val="2"/>
    <w:qFormat/>
    <w:locked/>
    <w:uiPriority w:val="99"/>
    <w:rPr>
      <w:rFonts w:ascii="Times New Roman" w:hAnsi="Times New Roman" w:eastAsia="宋体" w:cs="Times New Roman"/>
      <w:sz w:val="24"/>
      <w:szCs w:val="24"/>
    </w:rPr>
  </w:style>
  <w:style w:type="character" w:customStyle="1" w:styleId="12">
    <w:name w:val="批注框文本 Char"/>
    <w:basedOn w:val="8"/>
    <w:link w:val="3"/>
    <w:qFormat/>
    <w:locked/>
    <w:uiPriority w:val="99"/>
    <w:rPr>
      <w:rFonts w:ascii="Times New Roman" w:hAnsi="Times New Roman" w:eastAsia="宋体" w:cs="Times New Roman"/>
      <w:sz w:val="18"/>
      <w:szCs w:val="18"/>
    </w:rPr>
  </w:style>
  <w:style w:type="character" w:customStyle="1" w:styleId="13">
    <w:name w:val="页脚 Char"/>
    <w:basedOn w:val="8"/>
    <w:link w:val="4"/>
    <w:qFormat/>
    <w:locked/>
    <w:uiPriority w:val="99"/>
    <w:rPr>
      <w:rFonts w:cs="Times New Roman"/>
      <w:sz w:val="18"/>
      <w:szCs w:val="18"/>
    </w:rPr>
  </w:style>
  <w:style w:type="character" w:customStyle="1" w:styleId="14">
    <w:name w:val="页眉 Char"/>
    <w:basedOn w:val="8"/>
    <w:link w:val="5"/>
    <w:qFormat/>
    <w:locked/>
    <w:uiPriority w:val="99"/>
    <w:rPr>
      <w:rFonts w:cs="Times New Roman"/>
      <w:sz w:val="18"/>
      <w:szCs w:val="18"/>
    </w:rPr>
  </w:style>
  <w:style w:type="paragraph" w:customStyle="1" w:styleId="15">
    <w:name w:val="列出段落1"/>
    <w:basedOn w:val="1"/>
    <w:qFormat/>
    <w:uiPriority w:val="99"/>
    <w:pPr>
      <w:ind w:firstLine="420" w:firstLineChars="200"/>
    </w:pPr>
    <w:rPr>
      <w:rFonts w:ascii="Times New Roman" w:hAnsi="Times New Roman"/>
      <w:szCs w:val="24"/>
    </w:rPr>
  </w:style>
  <w:style w:type="paragraph" w:styleId="16">
    <w:name w:val="List Paragraph"/>
    <w:basedOn w:val="1"/>
    <w:qFormat/>
    <w:uiPriority w:val="99"/>
    <w:pPr>
      <w:ind w:firstLine="420" w:firstLineChars="200"/>
    </w:pPr>
    <w:rPr>
      <w:rFonts w:ascii="Times New Roman" w:hAnsi="Times New Roman"/>
      <w:szCs w:val="24"/>
    </w:rPr>
  </w:style>
  <w:style w:type="paragraph" w:customStyle="1" w:styleId="17">
    <w:name w:val="修订1"/>
    <w: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9</Pages>
  <Words>3292</Words>
  <Characters>3661</Characters>
  <Lines>29</Lines>
  <Paragraphs>8</Paragraphs>
  <TotalTime>1</TotalTime>
  <ScaleCrop>false</ScaleCrop>
  <LinksUpToDate>false</LinksUpToDate>
  <CharactersWithSpaces>3841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2021-03-04T00:24:00Z</dcterms:created>
  <dc:creator>lenovo</dc:creator>
  <cp:lastModifiedBy>小王子</cp:lastModifiedBy>
  <cp:lastPrinted>2022-03-11T07:54:00Z</cp:lastPrinted>
  <dcterms:modified xsi:type="dcterms:W3CDTF">2022-09-30T03:27:24Z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9A179FA3545E41D2B0AAC26E62AE6328</vt:lpwstr>
  </property>
</Properties>
</file>