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Times New Roman"/>
          <w:sz w:val="36"/>
          <w:szCs w:val="36"/>
        </w:rPr>
      </w:pPr>
    </w:p>
    <w:p>
      <w:pPr>
        <w:spacing w:after="312"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方正小标宋简体" w:hAnsi="Times New Roman" w:eastAsia="方正小标宋简体"/>
          <w:sz w:val="48"/>
          <w:szCs w:val="48"/>
        </w:rPr>
      </w:pPr>
      <w:r>
        <w:rPr>
          <w:rFonts w:ascii="方正小标宋简体" w:hAnsi="Times New Roman" w:eastAsia="方正小标宋简体"/>
          <w:sz w:val="48"/>
          <w:szCs w:val="48"/>
        </w:rPr>
        <w:t>202</w:t>
      </w:r>
      <w:r>
        <w:rPr>
          <w:rFonts w:hint="eastAsia" w:ascii="方正小标宋简体" w:hAnsi="Times New Roman" w:eastAsia="方正小标宋简体"/>
          <w:sz w:val="48"/>
          <w:szCs w:val="48"/>
        </w:rPr>
        <w:t>1年度部门整体支出绩效自评报告</w:t>
      </w:r>
    </w:p>
    <w:p>
      <w:pPr>
        <w:jc w:val="center"/>
        <w:rPr>
          <w:rFonts w:ascii="Times New Roman" w:hAnsi="Times New Roman" w:eastAsia="黑体"/>
          <w:sz w:val="32"/>
          <w:szCs w:val="32"/>
        </w:rPr>
      </w:pPr>
      <w:r>
        <w:rPr>
          <w:rFonts w:hint="eastAsia" w:ascii="Times New Roman" w:hAnsi="Times New Roman" w:eastAsia="黑体"/>
          <w:sz w:val="32"/>
          <w:szCs w:val="32"/>
        </w:rPr>
        <w:t xml:space="preserve"> </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sz w:val="36"/>
          <w:szCs w:val="36"/>
        </w:rPr>
      </w:pPr>
      <w:r>
        <w:rPr>
          <w:rFonts w:hint="eastAsia" w:ascii="Times New Roman" w:hAnsi="Times New Roman"/>
          <w:sz w:val="36"/>
          <w:szCs w:val="36"/>
        </w:rPr>
        <w:t>单位名称：</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2022年3月17日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部门整体支出绩效评价报告</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Times New Roman" w:hAnsi="Times New Roman" w:eastAsia="楷体_GB2312"/>
          <w:sz w:val="32"/>
          <w:szCs w:val="32"/>
        </w:rPr>
      </w:pPr>
      <w:r>
        <w:rPr>
          <w:rFonts w:hint="eastAsia" w:ascii="Times New Roman" w:hAnsi="Times New Roman" w:eastAsia="楷体_GB2312"/>
          <w:sz w:val="32"/>
          <w:szCs w:val="32"/>
        </w:rPr>
        <w:t>（参考提纲）</w:t>
      </w:r>
    </w:p>
    <w:p>
      <w:pPr>
        <w:keepNext w:val="0"/>
        <w:keepLines w:val="0"/>
        <w:pageBreakBefore w:val="0"/>
        <w:kinsoku/>
        <w:wordWrap/>
        <w:overflowPunct/>
        <w:topLinePunct w:val="0"/>
        <w:autoSpaceDE/>
        <w:autoSpaceDN/>
        <w:bidi w:val="0"/>
        <w:adjustRightInd/>
        <w:snapToGrid/>
        <w:spacing w:line="520" w:lineRule="exact"/>
        <w:textAlignment w:val="auto"/>
        <w:rPr>
          <w:rFonts w:ascii="Times New Roman" w:hAnsi="Times New Roman" w:eastAsia="方正小标宋_GBK"/>
          <w:sz w:val="32"/>
          <w:szCs w:val="32"/>
        </w:rPr>
      </w:pP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一、部门、单位基本情况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1．主要职能：承担全市环境保护科学技术和科研课题研究工作, 承</w:t>
      </w:r>
      <w:r>
        <w:rPr>
          <w:rFonts w:hint="eastAsia" w:eastAsia="楷体"/>
          <w:sz w:val="32"/>
          <w:szCs w:val="32"/>
          <w:lang w:eastAsia="zh-CN"/>
        </w:rPr>
        <w:t>担规划与建设项目环境影响报告、土壤风险评估报告的技术评审复核</w:t>
      </w:r>
      <w:r>
        <w:rPr>
          <w:rFonts w:hint="eastAsia" w:eastAsia="楷体"/>
          <w:sz w:val="32"/>
          <w:szCs w:val="32"/>
        </w:rPr>
        <w:t>,</w:t>
      </w:r>
      <w:r>
        <w:rPr>
          <w:rFonts w:hint="eastAsia" w:eastAsia="楷体"/>
          <w:sz w:val="32"/>
          <w:szCs w:val="32"/>
          <w:lang w:eastAsia="zh-CN"/>
        </w:rPr>
        <w:t>市级污染治理技术方案和科研项目技术评审工作任务，</w:t>
      </w:r>
      <w:r>
        <w:rPr>
          <w:rFonts w:hint="eastAsia" w:eastAsia="楷体"/>
          <w:sz w:val="32"/>
          <w:szCs w:val="32"/>
        </w:rPr>
        <w:t>负责环境保护新方法、新技术、新产品的开发研究与推广应用工作, 负责环境保护有关技术咨询服务工作,完成市环保局下达的其他任务。</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2．机构情况：隶属于衡阳市生态环境局二级机构，是市财政差额拨款的公益性事业单位，独立编制独立核算。</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3．人员情况：差额拨款事业编制</w:t>
      </w:r>
      <w:r>
        <w:rPr>
          <w:rFonts w:hint="eastAsia" w:eastAsia="楷体"/>
          <w:sz w:val="32"/>
          <w:szCs w:val="32"/>
          <w:lang w:eastAsia="zh-CN"/>
        </w:rPr>
        <w:t>数人员</w:t>
      </w:r>
      <w:r>
        <w:rPr>
          <w:rFonts w:hint="eastAsia" w:eastAsia="楷体"/>
          <w:sz w:val="32"/>
          <w:szCs w:val="32"/>
        </w:rPr>
        <w:t>1</w:t>
      </w:r>
      <w:r>
        <w:rPr>
          <w:rFonts w:hint="eastAsia" w:eastAsia="楷体"/>
          <w:sz w:val="32"/>
          <w:szCs w:val="32"/>
          <w:lang w:val="en-US" w:eastAsia="zh-CN"/>
        </w:rPr>
        <w:t>2</w:t>
      </w:r>
      <w:r>
        <w:rPr>
          <w:rFonts w:hint="eastAsia" w:eastAsia="楷体"/>
          <w:sz w:val="32"/>
          <w:szCs w:val="32"/>
        </w:rPr>
        <w:t>人，临时聘用人员4人，现有职工16人。</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二、一般公共预算支出情况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eastAsia="楷体"/>
          <w:b/>
          <w:sz w:val="32"/>
          <w:szCs w:val="32"/>
        </w:rPr>
      </w:pPr>
      <w:r>
        <w:rPr>
          <w:rFonts w:hint="eastAsia" w:eastAsia="楷体"/>
          <w:b/>
          <w:sz w:val="32"/>
          <w:szCs w:val="32"/>
        </w:rPr>
        <w:t>（一）基本支出情况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衡阳市环境保护科学研究所2021年全年一般公共预算支出基本支出总计1,311,268.37元，其中包括以下几个方面：</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1、工资福利支出1175173.15元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2、商品和服务支出132,655.22元。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3、资本性支出3,440.00元。</w:t>
      </w:r>
    </w:p>
    <w:p>
      <w:pPr>
        <w:pStyle w:val="16"/>
        <w:keepNext w:val="0"/>
        <w:keepLines w:val="0"/>
        <w:pageBreakBefore w:val="0"/>
        <w:widowControl/>
        <w:kinsoku/>
        <w:wordWrap/>
        <w:overflowPunct/>
        <w:topLinePunct w:val="0"/>
        <w:autoSpaceDE/>
        <w:autoSpaceDN/>
        <w:bidi w:val="0"/>
        <w:adjustRightInd/>
        <w:snapToGrid/>
        <w:spacing w:line="520" w:lineRule="exact"/>
        <w:ind w:firstLine="643"/>
        <w:textAlignment w:val="auto"/>
        <w:rPr>
          <w:rFonts w:eastAsia="楷体"/>
          <w:b/>
          <w:sz w:val="32"/>
          <w:szCs w:val="32"/>
        </w:rPr>
      </w:pPr>
      <w:r>
        <w:rPr>
          <w:rFonts w:hint="eastAsia" w:eastAsia="楷体"/>
          <w:b/>
          <w:sz w:val="32"/>
          <w:szCs w:val="32"/>
        </w:rPr>
        <w:t>（二）项目支出情况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2021年全年一般公共预算项目总支出为402,868.12元。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1、衡阳市十三五环境保护规划131218.91元。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2、衡阳市工业污染源污染物排放情况评估报告32392.06元。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3、衡阳市建筑工地扬尘防控技术研究39257.15元。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4、水体200000元。</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三、政府性基金预算支出情况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政府性基金预算支出情况无</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四、国有资本经营预算支出情况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国有资本经营预算支出情况无</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五、社会保险基金预算支出情况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社会保险基金预算支出情况无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认真抓好内部审计工作，认真部署，扎扎实实地开展内部审计工作。明确了全年的工作任务和要求，使全年的审计工作做到了有计划、有部署。</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七、存在的问题及原因分析</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eastAsia="楷体"/>
          <w:sz w:val="32"/>
          <w:szCs w:val="32"/>
        </w:rPr>
      </w:pPr>
      <w:r>
        <w:rPr>
          <w:rFonts w:hint="eastAsia" w:eastAsia="楷体"/>
          <w:sz w:val="32"/>
          <w:szCs w:val="32"/>
        </w:rPr>
        <w:t>2021年我所财政预算资金收入为1277200.00元，事业预算收入112000元，上级补助预算收入670000元，2021年我所实际支出2759044.69元，经费缺口699844.69元，人员经费和日常公用经费无保障。</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eastAsia="楷体"/>
          <w:sz w:val="32"/>
          <w:szCs w:val="32"/>
          <w:lang w:eastAsia="zh-CN"/>
        </w:rPr>
      </w:pPr>
      <w:r>
        <w:rPr>
          <w:rFonts w:hint="eastAsia" w:eastAsia="楷体"/>
          <w:sz w:val="32"/>
          <w:szCs w:val="32"/>
          <w:lang w:eastAsia="zh-CN"/>
        </w:rPr>
        <w:t>经费缺口无保障主要原因：</w:t>
      </w:r>
      <w:r>
        <w:rPr>
          <w:rFonts w:hint="eastAsia" w:eastAsia="楷体"/>
          <w:sz w:val="32"/>
          <w:szCs w:val="32"/>
          <w:lang w:val="en-US" w:eastAsia="zh-CN"/>
        </w:rPr>
        <w:t>1、衡阳市环境保护科学研究所</w:t>
      </w:r>
      <w:r>
        <w:rPr>
          <w:rFonts w:hint="eastAsia" w:eastAsia="楷体"/>
          <w:sz w:val="32"/>
          <w:szCs w:val="32"/>
        </w:rPr>
        <w:t>隶属于衡阳市生态环境局二级机构</w:t>
      </w:r>
      <w:r>
        <w:rPr>
          <w:rFonts w:hint="eastAsia" w:eastAsia="楷体"/>
          <w:sz w:val="32"/>
          <w:szCs w:val="32"/>
          <w:lang w:eastAsia="zh-CN"/>
        </w:rPr>
        <w:t>，属于差额拔款单位，全年预算只保障部分人员经费，单位运行经费没有纳入预算。</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eastAsia="楷体"/>
          <w:sz w:val="32"/>
          <w:szCs w:val="32"/>
          <w:lang w:val="en-US" w:eastAsia="zh-CN"/>
        </w:rPr>
      </w:pPr>
      <w:r>
        <w:rPr>
          <w:rFonts w:hint="eastAsia" w:eastAsia="楷体"/>
          <w:sz w:val="32"/>
          <w:szCs w:val="32"/>
          <w:lang w:val="en-US" w:eastAsia="zh-CN"/>
        </w:rPr>
        <w:t xml:space="preserve"> 2、衡阳市环境保护科学研究所自2016年取消了环评收费业务后，无收入来源。</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eastAsia="楷体"/>
          <w:sz w:val="32"/>
          <w:szCs w:val="32"/>
          <w:lang w:eastAsia="zh-CN"/>
        </w:rPr>
      </w:pPr>
      <w:r>
        <w:rPr>
          <w:rFonts w:hint="eastAsia" w:eastAsia="楷体"/>
          <w:sz w:val="32"/>
          <w:szCs w:val="32"/>
          <w:lang w:eastAsia="zh-CN"/>
        </w:rPr>
        <w:t>采取的措施：响应财政局“以事养人”的原则，积极</w:t>
      </w:r>
      <w:r>
        <w:rPr>
          <w:rFonts w:hint="eastAsia" w:eastAsia="楷体"/>
          <w:sz w:val="32"/>
          <w:szCs w:val="32"/>
        </w:rPr>
        <w:t>承担全市环境保护科学技术和科研课题研究工作, 承</w:t>
      </w:r>
      <w:r>
        <w:rPr>
          <w:rFonts w:hint="eastAsia" w:eastAsia="楷体"/>
          <w:sz w:val="32"/>
          <w:szCs w:val="32"/>
          <w:lang w:eastAsia="zh-CN"/>
        </w:rPr>
        <w:t>担规划与建设项目环境影响报告、土壤风险评估报告的技术评审复核</w:t>
      </w:r>
      <w:r>
        <w:rPr>
          <w:rFonts w:hint="eastAsia" w:eastAsia="楷体"/>
          <w:sz w:val="32"/>
          <w:szCs w:val="32"/>
        </w:rPr>
        <w:t>,</w:t>
      </w:r>
      <w:r>
        <w:rPr>
          <w:rFonts w:hint="eastAsia" w:eastAsia="楷体"/>
          <w:sz w:val="32"/>
          <w:szCs w:val="32"/>
          <w:lang w:eastAsia="zh-CN"/>
        </w:rPr>
        <w:t>市级污染治理技术方案和科研项目技术评审工作。</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黑体"/>
          <w:sz w:val="32"/>
          <w:szCs w:val="32"/>
        </w:rPr>
        <w:t>八、改进措施和有关建议</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1.科学合理编制预算，严格执行预算。</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2.完善管理制度，进一步加强资产管理。</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楷体"/>
          <w:sz w:val="32"/>
          <w:szCs w:val="32"/>
        </w:rPr>
      </w:pPr>
      <w:r>
        <w:rPr>
          <w:rFonts w:hint="eastAsia" w:eastAsia="楷体"/>
          <w:sz w:val="32"/>
          <w:szCs w:val="32"/>
        </w:rPr>
        <w:t>3.加强新行政单位会计制度和新预算法学习培训。</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eastAsia="黑体"/>
          <w:sz w:val="32"/>
          <w:szCs w:val="32"/>
        </w:rPr>
      </w:pPr>
      <w:r>
        <w:rPr>
          <w:rFonts w:hint="eastAsia" w:eastAsia="楷体"/>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r>
        <w:rPr>
          <w:rFonts w:hint="eastAsia" w:ascii="仿宋_GB2312" w:hAnsi="宋体"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九、其他需要说明的情况</w:t>
      </w:r>
    </w:p>
    <w:p>
      <w:pPr>
        <w:pStyle w:val="16"/>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eastAsia="楷体"/>
          <w:sz w:val="32"/>
          <w:szCs w:val="32"/>
        </w:rPr>
      </w:pPr>
      <w:r>
        <w:rPr>
          <w:rFonts w:hint="eastAsia" w:eastAsia="楷体"/>
          <w:sz w:val="32"/>
          <w:szCs w:val="32"/>
        </w:rPr>
        <w:t>报告应包括以下附件：</w:t>
      </w:r>
    </w:p>
    <w:p>
      <w:pPr>
        <w:pStyle w:val="16"/>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hint="eastAsia" w:eastAsia="楷体"/>
          <w:sz w:val="32"/>
          <w:szCs w:val="32"/>
        </w:rPr>
      </w:pPr>
      <w:r>
        <w:rPr>
          <w:rFonts w:hint="eastAsia" w:eastAsia="楷体"/>
          <w:sz w:val="32"/>
          <w:szCs w:val="32"/>
        </w:rPr>
        <w:t>部门整体支出绩效评价基础</w:t>
      </w:r>
      <w:r>
        <w:rPr>
          <w:rFonts w:hint="eastAsia" w:eastAsia="楷体"/>
          <w:sz w:val="32"/>
          <w:szCs w:val="32"/>
          <w:lang w:eastAsia="zh-CN"/>
        </w:rPr>
        <w:t>数据</w:t>
      </w:r>
      <w:r>
        <w:rPr>
          <w:rFonts w:hint="eastAsia" w:eastAsia="楷体"/>
          <w:sz w:val="32"/>
          <w:szCs w:val="32"/>
        </w:rPr>
        <w:t>表</w:t>
      </w:r>
    </w:p>
    <w:p>
      <w:pPr>
        <w:pStyle w:val="16"/>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textAlignment w:val="auto"/>
        <w:rPr>
          <w:rFonts w:hint="eastAsia" w:eastAsia="楷体"/>
          <w:sz w:val="32"/>
          <w:szCs w:val="32"/>
        </w:rPr>
      </w:pPr>
      <w:r>
        <w:rPr>
          <w:rFonts w:hint="eastAsia" w:eastAsia="楷体"/>
          <w:sz w:val="32"/>
          <w:szCs w:val="32"/>
        </w:rPr>
        <w:t>部门整体支出绩效</w:t>
      </w:r>
      <w:r>
        <w:rPr>
          <w:rFonts w:hint="eastAsia" w:eastAsia="楷体"/>
          <w:sz w:val="32"/>
          <w:szCs w:val="32"/>
          <w:lang w:eastAsia="zh-CN"/>
        </w:rPr>
        <w:t>自评表</w:t>
      </w:r>
    </w:p>
    <w:p>
      <w:pPr>
        <w:pStyle w:val="16"/>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eastAsia="楷体"/>
          <w:sz w:val="32"/>
          <w:szCs w:val="32"/>
        </w:rPr>
      </w:pPr>
      <w:r>
        <w:rPr>
          <w:rFonts w:hint="eastAsia" w:eastAsia="楷体"/>
          <w:sz w:val="32"/>
          <w:szCs w:val="32"/>
        </w:rPr>
        <w:t>项目支出绩效自评表（</w:t>
      </w:r>
      <w:r>
        <w:rPr>
          <w:rFonts w:hint="eastAsia" w:eastAsia="楷体"/>
          <w:sz w:val="32"/>
          <w:szCs w:val="32"/>
          <w:lang w:eastAsia="zh-CN"/>
        </w:rPr>
        <w:t>每个</w:t>
      </w:r>
      <w:r>
        <w:rPr>
          <w:rFonts w:hint="eastAsia" w:eastAsia="楷体"/>
          <w:sz w:val="32"/>
          <w:szCs w:val="32"/>
        </w:rPr>
        <w:t>一</w:t>
      </w:r>
      <w:r>
        <w:rPr>
          <w:rFonts w:hint="eastAsia" w:eastAsia="楷体"/>
          <w:sz w:val="32"/>
          <w:szCs w:val="32"/>
          <w:lang w:eastAsia="zh-CN"/>
        </w:rPr>
        <w:t>级</w:t>
      </w:r>
      <w:r>
        <w:rPr>
          <w:rFonts w:hint="eastAsia" w:eastAsia="楷体"/>
          <w:sz w:val="32"/>
          <w:szCs w:val="32"/>
        </w:rPr>
        <w:t>项目支出一张表）</w:t>
      </w:r>
    </w:p>
    <w:p>
      <w:pPr>
        <w:pStyle w:val="16"/>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textAlignment w:val="auto"/>
        <w:rPr>
          <w:rFonts w:hint="eastAsia" w:eastAsia="楷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7"/>
        <w:tblW w:w="10158" w:type="dxa"/>
        <w:jc w:val="center"/>
        <w:tblLayout w:type="fixed"/>
        <w:tblCellMar>
          <w:top w:w="0" w:type="dxa"/>
          <w:left w:w="108" w:type="dxa"/>
          <w:bottom w:w="0" w:type="dxa"/>
          <w:right w:w="108" w:type="dxa"/>
        </w:tblCellMar>
      </w:tblPr>
      <w:tblGrid>
        <w:gridCol w:w="1363"/>
        <w:gridCol w:w="1020"/>
        <w:gridCol w:w="1110"/>
        <w:gridCol w:w="1125"/>
        <w:gridCol w:w="1110"/>
        <w:gridCol w:w="255"/>
        <w:gridCol w:w="1020"/>
        <w:gridCol w:w="157"/>
        <w:gridCol w:w="803"/>
        <w:gridCol w:w="765"/>
        <w:gridCol w:w="300"/>
        <w:gridCol w:w="1130"/>
      </w:tblGrid>
      <w:tr>
        <w:tblPrEx>
          <w:tblCellMar>
            <w:top w:w="0" w:type="dxa"/>
            <w:left w:w="108" w:type="dxa"/>
            <w:bottom w:w="0" w:type="dxa"/>
            <w:right w:w="108" w:type="dxa"/>
          </w:tblCellMar>
        </w:tblPrEx>
        <w:trPr>
          <w:trHeight w:val="549" w:hRule="atLeast"/>
          <w:jc w:val="center"/>
        </w:trPr>
        <w:tc>
          <w:tcPr>
            <w:tcW w:w="10158"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10158" w:type="dxa"/>
            <w:gridSpan w:val="1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衡阳市环境保护科学研究所</w:t>
            </w:r>
            <w:r>
              <w:rPr>
                <w:rFonts w:ascii="Times New Roman" w:hAnsi="Times New Roman" w:eastAsia="仿宋_GB2312"/>
                <w:color w:val="000000"/>
                <w:kern w:val="0"/>
                <w:szCs w:val="21"/>
              </w:rPr>
              <w:t>　</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60" w:type="dxa"/>
            <w:gridSpan w:val="2"/>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113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365.32</w:t>
            </w:r>
          </w:p>
        </w:tc>
        <w:tc>
          <w:tcPr>
            <w:tcW w:w="102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275.9</w:t>
            </w:r>
          </w:p>
        </w:tc>
        <w:tc>
          <w:tcPr>
            <w:tcW w:w="9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3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365.32 </w:t>
            </w:r>
          </w:p>
        </w:tc>
        <w:tc>
          <w:tcPr>
            <w:tcW w:w="417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按指出性质分：275.9</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110.9</w:t>
            </w:r>
          </w:p>
        </w:tc>
        <w:tc>
          <w:tcPr>
            <w:tcW w:w="417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其中：基本支出：235.61</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17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项目支出：40.29</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17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254.42</w:t>
            </w:r>
          </w:p>
        </w:tc>
        <w:tc>
          <w:tcPr>
            <w:tcW w:w="417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79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承担全市环境保护科学技术和科研课题研究工作, 承</w:t>
            </w:r>
            <w:r>
              <w:rPr>
                <w:rFonts w:hint="eastAsia" w:ascii="Times New Roman" w:hAnsi="Times New Roman" w:eastAsia="仿宋_GB2312"/>
                <w:color w:val="000000"/>
                <w:kern w:val="0"/>
                <w:szCs w:val="21"/>
                <w:lang w:eastAsia="zh-CN"/>
              </w:rPr>
              <w:t>规划与建设项目环境影响报告、土壤风险评估报告的技术评审复核</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市级污染治理技术方案和科研项目技术评审工</w:t>
            </w:r>
            <w:bookmarkStart w:id="0" w:name="_GoBack"/>
            <w:bookmarkEnd w:id="0"/>
            <w:r>
              <w:rPr>
                <w:rFonts w:hint="eastAsia" w:ascii="Times New Roman" w:hAnsi="Times New Roman" w:eastAsia="仿宋_GB2312"/>
                <w:color w:val="000000"/>
                <w:kern w:val="0"/>
                <w:szCs w:val="21"/>
                <w:lang w:eastAsia="zh-CN"/>
              </w:rPr>
              <w:t>作任务，</w:t>
            </w:r>
            <w:r>
              <w:rPr>
                <w:rFonts w:hint="eastAsia" w:ascii="Times New Roman" w:hAnsi="Times New Roman" w:eastAsia="仿宋_GB2312"/>
                <w:color w:val="000000"/>
                <w:kern w:val="0"/>
                <w:szCs w:val="21"/>
              </w:rPr>
              <w:t>负责环境保护新方法、新技术、新产品的开发研究与推广应用工作, 负责环境保护有关技术咨询服务工作,完成市环保局下达的其他任务</w:t>
            </w:r>
            <w:r>
              <w:rPr>
                <w:rFonts w:hint="eastAsia" w:ascii="Times New Roman" w:hAnsi="Times New Roman" w:eastAsia="仿宋_GB2312"/>
                <w:color w:val="000000"/>
                <w:kern w:val="0"/>
                <w:szCs w:val="21"/>
                <w:lang w:eastAsia="zh-CN"/>
              </w:rPr>
              <w:t>。</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79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2"/>
              </w:numPr>
              <w:jc w:val="left"/>
              <w:rPr>
                <w:rFonts w:hint="eastAsia"/>
                <w:color w:val="000000"/>
                <w:kern w:val="0"/>
                <w:sz w:val="18"/>
                <w:szCs w:val="18"/>
                <w:lang w:eastAsia="zh-CN"/>
              </w:rPr>
            </w:pPr>
            <w:r>
              <w:rPr>
                <w:rFonts w:hint="eastAsia"/>
                <w:color w:val="000000"/>
                <w:kern w:val="0"/>
                <w:sz w:val="18"/>
                <w:szCs w:val="18"/>
                <w:lang w:eastAsia="zh-CN"/>
              </w:rPr>
              <w:t>保障单位职工人员经费，保障单位正常运转。</w:t>
            </w:r>
          </w:p>
          <w:p>
            <w:pPr>
              <w:widowControl/>
              <w:numPr>
                <w:ilvl w:val="0"/>
                <w:numId w:val="2"/>
              </w:numPr>
              <w:jc w:val="left"/>
              <w:rPr>
                <w:rFonts w:ascii="Times New Roman" w:hAnsi="Times New Roman" w:eastAsia="仿宋_GB2312"/>
                <w:color w:val="000000"/>
                <w:kern w:val="0"/>
                <w:szCs w:val="21"/>
              </w:rPr>
            </w:pPr>
            <w:r>
              <w:rPr>
                <w:rFonts w:hint="eastAsia"/>
                <w:color w:val="000000"/>
                <w:kern w:val="0"/>
                <w:sz w:val="18"/>
                <w:szCs w:val="18"/>
              </w:rPr>
              <w:t>已完成</w:t>
            </w:r>
            <w:r>
              <w:rPr>
                <w:rFonts w:hint="eastAsia"/>
                <w:color w:val="000000"/>
                <w:kern w:val="0"/>
                <w:sz w:val="18"/>
                <w:szCs w:val="18"/>
                <w:lang w:val="en-US" w:eastAsia="zh-CN"/>
              </w:rPr>
              <w:t>2020年</w:t>
            </w:r>
            <w:r>
              <w:rPr>
                <w:rFonts w:hint="eastAsia" w:hAnsi="宋体"/>
                <w:color w:val="000000"/>
                <w:kern w:val="0"/>
                <w:sz w:val="18"/>
                <w:szCs w:val="18"/>
              </w:rPr>
              <w:t>衡阳市水环境承载力评估</w:t>
            </w:r>
            <w:r>
              <w:rPr>
                <w:rFonts w:hint="eastAsia" w:hAnsi="宋体"/>
                <w:color w:val="000000"/>
                <w:kern w:val="0"/>
                <w:sz w:val="18"/>
                <w:szCs w:val="18"/>
                <w:lang w:eastAsia="zh-CN"/>
              </w:rPr>
              <w:t>（水体）</w:t>
            </w:r>
            <w:r>
              <w:rPr>
                <w:rFonts w:hint="eastAsia"/>
                <w:color w:val="000000"/>
                <w:kern w:val="0"/>
                <w:sz w:val="18"/>
                <w:szCs w:val="18"/>
                <w:lang w:eastAsia="zh-CN"/>
              </w:rPr>
              <w:t>、</w:t>
            </w:r>
            <w:r>
              <w:rPr>
                <w:rFonts w:hint="eastAsia" w:hAnsi="宋体"/>
                <w:color w:val="000000"/>
                <w:kern w:val="0"/>
                <w:sz w:val="18"/>
                <w:szCs w:val="18"/>
              </w:rPr>
              <w:t>衡阳市环境统计、2021年度环境影响评价与排污许可证技术复核</w:t>
            </w:r>
            <w:r>
              <w:rPr>
                <w:rFonts w:hint="eastAsia" w:hAnsi="宋体"/>
                <w:color w:val="000000"/>
                <w:kern w:val="0"/>
                <w:sz w:val="18"/>
                <w:szCs w:val="18"/>
                <w:lang w:eastAsia="zh-CN"/>
              </w:rPr>
              <w:t>、</w:t>
            </w:r>
            <w:r>
              <w:rPr>
                <w:rFonts w:hint="eastAsia" w:hAnsi="宋体"/>
                <w:color w:val="000000"/>
                <w:kern w:val="0"/>
                <w:sz w:val="18"/>
                <w:szCs w:val="18"/>
              </w:rPr>
              <w:t>2021年度重污染天气应急减排清单更新</w:t>
            </w:r>
            <w:r>
              <w:rPr>
                <w:rFonts w:hint="eastAsia" w:hAnsi="宋体"/>
                <w:color w:val="000000"/>
                <w:kern w:val="0"/>
                <w:sz w:val="18"/>
                <w:szCs w:val="18"/>
                <w:lang w:eastAsia="zh-CN"/>
              </w:rPr>
              <w:t>等项目工作</w:t>
            </w:r>
            <w:r>
              <w:rPr>
                <w:rFonts w:hint="eastAsia" w:hAnsi="宋体"/>
                <w:color w:val="000000"/>
                <w:kern w:val="0"/>
                <w:sz w:val="18"/>
                <w:szCs w:val="18"/>
              </w:rPr>
              <w:t>。</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43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80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7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审核重点企业数量</w:t>
            </w:r>
          </w:p>
        </w:tc>
        <w:tc>
          <w:tcPr>
            <w:tcW w:w="1110"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300家</w:t>
            </w:r>
          </w:p>
        </w:tc>
        <w:tc>
          <w:tcPr>
            <w:tcW w:w="1432" w:type="dxa"/>
            <w:gridSpan w:val="3"/>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270</w:t>
            </w:r>
          </w:p>
        </w:tc>
        <w:tc>
          <w:tcPr>
            <w:tcW w:w="803"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10</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9</w:t>
            </w:r>
          </w:p>
        </w:tc>
        <w:tc>
          <w:tcPr>
            <w:tcW w:w="1430"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发证任务数量有所减少</w:t>
            </w:r>
          </w:p>
        </w:tc>
      </w:tr>
      <w:tr>
        <w:tblPrEx>
          <w:tblCellMar>
            <w:top w:w="0" w:type="dxa"/>
            <w:left w:w="108" w:type="dxa"/>
            <w:bottom w:w="0" w:type="dxa"/>
            <w:right w:w="108" w:type="dxa"/>
          </w:tblCellMar>
        </w:tblPrEx>
        <w:trPr>
          <w:trHeight w:val="97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课题通过市局审核</w:t>
            </w:r>
          </w:p>
        </w:tc>
        <w:tc>
          <w:tcPr>
            <w:tcW w:w="1110"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95%</w:t>
            </w:r>
          </w:p>
        </w:tc>
        <w:tc>
          <w:tcPr>
            <w:tcW w:w="1432" w:type="dxa"/>
            <w:gridSpan w:val="3"/>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80%</w:t>
            </w:r>
          </w:p>
        </w:tc>
        <w:tc>
          <w:tcPr>
            <w:tcW w:w="803"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15</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12</w:t>
            </w:r>
          </w:p>
        </w:tc>
        <w:tc>
          <w:tcPr>
            <w:tcW w:w="1430"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部分课题未开展审核</w:t>
            </w:r>
          </w:p>
        </w:tc>
      </w:tr>
      <w:tr>
        <w:tblPrEx>
          <w:tblCellMar>
            <w:top w:w="0" w:type="dxa"/>
            <w:left w:w="108" w:type="dxa"/>
            <w:bottom w:w="0" w:type="dxa"/>
            <w:right w:w="108" w:type="dxa"/>
          </w:tblCellMar>
        </w:tblPrEx>
        <w:trPr>
          <w:trHeight w:val="97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right w:val="single" w:color="auto" w:sz="4" w:space="0"/>
            </w:tcBorders>
            <w:shd w:val="clear" w:color="auto" w:fill="auto"/>
            <w:noWrap/>
            <w:vAlign w:val="center"/>
          </w:tcPr>
          <w:p>
            <w:pPr>
              <w:widowControl/>
              <w:jc w:val="left"/>
              <w:rPr>
                <w:rFonts w:hAnsi="宋体"/>
                <w:color w:val="000000"/>
                <w:kern w:val="0"/>
                <w:sz w:val="18"/>
                <w:szCs w:val="18"/>
              </w:rPr>
            </w:pPr>
            <w:r>
              <w:rPr>
                <w:rFonts w:hint="eastAsia" w:hAnsi="宋体"/>
                <w:color w:val="000000"/>
                <w:kern w:val="0"/>
                <w:sz w:val="18"/>
                <w:szCs w:val="18"/>
              </w:rPr>
              <w:t>课题完成率</w:t>
            </w:r>
          </w:p>
        </w:tc>
        <w:tc>
          <w:tcPr>
            <w:tcW w:w="1110"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95%</w:t>
            </w:r>
          </w:p>
        </w:tc>
        <w:tc>
          <w:tcPr>
            <w:tcW w:w="1432" w:type="dxa"/>
            <w:gridSpan w:val="3"/>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80%</w:t>
            </w:r>
          </w:p>
        </w:tc>
        <w:tc>
          <w:tcPr>
            <w:tcW w:w="803"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8</w:t>
            </w:r>
          </w:p>
        </w:tc>
        <w:tc>
          <w:tcPr>
            <w:tcW w:w="1430"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部分课题未开展审核</w:t>
            </w:r>
          </w:p>
        </w:tc>
      </w:tr>
      <w:tr>
        <w:tblPrEx>
          <w:tblCellMar>
            <w:top w:w="0" w:type="dxa"/>
            <w:left w:w="108" w:type="dxa"/>
            <w:bottom w:w="0" w:type="dxa"/>
            <w:right w:w="108" w:type="dxa"/>
          </w:tblCellMar>
        </w:tblPrEx>
        <w:trPr>
          <w:trHeight w:val="1248"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right w:val="single" w:color="auto" w:sz="4" w:space="0"/>
            </w:tcBorders>
            <w:shd w:val="clear" w:color="auto" w:fill="auto"/>
            <w:noWrap/>
            <w:vAlign w:val="center"/>
          </w:tcPr>
          <w:p>
            <w:pPr>
              <w:widowControl/>
              <w:jc w:val="left"/>
              <w:rPr>
                <w:rFonts w:hAnsi="宋体"/>
                <w:color w:val="000000"/>
                <w:kern w:val="0"/>
                <w:sz w:val="18"/>
                <w:szCs w:val="18"/>
              </w:rPr>
            </w:pPr>
            <w:r>
              <w:rPr>
                <w:rFonts w:hint="eastAsia" w:hAnsi="宋体"/>
                <w:color w:val="000000"/>
                <w:kern w:val="0"/>
                <w:sz w:val="18"/>
                <w:szCs w:val="18"/>
              </w:rPr>
              <w:t>指标</w:t>
            </w:r>
            <w:r>
              <w:rPr>
                <w:rFonts w:hAnsi="宋体"/>
                <w:color w:val="000000"/>
                <w:kern w:val="0"/>
                <w:sz w:val="18"/>
                <w:szCs w:val="18"/>
              </w:rPr>
              <w:t>1</w:t>
            </w:r>
            <w:r>
              <w:rPr>
                <w:rFonts w:hint="eastAsia" w:hAnsi="宋体"/>
                <w:color w:val="000000"/>
                <w:kern w:val="0"/>
                <w:sz w:val="18"/>
                <w:szCs w:val="18"/>
              </w:rPr>
              <w:t>：排污许可证及环境影响评价文件抽查</w:t>
            </w:r>
          </w:p>
        </w:tc>
        <w:tc>
          <w:tcPr>
            <w:tcW w:w="1110" w:type="dxa"/>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2000元/个企业</w:t>
            </w:r>
          </w:p>
        </w:tc>
        <w:tc>
          <w:tcPr>
            <w:tcW w:w="1432" w:type="dxa"/>
            <w:gridSpan w:val="3"/>
            <w:tcBorders>
              <w:top w:val="single" w:color="auto" w:sz="4" w:space="0"/>
              <w:left w:val="nil"/>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628元/个企业</w:t>
            </w:r>
          </w:p>
        </w:tc>
        <w:tc>
          <w:tcPr>
            <w:tcW w:w="803"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15</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15</w:t>
            </w:r>
          </w:p>
        </w:tc>
        <w:tc>
          <w:tcPr>
            <w:tcW w:w="1430"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无偏差</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3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3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56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right w:val="single" w:color="auto" w:sz="4" w:space="0"/>
            </w:tcBorders>
            <w:shd w:val="clear" w:color="auto" w:fill="auto"/>
            <w:noWrap/>
            <w:vAlign w:val="center"/>
          </w:tcPr>
          <w:p>
            <w:pPr>
              <w:jc w:val="left"/>
              <w:rPr>
                <w:rFonts w:hAnsi="宋体"/>
                <w:color w:val="000000"/>
                <w:kern w:val="0"/>
                <w:sz w:val="18"/>
                <w:szCs w:val="18"/>
              </w:rPr>
            </w:pPr>
            <w:r>
              <w:rPr>
                <w:rFonts w:hint="eastAsia" w:hAnsi="宋体"/>
                <w:color w:val="000000"/>
                <w:kern w:val="0"/>
                <w:sz w:val="18"/>
                <w:szCs w:val="18"/>
              </w:rPr>
              <w:t>协助市局推进环评与排污许可“放管服”改革</w:t>
            </w:r>
            <w:r>
              <w:rPr>
                <w:rFonts w:ascii="Times New Roman" w:hAnsi="Times New Roman" w:eastAsia="仿宋_GB2312"/>
                <w:color w:val="000000"/>
                <w:kern w:val="0"/>
                <w:szCs w:val="21"/>
              </w:rPr>
              <w:t>……</w:t>
            </w:r>
          </w:p>
        </w:tc>
        <w:tc>
          <w:tcPr>
            <w:tcW w:w="1110" w:type="dxa"/>
            <w:tcBorders>
              <w:top w:val="single" w:color="auto" w:sz="4" w:space="0"/>
              <w:left w:val="nil"/>
              <w:right w:val="single" w:color="auto" w:sz="4" w:space="0"/>
            </w:tcBorders>
            <w:shd w:val="clear" w:color="auto" w:fill="auto"/>
            <w:noWrap/>
            <w:vAlign w:val="center"/>
          </w:tcPr>
          <w:p>
            <w:pPr>
              <w:jc w:val="left"/>
              <w:rPr>
                <w:rFonts w:hAnsi="宋体"/>
                <w:color w:val="000000"/>
                <w:kern w:val="0"/>
                <w:sz w:val="18"/>
                <w:szCs w:val="18"/>
              </w:rPr>
            </w:pPr>
            <w:r>
              <w:rPr>
                <w:rFonts w:hint="eastAsia" w:hAnsi="宋体"/>
                <w:color w:val="000000"/>
                <w:kern w:val="0"/>
                <w:sz w:val="18"/>
                <w:szCs w:val="18"/>
              </w:rPr>
              <w:t>提高企业手续办理时效</w:t>
            </w:r>
          </w:p>
        </w:tc>
        <w:tc>
          <w:tcPr>
            <w:tcW w:w="1432" w:type="dxa"/>
            <w:gridSpan w:val="3"/>
            <w:tcBorders>
              <w:top w:val="single" w:color="auto" w:sz="4" w:space="0"/>
              <w:left w:val="nil"/>
              <w:right w:val="single" w:color="auto" w:sz="4" w:space="0"/>
            </w:tcBorders>
            <w:shd w:val="clear" w:color="auto" w:fill="auto"/>
            <w:noWrap/>
            <w:vAlign w:val="center"/>
          </w:tcPr>
          <w:p>
            <w:pPr>
              <w:jc w:val="left"/>
              <w:rPr>
                <w:rFonts w:hAnsi="宋体"/>
                <w:color w:val="000000"/>
                <w:kern w:val="0"/>
                <w:sz w:val="18"/>
                <w:szCs w:val="18"/>
              </w:rPr>
            </w:pPr>
            <w:r>
              <w:rPr>
                <w:rFonts w:hint="eastAsia" w:hAnsi="宋体"/>
                <w:color w:val="000000"/>
                <w:kern w:val="0"/>
                <w:sz w:val="18"/>
                <w:szCs w:val="18"/>
              </w:rPr>
              <w:t>按要求按时完成技术审核</w:t>
            </w:r>
          </w:p>
        </w:tc>
        <w:tc>
          <w:tcPr>
            <w:tcW w:w="803" w:type="dxa"/>
            <w:tcBorders>
              <w:top w:val="single" w:color="auto" w:sz="4" w:space="0"/>
              <w:left w:val="nil"/>
              <w:right w:val="single" w:color="auto" w:sz="4" w:space="0"/>
            </w:tcBorders>
            <w:shd w:val="clear" w:color="auto" w:fill="auto"/>
            <w:noWrap/>
            <w:vAlign w:val="center"/>
          </w:tcPr>
          <w:p>
            <w:pPr>
              <w:jc w:val="left"/>
              <w:rPr>
                <w:color w:val="000000"/>
                <w:kern w:val="0"/>
                <w:sz w:val="18"/>
                <w:szCs w:val="18"/>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20</w:t>
            </w:r>
          </w:p>
        </w:tc>
        <w:tc>
          <w:tcPr>
            <w:tcW w:w="1430"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无偏差</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218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强化环评与排污许可事中事后监管</w:t>
            </w:r>
          </w:p>
        </w:tc>
        <w:tc>
          <w:tcPr>
            <w:tcW w:w="1110" w:type="dxa"/>
            <w:tcBorders>
              <w:top w:val="single" w:color="auto" w:sz="4" w:space="0"/>
              <w:left w:val="single" w:color="auto" w:sz="4" w:space="0"/>
              <w:right w:val="single" w:color="auto" w:sz="4" w:space="0"/>
            </w:tcBorders>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筑牢绿水青山第一道防线</w:t>
            </w:r>
          </w:p>
        </w:tc>
        <w:tc>
          <w:tcPr>
            <w:tcW w:w="1432" w:type="dxa"/>
            <w:gridSpan w:val="3"/>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03" w:type="dxa"/>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65" w:type="dxa"/>
            <w:tcBorders>
              <w:top w:val="single" w:color="auto" w:sz="4" w:space="0"/>
              <w:left w:val="nil"/>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430" w:type="dxa"/>
            <w:gridSpan w:val="2"/>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无偏差</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 w:val="18"/>
                <w:szCs w:val="18"/>
              </w:rPr>
            </w:pPr>
            <w:r>
              <w:rPr>
                <w:rFonts w:hint="eastAsia" w:hAnsi="宋体"/>
                <w:color w:val="000000"/>
                <w:kern w:val="0"/>
                <w:sz w:val="18"/>
                <w:szCs w:val="18"/>
              </w:rPr>
              <w:t>指标</w:t>
            </w:r>
            <w:r>
              <w:rPr>
                <w:color w:val="000000"/>
                <w:kern w:val="0"/>
                <w:sz w:val="18"/>
                <w:szCs w:val="18"/>
              </w:rPr>
              <w:t>1</w:t>
            </w:r>
            <w:r>
              <w:rPr>
                <w:rFonts w:hint="eastAsia" w:hAnsi="宋体"/>
                <w:color w:val="000000"/>
                <w:kern w:val="0"/>
                <w:sz w:val="18"/>
                <w:szCs w:val="18"/>
              </w:rPr>
              <w:t>：</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w:t>
            </w:r>
          </w:p>
        </w:tc>
        <w:tc>
          <w:tcPr>
            <w:tcW w:w="14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w:t>
            </w:r>
          </w:p>
        </w:tc>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rFonts w:hint="eastAsia" w:hAnsi="宋体"/>
                <w:color w:val="000000"/>
                <w:kern w:val="0"/>
                <w:sz w:val="18"/>
                <w:szCs w:val="18"/>
              </w:rPr>
              <w:t>指标</w:t>
            </w:r>
            <w:r>
              <w:rPr>
                <w:color w:val="000000"/>
                <w:kern w:val="0"/>
                <w:sz w:val="18"/>
                <w:szCs w:val="18"/>
              </w:rPr>
              <w:t>2</w:t>
            </w:r>
            <w:r>
              <w:rPr>
                <w:rFonts w:hint="eastAsia" w:hAnsi="宋体"/>
                <w:color w:val="000000"/>
                <w:kern w:val="0"/>
                <w:sz w:val="18"/>
                <w:szCs w:val="18"/>
              </w:rPr>
              <w:t>：</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w:t>
            </w:r>
          </w:p>
        </w:tc>
        <w:tc>
          <w:tcPr>
            <w:tcW w:w="1432" w:type="dxa"/>
            <w:gridSpan w:val="3"/>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无</w:t>
            </w:r>
          </w:p>
        </w:tc>
        <w:tc>
          <w:tcPr>
            <w:tcW w:w="80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c>
          <w:tcPr>
            <w:tcW w:w="1430"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926"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color w:val="000000"/>
                <w:kern w:val="0"/>
                <w:sz w:val="18"/>
                <w:szCs w:val="18"/>
              </w:rPr>
              <w:t>企业满意度</w:t>
            </w:r>
          </w:p>
        </w:tc>
        <w:tc>
          <w:tcPr>
            <w:tcW w:w="1110" w:type="dxa"/>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Ansi="宋体"/>
                <w:color w:val="000000"/>
                <w:kern w:val="0"/>
                <w:sz w:val="18"/>
                <w:szCs w:val="18"/>
              </w:rPr>
              <w:t>≥</w:t>
            </w:r>
            <w:r>
              <w:rPr>
                <w:rFonts w:hint="eastAsia" w:hAnsi="宋体"/>
                <w:color w:val="000000"/>
                <w:kern w:val="0"/>
                <w:sz w:val="18"/>
                <w:szCs w:val="18"/>
              </w:rPr>
              <w:t>95%</w:t>
            </w:r>
            <w:r>
              <w:rPr>
                <w:rFonts w:ascii="Times New Roman" w:hAnsi="Times New Roman" w:eastAsia="仿宋_GB2312"/>
                <w:color w:val="000000"/>
                <w:kern w:val="0"/>
                <w:szCs w:val="21"/>
              </w:rPr>
              <w:t>　</w:t>
            </w:r>
          </w:p>
        </w:tc>
        <w:tc>
          <w:tcPr>
            <w:tcW w:w="1432" w:type="dxa"/>
            <w:gridSpan w:val="3"/>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无企业不满意产生投诉</w:t>
            </w:r>
            <w:r>
              <w:rPr>
                <w:rFonts w:ascii="Times New Roman" w:hAnsi="Times New Roman" w:eastAsia="仿宋_GB2312"/>
                <w:color w:val="000000"/>
                <w:kern w:val="0"/>
                <w:szCs w:val="21"/>
              </w:rPr>
              <w:t>　</w:t>
            </w:r>
          </w:p>
        </w:tc>
        <w:tc>
          <w:tcPr>
            <w:tcW w:w="803" w:type="dxa"/>
            <w:tcBorders>
              <w:top w:val="nil"/>
              <w:left w:val="nil"/>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765" w:type="dxa"/>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1430" w:type="dxa"/>
            <w:gridSpan w:val="2"/>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340" w:hRule="atLeast"/>
          <w:jc w:val="center"/>
        </w:trPr>
        <w:tc>
          <w:tcPr>
            <w:tcW w:w="716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94</w:t>
            </w: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r>
    </w:tbl>
    <w:p>
      <w:pPr>
        <w:spacing w:before="156"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胡浩</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2021.3.4</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2886012</w:t>
      </w:r>
      <w:r>
        <w:rPr>
          <w:rFonts w:ascii="Times New Roman" w:hAnsi="Times New Roman" w:eastAsia="仿宋_GB2312"/>
          <w:sz w:val="24"/>
        </w:rPr>
        <w:t xml:space="preserve">   单位负责人签字：</w:t>
      </w: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hint="eastAsia" w:ascii="Times New Roman" w:hAnsi="Times New Roman" w:eastAsia="仿宋"/>
          <w:color w:val="000000"/>
          <w:kern w:val="0"/>
          <w:sz w:val="32"/>
          <w:szCs w:val="32"/>
          <w:lang w:val="en-US" w:eastAsia="zh-CN"/>
        </w:rPr>
        <w:t>2</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15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12</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80%</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heme="minorEastAsia"/>
                <w:kern w:val="0"/>
                <w:szCs w:val="21"/>
              </w:rPr>
              <w:t>184.16</w:t>
            </w:r>
          </w:p>
        </w:tc>
        <w:tc>
          <w:tcPr>
            <w:tcW w:w="2240" w:type="dxa"/>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ascii="宋体" w:hAnsi="宋体" w:cs="宋体"/>
                <w:sz w:val="20"/>
                <w:szCs w:val="20"/>
              </w:rPr>
              <w:t>365.32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275.90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21</w:t>
            </w:r>
          </w:p>
        </w:tc>
        <w:tc>
          <w:tcPr>
            <w:tcW w:w="2240" w:type="dxa"/>
            <w:tcBorders>
              <w:top w:val="single" w:color="auto" w:sz="4" w:space="0"/>
              <w:left w:val="nil"/>
              <w:bottom w:val="single" w:color="auto" w:sz="4" w:space="0"/>
              <w:right w:val="single" w:color="000000" w:sz="4" w:space="0"/>
            </w:tcBorders>
            <w:vAlign w:val="center"/>
          </w:tcPr>
          <w:p>
            <w:pPr>
              <w:jc w:val="center"/>
              <w:rPr>
                <w:rFonts w:ascii="宋体" w:hAnsi="宋体" w:cs="宋体"/>
                <w:sz w:val="20"/>
                <w:szCs w:val="20"/>
              </w:rPr>
            </w:pPr>
            <w:r>
              <w:rPr>
                <w:rFonts w:hint="eastAsia" w:ascii="宋体" w:hAnsi="宋体" w:cs="宋体"/>
                <w:sz w:val="20"/>
                <w:szCs w:val="20"/>
              </w:rPr>
              <w:t>157.74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69.06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2.67</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2.21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4.63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4.95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hint="eastAsia"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1.54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1.54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　1.54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1.13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0.1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11.61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40.29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衡阳市十三五环境保护规划</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heme="minorEastAsia"/>
                <w:kern w:val="0"/>
                <w:szCs w:val="21"/>
              </w:rPr>
              <w:t>0.06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13.12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衡阳市工业污染源污染物排放情况评估报告</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6.55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3.24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重污染天气应急预案编制</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heme="minorEastAsia"/>
                <w:kern w:val="0"/>
                <w:szCs w:val="21"/>
              </w:rPr>
              <w:t>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3.93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水体</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3</w:t>
            </w:r>
            <w:r>
              <w:rPr>
                <w:rFonts w:hint="eastAsia" w:ascii="Times New Roman" w:hAnsi="Times New Roman"/>
                <w:kern w:val="0"/>
                <w:szCs w:val="21"/>
              </w:rPr>
              <w:t>、市级专项资金（一个专项一行）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18.35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18.6</w:t>
            </w:r>
          </w:p>
        </w:tc>
      </w:tr>
      <w:tr>
        <w:tblPrEx>
          <w:tblCellMar>
            <w:top w:w="0" w:type="dxa"/>
            <w:left w:w="108" w:type="dxa"/>
            <w:bottom w:w="0" w:type="dxa"/>
            <w:right w:w="108" w:type="dxa"/>
          </w:tblCellMar>
        </w:tblPrEx>
        <w:trPr>
          <w:trHeight w:val="1111"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hint="eastAsia" w:ascii="Times New Roman" w:hAnsi="Times New Roman"/>
                <w:color w:val="auto"/>
                <w:kern w:val="0"/>
                <w:szCs w:val="21"/>
                <w:highlight w:val="none"/>
                <w:lang w:eastAsia="zh-CN"/>
              </w:rPr>
              <w:t>本单位在保障基本运转的前提下，大力提倡</w:t>
            </w:r>
            <w:r>
              <w:rPr>
                <w:rFonts w:hint="eastAsia" w:ascii="Times New Roman" w:hAnsi="Times New Roman"/>
                <w:color w:val="auto"/>
                <w:kern w:val="0"/>
                <w:szCs w:val="21"/>
                <w:highlight w:val="none"/>
              </w:rPr>
              <w:t>厉行节约</w:t>
            </w:r>
            <w:r>
              <w:rPr>
                <w:rFonts w:hint="eastAsia" w:ascii="Times New Roman" w:hAnsi="Times New Roman"/>
                <w:color w:val="auto"/>
                <w:kern w:val="0"/>
                <w:szCs w:val="21"/>
                <w:highlight w:val="none"/>
                <w:lang w:eastAsia="zh-CN"/>
              </w:rPr>
              <w:t>，全年无公务出国费用，严格控制公务接待费。</w:t>
            </w:r>
          </w:p>
        </w:tc>
      </w:tr>
    </w:tbl>
    <w:p>
      <w:pPr>
        <w:widowControl/>
        <w:jc w:val="left"/>
        <w:rPr>
          <w:rFonts w:ascii="Times New Roman" w:hAnsi="Times New Roman" w:eastAsia="黑体"/>
          <w:sz w:val="32"/>
          <w:szCs w:val="32"/>
        </w:rPr>
      </w:pPr>
      <w:r>
        <w:rPr>
          <w:rFonts w:hint="eastAsia" w:ascii="Times New Roman" w:hAnsi="Times New Roman"/>
          <w:kern w:val="0"/>
          <w:sz w:val="22"/>
        </w:rPr>
        <w:t>说明：</w:t>
      </w:r>
      <w:r>
        <w:rPr>
          <w:rFonts w:ascii="Times New Roman" w:hAnsi="Times New Roman"/>
          <w:kern w:val="0"/>
          <w:sz w:val="22"/>
        </w:rPr>
        <w:t>“</w:t>
      </w:r>
      <w:r>
        <w:rPr>
          <w:rFonts w:hint="eastAsia" w:ascii="Times New Roman" w:hAnsi="Times New Roman"/>
          <w:kern w:val="0"/>
          <w:sz w:val="22"/>
        </w:rPr>
        <w:t>项目支出</w:t>
      </w:r>
      <w:r>
        <w:rPr>
          <w:rFonts w:ascii="Times New Roman" w:hAnsi="Times New Roman"/>
          <w:kern w:val="0"/>
          <w:sz w:val="22"/>
        </w:rPr>
        <w:t>”</w:t>
      </w:r>
      <w:r>
        <w:rPr>
          <w:rFonts w:hint="eastAsia"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hint="eastAsia" w:ascii="Times New Roman" w:hAnsi="Times New Roman"/>
          <w:kern w:val="0"/>
          <w:sz w:val="22"/>
        </w:rPr>
        <w:t>公用经费</w:t>
      </w:r>
      <w:r>
        <w:rPr>
          <w:rFonts w:ascii="Times New Roman" w:hAnsi="Times New Roman"/>
          <w:kern w:val="0"/>
          <w:sz w:val="22"/>
        </w:rPr>
        <w:t>”</w:t>
      </w:r>
      <w:r>
        <w:rPr>
          <w:rFonts w:hint="eastAsia" w:ascii="Times New Roman" w:hAnsi="Times New Roman"/>
          <w:kern w:val="0"/>
          <w:sz w:val="22"/>
        </w:rPr>
        <w:t>填报基本支出中的一般商品和服务支出。</w:t>
      </w:r>
      <w:r>
        <w:rPr>
          <w:rFonts w:ascii="Times New Roman" w:hAnsi="Times New Roman" w:eastAsia="Times New Roman"/>
          <w:kern w:val="0"/>
          <w:sz w:val="22"/>
        </w:rPr>
        <w:br w:type="page"/>
      </w:r>
    </w:p>
    <w:p>
      <w:pPr>
        <w:rPr>
          <w:rFonts w:ascii="Times New Roman" w:hAnsi="Times New Roman" w:eastAsia="黑体"/>
        </w:rPr>
      </w:pPr>
      <w:r>
        <w:rPr>
          <w:rFonts w:ascii="Times New Roman" w:hAnsi="Times New Roman" w:eastAsia="黑体"/>
          <w:sz w:val="32"/>
          <w:szCs w:val="32"/>
        </w:rPr>
        <w:t>附件4</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97"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color w:val="000000"/>
                <w:kern w:val="0"/>
                <w:szCs w:val="21"/>
              </w:rPr>
              <w:t>衡阳市工业污染源污染物排放情况评估报告</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衡阳市生态环境局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衡阳市环境保护科学研究所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3.23</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3.23</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3.23</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color w:val="000000"/>
                <w:kern w:val="0"/>
                <w:szCs w:val="21"/>
              </w:rPr>
              <w:t>编制衡阳市石化、焦化、电池、现代煤化工、无机化学、聚氯乙烯、化肥、农药制造、涂料油墨、合成材料制造等“第二批18个行业”的工业污染源污染物排放情况评估报告</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r>
              <w:rPr>
                <w:rFonts w:hint="eastAsia" w:ascii="Times New Roman" w:hAnsi="Times New Roman"/>
                <w:color w:val="000000"/>
                <w:kern w:val="0"/>
                <w:szCs w:val="21"/>
              </w:rPr>
              <w:t>已编制衡阳市石化、焦化、电池、现代煤化工、无机化学、聚氯乙烯、化肥、农药制造、涂料油墨、合成材料制造等“第二批18个行业”的工业污染源污染物排放情况评估报告</w:t>
            </w:r>
          </w:p>
        </w:tc>
      </w:tr>
      <w:tr>
        <w:tblPrEx>
          <w:tblCellMar>
            <w:top w:w="0" w:type="dxa"/>
            <w:left w:w="108" w:type="dxa"/>
            <w:bottom w:w="0" w:type="dxa"/>
            <w:right w:w="108" w:type="dxa"/>
          </w:tblCellMar>
        </w:tblPrEx>
        <w:trPr>
          <w:trHeight w:val="20"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center"/>
              <w:rPr>
                <w:rFonts w:ascii="Times New Roman" w:hAnsi="Times New Roman" w:eastAsia="仿宋_GB2312"/>
                <w:color w:val="000000"/>
                <w:kern w:val="0"/>
                <w:szCs w:val="21"/>
              </w:rPr>
            </w:pP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评估报告部完成任务数占计划数比例</w:t>
            </w:r>
          </w:p>
        </w:tc>
        <w:tc>
          <w:tcPr>
            <w:tcW w:w="1230"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评估报告审核通过率</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评估报告完成时间节点</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评估报告编制</w:t>
            </w:r>
          </w:p>
        </w:tc>
        <w:tc>
          <w:tcPr>
            <w:tcW w:w="1230"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平均69.5元/本</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平均69.5元/本</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left"/>
              <w:rPr>
                <w:rFonts w:ascii="Times New Roman" w:hAnsi="Times New Roman" w:eastAsia="仿宋_GB2312"/>
                <w:color w:val="000000"/>
                <w:kern w:val="0"/>
                <w:szCs w:val="21"/>
              </w:rPr>
            </w:pPr>
          </w:p>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改善环境</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达标计划实施取得明显成效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各类工业污染源持续保持达标排放</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良好</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良好</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7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衡阳市生态环境局满意度</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156"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胡浩</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2021.3.4</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2886012</w:t>
      </w:r>
      <w:r>
        <w:rPr>
          <w:rFonts w:ascii="Times New Roman" w:hAnsi="Times New Roman" w:eastAsia="仿宋_GB2312"/>
          <w:sz w:val="24"/>
        </w:rPr>
        <w:t xml:space="preserve">   单位负责人签字：</w:t>
      </w:r>
    </w:p>
    <w:p>
      <w:pPr>
        <w:rPr>
          <w:rFonts w:ascii="Times New Roman" w:hAnsi="Times New Roman" w:eastAsia="黑体"/>
          <w:sz w:val="32"/>
          <w:szCs w:val="32"/>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eastAsia="楷体"/>
                <w:sz w:val="32"/>
                <w:szCs w:val="32"/>
              </w:rPr>
              <w:t>衡阳市十三五环境保护规划</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衡阳市生态环境局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衡阳市环境保护科学研究所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13.12</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13.12</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13.12</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完成衡阳市“十三五”环境保护规划终期评估</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完成衡阳市“十三五”环境保护规划终期评估</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终期评估报告编制完成数量</w:t>
            </w:r>
          </w:p>
        </w:tc>
        <w:tc>
          <w:tcPr>
            <w:tcW w:w="1230"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终期评估通过率</w:t>
            </w:r>
          </w:p>
        </w:tc>
        <w:tc>
          <w:tcPr>
            <w:tcW w:w="1230"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终期评估报告完成时间节点</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终期评估报告编制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w:t>
            </w:r>
            <w:r>
              <w:rPr>
                <w:rFonts w:hint="eastAsia" w:ascii="Times New Roman" w:hAnsi="Times New Roman" w:eastAsia="仿宋_GB2312"/>
                <w:color w:val="auto"/>
                <w:kern w:val="0"/>
                <w:szCs w:val="21"/>
                <w:lang w:val="en-US" w:eastAsia="zh-CN"/>
              </w:rPr>
              <w:t>34</w:t>
            </w:r>
            <w:r>
              <w:rPr>
                <w:rFonts w:hint="eastAsia" w:ascii="Times New Roman" w:hAnsi="Times New Roman" w:eastAsia="仿宋_GB2312"/>
                <w:color w:val="000000"/>
                <w:kern w:val="0"/>
                <w:szCs w:val="21"/>
              </w:rPr>
              <w:t>元/本</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w:t>
            </w:r>
            <w:r>
              <w:rPr>
                <w:rFonts w:hint="eastAsia" w:ascii="Times New Roman" w:hAnsi="Times New Roman" w:eastAsia="仿宋_GB2312"/>
                <w:color w:val="auto"/>
                <w:kern w:val="0"/>
                <w:szCs w:val="21"/>
                <w:lang w:val="en-US" w:eastAsia="zh-CN"/>
              </w:rPr>
              <w:t>34</w:t>
            </w:r>
            <w:r>
              <w:rPr>
                <w:rFonts w:hint="eastAsia" w:ascii="Times New Roman" w:hAnsi="Times New Roman" w:eastAsia="仿宋_GB2312"/>
                <w:color w:val="000000"/>
                <w:kern w:val="0"/>
                <w:szCs w:val="21"/>
              </w:rPr>
              <w:t>元/本</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改善环境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规划实施取得明显成效</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79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持续改善衡阳市生态环境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9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衡阳市生态环境局满意度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156"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胡浩</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2021.3.4</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2886012</w:t>
      </w:r>
      <w:r>
        <w:rPr>
          <w:rFonts w:ascii="Times New Roman" w:hAnsi="Times New Roman" w:eastAsia="仿宋_GB2312"/>
          <w:sz w:val="24"/>
        </w:rPr>
        <w:t xml:space="preserve">   单位负责人签字：</w:t>
      </w:r>
    </w:p>
    <w:p>
      <w:pPr>
        <w:rPr>
          <w:rFonts w:ascii="Times New Roman" w:hAnsi="Times New Roman" w:eastAsia="黑体"/>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eastAsia="楷体"/>
                <w:sz w:val="32"/>
                <w:szCs w:val="32"/>
              </w:rPr>
              <w:t>衡阳市建筑工地扬尘防控技术研究</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衡阳市生态环境局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衡阳市环境保护科学研究所</w:t>
            </w:r>
          </w:p>
        </w:tc>
      </w:tr>
      <w:tr>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3.9</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3.9</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w:t>
            </w:r>
            <w:r>
              <w:rPr>
                <w:rFonts w:hint="eastAsia" w:ascii="Times New Roman" w:hAnsi="Times New Roman" w:eastAsia="仿宋_GB2312"/>
                <w:color w:val="000000"/>
                <w:kern w:val="0"/>
                <w:szCs w:val="21"/>
              </w:rPr>
              <w:t>衡阳市建筑工地扬尘防控技术研究技术报告</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完成</w:t>
            </w:r>
            <w:r>
              <w:rPr>
                <w:rFonts w:hint="eastAsia" w:ascii="Times New Roman" w:hAnsi="Times New Roman" w:eastAsia="仿宋_GB2312"/>
                <w:color w:val="000000"/>
                <w:kern w:val="0"/>
                <w:szCs w:val="21"/>
              </w:rPr>
              <w:t>衡阳市建筑工地扬尘防控技术研究技术报告</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四个城区扬尘调研</w:t>
            </w:r>
          </w:p>
        </w:tc>
        <w:tc>
          <w:tcPr>
            <w:tcW w:w="1230"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技术报告通过率</w:t>
            </w:r>
          </w:p>
        </w:tc>
        <w:tc>
          <w:tcPr>
            <w:tcW w:w="1230"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通过审核</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通过审核</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5</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技术报告完成时间节点</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技术报告编制</w:t>
            </w:r>
          </w:p>
        </w:tc>
        <w:tc>
          <w:tcPr>
            <w:tcW w:w="1230"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w:t>
            </w:r>
            <w:r>
              <w:rPr>
                <w:rFonts w:hint="eastAsia" w:ascii="Times New Roman" w:hAnsi="Times New Roman" w:eastAsia="仿宋_GB2312"/>
                <w:color w:val="000000"/>
                <w:kern w:val="0"/>
                <w:szCs w:val="21"/>
                <w:lang w:val="en-US" w:eastAsia="zh-CN"/>
              </w:rPr>
              <w:t>141</w:t>
            </w:r>
            <w:r>
              <w:rPr>
                <w:rFonts w:hint="eastAsia" w:ascii="Times New Roman" w:hAnsi="Times New Roman" w:eastAsia="仿宋_GB2312"/>
                <w:color w:val="000000"/>
                <w:kern w:val="0"/>
                <w:szCs w:val="21"/>
              </w:rPr>
              <w:t>元/本</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平均</w:t>
            </w:r>
            <w:r>
              <w:rPr>
                <w:rFonts w:hint="eastAsia" w:ascii="Times New Roman" w:hAnsi="Times New Roman" w:eastAsia="仿宋_GB2312"/>
                <w:color w:val="auto"/>
                <w:kern w:val="0"/>
                <w:szCs w:val="21"/>
                <w:lang w:val="en-US" w:eastAsia="zh-CN"/>
              </w:rPr>
              <w:t>141</w:t>
            </w:r>
            <w:r>
              <w:rPr>
                <w:rFonts w:hint="eastAsia" w:ascii="Times New Roman" w:hAnsi="Times New Roman" w:eastAsia="仿宋_GB2312"/>
                <w:color w:val="000000"/>
                <w:kern w:val="0"/>
                <w:szCs w:val="21"/>
              </w:rPr>
              <w:t>元/本</w:t>
            </w:r>
          </w:p>
        </w:tc>
        <w:tc>
          <w:tcPr>
            <w:tcW w:w="993"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pP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改善</w:t>
            </w:r>
            <w:r>
              <w:rPr>
                <w:rFonts w:hint="eastAsia" w:ascii="Times New Roman" w:hAnsi="Times New Roman" w:eastAsia="仿宋_GB2312"/>
                <w:color w:val="000000"/>
                <w:kern w:val="0"/>
                <w:szCs w:val="21"/>
              </w:rPr>
              <w:t>城区大气</w:t>
            </w:r>
            <w:r>
              <w:rPr>
                <w:rFonts w:ascii="Times New Roman" w:hAnsi="Times New Roman" w:eastAsia="仿宋_GB2312"/>
                <w:color w:val="000000"/>
                <w:kern w:val="0"/>
                <w:szCs w:val="21"/>
              </w:rPr>
              <w:t>环境</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防控技术实施取得明显成效</w:t>
            </w:r>
          </w:p>
        </w:tc>
        <w:tc>
          <w:tcPr>
            <w:tcW w:w="1230" w:type="dxa"/>
            <w:tcBorders>
              <w:top w:val="single" w:color="auto" w:sz="4" w:space="0"/>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79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持续改善衡阳市生态环境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926"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right w:val="single" w:color="auto" w:sz="4" w:space="0"/>
            </w:tcBorders>
            <w:shd w:val="clear" w:color="auto" w:fill="auto"/>
            <w:noWrap/>
            <w:vAlign w:val="center"/>
          </w:tcPr>
          <w:p>
            <w:pPr>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衡阳市生态环境局满意度</w:t>
            </w:r>
          </w:p>
        </w:tc>
        <w:tc>
          <w:tcPr>
            <w:tcW w:w="1230" w:type="dxa"/>
            <w:tcBorders>
              <w:top w:val="single" w:color="auto" w:sz="4" w:space="0"/>
              <w:left w:val="nil"/>
              <w:right w:val="single" w:color="auto" w:sz="4" w:space="0"/>
            </w:tcBorders>
            <w:shd w:val="clear" w:color="auto" w:fill="auto"/>
            <w:noWrap/>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156"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胡浩</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2021.3.4</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2886012</w:t>
      </w:r>
      <w:r>
        <w:rPr>
          <w:rFonts w:ascii="Times New Roman" w:hAnsi="Times New Roman" w:eastAsia="仿宋_GB2312"/>
          <w:sz w:val="24"/>
        </w:rPr>
        <w:t xml:space="preserve">   单位负责人签字：</w:t>
      </w:r>
    </w:p>
    <w:p>
      <w:pPr>
        <w:rPr>
          <w:rFonts w:ascii="Times New Roman" w:hAnsi="Times New Roman" w:eastAsia="黑体"/>
          <w:sz w:val="32"/>
          <w:szCs w:val="32"/>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eastAsia="楷体"/>
                <w:sz w:val="32"/>
                <w:szCs w:val="32"/>
              </w:rPr>
              <w:t>水体</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衡阳市生态环境局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衡阳市环境保护科学研究所</w:t>
            </w:r>
          </w:p>
        </w:tc>
      </w:tr>
      <w:tr>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2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2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完成《衡阳市集中式饮用水水源2020年度环境状况评估自查报告》、《2020年衡阳市县级饮用水源地环境状况评估自查报告》、《湖南省衡阳市2020年度水环境承载力评价报告》</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完成《衡阳市集中式饮用水水源2020年度环境状况评估自查报告》、《2020年衡阳市县级饮用水源地环境状况评估自查报告》、《湖南省衡阳市2020年度水环境承载力评价报告》</w:t>
            </w:r>
          </w:p>
        </w:tc>
      </w:tr>
      <w:tr>
        <w:tblPrEx>
          <w:tblCellMar>
            <w:top w:w="0" w:type="dxa"/>
            <w:left w:w="108" w:type="dxa"/>
            <w:bottom w:w="0" w:type="dxa"/>
            <w:right w:w="108" w:type="dxa"/>
          </w:tblCellMar>
        </w:tblPrEx>
        <w:trPr>
          <w:trHeight w:val="20"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center"/>
              <w:rPr>
                <w:rFonts w:ascii="Times New Roman" w:hAnsi="Times New Roman" w:eastAsia="仿宋_GB2312"/>
                <w:color w:val="000000"/>
                <w:kern w:val="0"/>
                <w:szCs w:val="21"/>
              </w:rPr>
            </w:pP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评估地表水考核断面数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w:t>
            </w:r>
            <w:r>
              <w:rPr>
                <w:rFonts w:ascii="Times New Roman" w:hAnsi="Times New Roman" w:eastAsia="仿宋_GB2312"/>
                <w:color w:val="000000"/>
                <w:kern w:val="0"/>
                <w:szCs w:val="21"/>
              </w:rPr>
              <w:t>27</w:t>
            </w:r>
            <w:r>
              <w:rPr>
                <w:rFonts w:hint="eastAsia" w:ascii="Times New Roman" w:hAnsi="Times New Roman" w:eastAsia="仿宋_GB2312"/>
                <w:color w:val="000000"/>
                <w:kern w:val="0"/>
                <w:szCs w:val="21"/>
              </w:rPr>
              <w:t>个</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w:t>
            </w:r>
            <w:r>
              <w:rPr>
                <w:rFonts w:ascii="Times New Roman" w:hAnsi="Times New Roman" w:eastAsia="仿宋_GB2312"/>
                <w:color w:val="000000"/>
                <w:kern w:val="0"/>
                <w:szCs w:val="21"/>
              </w:rPr>
              <w:t>27</w:t>
            </w:r>
            <w:r>
              <w:rPr>
                <w:rFonts w:hint="eastAsia" w:ascii="Times New Roman" w:hAnsi="Times New Roman" w:eastAsia="仿宋_GB2312"/>
                <w:color w:val="000000"/>
                <w:kern w:val="0"/>
                <w:szCs w:val="21"/>
              </w:rPr>
              <w:t>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评估水源保护区数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评估3个市级10个县级</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评估3个市级10个县级</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技术报告通过率</w:t>
            </w:r>
          </w:p>
        </w:tc>
        <w:tc>
          <w:tcPr>
            <w:tcW w:w="1230"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通过审核</w:t>
            </w:r>
          </w:p>
        </w:tc>
        <w:tc>
          <w:tcPr>
            <w:tcW w:w="1107"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通过审核</w:t>
            </w:r>
          </w:p>
        </w:tc>
        <w:tc>
          <w:tcPr>
            <w:tcW w:w="993"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技术报告完成时间节点</w:t>
            </w:r>
          </w:p>
        </w:tc>
        <w:tc>
          <w:tcPr>
            <w:tcW w:w="1230"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1107"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按时完成</w:t>
            </w:r>
          </w:p>
        </w:tc>
        <w:tc>
          <w:tcPr>
            <w:tcW w:w="993"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技术报告编制</w:t>
            </w:r>
          </w:p>
        </w:tc>
        <w:tc>
          <w:tcPr>
            <w:tcW w:w="1230"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rPr>
              <w:t>平均</w:t>
            </w:r>
            <w:r>
              <w:rPr>
                <w:rFonts w:hint="eastAsia" w:ascii="Times New Roman" w:hAnsi="Times New Roman" w:eastAsia="仿宋_GB2312"/>
                <w:color w:val="auto"/>
                <w:kern w:val="0"/>
                <w:szCs w:val="21"/>
                <w:lang w:val="en-US" w:eastAsia="zh-CN"/>
              </w:rPr>
              <w:t>47</w:t>
            </w:r>
            <w:r>
              <w:rPr>
                <w:rFonts w:hint="eastAsia" w:ascii="Times New Roman" w:hAnsi="Times New Roman" w:eastAsia="仿宋_GB2312"/>
                <w:color w:val="auto"/>
                <w:kern w:val="0"/>
                <w:szCs w:val="21"/>
              </w:rPr>
              <w:t>元/本</w:t>
            </w:r>
          </w:p>
        </w:tc>
        <w:tc>
          <w:tcPr>
            <w:tcW w:w="1107"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rPr>
              <w:t>平均</w:t>
            </w:r>
            <w:r>
              <w:rPr>
                <w:rFonts w:hint="eastAsia" w:ascii="Times New Roman" w:hAnsi="Times New Roman" w:eastAsia="仿宋_GB2312"/>
                <w:color w:val="auto"/>
                <w:kern w:val="0"/>
                <w:szCs w:val="21"/>
                <w:lang w:val="en-US" w:eastAsia="zh-CN"/>
              </w:rPr>
              <w:t>47</w:t>
            </w:r>
            <w:r>
              <w:rPr>
                <w:rFonts w:hint="eastAsia" w:ascii="Times New Roman" w:hAnsi="Times New Roman" w:eastAsia="仿宋_GB2312"/>
                <w:color w:val="auto"/>
                <w:kern w:val="0"/>
                <w:szCs w:val="21"/>
              </w:rPr>
              <w:t>元/本</w:t>
            </w:r>
          </w:p>
        </w:tc>
        <w:tc>
          <w:tcPr>
            <w:tcW w:w="993"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left"/>
              <w:rPr>
                <w:rFonts w:ascii="Times New Roman" w:hAnsi="Times New Roman" w:eastAsia="仿宋_GB2312"/>
                <w:color w:val="000000"/>
                <w:kern w:val="0"/>
                <w:szCs w:val="21"/>
              </w:rPr>
            </w:pPr>
          </w:p>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1230" w:type="dxa"/>
            <w:tcBorders>
              <w:top w:val="single" w:color="auto" w:sz="4" w:space="0"/>
              <w:left w:val="nil"/>
              <w:right w:val="single" w:color="auto" w:sz="4" w:space="0"/>
            </w:tcBorders>
            <w:shd w:val="clear" w:color="auto" w:fill="auto"/>
            <w:noWrap/>
            <w:vAlign w:val="center"/>
          </w:tcPr>
          <w:p>
            <w:pPr>
              <w:spacing w:line="260" w:lineRule="exact"/>
              <w:jc w:val="center"/>
            </w:pPr>
            <w:r>
              <w:rPr>
                <w:rFonts w:hint="eastAsia" w:ascii="Times New Roman" w:hAnsi="Times New Roman" w:eastAsia="仿宋_GB2312"/>
                <w:color w:val="000000"/>
                <w:kern w:val="0"/>
                <w:szCs w:val="21"/>
              </w:rPr>
              <w:t>/</w:t>
            </w:r>
          </w:p>
        </w:tc>
        <w:tc>
          <w:tcPr>
            <w:tcW w:w="1107" w:type="dxa"/>
            <w:tcBorders>
              <w:top w:val="single" w:color="auto" w:sz="4" w:space="0"/>
              <w:left w:val="nil"/>
              <w:right w:val="single" w:color="auto" w:sz="4" w:space="0"/>
            </w:tcBorders>
            <w:shd w:val="clear" w:color="auto" w:fill="auto"/>
            <w:noWrap/>
            <w:vAlign w:val="center"/>
          </w:tcPr>
          <w:p>
            <w:pPr>
              <w:spacing w:line="260" w:lineRule="exact"/>
              <w:jc w:val="center"/>
            </w:pPr>
            <w:r>
              <w:rPr>
                <w:rFonts w:hint="eastAsia" w:ascii="Times New Roman" w:hAnsi="Times New Roman" w:eastAsia="仿宋_GB2312"/>
                <w:color w:val="000000"/>
                <w:kern w:val="0"/>
                <w:szCs w:val="21"/>
              </w:rPr>
              <w:t>/</w:t>
            </w:r>
          </w:p>
        </w:tc>
        <w:tc>
          <w:tcPr>
            <w:tcW w:w="993" w:type="dxa"/>
            <w:tcBorders>
              <w:top w:val="single" w:color="auto" w:sz="4" w:space="0"/>
              <w:left w:val="nil"/>
              <w:right w:val="single" w:color="auto" w:sz="4" w:space="0"/>
            </w:tcBorders>
            <w:shd w:val="clear" w:color="auto" w:fill="auto"/>
            <w:noWrap/>
            <w:vAlign w:val="center"/>
          </w:tcPr>
          <w:p>
            <w:pPr>
              <w:spacing w:line="260" w:lineRule="exact"/>
              <w:jc w:val="center"/>
            </w:pPr>
            <w:r>
              <w:rPr>
                <w:rFonts w:hint="eastAsia" w:ascii="Times New Roman" w:hAnsi="Times New Roman" w:eastAsia="仿宋_GB2312"/>
                <w:color w:val="000000"/>
                <w:kern w:val="0"/>
                <w:szCs w:val="21"/>
              </w:rPr>
              <w:t>/</w:t>
            </w:r>
          </w:p>
        </w:tc>
        <w:tc>
          <w:tcPr>
            <w:tcW w:w="855" w:type="dxa"/>
            <w:tcBorders>
              <w:top w:val="single" w:color="auto" w:sz="4" w:space="0"/>
              <w:left w:val="nil"/>
              <w:right w:val="single" w:color="auto" w:sz="4" w:space="0"/>
            </w:tcBorders>
            <w:shd w:val="clear" w:color="auto" w:fill="auto"/>
            <w:noWrap/>
            <w:vAlign w:val="center"/>
          </w:tcPr>
          <w:p>
            <w:pPr>
              <w:spacing w:line="260" w:lineRule="exact"/>
              <w:jc w:val="center"/>
            </w:pPr>
            <w:r>
              <w:rPr>
                <w:rFonts w:hint="eastAsia" w:ascii="Times New Roman" w:hAnsi="Times New Roman" w:eastAsia="仿宋_GB2312"/>
                <w:color w:val="000000"/>
                <w:kern w:val="0"/>
                <w:szCs w:val="21"/>
              </w:rPr>
              <w:t>/</w:t>
            </w:r>
          </w:p>
        </w:tc>
        <w:tc>
          <w:tcPr>
            <w:tcW w:w="1271" w:type="dxa"/>
            <w:tcBorders>
              <w:top w:val="single" w:color="auto" w:sz="4" w:space="0"/>
              <w:left w:val="nil"/>
              <w:right w:val="single" w:color="auto" w:sz="4" w:space="0"/>
            </w:tcBorders>
            <w:shd w:val="clear" w:color="auto" w:fill="auto"/>
            <w:noWrap/>
            <w:vAlign w:val="center"/>
          </w:tcPr>
          <w:p>
            <w:pPr>
              <w:spacing w:line="260" w:lineRule="exact"/>
              <w:jc w:val="center"/>
            </w:pP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right w:val="single" w:color="auto" w:sz="4" w:space="0"/>
            </w:tcBorders>
            <w:shd w:val="clear" w:color="auto" w:fill="auto"/>
            <w:noWrap/>
            <w:vAlign w:val="center"/>
          </w:tcPr>
          <w:p>
            <w:pPr>
              <w:spacing w:line="260" w:lineRule="exact"/>
              <w:jc w:val="center"/>
            </w:pPr>
            <w:r>
              <w:rPr>
                <w:rFonts w:ascii="Times New Roman" w:hAnsi="Times New Roman" w:eastAsia="仿宋_GB2312"/>
                <w:color w:val="000000"/>
                <w:kern w:val="0"/>
                <w:szCs w:val="21"/>
              </w:rPr>
              <w:t>改善</w:t>
            </w:r>
            <w:r>
              <w:rPr>
                <w:rFonts w:hint="eastAsia" w:ascii="Times New Roman" w:hAnsi="Times New Roman" w:eastAsia="仿宋_GB2312"/>
                <w:color w:val="000000"/>
                <w:kern w:val="0"/>
                <w:szCs w:val="21"/>
              </w:rPr>
              <w:t>区域水</w:t>
            </w:r>
            <w:r>
              <w:rPr>
                <w:rFonts w:ascii="Times New Roman" w:hAnsi="Times New Roman" w:eastAsia="仿宋_GB2312"/>
                <w:color w:val="000000"/>
                <w:kern w:val="0"/>
                <w:szCs w:val="21"/>
              </w:rPr>
              <w:t>环境</w:t>
            </w:r>
          </w:p>
        </w:tc>
        <w:tc>
          <w:tcPr>
            <w:tcW w:w="1230"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spacing w:line="260" w:lineRule="exact"/>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nil"/>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为改善水环境提供依据</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持续改善衡阳市生态环境</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达到预期目标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1135" w:type="dxa"/>
            <w:vMerge w:val="continue"/>
            <w:tcBorders>
              <w:left w:val="single" w:color="auto" w:sz="4" w:space="0"/>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right w:val="single" w:color="auto" w:sz="4" w:space="0"/>
            </w:tcBorders>
            <w:shd w:val="clear" w:color="auto" w:fill="auto"/>
            <w:noWrap/>
            <w:vAlign w:val="center"/>
          </w:tcPr>
          <w:p>
            <w:pPr>
              <w:spacing w:line="26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衡阳市生态环境局满意度</w:t>
            </w:r>
          </w:p>
        </w:tc>
        <w:tc>
          <w:tcPr>
            <w:tcW w:w="1230" w:type="dxa"/>
            <w:tcBorders>
              <w:top w:val="single" w:color="auto" w:sz="4" w:space="0"/>
              <w:left w:val="nil"/>
              <w:right w:val="single" w:color="auto" w:sz="4" w:space="0"/>
            </w:tcBorders>
            <w:shd w:val="clear" w:color="auto" w:fill="auto"/>
            <w:noWrap/>
            <w:vAlign w:val="center"/>
          </w:tcPr>
          <w:p>
            <w:pPr>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1107"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00%</w:t>
            </w:r>
          </w:p>
        </w:tc>
        <w:tc>
          <w:tcPr>
            <w:tcW w:w="993"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855"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0</w:t>
            </w:r>
          </w:p>
        </w:tc>
        <w:tc>
          <w:tcPr>
            <w:tcW w:w="1271" w:type="dxa"/>
            <w:tcBorders>
              <w:top w:val="single" w:color="auto" w:sz="4" w:space="0"/>
              <w:left w:val="nil"/>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156"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胡浩</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2021.3.4</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2886012</w:t>
      </w:r>
      <w:r>
        <w:rPr>
          <w:rFonts w:ascii="Times New Roman" w:hAnsi="Times New Roman" w:eastAsia="仿宋_GB2312"/>
          <w:sz w:val="24"/>
        </w:rPr>
        <w:t xml:space="preserve">   单位负责人签字：</w:t>
      </w:r>
    </w:p>
    <w:sectPr>
      <w:footerReference r:id="rId3" w:type="default"/>
      <w:footerReference r:id="rId4" w:type="even"/>
      <w:pgSz w:w="11906" w:h="16838"/>
      <w:pgMar w:top="1270" w:right="1797" w:bottom="1157"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- 12 -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4D382"/>
    <w:multiLevelType w:val="singleLevel"/>
    <w:tmpl w:val="88E4D382"/>
    <w:lvl w:ilvl="0" w:tentative="0">
      <w:start w:val="1"/>
      <w:numFmt w:val="decimal"/>
      <w:lvlText w:val="%1."/>
      <w:lvlJc w:val="left"/>
      <w:pPr>
        <w:tabs>
          <w:tab w:val="left" w:pos="312"/>
        </w:tabs>
      </w:pPr>
    </w:lvl>
  </w:abstractNum>
  <w:abstractNum w:abstractNumId="1">
    <w:nsid w:val="5F0B8122"/>
    <w:multiLevelType w:val="singleLevel"/>
    <w:tmpl w:val="5F0B81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EF"/>
    <w:rsid w:val="0000031E"/>
    <w:rsid w:val="000003CE"/>
    <w:rsid w:val="00006E4A"/>
    <w:rsid w:val="00012C93"/>
    <w:rsid w:val="00047F84"/>
    <w:rsid w:val="00050E1A"/>
    <w:rsid w:val="000734E3"/>
    <w:rsid w:val="000773D5"/>
    <w:rsid w:val="00080625"/>
    <w:rsid w:val="00093B9D"/>
    <w:rsid w:val="00094646"/>
    <w:rsid w:val="0009693E"/>
    <w:rsid w:val="000B198C"/>
    <w:rsid w:val="000C1C21"/>
    <w:rsid w:val="000D2C41"/>
    <w:rsid w:val="000F775C"/>
    <w:rsid w:val="00125025"/>
    <w:rsid w:val="00135395"/>
    <w:rsid w:val="001433A2"/>
    <w:rsid w:val="00150B39"/>
    <w:rsid w:val="00184AF2"/>
    <w:rsid w:val="00192C8B"/>
    <w:rsid w:val="001B56F4"/>
    <w:rsid w:val="001B69B6"/>
    <w:rsid w:val="001D51B4"/>
    <w:rsid w:val="001F7E2A"/>
    <w:rsid w:val="001F7E8F"/>
    <w:rsid w:val="0020617B"/>
    <w:rsid w:val="002238BB"/>
    <w:rsid w:val="002320EB"/>
    <w:rsid w:val="00250A2E"/>
    <w:rsid w:val="00261A26"/>
    <w:rsid w:val="00264F99"/>
    <w:rsid w:val="0027341E"/>
    <w:rsid w:val="002734F8"/>
    <w:rsid w:val="00274F6A"/>
    <w:rsid w:val="002E75D6"/>
    <w:rsid w:val="002F028F"/>
    <w:rsid w:val="002F05A3"/>
    <w:rsid w:val="002F703C"/>
    <w:rsid w:val="003115C2"/>
    <w:rsid w:val="003126FC"/>
    <w:rsid w:val="0032265F"/>
    <w:rsid w:val="00323CF3"/>
    <w:rsid w:val="0032533F"/>
    <w:rsid w:val="00327792"/>
    <w:rsid w:val="003655C9"/>
    <w:rsid w:val="00371658"/>
    <w:rsid w:val="00384BCE"/>
    <w:rsid w:val="00386D93"/>
    <w:rsid w:val="003B6814"/>
    <w:rsid w:val="003B7F5C"/>
    <w:rsid w:val="003E1FD6"/>
    <w:rsid w:val="003F7EAF"/>
    <w:rsid w:val="004148E0"/>
    <w:rsid w:val="004217FE"/>
    <w:rsid w:val="00474A27"/>
    <w:rsid w:val="00474AD0"/>
    <w:rsid w:val="00481E94"/>
    <w:rsid w:val="00487AC5"/>
    <w:rsid w:val="00496F05"/>
    <w:rsid w:val="004A3BB0"/>
    <w:rsid w:val="004C0C59"/>
    <w:rsid w:val="004C6A7E"/>
    <w:rsid w:val="004E43E1"/>
    <w:rsid w:val="004E57B7"/>
    <w:rsid w:val="004F4295"/>
    <w:rsid w:val="005010B5"/>
    <w:rsid w:val="00541A59"/>
    <w:rsid w:val="00550EFD"/>
    <w:rsid w:val="00551D43"/>
    <w:rsid w:val="00562EEB"/>
    <w:rsid w:val="0056660C"/>
    <w:rsid w:val="005851E9"/>
    <w:rsid w:val="00586559"/>
    <w:rsid w:val="00594AEE"/>
    <w:rsid w:val="005A19BD"/>
    <w:rsid w:val="005C60D5"/>
    <w:rsid w:val="00616998"/>
    <w:rsid w:val="00636D27"/>
    <w:rsid w:val="00637CE2"/>
    <w:rsid w:val="00647795"/>
    <w:rsid w:val="00661738"/>
    <w:rsid w:val="006906AF"/>
    <w:rsid w:val="006964D9"/>
    <w:rsid w:val="006F2101"/>
    <w:rsid w:val="006F37DA"/>
    <w:rsid w:val="00704941"/>
    <w:rsid w:val="00705365"/>
    <w:rsid w:val="00707959"/>
    <w:rsid w:val="0071000B"/>
    <w:rsid w:val="007123D7"/>
    <w:rsid w:val="00743272"/>
    <w:rsid w:val="00751BF0"/>
    <w:rsid w:val="00753AFA"/>
    <w:rsid w:val="00765A43"/>
    <w:rsid w:val="00771B0E"/>
    <w:rsid w:val="007778D0"/>
    <w:rsid w:val="007809D2"/>
    <w:rsid w:val="00781959"/>
    <w:rsid w:val="00792373"/>
    <w:rsid w:val="0079586D"/>
    <w:rsid w:val="00795B22"/>
    <w:rsid w:val="007A3E06"/>
    <w:rsid w:val="007A6F2C"/>
    <w:rsid w:val="007B5034"/>
    <w:rsid w:val="007D77C4"/>
    <w:rsid w:val="007E090D"/>
    <w:rsid w:val="007E2C17"/>
    <w:rsid w:val="007E2D1B"/>
    <w:rsid w:val="007E3E71"/>
    <w:rsid w:val="007F1EAF"/>
    <w:rsid w:val="008106B4"/>
    <w:rsid w:val="00820EEF"/>
    <w:rsid w:val="00821009"/>
    <w:rsid w:val="00847A3C"/>
    <w:rsid w:val="008860CF"/>
    <w:rsid w:val="00893AEC"/>
    <w:rsid w:val="008D67F1"/>
    <w:rsid w:val="00935843"/>
    <w:rsid w:val="00945D1D"/>
    <w:rsid w:val="009477D1"/>
    <w:rsid w:val="00953CCB"/>
    <w:rsid w:val="009602DA"/>
    <w:rsid w:val="00972566"/>
    <w:rsid w:val="009762A3"/>
    <w:rsid w:val="00976837"/>
    <w:rsid w:val="0099481A"/>
    <w:rsid w:val="009A7E66"/>
    <w:rsid w:val="009B2A62"/>
    <w:rsid w:val="009C4723"/>
    <w:rsid w:val="009D11D2"/>
    <w:rsid w:val="009D4B7E"/>
    <w:rsid w:val="009D5608"/>
    <w:rsid w:val="009E418E"/>
    <w:rsid w:val="009E699D"/>
    <w:rsid w:val="009F28FB"/>
    <w:rsid w:val="00A148B9"/>
    <w:rsid w:val="00A27AB1"/>
    <w:rsid w:val="00A35224"/>
    <w:rsid w:val="00A3605E"/>
    <w:rsid w:val="00A43A8E"/>
    <w:rsid w:val="00A46387"/>
    <w:rsid w:val="00A52A9A"/>
    <w:rsid w:val="00A55C61"/>
    <w:rsid w:val="00AC12C1"/>
    <w:rsid w:val="00AF0245"/>
    <w:rsid w:val="00AF15ED"/>
    <w:rsid w:val="00AF1AD7"/>
    <w:rsid w:val="00B20786"/>
    <w:rsid w:val="00B304A1"/>
    <w:rsid w:val="00B50CDB"/>
    <w:rsid w:val="00B57368"/>
    <w:rsid w:val="00B702EE"/>
    <w:rsid w:val="00B71E18"/>
    <w:rsid w:val="00B76FF3"/>
    <w:rsid w:val="00B834A3"/>
    <w:rsid w:val="00B864DE"/>
    <w:rsid w:val="00B8758E"/>
    <w:rsid w:val="00B910F1"/>
    <w:rsid w:val="00B95E7E"/>
    <w:rsid w:val="00B96206"/>
    <w:rsid w:val="00BC671F"/>
    <w:rsid w:val="00BD4955"/>
    <w:rsid w:val="00BE06DE"/>
    <w:rsid w:val="00BE3C11"/>
    <w:rsid w:val="00BF6801"/>
    <w:rsid w:val="00C03525"/>
    <w:rsid w:val="00C23636"/>
    <w:rsid w:val="00C37587"/>
    <w:rsid w:val="00C553EF"/>
    <w:rsid w:val="00C641BD"/>
    <w:rsid w:val="00C67D46"/>
    <w:rsid w:val="00C71D0A"/>
    <w:rsid w:val="00CB5751"/>
    <w:rsid w:val="00CC4373"/>
    <w:rsid w:val="00CD207D"/>
    <w:rsid w:val="00CD7E4E"/>
    <w:rsid w:val="00D23654"/>
    <w:rsid w:val="00D34C90"/>
    <w:rsid w:val="00D55C11"/>
    <w:rsid w:val="00D75793"/>
    <w:rsid w:val="00D75A9F"/>
    <w:rsid w:val="00D83263"/>
    <w:rsid w:val="00D850DB"/>
    <w:rsid w:val="00D8620A"/>
    <w:rsid w:val="00D95FAF"/>
    <w:rsid w:val="00DA41BF"/>
    <w:rsid w:val="00DA5825"/>
    <w:rsid w:val="00DB47F5"/>
    <w:rsid w:val="00DC12AC"/>
    <w:rsid w:val="00DC38FA"/>
    <w:rsid w:val="00DD4AA2"/>
    <w:rsid w:val="00DD5A15"/>
    <w:rsid w:val="00DD6390"/>
    <w:rsid w:val="00DE1776"/>
    <w:rsid w:val="00DE2128"/>
    <w:rsid w:val="00DF0B7A"/>
    <w:rsid w:val="00DF17B6"/>
    <w:rsid w:val="00DF23E1"/>
    <w:rsid w:val="00DF4551"/>
    <w:rsid w:val="00DF732C"/>
    <w:rsid w:val="00E15DDC"/>
    <w:rsid w:val="00E25A7B"/>
    <w:rsid w:val="00E323CD"/>
    <w:rsid w:val="00E4161A"/>
    <w:rsid w:val="00E567D4"/>
    <w:rsid w:val="00E568EB"/>
    <w:rsid w:val="00E8571A"/>
    <w:rsid w:val="00E93439"/>
    <w:rsid w:val="00E94B12"/>
    <w:rsid w:val="00EB2368"/>
    <w:rsid w:val="00EB5376"/>
    <w:rsid w:val="00EC3153"/>
    <w:rsid w:val="00EF43C0"/>
    <w:rsid w:val="00F10B3D"/>
    <w:rsid w:val="00F232FF"/>
    <w:rsid w:val="00F31255"/>
    <w:rsid w:val="00F43730"/>
    <w:rsid w:val="00F43C63"/>
    <w:rsid w:val="00F55DE1"/>
    <w:rsid w:val="00F578D5"/>
    <w:rsid w:val="00FA2B09"/>
    <w:rsid w:val="00FA2BB2"/>
    <w:rsid w:val="00FB36C0"/>
    <w:rsid w:val="00FC450D"/>
    <w:rsid w:val="00FD081E"/>
    <w:rsid w:val="00FE4826"/>
    <w:rsid w:val="028C11CF"/>
    <w:rsid w:val="0332621A"/>
    <w:rsid w:val="03435D32"/>
    <w:rsid w:val="043B2EAD"/>
    <w:rsid w:val="05D51530"/>
    <w:rsid w:val="06042B4C"/>
    <w:rsid w:val="0705782B"/>
    <w:rsid w:val="08A47272"/>
    <w:rsid w:val="08D51B22"/>
    <w:rsid w:val="092D40FB"/>
    <w:rsid w:val="09EF276F"/>
    <w:rsid w:val="0C44594F"/>
    <w:rsid w:val="0CF31EF8"/>
    <w:rsid w:val="0E412186"/>
    <w:rsid w:val="0E855902"/>
    <w:rsid w:val="0EF6634E"/>
    <w:rsid w:val="0F262ACD"/>
    <w:rsid w:val="0F477D96"/>
    <w:rsid w:val="0F6C03BE"/>
    <w:rsid w:val="136E191D"/>
    <w:rsid w:val="13C71CB2"/>
    <w:rsid w:val="13E42C19"/>
    <w:rsid w:val="154A73F4"/>
    <w:rsid w:val="156F0C08"/>
    <w:rsid w:val="15DA6FC6"/>
    <w:rsid w:val="15EC1D0B"/>
    <w:rsid w:val="160B6B83"/>
    <w:rsid w:val="19344A39"/>
    <w:rsid w:val="1A646DE3"/>
    <w:rsid w:val="1AB8095B"/>
    <w:rsid w:val="1B776B1C"/>
    <w:rsid w:val="1B7D5FE1"/>
    <w:rsid w:val="1B886580"/>
    <w:rsid w:val="1C411164"/>
    <w:rsid w:val="1CE47871"/>
    <w:rsid w:val="1D3A6BD9"/>
    <w:rsid w:val="1D9F0682"/>
    <w:rsid w:val="1E723E35"/>
    <w:rsid w:val="222B5E00"/>
    <w:rsid w:val="225E6D5C"/>
    <w:rsid w:val="22941EC1"/>
    <w:rsid w:val="22DD18A7"/>
    <w:rsid w:val="243A0633"/>
    <w:rsid w:val="27A22094"/>
    <w:rsid w:val="27C2106B"/>
    <w:rsid w:val="28795BCE"/>
    <w:rsid w:val="28A80261"/>
    <w:rsid w:val="2C3E18A0"/>
    <w:rsid w:val="2D0B4001"/>
    <w:rsid w:val="2D386830"/>
    <w:rsid w:val="2DB81369"/>
    <w:rsid w:val="2E660FDE"/>
    <w:rsid w:val="2F526AE0"/>
    <w:rsid w:val="324D385F"/>
    <w:rsid w:val="35092088"/>
    <w:rsid w:val="35343FC1"/>
    <w:rsid w:val="358D391B"/>
    <w:rsid w:val="38991A98"/>
    <w:rsid w:val="38D0327D"/>
    <w:rsid w:val="38F461AF"/>
    <w:rsid w:val="38FE4153"/>
    <w:rsid w:val="39AE31FE"/>
    <w:rsid w:val="3B8B1A48"/>
    <w:rsid w:val="3CF25AF7"/>
    <w:rsid w:val="3E8F7AA2"/>
    <w:rsid w:val="3F08204C"/>
    <w:rsid w:val="3FF84CBA"/>
    <w:rsid w:val="401605CF"/>
    <w:rsid w:val="40B557B9"/>
    <w:rsid w:val="42D40179"/>
    <w:rsid w:val="42FC194E"/>
    <w:rsid w:val="46D70B1D"/>
    <w:rsid w:val="47CC6920"/>
    <w:rsid w:val="48664FAA"/>
    <w:rsid w:val="48FE25DD"/>
    <w:rsid w:val="4B0C5FD6"/>
    <w:rsid w:val="4F1336B5"/>
    <w:rsid w:val="4F2B4D5D"/>
    <w:rsid w:val="4FF9121F"/>
    <w:rsid w:val="518C6BBC"/>
    <w:rsid w:val="5328630F"/>
    <w:rsid w:val="56D360E8"/>
    <w:rsid w:val="570010E5"/>
    <w:rsid w:val="574C257C"/>
    <w:rsid w:val="586E1101"/>
    <w:rsid w:val="5A296B9A"/>
    <w:rsid w:val="5D450D84"/>
    <w:rsid w:val="5D9A56C3"/>
    <w:rsid w:val="5F805773"/>
    <w:rsid w:val="5FE01B9F"/>
    <w:rsid w:val="62485C38"/>
    <w:rsid w:val="624E7327"/>
    <w:rsid w:val="62EB2217"/>
    <w:rsid w:val="631E5B99"/>
    <w:rsid w:val="633778C5"/>
    <w:rsid w:val="63854FBD"/>
    <w:rsid w:val="670173C1"/>
    <w:rsid w:val="680C0E27"/>
    <w:rsid w:val="6834547A"/>
    <w:rsid w:val="686A6888"/>
    <w:rsid w:val="68BB1E68"/>
    <w:rsid w:val="6BA12B03"/>
    <w:rsid w:val="6BE40B7D"/>
    <w:rsid w:val="6EEA46FD"/>
    <w:rsid w:val="71794BF8"/>
    <w:rsid w:val="722F0678"/>
    <w:rsid w:val="74C66A84"/>
    <w:rsid w:val="75EE2413"/>
    <w:rsid w:val="7955547A"/>
    <w:rsid w:val="79C30024"/>
    <w:rsid w:val="7AFB78D5"/>
    <w:rsid w:val="7BA94FF8"/>
    <w:rsid w:val="7CA63461"/>
    <w:rsid w:val="7CD42DD7"/>
    <w:rsid w:val="7D0E2993"/>
    <w:rsid w:val="7EBC32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1365</Words>
  <Characters>7782</Characters>
  <Lines>64</Lines>
  <Paragraphs>18</Paragraphs>
  <TotalTime>4</TotalTime>
  <ScaleCrop>false</ScaleCrop>
  <LinksUpToDate>false</LinksUpToDate>
  <CharactersWithSpaces>9129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2021-02-03T07:22:00Z</dcterms:created>
  <dc:creator>lenovo</dc:creator>
  <cp:lastModifiedBy>叮叮</cp:lastModifiedBy>
  <cp:lastPrinted>2022-03-07T08:20:00Z</cp:lastPrinted>
  <dcterms:modified xsi:type="dcterms:W3CDTF">2022-03-16T00:16:25Z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AC2C333C6ED64B92A06F3CACC3826470</vt:lpwstr>
  </property>
</Properties>
</file>