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5" w:rsidRDefault="000C7075">
      <w:pPr>
        <w:widowControl/>
        <w:spacing w:line="560" w:lineRule="exact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</w:p>
    <w:p w:rsidR="000C7075" w:rsidRDefault="000C7075">
      <w:pPr>
        <w:widowControl/>
        <w:spacing w:line="560" w:lineRule="exact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</w:p>
    <w:p w:rsidR="00873AEF" w:rsidRDefault="00DA17C0" w:rsidP="00873AEF">
      <w:pPr>
        <w:widowControl/>
        <w:spacing w:line="560" w:lineRule="exact"/>
        <w:ind w:firstLineChars="550" w:firstLine="2429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衡阳市环境保护局珠晖分局</w:t>
      </w:r>
    </w:p>
    <w:p w:rsidR="000C7075" w:rsidRDefault="00DC0629">
      <w:pPr>
        <w:widowControl/>
        <w:spacing w:line="560" w:lineRule="exact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20</w:t>
      </w:r>
      <w:r w:rsidR="00DA17C0">
        <w:rPr>
          <w:rFonts w:ascii="黑体" w:eastAsia="黑体" w:hAnsi="黑体" w:cs="仿宋_GB2312" w:hint="eastAsia"/>
          <w:b/>
          <w:kern w:val="0"/>
          <w:sz w:val="44"/>
          <w:szCs w:val="44"/>
        </w:rPr>
        <w:t>21</w:t>
      </w: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年度部门预算</w:t>
      </w:r>
      <w:r w:rsidR="00873AEF">
        <w:rPr>
          <w:rFonts w:ascii="黑体" w:eastAsia="黑体" w:hAnsi="黑体" w:cs="仿宋_GB2312" w:hint="eastAsia"/>
          <w:b/>
          <w:kern w:val="0"/>
          <w:sz w:val="44"/>
          <w:szCs w:val="44"/>
        </w:rPr>
        <w:t>和“三公”经费预算说明</w:t>
      </w:r>
    </w:p>
    <w:p w:rsidR="00873AEF" w:rsidRDefault="00873AEF">
      <w:pPr>
        <w:widowControl/>
        <w:spacing w:line="560" w:lineRule="exact"/>
        <w:ind w:firstLineChars="200" w:firstLine="883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 xml:space="preserve">     </w:t>
      </w:r>
    </w:p>
    <w:p w:rsidR="000C7075" w:rsidRDefault="00873AEF" w:rsidP="00873AEF">
      <w:pPr>
        <w:widowControl/>
        <w:spacing w:line="560" w:lineRule="exact"/>
        <w:ind w:firstLineChars="450" w:firstLine="1988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部门预算公开信息</w:t>
      </w:r>
      <w:r w:rsidR="00DC0629">
        <w:rPr>
          <w:rFonts w:ascii="黑体" w:eastAsia="黑体" w:hAnsi="黑体" w:cs="仿宋_GB2312" w:hint="eastAsia"/>
          <w:b/>
          <w:kern w:val="0"/>
          <w:sz w:val="44"/>
          <w:szCs w:val="44"/>
        </w:rPr>
        <w:t>目录</w:t>
      </w:r>
    </w:p>
    <w:p w:rsidR="000C7075" w:rsidRPr="00B452D7" w:rsidRDefault="00873AEF" w:rsidP="00531FAF">
      <w:pPr>
        <w:pStyle w:val="a5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部门职能职责</w:t>
      </w:r>
    </w:p>
    <w:p w:rsidR="00873AEF" w:rsidRPr="00B452D7" w:rsidRDefault="00873AEF" w:rsidP="00873AEF">
      <w:pPr>
        <w:pStyle w:val="a5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机构设置</w:t>
      </w:r>
    </w:p>
    <w:p w:rsidR="00873AEF" w:rsidRPr="00B452D7" w:rsidRDefault="00873AEF" w:rsidP="00873AEF">
      <w:pPr>
        <w:pStyle w:val="a5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部门收支概况</w:t>
      </w:r>
    </w:p>
    <w:p w:rsidR="00873AEF" w:rsidRPr="00B452D7" w:rsidRDefault="00531FAF" w:rsidP="00531FAF">
      <w:pPr>
        <w:widowControl/>
        <w:spacing w:line="560" w:lineRule="exact"/>
        <w:ind w:firstLineChars="800" w:firstLine="256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（一）</w:t>
      </w:r>
      <w:r w:rsidR="00873AEF"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收入预算</w:t>
      </w:r>
    </w:p>
    <w:p w:rsidR="00873AEF" w:rsidRPr="00B452D7" w:rsidRDefault="00873AEF" w:rsidP="00531FAF">
      <w:pPr>
        <w:pStyle w:val="a5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支出预算</w:t>
      </w:r>
    </w:p>
    <w:p w:rsidR="00873AEF" w:rsidRPr="00B452D7" w:rsidRDefault="00873AEF" w:rsidP="006A1B84">
      <w:pPr>
        <w:pStyle w:val="a5"/>
        <w:widowControl/>
        <w:numPr>
          <w:ilvl w:val="0"/>
          <w:numId w:val="5"/>
        </w:numPr>
        <w:spacing w:line="560" w:lineRule="exact"/>
        <w:ind w:firstLineChars="0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机关运行经费安排情况</w:t>
      </w:r>
    </w:p>
    <w:p w:rsidR="00FB58B6" w:rsidRPr="00B452D7" w:rsidRDefault="006A1B84" w:rsidP="006A1B84">
      <w:pPr>
        <w:widowControl/>
        <w:spacing w:line="560" w:lineRule="exact"/>
        <w:ind w:firstLineChars="800" w:firstLine="256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（四）</w:t>
      </w:r>
      <w:r w:rsidR="00FB58B6"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政府采购预算（无）</w:t>
      </w:r>
    </w:p>
    <w:p w:rsidR="00873AEF" w:rsidRPr="00B452D7" w:rsidRDefault="006A1B84" w:rsidP="006A1B84">
      <w:pPr>
        <w:widowControl/>
        <w:spacing w:line="560" w:lineRule="exact"/>
        <w:ind w:left="256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（五）</w:t>
      </w:r>
      <w:r w:rsidR="00873AEF"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国有资产占有情况说明</w:t>
      </w:r>
    </w:p>
    <w:p w:rsidR="00873AEF" w:rsidRPr="00B452D7" w:rsidRDefault="006A1B84" w:rsidP="006A1B84">
      <w:pPr>
        <w:widowControl/>
        <w:spacing w:line="560" w:lineRule="exact"/>
        <w:ind w:left="256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（六）</w:t>
      </w:r>
      <w:r w:rsidR="00873AEF" w:rsidRPr="00B452D7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预算绩效目标说明</w:t>
      </w:r>
    </w:p>
    <w:p w:rsidR="00873AEF" w:rsidRPr="00B452D7" w:rsidRDefault="006A1B84" w:rsidP="006A1B84">
      <w:pPr>
        <w:widowControl/>
        <w:spacing w:line="560" w:lineRule="exact"/>
        <w:ind w:firstLineChars="800" w:firstLine="2560"/>
        <w:jc w:val="left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（七）</w:t>
      </w:r>
      <w:r w:rsidR="00873AEF"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“三公”等经费预算说明</w:t>
      </w:r>
    </w:p>
    <w:p w:rsidR="00873AEF" w:rsidRPr="00B452D7" w:rsidRDefault="006A1B84" w:rsidP="006A1B84">
      <w:pPr>
        <w:widowControl/>
        <w:spacing w:line="560" w:lineRule="exact"/>
        <w:ind w:left="2560"/>
        <w:jc w:val="left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（八）</w:t>
      </w:r>
      <w:r w:rsidR="00873AEF"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其他事项</w:t>
      </w:r>
      <w:r w:rsidR="00D417C5"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（无）</w:t>
      </w:r>
    </w:p>
    <w:p w:rsidR="00873AEF" w:rsidRPr="00B452D7" w:rsidRDefault="00873AEF" w:rsidP="00873AEF">
      <w:pPr>
        <w:pStyle w:val="a5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名词解释</w:t>
      </w:r>
    </w:p>
    <w:p w:rsidR="00873AEF" w:rsidRPr="00B452D7" w:rsidRDefault="00873AEF" w:rsidP="00873AEF">
      <w:pPr>
        <w:pStyle w:val="a5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部门预算公开表格目录</w:t>
      </w:r>
    </w:p>
    <w:p w:rsidR="00873AEF" w:rsidRPr="00B452D7" w:rsidRDefault="00873AEF" w:rsidP="00873AEF">
      <w:pPr>
        <w:pStyle w:val="a5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 w:rsidRPr="00B452D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公开表格附件</w:t>
      </w:r>
    </w:p>
    <w:p w:rsidR="000C7075" w:rsidRPr="00B452D7" w:rsidRDefault="000C707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0C7075" w:rsidRDefault="000C707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C7075" w:rsidRDefault="000C707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C7075" w:rsidRDefault="000C7075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color w:val="454545"/>
          <w:sz w:val="48"/>
          <w:szCs w:val="48"/>
          <w:shd w:val="clear" w:color="auto" w:fill="FFFFFF"/>
        </w:rPr>
      </w:pP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ind w:firstLineChars="250" w:firstLine="800"/>
        <w:rPr>
          <w:rFonts w:ascii="黑体" w:eastAsia="黑体" w:hAnsi="黑体" w:cs="黑体"/>
          <w:color w:val="454545"/>
          <w:sz w:val="32"/>
          <w:szCs w:val="32"/>
        </w:rPr>
      </w:pPr>
      <w:r>
        <w:rPr>
          <w:rFonts w:ascii="黑体" w:eastAsia="黑体" w:hAnsi="黑体" w:cs="黑体" w:hint="eastAsia"/>
          <w:color w:val="454545"/>
          <w:sz w:val="32"/>
          <w:szCs w:val="32"/>
          <w:shd w:val="clear" w:color="auto" w:fill="FFFFFF"/>
        </w:rPr>
        <w:lastRenderedPageBreak/>
        <w:t>一、部门职能</w:t>
      </w:r>
      <w:r w:rsidR="00873AEF">
        <w:rPr>
          <w:rFonts w:ascii="黑体" w:eastAsia="黑体" w:hAnsi="黑体" w:cs="黑体" w:hint="eastAsia"/>
          <w:color w:val="454545"/>
          <w:sz w:val="32"/>
          <w:szCs w:val="32"/>
          <w:shd w:val="clear" w:color="auto" w:fill="FFFFFF"/>
        </w:rPr>
        <w:t>职责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(一)负责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从事为环境保护提供监管保障。环境违法行为的查处</w:t>
      </w:r>
      <w:r w:rsidR="00DA17C0">
        <w:rPr>
          <w:rFonts w:ascii="楷体" w:eastAsia="楷体" w:hAnsi="楷体" w:cs="楷体" w:hint="eastAsia"/>
          <w:sz w:val="32"/>
          <w:szCs w:val="32"/>
        </w:rPr>
        <w:t>，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水体</w:t>
      </w:r>
      <w:r w:rsidR="00DA17C0">
        <w:rPr>
          <w:rFonts w:ascii="楷体" w:eastAsia="楷体" w:hAnsi="楷体" w:cs="楷体" w:hint="eastAsia"/>
          <w:sz w:val="32"/>
          <w:szCs w:val="32"/>
        </w:rPr>
        <w:t>、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大气</w:t>
      </w:r>
      <w:r w:rsidR="00DA17C0">
        <w:rPr>
          <w:rFonts w:ascii="楷体" w:eastAsia="楷体" w:hAnsi="楷体" w:cs="楷体" w:hint="eastAsia"/>
          <w:sz w:val="32"/>
          <w:szCs w:val="32"/>
        </w:rPr>
        <w:t>、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土壤</w:t>
      </w:r>
      <w:r w:rsidR="00DA17C0">
        <w:rPr>
          <w:rFonts w:ascii="楷体" w:eastAsia="楷体" w:hAnsi="楷体" w:cs="楷体" w:hint="eastAsia"/>
          <w:sz w:val="32"/>
          <w:szCs w:val="32"/>
        </w:rPr>
        <w:t>、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噪音</w:t>
      </w:r>
      <w:r w:rsidR="00DA17C0">
        <w:rPr>
          <w:rFonts w:ascii="楷体" w:eastAsia="楷体" w:hAnsi="楷体" w:cs="楷体" w:hint="eastAsia"/>
          <w:sz w:val="32"/>
          <w:szCs w:val="32"/>
        </w:rPr>
        <w:t>、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光</w:t>
      </w:r>
      <w:r w:rsidR="00DA17C0">
        <w:rPr>
          <w:rFonts w:ascii="楷体" w:eastAsia="楷体" w:hAnsi="楷体" w:cs="楷体" w:hint="eastAsia"/>
          <w:sz w:val="32"/>
          <w:szCs w:val="32"/>
        </w:rPr>
        <w:t>、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恶臭</w:t>
      </w:r>
      <w:r w:rsidR="00DA17C0">
        <w:rPr>
          <w:rFonts w:ascii="楷体" w:eastAsia="楷体" w:hAnsi="楷体" w:cs="楷体" w:hint="eastAsia"/>
          <w:sz w:val="32"/>
          <w:szCs w:val="32"/>
        </w:rPr>
        <w:t>、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机动车等污染和防治及监管</w:t>
      </w:r>
      <w:r w:rsidR="00DA17C0">
        <w:rPr>
          <w:rFonts w:ascii="楷体" w:eastAsia="楷体" w:hAnsi="楷体" w:cs="楷体" w:hint="eastAsia"/>
          <w:sz w:val="32"/>
          <w:szCs w:val="32"/>
        </w:rPr>
        <w:t>，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主要污染物排放的总量控制</w:t>
      </w:r>
      <w:r w:rsidR="00DA17C0">
        <w:rPr>
          <w:rFonts w:ascii="楷体" w:eastAsia="楷体" w:hAnsi="楷体" w:cs="楷体" w:hint="eastAsia"/>
          <w:sz w:val="32"/>
          <w:szCs w:val="32"/>
        </w:rPr>
        <w:t>，</w:t>
      </w:r>
      <w:r w:rsidR="00DA17C0" w:rsidRPr="00866822">
        <w:rPr>
          <w:rFonts w:ascii="楷体" w:eastAsia="楷体" w:hAnsi="楷体" w:cs="楷体" w:hint="eastAsia"/>
          <w:sz w:val="32"/>
          <w:szCs w:val="32"/>
        </w:rPr>
        <w:t>固体废物的监管。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（二）负责建立健全环境保护管理制度。结合</w:t>
      </w:r>
      <w:r w:rsidR="00DA17C0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实际，建立健全排污许可、环境影响评价、环保“三同时”、排污收费、总量控制、污染减排、区域限批、企业环境保护责任制、环境保护目标管理责任制等环境保护管理制度，并组织、监督实施。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（三）负责环境污染防治监督管理工作。负责</w:t>
      </w:r>
      <w:r w:rsidR="00DA17C0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水体、大气、土壤、噪声、光、恶臭、固体废物、化学品、机动车、辐射放射等各类污染源的统一监督管理，负责医疗废弃物经营许可证的审批颁发；会同有关部门监督管理饮用水水源地环境保护、城乡环境综合整治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（四）负责生态环境保护监督管理工作。编制</w:t>
      </w:r>
      <w:r w:rsidR="00DA17C0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生态保护规划，组织评估生态环境质量状况，监督对生态环境有影响的自然资源开发利用活动、重要生态环境建设和生态破坏恢复工作；会同相关部门监督自然保护区、风景名胜区、森林公园、地质公园、湿地公园的保护和环境管理；参与划定生态保护红线，会同相关部门监督管理生态环境安全，拟定</w:t>
      </w:r>
      <w:r w:rsidR="00DA17C0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生态环境保护补偿制度并组织实施；组织、指导生态系列创建工作。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（五）负责职责范围内的核与辐射环境监管以及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核事故应急管理工作。组织实施国家核与辐射安全政策、规划、标准；监督管理核设施安全、放射源安全，监督管理核设施、核技术利用、电磁辐射、伴有放射性矿产资源开发利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lastRenderedPageBreak/>
        <w:t>用中的污染防治；负责放射性同位素、射线装置的生产、销售、使用的监督管理；对核材料的管制和民用核安全设备的设计、制造、安装和无损检验活动实施监督管理。</w:t>
      </w:r>
    </w:p>
    <w:p w:rsidR="000C7075" w:rsidRDefault="00A91F82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（六）负责珠晖区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环境监测管理工作。组织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环境监测网络规划和建设，优化环境监测点位的设置，实施环境质量监测和污染源监督性监测；加强监测数据管理，建立环境监测数据共享机制；组织对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环境质量状况进行调查评估、预测预警；会同和配合有关部门建立健全环境与健康监测、调查和风险评估制度。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（七）负责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环境保护行政执法监管。组织实施国家和地方环境保护法律制度，开展环境保护执法检查，查处环境违法行为，规范和监督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环境保护执法工作，监督环境保护执法行为；负责对各类环境保护责任主体履行环境保护义务进行稽查。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（八）负责环境应急和污染事故纠纷处理。负责编制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环境应急预案并组织实施；指导、监督相关污染企业依法编制本企业环境应急预案并定期组织演练；指导、协调处理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环境污染事故和纠纷。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（九）负责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环境保护经济政策的制定和实施。提出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环境保护领域固定资产投资规模和方向、市级财政性资金安排建议，建立健全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企事业环境行为信用体系。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 w:rsidR="00810871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（十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）组织、指导和协调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环境保护宣传教育工作。制定并组织实施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环境保护宣传教育计划；开展生态文明建设和环境友好型社会建设的有关宣传教育工作，推动社会公众和社会组织参与环境保护。</w:t>
      </w:r>
    </w:p>
    <w:p w:rsidR="000C7075" w:rsidRDefault="00810871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lastRenderedPageBreak/>
        <w:t xml:space="preserve">　　（十一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）负责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环境信息发布工作。负责编制并发布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环境质量状况报告、重点污染源监督性监测报告，发布重大环境事件处理处置情况信息；推动环境政务信息公开，指导并监督重点污染企业环境信息公开。</w:t>
      </w:r>
    </w:p>
    <w:p w:rsidR="000C7075" w:rsidRDefault="00810871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（十二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）制定并组织实施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环境保护目标责任制。受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人民政府委托，将</w:t>
      </w:r>
      <w:r w:rsidR="00A91F82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环境保护重点工作任务分解落实到相关部门、相关企业，实行目标管理，并对环境保护目标任务完成情况进行监督、考核。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(</w:t>
      </w:r>
      <w:r w:rsidR="00810871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十三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)负责对职责范围内有关行业、领域的安全生产工作实施监督管理。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(</w:t>
      </w:r>
      <w:r w:rsidR="00810871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十四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)承办</w:t>
      </w:r>
      <w:r w:rsidR="00E84E44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人民政府交办的其他事项。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黑体" w:eastAsia="黑体" w:hAnsi="黑体" w:cs="黑体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454545"/>
          <w:sz w:val="32"/>
          <w:szCs w:val="32"/>
          <w:shd w:val="clear" w:color="auto" w:fill="FFFFFF"/>
        </w:rPr>
        <w:t>二、机构设置</w:t>
      </w:r>
    </w:p>
    <w:p w:rsidR="007065DD" w:rsidRDefault="00DC0629" w:rsidP="007065DD">
      <w:pPr>
        <w:pStyle w:val="a4"/>
        <w:widowControl/>
        <w:shd w:val="clear" w:color="auto" w:fill="FFFFFF"/>
        <w:spacing w:beforeAutospacing="0" w:afterAutospacing="0" w:line="500" w:lineRule="exact"/>
        <w:ind w:firstLine="630"/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衡阳市环境保护局</w:t>
      </w:r>
      <w:r w:rsidR="00E84E44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珠晖分局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内设机构</w:t>
      </w:r>
      <w:r w:rsidR="00E84E44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个</w:t>
      </w:r>
      <w:r w:rsidR="007065DD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。</w:t>
      </w:r>
    </w:p>
    <w:p w:rsidR="000C7075" w:rsidRPr="00246684" w:rsidRDefault="007065DD" w:rsidP="007065DD">
      <w:pPr>
        <w:pStyle w:val="a4"/>
        <w:widowControl/>
        <w:shd w:val="clear" w:color="auto" w:fill="FFFFFF"/>
        <w:spacing w:beforeAutospacing="0" w:afterAutospacing="0" w:line="500" w:lineRule="exact"/>
        <w:ind w:firstLine="630"/>
        <w:rPr>
          <w:rFonts w:ascii="黑体" w:eastAsia="黑体" w:hAnsi="黑体" w:cs="黑体"/>
          <w:b/>
          <w:color w:val="454545"/>
          <w:sz w:val="32"/>
          <w:szCs w:val="32"/>
          <w:shd w:val="clear" w:color="auto" w:fill="FFFFFF"/>
        </w:rPr>
      </w:pPr>
      <w:r w:rsidRPr="00246684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三、</w:t>
      </w:r>
      <w:r w:rsidR="00D8245F" w:rsidRPr="00246684">
        <w:rPr>
          <w:rFonts w:ascii="黑体" w:eastAsia="黑体" w:hAnsi="黑体" w:cs="黑体" w:hint="eastAsia"/>
          <w:b/>
          <w:color w:val="454545"/>
          <w:sz w:val="32"/>
          <w:szCs w:val="32"/>
          <w:shd w:val="clear" w:color="auto" w:fill="FFFFFF"/>
        </w:rPr>
        <w:t>部门</w:t>
      </w:r>
      <w:r w:rsidR="00DC0629" w:rsidRPr="00246684">
        <w:rPr>
          <w:rFonts w:ascii="黑体" w:eastAsia="黑体" w:hAnsi="黑体" w:cs="黑体" w:hint="eastAsia"/>
          <w:b/>
          <w:color w:val="454545"/>
          <w:sz w:val="32"/>
          <w:szCs w:val="32"/>
          <w:shd w:val="clear" w:color="auto" w:fill="FFFFFF"/>
        </w:rPr>
        <w:t>收支</w:t>
      </w:r>
      <w:r w:rsidR="00D8245F" w:rsidRPr="00246684">
        <w:rPr>
          <w:rFonts w:ascii="黑体" w:eastAsia="黑体" w:hAnsi="黑体" w:cs="黑体" w:hint="eastAsia"/>
          <w:b/>
          <w:color w:val="454545"/>
          <w:sz w:val="32"/>
          <w:szCs w:val="32"/>
          <w:shd w:val="clear" w:color="auto" w:fill="FFFFFF"/>
        </w:rPr>
        <w:t>概况</w:t>
      </w:r>
    </w:p>
    <w:p w:rsidR="00632481" w:rsidRDefault="00E84E44" w:rsidP="00632481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仿宋" w:eastAsia="仿宋" w:hAnsi="仿宋" w:cs="黑体"/>
          <w:color w:val="454545"/>
          <w:sz w:val="32"/>
          <w:szCs w:val="32"/>
          <w:shd w:val="clear" w:color="auto" w:fill="FFFFFF"/>
        </w:rPr>
      </w:pPr>
      <w:r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2021</w:t>
      </w:r>
      <w:r w:rsidR="00D8245F" w:rsidRPr="00632481"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年部门预算编报</w:t>
      </w:r>
      <w:r w:rsidR="00632481"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收入为</w:t>
      </w:r>
      <w:r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440.02</w:t>
      </w:r>
      <w:r w:rsidR="00632481"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万元，支出为</w:t>
      </w:r>
      <w:r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440.02</w:t>
      </w:r>
      <w:r w:rsidR="00632481"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万元运行的经费。</w:t>
      </w:r>
    </w:p>
    <w:p w:rsidR="002E48B3" w:rsidRDefault="00FB58B6" w:rsidP="002E48B3">
      <w:pPr>
        <w:pStyle w:val="a4"/>
        <w:widowControl/>
        <w:shd w:val="clear" w:color="auto" w:fill="FFFFFF"/>
        <w:spacing w:beforeAutospacing="0" w:afterAutospacing="0" w:line="500" w:lineRule="exact"/>
        <w:ind w:firstLine="630"/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</w:pPr>
      <w:r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（</w:t>
      </w:r>
      <w:r w:rsidR="00B719E7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一</w:t>
      </w:r>
      <w:r w:rsidR="00DC0629"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）</w:t>
      </w:r>
      <w:r w:rsidR="002E48B3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、收入预算</w:t>
      </w:r>
    </w:p>
    <w:p w:rsidR="000C7075" w:rsidRPr="009362B6" w:rsidRDefault="002E48B3" w:rsidP="002E48B3">
      <w:pPr>
        <w:pStyle w:val="a4"/>
        <w:widowControl/>
        <w:shd w:val="clear" w:color="auto" w:fill="FFFFFF"/>
        <w:spacing w:beforeAutospacing="0" w:afterAutospacing="0" w:line="500" w:lineRule="exact"/>
        <w:ind w:firstLine="630"/>
        <w:rPr>
          <w:rFonts w:ascii="仿宋" w:eastAsia="仿宋" w:hAnsi="仿宋" w:cs="楷体_GB2312"/>
          <w:b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 xml:space="preserve">   </w:t>
      </w:r>
      <w:r w:rsidR="00DC0629"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20</w:t>
      </w:r>
      <w:r w:rsidR="00E84E44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21</w:t>
      </w:r>
      <w:r w:rsidR="00DC0629"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年预算收入为</w:t>
      </w:r>
      <w:r w:rsidR="00E84E44"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440.02</w:t>
      </w:r>
      <w:r w:rsidR="00DC0629"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万元，较</w:t>
      </w:r>
      <w:bookmarkStart w:id="0" w:name="_GoBack"/>
      <w:bookmarkEnd w:id="0"/>
      <w:r w:rsidR="00901823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上年相比减少43.52</w:t>
      </w:r>
      <w:r w:rsidR="00DC0629"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万元，主要包括：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1.一般预算拨款</w:t>
      </w:r>
      <w:r w:rsidR="0090182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342.52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万元，较上年相比</w:t>
      </w:r>
      <w:r w:rsidR="0090182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减少43.52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万元；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（1）经费拨款</w:t>
      </w:r>
      <w:r w:rsidR="00E90DB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342.5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2万元，较上年相比</w:t>
      </w:r>
      <w:r w:rsidR="0090182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减少43.52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万元，主要原因是</w:t>
      </w:r>
      <w:r w:rsidR="0090182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有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人员</w:t>
      </w:r>
      <w:r w:rsidR="0090182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退休及医保预算减少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等；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（2）纳入预算管理的非税收入拨款</w:t>
      </w:r>
      <w:r w:rsidR="00EE0AB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97.5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万元，较上年持平；</w:t>
      </w:r>
    </w:p>
    <w:p w:rsidR="002E48B3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　　　</w:t>
      </w:r>
      <w:r w:rsidR="00FB58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（</w:t>
      </w:r>
      <w:r w:rsidR="00B719E7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二</w:t>
      </w:r>
      <w:r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）</w:t>
      </w:r>
      <w:r w:rsidR="002E48B3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、支出预算</w:t>
      </w:r>
    </w:p>
    <w:p w:rsidR="00EE0AB9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  <w:shd w:val="clear" w:color="auto" w:fill="FFFFFF"/>
        </w:rPr>
      </w:pPr>
      <w:r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lastRenderedPageBreak/>
        <w:t>20</w:t>
      </w:r>
      <w:r w:rsidR="00EE0AB9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21</w:t>
      </w:r>
      <w:r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年预算支出为</w:t>
      </w:r>
      <w:r w:rsidR="00EE0AB9">
        <w:rPr>
          <w:rFonts w:ascii="仿宋" w:eastAsia="仿宋" w:hAnsi="仿宋" w:cs="黑体" w:hint="eastAsia"/>
          <w:color w:val="454545"/>
          <w:sz w:val="32"/>
          <w:szCs w:val="32"/>
          <w:shd w:val="clear" w:color="auto" w:fill="FFFFFF"/>
        </w:rPr>
        <w:t>440</w:t>
      </w:r>
      <w:r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.</w:t>
      </w:r>
      <w:r w:rsidR="00457B85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02</w:t>
      </w:r>
      <w:r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万元，较上年相比</w:t>
      </w:r>
      <w:r w:rsidR="00EE0AB9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减少43.52</w:t>
      </w:r>
      <w:r w:rsidR="00EE0AB9" w:rsidRPr="009362B6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万元</w:t>
      </w:r>
      <w:r w:rsidR="002E48B3">
        <w:rPr>
          <w:rFonts w:ascii="仿宋" w:eastAsia="仿宋" w:hAnsi="仿宋" w:cs="楷体_GB2312" w:hint="eastAsia"/>
          <w:b/>
          <w:color w:val="454545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1.行政运行</w:t>
      </w:r>
      <w:r w:rsidR="00457B85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236.71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万元，较上年相比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减少67.91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万元；</w:t>
      </w:r>
    </w:p>
    <w:p w:rsidR="000C7075" w:rsidRDefault="00DC0629" w:rsidP="00F60693">
      <w:pPr>
        <w:pStyle w:val="a4"/>
        <w:widowControl/>
        <w:shd w:val="clear" w:color="auto" w:fill="FFFFFF"/>
        <w:spacing w:beforeAutospacing="0" w:afterAutospacing="0" w:line="500" w:lineRule="exact"/>
        <w:ind w:firstLineChars="100" w:firstLine="320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2.一般行政管理事务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148.69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万元，较上年相比增加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148.69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万元；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.住房公积金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17.86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万元，较上年相比减少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1.17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万元；</w:t>
      </w:r>
    </w:p>
    <w:p w:rsidR="000C7075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.机关事业单位基本养老保险缴费支出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23.81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万元，较上年相比减少</w:t>
      </w:r>
      <w:r w:rsidR="00F60693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1.57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万元；</w:t>
      </w:r>
    </w:p>
    <w:p w:rsidR="000C7075" w:rsidRDefault="00F60693">
      <w:pPr>
        <w:pStyle w:val="a4"/>
        <w:widowControl/>
        <w:shd w:val="clear" w:color="auto" w:fill="FFFFFF"/>
        <w:spacing w:beforeAutospacing="0" w:afterAutospacing="0" w:line="500" w:lineRule="exact"/>
        <w:ind w:firstLine="420"/>
        <w:rPr>
          <w:rFonts w:ascii="仿宋" w:eastAsia="仿宋" w:hAnsi="仿宋" w:cs="楷体_GB2312"/>
          <w:color w:val="454545"/>
          <w:sz w:val="32"/>
          <w:szCs w:val="32"/>
          <w:shd w:val="clear" w:color="auto" w:fill="FFFFFF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5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.医疗卫生与计划生育支出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12.95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万元，较上年相比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减少24.06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万元；</w:t>
      </w:r>
    </w:p>
    <w:p w:rsidR="000C7075" w:rsidRPr="00B719E7" w:rsidRDefault="00DC0629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楷体_GB2312"/>
          <w:b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 w:rsidR="00204262" w:rsidRPr="00B719E7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（</w:t>
      </w:r>
      <w:r w:rsidR="00B719E7" w:rsidRPr="00B719E7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三</w:t>
      </w:r>
      <w:r w:rsidR="00204262" w:rsidRPr="00B719E7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）</w:t>
      </w:r>
      <w:r w:rsidRPr="00B719E7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机关运行经费安排情况</w:t>
      </w:r>
    </w:p>
    <w:p w:rsidR="000C7075" w:rsidRDefault="00DC0629" w:rsidP="009362B6">
      <w:pPr>
        <w:pStyle w:val="a4"/>
        <w:widowControl/>
        <w:shd w:val="clear" w:color="auto" w:fill="FFFFFF"/>
        <w:spacing w:beforeAutospacing="0" w:afterAutospacing="0" w:line="500" w:lineRule="exact"/>
        <w:ind w:firstLine="420"/>
        <w:rPr>
          <w:rFonts w:ascii="仿宋" w:eastAsia="仿宋" w:hAnsi="仿宋" w:cs="楷体_GB2312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财政预算安排的行政运行经费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152.61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主要用于办公费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26.5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万元、差旅费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万元、水费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1.5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万元、电费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万元、邮电费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5万元、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公务用车运行费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12万元、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公务接待费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18.5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万元、印刷费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13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万元、会议费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9.42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万元、培训费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10.5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、维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修费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万元、工会经费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13.69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万元、其他交通费用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万元、其他商品服务支出</w:t>
      </w:r>
      <w:r w:rsidR="002C3BAB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.5万元等支出。</w:t>
      </w:r>
    </w:p>
    <w:p w:rsidR="00FB58B6" w:rsidRDefault="00FB58B6" w:rsidP="00E766FB">
      <w:pPr>
        <w:widowControl/>
        <w:spacing w:line="500" w:lineRule="exact"/>
        <w:ind w:firstLineChars="150" w:firstLine="482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 w:rsidR="00B719E7"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）政府采购预算（无）</w:t>
      </w:r>
    </w:p>
    <w:p w:rsidR="00204262" w:rsidRPr="00E766FB" w:rsidRDefault="00204262" w:rsidP="00E766FB">
      <w:pPr>
        <w:widowControl/>
        <w:spacing w:line="500" w:lineRule="exact"/>
        <w:ind w:firstLineChars="150" w:firstLine="48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E766FB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 w:rsidR="00B719E7">
        <w:rPr>
          <w:rFonts w:ascii="仿宋" w:eastAsia="仿宋" w:hAnsi="仿宋" w:cs="宋体" w:hint="eastAsia"/>
          <w:b/>
          <w:kern w:val="0"/>
          <w:sz w:val="32"/>
          <w:szCs w:val="32"/>
        </w:rPr>
        <w:t>五</w:t>
      </w:r>
      <w:r w:rsidRPr="00E766FB"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  <w:r w:rsidRPr="00E766FB">
        <w:rPr>
          <w:rFonts w:ascii="仿宋" w:eastAsia="仿宋" w:hAnsi="仿宋" w:cs="宋体"/>
          <w:b/>
          <w:kern w:val="0"/>
          <w:sz w:val="32"/>
          <w:szCs w:val="32"/>
        </w:rPr>
        <w:t xml:space="preserve"> 国有资产占用情况</w:t>
      </w:r>
    </w:p>
    <w:p w:rsidR="00204262" w:rsidRDefault="00204262" w:rsidP="009362B6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Pr="00FB0513">
        <w:rPr>
          <w:rFonts w:ascii="仿宋" w:eastAsia="仿宋" w:hAnsi="仿宋" w:cs="宋体"/>
          <w:kern w:val="0"/>
          <w:sz w:val="32"/>
          <w:szCs w:val="32"/>
        </w:rPr>
        <w:t>共有</w:t>
      </w:r>
      <w:r>
        <w:rPr>
          <w:rFonts w:ascii="仿宋" w:eastAsia="仿宋" w:hAnsi="仿宋" w:cs="宋体" w:hint="eastAsia"/>
          <w:kern w:val="0"/>
          <w:sz w:val="32"/>
          <w:szCs w:val="32"/>
        </w:rPr>
        <w:t>办公及业务用房</w:t>
      </w:r>
      <w:r w:rsidR="00AA693A">
        <w:rPr>
          <w:rFonts w:ascii="仿宋" w:eastAsia="仿宋" w:hAnsi="仿宋" w:cs="宋体" w:hint="eastAsia"/>
          <w:kern w:val="0"/>
          <w:sz w:val="32"/>
          <w:szCs w:val="32"/>
        </w:rPr>
        <w:t>1525.4</w:t>
      </w:r>
      <w:r>
        <w:rPr>
          <w:rFonts w:ascii="仿宋" w:eastAsia="仿宋" w:hAnsi="仿宋" w:cs="宋体" w:hint="eastAsia"/>
          <w:kern w:val="0"/>
          <w:sz w:val="32"/>
          <w:szCs w:val="32"/>
        </w:rPr>
        <w:t>平方米，</w:t>
      </w:r>
      <w:r>
        <w:rPr>
          <w:rFonts w:ascii="仿宋" w:eastAsia="仿宋" w:hAnsi="仿宋" w:cs="宋体"/>
          <w:kern w:val="0"/>
          <w:sz w:val="32"/>
          <w:szCs w:val="32"/>
        </w:rPr>
        <w:t>车辆</w:t>
      </w:r>
      <w:r w:rsidR="00AA693A"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</w:rPr>
        <w:t>辆，其中部级领导干部用车0辆，机要通信用车</w:t>
      </w:r>
      <w:r w:rsidR="00AA693A">
        <w:rPr>
          <w:rFonts w:ascii="仿宋" w:eastAsia="仿宋" w:hAnsi="仿宋" w:cs="宋体" w:hint="eastAsia"/>
          <w:kern w:val="0"/>
          <w:sz w:val="32"/>
          <w:szCs w:val="32"/>
        </w:rPr>
        <w:t>0</w:t>
      </w:r>
      <w:r>
        <w:rPr>
          <w:rFonts w:ascii="仿宋" w:eastAsia="仿宋" w:hAnsi="仿宋" w:cs="宋体"/>
          <w:kern w:val="0"/>
          <w:sz w:val="32"/>
          <w:szCs w:val="32"/>
        </w:rPr>
        <w:t>辆，执法执勤用车</w:t>
      </w:r>
      <w:r w:rsidR="00AA693A"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辆，其他用车1辆。</w:t>
      </w:r>
    </w:p>
    <w:p w:rsidR="00204262" w:rsidRPr="00E766FB" w:rsidRDefault="00204262" w:rsidP="00E766FB">
      <w:pPr>
        <w:widowControl/>
        <w:spacing w:line="500" w:lineRule="exact"/>
        <w:ind w:firstLineChars="150" w:firstLine="48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E766FB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 w:rsidR="00B719E7">
        <w:rPr>
          <w:rFonts w:ascii="仿宋" w:eastAsia="仿宋" w:hAnsi="仿宋" w:cs="宋体" w:hint="eastAsia"/>
          <w:b/>
          <w:kern w:val="0"/>
          <w:sz w:val="32"/>
          <w:szCs w:val="32"/>
        </w:rPr>
        <w:t>六</w:t>
      </w:r>
      <w:r w:rsidRPr="00E766FB"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  <w:r w:rsidRPr="00E766FB">
        <w:rPr>
          <w:rFonts w:ascii="仿宋" w:eastAsia="仿宋" w:hAnsi="仿宋" w:cs="宋体"/>
          <w:b/>
          <w:kern w:val="0"/>
          <w:sz w:val="32"/>
          <w:szCs w:val="32"/>
        </w:rPr>
        <w:t>预算绩效情</w:t>
      </w:r>
      <w:r w:rsidRPr="00E766FB">
        <w:rPr>
          <w:rFonts w:ascii="仿宋" w:eastAsia="仿宋" w:hAnsi="仿宋" w:cs="宋体" w:hint="eastAsia"/>
          <w:b/>
          <w:kern w:val="0"/>
          <w:sz w:val="32"/>
          <w:szCs w:val="32"/>
        </w:rPr>
        <w:t>目标</w:t>
      </w:r>
      <w:r w:rsidRPr="00E766FB">
        <w:rPr>
          <w:rFonts w:ascii="仿宋" w:eastAsia="仿宋" w:hAnsi="仿宋" w:cs="宋体"/>
          <w:b/>
          <w:kern w:val="0"/>
          <w:sz w:val="32"/>
          <w:szCs w:val="32"/>
        </w:rPr>
        <w:t>说明</w:t>
      </w:r>
    </w:p>
    <w:p w:rsidR="00204262" w:rsidRPr="009362B6" w:rsidRDefault="00204262" w:rsidP="009362B6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B0513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>
        <w:rPr>
          <w:rFonts w:ascii="仿宋" w:eastAsia="仿宋" w:hAnsi="仿宋" w:cs="宋体" w:hint="eastAsia"/>
          <w:kern w:val="0"/>
          <w:sz w:val="32"/>
          <w:szCs w:val="32"/>
        </w:rPr>
        <w:t>本部门整体支出纳入</w:t>
      </w:r>
      <w:r w:rsidR="00AA693A"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年部门整体支出绩效目标的金额为</w:t>
      </w:r>
      <w:r w:rsidR="00AA693A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440.02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万元，其中，基本支出</w:t>
      </w:r>
      <w:r w:rsidR="00886DF1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440.02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万元，项目支出</w:t>
      </w:r>
      <w:r w:rsidR="00886DF1">
        <w:rPr>
          <w:rFonts w:ascii="仿宋" w:eastAsia="仿宋" w:hAnsi="仿宋" w:cs="宋体" w:hint="eastAsia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p w:rsidR="000C7075" w:rsidRPr="00E766FB" w:rsidRDefault="00204262" w:rsidP="009362B6">
      <w:pPr>
        <w:pStyle w:val="a4"/>
        <w:widowControl/>
        <w:shd w:val="clear" w:color="auto" w:fill="FFFFFF"/>
        <w:spacing w:beforeAutospacing="0" w:afterAutospacing="0" w:line="500" w:lineRule="exact"/>
        <w:ind w:firstLine="630"/>
        <w:rPr>
          <w:rFonts w:ascii="仿宋" w:eastAsia="仿宋" w:hAnsi="仿宋" w:cs="黑体"/>
          <w:b/>
          <w:color w:val="454545"/>
          <w:sz w:val="32"/>
          <w:szCs w:val="32"/>
        </w:rPr>
      </w:pPr>
      <w:r w:rsidRPr="00E766FB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（</w:t>
      </w:r>
      <w:r w:rsidR="00B719E7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七</w:t>
      </w:r>
      <w:r w:rsidRPr="00E766FB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）</w:t>
      </w:r>
      <w:r w:rsidR="00DC0629" w:rsidRPr="00E766FB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“三公”</w:t>
      </w:r>
      <w:r w:rsidRPr="00E766FB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等</w:t>
      </w:r>
      <w:r w:rsidR="00DC0629" w:rsidRPr="00E766FB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经费</w:t>
      </w:r>
      <w:r w:rsidRPr="00E766FB">
        <w:rPr>
          <w:rFonts w:ascii="仿宋" w:eastAsia="仿宋" w:hAnsi="仿宋" w:cs="黑体" w:hint="eastAsia"/>
          <w:b/>
          <w:color w:val="454545"/>
          <w:sz w:val="32"/>
          <w:szCs w:val="32"/>
          <w:shd w:val="clear" w:color="auto" w:fill="FFFFFF"/>
        </w:rPr>
        <w:t>预算</w:t>
      </w:r>
    </w:p>
    <w:p w:rsidR="000C7075" w:rsidRDefault="00AA693A" w:rsidP="009362B6">
      <w:pPr>
        <w:pStyle w:val="a4"/>
        <w:widowControl/>
        <w:shd w:val="clear" w:color="auto" w:fill="FFFFFF"/>
        <w:spacing w:beforeAutospacing="0" w:afterAutospacing="0" w:line="500" w:lineRule="exact"/>
        <w:ind w:firstLine="600"/>
        <w:rPr>
          <w:rFonts w:ascii="仿宋" w:eastAsia="仿宋" w:hAnsi="仿宋" w:cs="楷体_GB2312"/>
          <w:color w:val="454545"/>
          <w:sz w:val="32"/>
          <w:szCs w:val="32"/>
          <w:shd w:val="clear" w:color="auto" w:fill="FFFFFF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lastRenderedPageBreak/>
        <w:t>2021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年“三公”经费预算数为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30.5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万元,其中:因公出国(境)费用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0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万元,公务接待费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18.5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万元,公务用车购置及运行维护费</w:t>
      </w: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12</w:t>
      </w:r>
      <w:r w:rsidR="00DC0629"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>万元。较上年相比持平。</w:t>
      </w:r>
    </w:p>
    <w:p w:rsidR="00B719E7" w:rsidRDefault="00E166B6" w:rsidP="009362B6">
      <w:pPr>
        <w:widowControl/>
        <w:spacing w:line="500" w:lineRule="exact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E166B6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 w:rsidR="00B719E7">
        <w:rPr>
          <w:rFonts w:ascii="仿宋" w:eastAsia="仿宋" w:hAnsi="仿宋" w:cs="宋体" w:hint="eastAsia"/>
          <w:b/>
          <w:kern w:val="0"/>
          <w:sz w:val="32"/>
          <w:szCs w:val="32"/>
        </w:rPr>
        <w:t>八</w:t>
      </w:r>
      <w:r w:rsidRPr="00E166B6">
        <w:rPr>
          <w:rFonts w:ascii="仿宋" w:eastAsia="仿宋" w:hAnsi="仿宋" w:cs="宋体" w:hint="eastAsia"/>
          <w:b/>
          <w:kern w:val="0"/>
          <w:sz w:val="32"/>
          <w:szCs w:val="32"/>
        </w:rPr>
        <w:t>）其他事项（无）</w:t>
      </w:r>
    </w:p>
    <w:p w:rsidR="000C7075" w:rsidRPr="00E166B6" w:rsidRDefault="00DC0629" w:rsidP="009362B6">
      <w:pPr>
        <w:widowControl/>
        <w:spacing w:line="50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E166B6">
        <w:rPr>
          <w:rFonts w:ascii="仿宋" w:eastAsia="仿宋" w:hAnsi="仿宋" w:cs="宋体"/>
          <w:b/>
          <w:kern w:val="0"/>
          <w:sz w:val="32"/>
          <w:szCs w:val="32"/>
        </w:rPr>
        <w:t xml:space="preserve">　　</w:t>
      </w:r>
    </w:p>
    <w:p w:rsidR="000C7075" w:rsidRPr="00B719E7" w:rsidRDefault="00DC0629" w:rsidP="00B719E7">
      <w:pPr>
        <w:widowControl/>
        <w:spacing w:line="50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B719E7">
        <w:rPr>
          <w:rFonts w:ascii="黑体" w:eastAsia="黑体" w:hAnsi="黑体" w:cs="宋体" w:hint="eastAsia"/>
          <w:b/>
          <w:kern w:val="0"/>
          <w:sz w:val="32"/>
          <w:szCs w:val="32"/>
        </w:rPr>
        <w:t>四</w:t>
      </w:r>
      <w:r w:rsidRPr="00B719E7">
        <w:rPr>
          <w:rFonts w:ascii="黑体" w:eastAsia="黑体" w:hAnsi="黑体" w:cs="宋体"/>
          <w:b/>
          <w:kern w:val="0"/>
          <w:sz w:val="32"/>
          <w:szCs w:val="32"/>
        </w:rPr>
        <w:t>、专业名词解释</w:t>
      </w:r>
    </w:p>
    <w:p w:rsidR="000C7075" w:rsidRDefault="00DC0629" w:rsidP="009362B6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 </w:t>
      </w:r>
      <w:r>
        <w:rPr>
          <w:rFonts w:ascii="宋体" w:eastAsia="仿宋" w:hAnsi="宋体" w:cs="宋体"/>
          <w:kern w:val="0"/>
          <w:sz w:val="32"/>
          <w:szCs w:val="32"/>
        </w:rPr>
        <w:t> </w:t>
      </w:r>
    </w:p>
    <w:p w:rsidR="000C7075" w:rsidRDefault="00DC0629" w:rsidP="009362B6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　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 </w:t>
      </w:r>
      <w:r>
        <w:rPr>
          <w:rFonts w:ascii="宋体" w:eastAsia="仿宋" w:hAnsi="宋体" w:cs="宋体"/>
          <w:kern w:val="0"/>
          <w:sz w:val="32"/>
          <w:szCs w:val="32"/>
        </w:rPr>
        <w:t> </w:t>
      </w:r>
    </w:p>
    <w:p w:rsidR="00DC0629" w:rsidRPr="00DC0629" w:rsidRDefault="00DC0629" w:rsidP="00DC0629">
      <w:pPr>
        <w:widowControl/>
        <w:spacing w:line="5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</w:t>
      </w:r>
      <w:r w:rsidRPr="00DC0629">
        <w:rPr>
          <w:rFonts w:ascii="黑体" w:eastAsia="黑体" w:hAnsi="黑体" w:cs="宋体" w:hint="eastAsia"/>
          <w:kern w:val="0"/>
          <w:sz w:val="32"/>
          <w:szCs w:val="32"/>
        </w:rPr>
        <w:t>部门预算公开表格目录</w:t>
      </w:r>
      <w:r w:rsidRPr="00DC0629">
        <w:rPr>
          <w:rFonts w:ascii="黑体" w:eastAsia="黑体" w:hAnsi="黑体" w:cs="宋体"/>
          <w:kern w:val="0"/>
          <w:sz w:val="32"/>
          <w:szCs w:val="32"/>
        </w:rPr>
        <w:t xml:space="preserve">　</w:t>
      </w:r>
      <w:r w:rsidRPr="00DC0629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left="64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表一：部门收支总表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left="64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表二：部门收入总表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表三：部门支出总表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lastRenderedPageBreak/>
        <w:t>表四：财政拨款收支总表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表五：一般公共预算支出表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表六：一般公共预算基本支出(部门经济科目)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表七：一般预算基本支出(政府经济科目)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表八：政府性基金表</w:t>
      </w:r>
    </w:p>
    <w:p w:rsidR="00DC0629" w:rsidRDefault="00DC0629" w:rsidP="00DC0629">
      <w:pPr>
        <w:pStyle w:val="a4"/>
        <w:shd w:val="clear" w:color="auto" w:fill="FFFFFF"/>
        <w:spacing w:beforeAutospacing="0" w:afterAutospacing="0" w:line="555" w:lineRule="atLeast"/>
        <w:ind w:firstLineChars="200" w:firstLine="60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表九：三公经费预算表</w:t>
      </w:r>
    </w:p>
    <w:p w:rsidR="00AA693A" w:rsidRDefault="00DC0629" w:rsidP="00AA693A">
      <w:pPr>
        <w:pStyle w:val="a4"/>
        <w:shd w:val="clear" w:color="auto" w:fill="FFFFFF"/>
        <w:spacing w:beforeAutospacing="0" w:afterAutospacing="0" w:line="555" w:lineRule="atLeast"/>
        <w:ind w:left="640"/>
        <w:rPr>
          <w:rFonts w:ascii="微软雅黑" w:eastAsia="微软雅黑" w:hAnsi="微软雅黑"/>
          <w:color w:val="414141"/>
        </w:rPr>
      </w:pPr>
      <w:r>
        <w:rPr>
          <w:rFonts w:ascii="仿宋" w:eastAsia="仿宋" w:hAnsi="仿宋" w:hint="eastAsia"/>
          <w:color w:val="414141"/>
          <w:sz w:val="30"/>
          <w:szCs w:val="30"/>
        </w:rPr>
        <w:t>表十：</w:t>
      </w:r>
      <w:r w:rsidR="00AA693A">
        <w:rPr>
          <w:rFonts w:ascii="仿宋" w:eastAsia="仿宋" w:hAnsi="仿宋" w:hint="eastAsia"/>
          <w:color w:val="414141"/>
          <w:sz w:val="30"/>
          <w:szCs w:val="30"/>
        </w:rPr>
        <w:t>部门整体支出绩效目标申报表</w:t>
      </w:r>
    </w:p>
    <w:p w:rsidR="00DC0629" w:rsidRPr="00C84FDF" w:rsidRDefault="00DC0629" w:rsidP="00DC0629">
      <w:pPr>
        <w:ind w:left="300" w:firstLineChars="50" w:firstLine="16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六、</w:t>
      </w:r>
      <w:r w:rsidRPr="00C84FDF">
        <w:rPr>
          <w:rFonts w:ascii="黑体" w:eastAsia="黑体" w:hAnsi="黑体" w:cs="楷体_GB2312" w:hint="eastAsia"/>
          <w:sz w:val="32"/>
          <w:szCs w:val="32"/>
        </w:rPr>
        <w:t>公开表格附件</w:t>
      </w:r>
    </w:p>
    <w:p w:rsidR="00DC0629" w:rsidRDefault="00DC0629" w:rsidP="00DC0629">
      <w:pPr>
        <w:rPr>
          <w:rFonts w:ascii="楷体_GB2312" w:eastAsia="楷体_GB2312" w:hAnsi="楷体_GB2312" w:cs="楷体_GB2312"/>
          <w:sz w:val="30"/>
          <w:szCs w:val="30"/>
        </w:rPr>
      </w:pPr>
    </w:p>
    <w:p w:rsidR="000C7075" w:rsidRDefault="000C7075">
      <w:pPr>
        <w:widowControl/>
        <w:spacing w:before="100" w:beforeAutospacing="1" w:after="100" w:afterAutospacing="1"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C7075" w:rsidRDefault="00DC0629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 xml:space="preserve">　　</w:t>
      </w:r>
    </w:p>
    <w:p w:rsidR="000C7075" w:rsidRDefault="000C7075">
      <w:pPr>
        <w:rPr>
          <w:rFonts w:ascii="楷体_GB2312" w:eastAsia="楷体_GB2312" w:hAnsi="楷体_GB2312" w:cs="楷体_GB2312"/>
          <w:sz w:val="30"/>
          <w:szCs w:val="30"/>
        </w:rPr>
      </w:pPr>
    </w:p>
    <w:p w:rsidR="000C7075" w:rsidRDefault="00DC0629">
      <w:pPr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                     </w:t>
      </w:r>
      <w:r w:rsidR="00AA693A">
        <w:rPr>
          <w:rFonts w:ascii="楷体_GB2312" w:eastAsia="楷体_GB2312" w:hAnsi="楷体_GB2312" w:cs="楷体_GB2312" w:hint="eastAsia"/>
          <w:sz w:val="30"/>
          <w:szCs w:val="30"/>
        </w:rPr>
        <w:t>衡阳市环境保护局珠晖分局</w:t>
      </w:r>
    </w:p>
    <w:p w:rsidR="000C7075" w:rsidRDefault="00DC0629">
      <w:pPr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                      20</w:t>
      </w:r>
      <w:r w:rsidR="00AA693A">
        <w:rPr>
          <w:rFonts w:ascii="楷体_GB2312" w:eastAsia="楷体_GB2312" w:hAnsi="楷体_GB2312" w:cs="楷体_GB2312" w:hint="eastAsia"/>
          <w:sz w:val="30"/>
          <w:szCs w:val="30"/>
        </w:rPr>
        <w:t>21</w:t>
      </w:r>
      <w:r>
        <w:rPr>
          <w:rFonts w:ascii="楷体_GB2312" w:eastAsia="楷体_GB2312" w:hAnsi="楷体_GB2312" w:cs="楷体_GB2312" w:hint="eastAsia"/>
          <w:sz w:val="30"/>
          <w:szCs w:val="30"/>
        </w:rPr>
        <w:t>年2月</w:t>
      </w:r>
      <w:r w:rsidR="00AA693A">
        <w:rPr>
          <w:rFonts w:ascii="楷体_GB2312" w:eastAsia="楷体_GB2312" w:hAnsi="楷体_GB2312" w:cs="楷体_GB2312" w:hint="eastAsia"/>
          <w:sz w:val="30"/>
          <w:szCs w:val="30"/>
        </w:rPr>
        <w:t>22</w:t>
      </w:r>
      <w:r>
        <w:rPr>
          <w:rFonts w:ascii="楷体_GB2312" w:eastAsia="楷体_GB2312" w:hAnsi="楷体_GB2312" w:cs="楷体_GB2312" w:hint="eastAsia"/>
          <w:sz w:val="30"/>
          <w:szCs w:val="30"/>
        </w:rPr>
        <w:t>日</w:t>
      </w:r>
    </w:p>
    <w:sectPr w:rsidR="000C7075" w:rsidSect="000C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FB7832" w15:done="0"/>
  <w15:commentEx w15:paraId="1E8E1B56" w15:done="0"/>
  <w15:commentEx w15:paraId="189E0CB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6AD"/>
    <w:multiLevelType w:val="hybridMultilevel"/>
    <w:tmpl w:val="7570ADEE"/>
    <w:lvl w:ilvl="0" w:tplc="2F90EE96">
      <w:start w:val="2"/>
      <w:numFmt w:val="japaneseCounting"/>
      <w:lvlText w:val="（%1）"/>
      <w:lvlJc w:val="left"/>
      <w:pPr>
        <w:ind w:left="3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00" w:hanging="420"/>
      </w:pPr>
    </w:lvl>
    <w:lvl w:ilvl="2" w:tplc="0409001B" w:tentative="1">
      <w:start w:val="1"/>
      <w:numFmt w:val="lowerRoman"/>
      <w:lvlText w:val="%3."/>
      <w:lvlJc w:val="right"/>
      <w:pPr>
        <w:ind w:left="3820" w:hanging="420"/>
      </w:pPr>
    </w:lvl>
    <w:lvl w:ilvl="3" w:tplc="0409000F" w:tentative="1">
      <w:start w:val="1"/>
      <w:numFmt w:val="decimal"/>
      <w:lvlText w:val="%4."/>
      <w:lvlJc w:val="left"/>
      <w:pPr>
        <w:ind w:left="4240" w:hanging="420"/>
      </w:pPr>
    </w:lvl>
    <w:lvl w:ilvl="4" w:tplc="04090019" w:tentative="1">
      <w:start w:val="1"/>
      <w:numFmt w:val="lowerLetter"/>
      <w:lvlText w:val="%5)"/>
      <w:lvlJc w:val="left"/>
      <w:pPr>
        <w:ind w:left="4660" w:hanging="420"/>
      </w:pPr>
    </w:lvl>
    <w:lvl w:ilvl="5" w:tplc="0409001B" w:tentative="1">
      <w:start w:val="1"/>
      <w:numFmt w:val="lowerRoman"/>
      <w:lvlText w:val="%6."/>
      <w:lvlJc w:val="right"/>
      <w:pPr>
        <w:ind w:left="5080" w:hanging="420"/>
      </w:pPr>
    </w:lvl>
    <w:lvl w:ilvl="6" w:tplc="0409000F" w:tentative="1">
      <w:start w:val="1"/>
      <w:numFmt w:val="decimal"/>
      <w:lvlText w:val="%7."/>
      <w:lvlJc w:val="left"/>
      <w:pPr>
        <w:ind w:left="5500" w:hanging="420"/>
      </w:pPr>
    </w:lvl>
    <w:lvl w:ilvl="7" w:tplc="04090019" w:tentative="1">
      <w:start w:val="1"/>
      <w:numFmt w:val="lowerLetter"/>
      <w:lvlText w:val="%8)"/>
      <w:lvlJc w:val="left"/>
      <w:pPr>
        <w:ind w:left="5920" w:hanging="420"/>
      </w:pPr>
    </w:lvl>
    <w:lvl w:ilvl="8" w:tplc="0409001B" w:tentative="1">
      <w:start w:val="1"/>
      <w:numFmt w:val="lowerRoman"/>
      <w:lvlText w:val="%9."/>
      <w:lvlJc w:val="right"/>
      <w:pPr>
        <w:ind w:left="6340" w:hanging="420"/>
      </w:pPr>
    </w:lvl>
  </w:abstractNum>
  <w:abstractNum w:abstractNumId="1">
    <w:nsid w:val="1BD579EF"/>
    <w:multiLevelType w:val="hybridMultilevel"/>
    <w:tmpl w:val="F94A4054"/>
    <w:lvl w:ilvl="0" w:tplc="7378330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4519EE"/>
    <w:multiLevelType w:val="hybridMultilevel"/>
    <w:tmpl w:val="582AB54E"/>
    <w:lvl w:ilvl="0" w:tplc="F528A638">
      <w:start w:val="1"/>
      <w:numFmt w:val="decimal"/>
      <w:lvlText w:val="（%1）"/>
      <w:lvlJc w:val="left"/>
      <w:pPr>
        <w:ind w:left="363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92" w:hanging="420"/>
      </w:p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3">
    <w:nsid w:val="60CB0F32"/>
    <w:multiLevelType w:val="multilevel"/>
    <w:tmpl w:val="60CB0F32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abstractNum w:abstractNumId="4">
    <w:nsid w:val="76450C44"/>
    <w:multiLevelType w:val="multilevel"/>
    <w:tmpl w:val="C4B026B4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japaneseCounting"/>
      <w:lvlText w:val="%4、"/>
      <w:lvlJc w:val="left"/>
      <w:pPr>
        <w:ind w:left="2320" w:hanging="420"/>
      </w:pPr>
      <w:rPr>
        <w:rFonts w:ascii="仿宋_GB2312" w:eastAsia="仿宋_GB2312" w:hAnsi="仿宋_GB2312" w:cs="仿宋_GB2312"/>
      </w:r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li">
    <w15:presenceInfo w15:providerId="WPS Office" w15:userId="39050379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8812CB"/>
    <w:rsid w:val="000C7075"/>
    <w:rsid w:val="00117C5E"/>
    <w:rsid w:val="001E73E6"/>
    <w:rsid w:val="00204262"/>
    <w:rsid w:val="00246684"/>
    <w:rsid w:val="002C3BAB"/>
    <w:rsid w:val="002E48B3"/>
    <w:rsid w:val="002F1976"/>
    <w:rsid w:val="00342311"/>
    <w:rsid w:val="00342ADD"/>
    <w:rsid w:val="0034689C"/>
    <w:rsid w:val="00384D4B"/>
    <w:rsid w:val="00457B85"/>
    <w:rsid w:val="004D278B"/>
    <w:rsid w:val="004E069E"/>
    <w:rsid w:val="00527B73"/>
    <w:rsid w:val="00531FAF"/>
    <w:rsid w:val="00540F18"/>
    <w:rsid w:val="00597293"/>
    <w:rsid w:val="005E2B12"/>
    <w:rsid w:val="00632481"/>
    <w:rsid w:val="006A1B84"/>
    <w:rsid w:val="006C1CCD"/>
    <w:rsid w:val="007065DD"/>
    <w:rsid w:val="0076398C"/>
    <w:rsid w:val="00810871"/>
    <w:rsid w:val="00873AEF"/>
    <w:rsid w:val="00876AE3"/>
    <w:rsid w:val="00886DF1"/>
    <w:rsid w:val="008A188D"/>
    <w:rsid w:val="0090041A"/>
    <w:rsid w:val="00901823"/>
    <w:rsid w:val="009362B6"/>
    <w:rsid w:val="00A91F82"/>
    <w:rsid w:val="00AA693A"/>
    <w:rsid w:val="00B00AB6"/>
    <w:rsid w:val="00B452D7"/>
    <w:rsid w:val="00B66942"/>
    <w:rsid w:val="00B719E7"/>
    <w:rsid w:val="00B9375E"/>
    <w:rsid w:val="00BB307E"/>
    <w:rsid w:val="00D417C5"/>
    <w:rsid w:val="00D8245F"/>
    <w:rsid w:val="00DA17C0"/>
    <w:rsid w:val="00DC0629"/>
    <w:rsid w:val="00E166B6"/>
    <w:rsid w:val="00E54487"/>
    <w:rsid w:val="00E602AC"/>
    <w:rsid w:val="00E766FB"/>
    <w:rsid w:val="00E84E44"/>
    <w:rsid w:val="00E90DB3"/>
    <w:rsid w:val="00EE0AB9"/>
    <w:rsid w:val="00F60693"/>
    <w:rsid w:val="00FA5FFD"/>
    <w:rsid w:val="00FB0513"/>
    <w:rsid w:val="00FB58B6"/>
    <w:rsid w:val="0CAB72A0"/>
    <w:rsid w:val="1EF536AE"/>
    <w:rsid w:val="2AD2390B"/>
    <w:rsid w:val="3EDF5596"/>
    <w:rsid w:val="6D8812CB"/>
    <w:rsid w:val="6FA03933"/>
    <w:rsid w:val="775215F8"/>
    <w:rsid w:val="7C76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0C7075"/>
    <w:pPr>
      <w:jc w:val="left"/>
    </w:pPr>
  </w:style>
  <w:style w:type="paragraph" w:styleId="a4">
    <w:name w:val="Normal (Web)"/>
    <w:basedOn w:val="a"/>
    <w:uiPriority w:val="99"/>
    <w:qFormat/>
    <w:rsid w:val="000C70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99"/>
    <w:qFormat/>
    <w:rsid w:val="000C7075"/>
    <w:pPr>
      <w:ind w:firstLineChars="200" w:firstLine="420"/>
    </w:pPr>
    <w:rPr>
      <w:rFonts w:ascii="Times New Roman" w:eastAsia="宋体" w:hAnsi="Times New Roman" w:cs="Times New Roman"/>
    </w:rPr>
  </w:style>
  <w:style w:type="character" w:styleId="a6">
    <w:name w:val="annotation reference"/>
    <w:basedOn w:val="a0"/>
    <w:rsid w:val="000C7075"/>
    <w:rPr>
      <w:sz w:val="21"/>
      <w:szCs w:val="21"/>
    </w:rPr>
  </w:style>
  <w:style w:type="paragraph" w:styleId="a7">
    <w:name w:val="Balloon Text"/>
    <w:basedOn w:val="a"/>
    <w:link w:val="Char"/>
    <w:rsid w:val="00873AEF"/>
    <w:rPr>
      <w:sz w:val="18"/>
      <w:szCs w:val="18"/>
    </w:rPr>
  </w:style>
  <w:style w:type="character" w:customStyle="1" w:styleId="Char">
    <w:name w:val="批注框文本 Char"/>
    <w:basedOn w:val="a0"/>
    <w:link w:val="a7"/>
    <w:rsid w:val="00873A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3B020-E2CE-41A5-AC71-44ADFE6A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2021-05-07T07:35:00Z</cp:lastPrinted>
  <dcterms:created xsi:type="dcterms:W3CDTF">2019-02-01T03:27:00Z</dcterms:created>
  <dcterms:modified xsi:type="dcterms:W3CDTF">2021-05-07T07:57:00Z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